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73998">
      <w:pPr>
        <w:spacing w:line="360" w:lineRule="auto"/>
        <w:rPr>
          <w:rFonts w:hint="eastAsia" w:asciiTheme="majorEastAsia" w:hAnsiTheme="majorEastAsia" w:eastAsiaTheme="majorEastAsia"/>
          <w:sz w:val="28"/>
          <w:szCs w:val="28"/>
        </w:rPr>
      </w:pPr>
      <w:r>
        <w:rPr>
          <w:rFonts w:hint="eastAsia" w:asciiTheme="majorEastAsia" w:hAnsiTheme="majorEastAsia" w:eastAsiaTheme="majorEastAsia"/>
          <w:sz w:val="28"/>
          <w:szCs w:val="28"/>
        </w:rPr>
        <w:t>附件4：</w:t>
      </w:r>
    </w:p>
    <w:p w14:paraId="14A94E91">
      <w:pPr>
        <w:widowControl/>
        <w:spacing w:line="360" w:lineRule="auto"/>
        <w:jc w:val="center"/>
        <w:rPr>
          <w:rFonts w:eastAsia="黑体"/>
          <w:sz w:val="28"/>
          <w:szCs w:val="28"/>
        </w:rPr>
      </w:pPr>
      <w:r>
        <w:rPr>
          <w:rFonts w:hint="eastAsia" w:eastAsia="黑体"/>
          <w:sz w:val="28"/>
          <w:szCs w:val="28"/>
        </w:rPr>
        <w:t>中汽协会《安全车控操作系统面向硬件的接口规范》团体标准编制说明</w:t>
      </w:r>
    </w:p>
    <w:p w14:paraId="3E37DC0E">
      <w:pPr>
        <w:spacing w:line="360" w:lineRule="auto"/>
        <w:rPr>
          <w:rFonts w:hint="eastAsia" w:ascii="黑体" w:hAnsi="黑体" w:eastAsia="黑体" w:cs="黑体"/>
          <w:color w:val="000000" w:themeColor="text1"/>
          <w:sz w:val="30"/>
          <w:szCs w:val="30"/>
          <w14:textFill>
            <w14:solidFill>
              <w14:schemeClr w14:val="tx1"/>
            </w14:solidFill>
          </w14:textFill>
        </w:rPr>
      </w:pPr>
    </w:p>
    <w:p w14:paraId="0001D497">
      <w:pPr>
        <w:numPr>
          <w:ilvl w:val="0"/>
          <w:numId w:val="1"/>
        </w:numPr>
        <w:spacing w:line="360" w:lineRule="auto"/>
        <w:ind w:firstLine="480" w:firstLineChars="200"/>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工作简要过程</w:t>
      </w:r>
    </w:p>
    <w:p w14:paraId="61454D9D">
      <w:pPr>
        <w:numPr>
          <w:ilvl w:val="0"/>
          <w:numId w:val="2"/>
        </w:num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任务来源</w:t>
      </w:r>
    </w:p>
    <w:p w14:paraId="58C6CD28">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随着汽车电子电气架构向域控化、集中化方向演进，安全车控操作系统作为实现车辆运动控制与功能安全的核心载体，其与底层硬件的交互效率、确定性和可靠性已成为制约系统整体性能的关键因素。安全车控操作系统面向硬件的接口作为连接操作系统与芯片、外设及安全硬件的边界层，直接决定系统的可移植性、可扩展性和跨平台适配成本。</w:t>
      </w:r>
    </w:p>
    <w:p w14:paraId="47091442">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当前，国产车规级芯片呈现多架构、多厂商、多平台的发展态势，但操作系统与硬件之间的接口标准长期缺失，导致同一操作系统在不同芯片平台上的适配工作重复投入，不同厂商驱动接口定义差异大、数据结构与调用规则不统一，软硬件耦合度高、组件可复用性差，严重制约我国汽车基础软件体系的自主化、平台化发展进程。</w:t>
      </w:r>
    </w:p>
    <w:p w14:paraId="1E272C7A">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尽管国际 AUTOSAR 体系已定义了部分硬件抽象接口，但其技术路线与我国多样化芯片生态、多供应商协同开发的适配性不足，难以有效支撑国产软硬件协同发展的产业需求。为从根本上解决软硬件耦合度高、移植性差、生态碎片化等问题，亟需制定《安全车控操作系统面向硬件的接口规范》团体标准，建立符合中国汽车产业实际的安全车控操作系统硬件接口统一框架，为实现真正意义上的软硬件解耦、提升系统可复用性与可移植性提供技术基础。</w:t>
      </w:r>
    </w:p>
    <w:p w14:paraId="56334266">
      <w:pPr>
        <w:spacing w:line="360" w:lineRule="auto"/>
        <w:ind w:firstLine="420" w:firstLineChars="200"/>
        <w:rPr>
          <w:rFonts w:hint="eastAsia" w:ascii="宋体" w:hAnsi="宋体" w:cs="宋体"/>
          <w:sz w:val="21"/>
          <w:szCs w:val="21"/>
          <w:lang w:val="en-US" w:eastAsia="zh-CN"/>
        </w:rPr>
      </w:pPr>
      <w:r>
        <w:rPr>
          <w:rFonts w:hint="eastAsia" w:ascii="宋体" w:hAnsi="宋体" w:cs="宋体"/>
          <w:color w:val="000000" w:themeColor="text1"/>
          <w:szCs w:val="21"/>
          <w:lang w:val="en-US" w:eastAsia="zh-CN"/>
          <w14:textFill>
            <w14:solidFill>
              <w14:schemeClr w14:val="tx1"/>
            </w14:solidFill>
          </w14:textFill>
        </w:rPr>
        <w:t>本标准旨在统一安全车控操作系统与底层硬件之间的交互接口，规范接口函数、参数、数据结构、调用约束与异常返回规则，提升安全车控操作系统的可移植性、可扩展性和可靠性。本标准由普华基础软件股份有限公司向中国汽车工业协会提出申请，经立项论证通过后下达编制计划（</w:t>
      </w:r>
      <w:r>
        <w:rPr>
          <w:rFonts w:hint="eastAsia" w:ascii="宋体" w:hAnsi="宋体" w:cs="宋体"/>
          <w:color w:val="000000" w:themeColor="text1"/>
          <w:szCs w:val="21"/>
          <w14:textFill>
            <w14:solidFill>
              <w14:schemeClr w14:val="tx1"/>
            </w14:solidFill>
          </w14:textFill>
        </w:rPr>
        <w:t>文件号中汽协函字【202</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007</w:t>
      </w:r>
      <w:r>
        <w:rPr>
          <w:rFonts w:hint="eastAsia" w:ascii="宋体" w:hAnsi="宋体" w:cs="宋体"/>
          <w:color w:val="000000" w:themeColor="text1"/>
          <w:szCs w:val="21"/>
          <w14:textFill>
            <w14:solidFill>
              <w14:schemeClr w14:val="tx1"/>
            </w14:solidFill>
          </w14:textFill>
        </w:rPr>
        <w:t>号</w:t>
      </w:r>
      <w:r>
        <w:rPr>
          <w:rFonts w:hint="eastAsia" w:ascii="宋体" w:hAnsi="宋体" w:cs="宋体"/>
          <w:color w:val="000000" w:themeColor="text1"/>
          <w:szCs w:val="21"/>
          <w:lang w:val="en-US"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w:t>
      </w:r>
    </w:p>
    <w:p w14:paraId="66876910">
      <w:pPr>
        <w:numPr>
          <w:ilvl w:val="0"/>
          <w:numId w:val="2"/>
        </w:num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主要起草单位及任务分工</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3574"/>
        <w:gridCol w:w="2963"/>
      </w:tblGrid>
      <w:tr w14:paraId="3517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0860ACF9">
            <w:pPr>
              <w:spacing w:line="360" w:lineRule="auto"/>
              <w:jc w:val="center"/>
              <w:rPr>
                <w:b/>
                <w:bCs/>
              </w:rPr>
            </w:pPr>
            <w:r>
              <w:rPr>
                <w:rFonts w:hint="eastAsia"/>
                <w:b/>
                <w:bCs/>
              </w:rPr>
              <w:t>公司类型</w:t>
            </w:r>
          </w:p>
        </w:tc>
        <w:tc>
          <w:tcPr>
            <w:tcW w:w="3574" w:type="dxa"/>
          </w:tcPr>
          <w:p w14:paraId="7FD88D6B">
            <w:pPr>
              <w:pStyle w:val="12"/>
              <w:widowControl w:val="0"/>
              <w:spacing w:line="360" w:lineRule="auto"/>
              <w:ind w:left="0" w:leftChars="0" w:firstLine="0" w:firstLineChars="0"/>
              <w:jc w:val="center"/>
              <w:rPr>
                <w:b/>
                <w:bCs/>
              </w:rPr>
            </w:pPr>
            <w:r>
              <w:rPr>
                <w:rFonts w:hint="eastAsia"/>
                <w:b/>
                <w:bCs/>
              </w:rPr>
              <w:t>公司名称</w:t>
            </w:r>
          </w:p>
        </w:tc>
        <w:tc>
          <w:tcPr>
            <w:tcW w:w="2963" w:type="dxa"/>
          </w:tcPr>
          <w:p w14:paraId="31B62E38">
            <w:pPr>
              <w:pStyle w:val="12"/>
              <w:widowControl w:val="0"/>
              <w:spacing w:line="360" w:lineRule="auto"/>
              <w:ind w:left="0" w:leftChars="0" w:firstLine="0" w:firstLineChars="0"/>
              <w:jc w:val="center"/>
              <w:rPr>
                <w:b/>
                <w:bCs/>
              </w:rPr>
            </w:pPr>
            <w:r>
              <w:rPr>
                <w:rFonts w:hint="eastAsia"/>
                <w:b/>
                <w:bCs/>
              </w:rPr>
              <w:t>总体职责</w:t>
            </w:r>
          </w:p>
        </w:tc>
      </w:tr>
      <w:tr w14:paraId="22EE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FF6BF7D">
            <w:pPr>
              <w:pStyle w:val="12"/>
              <w:widowControl w:val="0"/>
              <w:spacing w:line="360" w:lineRule="auto"/>
              <w:ind w:right="8" w:firstLine="0" w:firstLineChars="0"/>
              <w:jc w:val="center"/>
              <w:rPr>
                <w:rFonts w:hint="default" w:eastAsia="宋体"/>
                <w:szCs w:val="21"/>
                <w:lang w:val="en-US" w:eastAsia="zh-CN"/>
              </w:rPr>
            </w:pPr>
            <w:r>
              <w:rPr>
                <w:rFonts w:hint="eastAsia"/>
                <w:szCs w:val="21"/>
                <w:lang w:val="en-US" w:eastAsia="zh-CN"/>
              </w:rPr>
              <w:t>操作系统供应商</w:t>
            </w:r>
          </w:p>
        </w:tc>
        <w:tc>
          <w:tcPr>
            <w:tcW w:w="3574" w:type="dxa"/>
            <w:vAlign w:val="center"/>
          </w:tcPr>
          <w:p w14:paraId="781CFCF7">
            <w:pPr>
              <w:pStyle w:val="12"/>
              <w:widowControl w:val="0"/>
              <w:spacing w:line="360" w:lineRule="auto"/>
              <w:ind w:right="8" w:firstLine="0" w:firstLineChars="0"/>
              <w:jc w:val="left"/>
              <w:rPr>
                <w:szCs w:val="21"/>
              </w:rPr>
            </w:pPr>
            <w:r>
              <w:rPr>
                <w:rFonts w:hint="eastAsia"/>
                <w:szCs w:val="21"/>
              </w:rPr>
              <w:t>普华基础软件</w:t>
            </w:r>
            <w:r>
              <w:rPr>
                <w:szCs w:val="21"/>
              </w:rPr>
              <w:t>股份有限公司</w:t>
            </w:r>
          </w:p>
        </w:tc>
        <w:tc>
          <w:tcPr>
            <w:tcW w:w="2963" w:type="dxa"/>
          </w:tcPr>
          <w:p w14:paraId="0B2198C7">
            <w:pPr>
              <w:pStyle w:val="12"/>
              <w:widowControl w:val="0"/>
              <w:spacing w:line="360" w:lineRule="auto"/>
              <w:ind w:left="0" w:leftChars="0" w:firstLine="0" w:firstLineChars="0"/>
              <w:rPr>
                <w:rFonts w:hint="default"/>
                <w:lang w:val="en-US"/>
              </w:rPr>
            </w:pPr>
            <w:r>
              <w:rPr>
                <w:rFonts w:hint="eastAsia"/>
                <w:lang w:val="en-US" w:eastAsia="zh-CN"/>
              </w:rPr>
              <w:t>标准牵头单位，负责标准的立项、起草、修改和报批</w:t>
            </w:r>
          </w:p>
        </w:tc>
      </w:tr>
      <w:tr w14:paraId="7BE8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54DE54F7">
            <w:pPr>
              <w:pStyle w:val="12"/>
              <w:widowControl w:val="0"/>
              <w:spacing w:line="360" w:lineRule="auto"/>
              <w:ind w:firstLine="0" w:firstLineChars="0"/>
              <w:rPr>
                <w:rFonts w:hint="eastAsia" w:ascii="宋体" w:hAnsi="Times New Roman" w:eastAsia="宋体" w:cs="Times New Roman"/>
                <w:sz w:val="21"/>
                <w:lang w:val="en-US" w:eastAsia="zh-CN" w:bidi="ar-SA"/>
              </w:rPr>
            </w:pPr>
            <w:r>
              <w:rPr>
                <w:rFonts w:hint="eastAsia"/>
                <w:lang w:val="en-US" w:eastAsia="zh-CN"/>
              </w:rPr>
              <w:t>检测机构</w:t>
            </w:r>
          </w:p>
        </w:tc>
        <w:tc>
          <w:tcPr>
            <w:tcW w:w="3574" w:type="dxa"/>
            <w:shd w:val="clear" w:color="auto" w:fill="auto"/>
            <w:vAlign w:val="top"/>
          </w:tcPr>
          <w:p w14:paraId="1CA27660">
            <w:pPr>
              <w:pStyle w:val="12"/>
              <w:widowControl w:val="0"/>
              <w:spacing w:line="360" w:lineRule="auto"/>
              <w:ind w:right="8" w:rightChars="0" w:firstLine="0" w:firstLineChars="0"/>
              <w:rPr>
                <w:rFonts w:hint="default" w:ascii="宋体" w:hAnsi="Times New Roman" w:eastAsia="宋体" w:cs="Times New Roman"/>
                <w:sz w:val="21"/>
                <w:szCs w:val="21"/>
                <w:lang w:val="en-US" w:eastAsia="zh-CN" w:bidi="ar-SA"/>
              </w:rPr>
            </w:pPr>
            <w:r>
              <w:rPr>
                <w:rFonts w:hint="eastAsia"/>
                <w:szCs w:val="21"/>
                <w:lang w:val="en-US" w:eastAsia="zh-CN"/>
              </w:rPr>
              <w:t>上海机动车检测认证技术研究中心有限公司</w:t>
            </w:r>
          </w:p>
        </w:tc>
        <w:tc>
          <w:tcPr>
            <w:tcW w:w="2963" w:type="dxa"/>
            <w:shd w:val="clear" w:color="auto" w:fill="auto"/>
            <w:vAlign w:val="top"/>
          </w:tcPr>
          <w:p w14:paraId="48501926">
            <w:pPr>
              <w:pStyle w:val="12"/>
              <w:widowControl w:val="0"/>
              <w:spacing w:line="360" w:lineRule="auto"/>
              <w:ind w:firstLine="0" w:firstLineChars="0"/>
              <w:rPr>
                <w:rFonts w:hint="eastAsia" w:ascii="宋体" w:hAnsi="Times New Roman" w:eastAsia="宋体" w:cs="Times New Roman"/>
                <w:sz w:val="21"/>
                <w:lang w:val="en-US" w:eastAsia="zh-CN" w:bidi="ar-SA"/>
              </w:rPr>
            </w:pPr>
            <w:r>
              <w:rPr>
                <w:rFonts w:hint="eastAsia"/>
                <w:lang w:val="en-US" w:eastAsia="zh-CN"/>
              </w:rPr>
              <w:t>标准联合牵头单位，负责标准的立项、起草、修改和报批</w:t>
            </w:r>
          </w:p>
        </w:tc>
      </w:tr>
      <w:tr w14:paraId="698D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1635BF34">
            <w:pPr>
              <w:pStyle w:val="12"/>
              <w:widowControl w:val="0"/>
              <w:spacing w:line="360" w:lineRule="auto"/>
              <w:ind w:firstLine="0" w:firstLineChars="0"/>
              <w:jc w:val="both"/>
              <w:rPr>
                <w:rFonts w:hint="eastAsia"/>
              </w:rPr>
            </w:pPr>
            <w:r>
              <w:rPr>
                <w:rFonts w:hint="eastAsia"/>
              </w:rPr>
              <w:t>主机厂</w:t>
            </w:r>
          </w:p>
        </w:tc>
        <w:tc>
          <w:tcPr>
            <w:tcW w:w="3574" w:type="dxa"/>
            <w:shd w:val="clear" w:color="auto" w:fill="auto"/>
            <w:vAlign w:val="top"/>
          </w:tcPr>
          <w:p w14:paraId="11FFAD11">
            <w:pPr>
              <w:pStyle w:val="12"/>
              <w:widowControl w:val="0"/>
              <w:spacing w:line="360" w:lineRule="auto"/>
              <w:ind w:right="8" w:rightChars="0" w:firstLine="0" w:firstLineChars="0"/>
              <w:rPr>
                <w:rFonts w:hint="eastAsia" w:ascii="宋体" w:hAnsi="Times New Roman" w:eastAsia="宋体" w:cs="Times New Roman"/>
                <w:sz w:val="21"/>
                <w:szCs w:val="21"/>
                <w:lang w:val="en-US" w:eastAsia="zh-CN" w:bidi="ar-SA"/>
              </w:rPr>
            </w:pPr>
            <w:r>
              <w:rPr>
                <w:rFonts w:hint="eastAsia" w:ascii="宋体" w:hAnsi="Times New Roman" w:eastAsia="宋体" w:cs="Times New Roman"/>
                <w:sz w:val="21"/>
                <w:szCs w:val="21"/>
                <w:lang w:val="en-US" w:eastAsia="zh-CN" w:bidi="ar-SA"/>
              </w:rPr>
              <w:t>中国重型汽车集团有限公司</w:t>
            </w:r>
          </w:p>
        </w:tc>
        <w:tc>
          <w:tcPr>
            <w:tcW w:w="2963" w:type="dxa"/>
            <w:vMerge w:val="restart"/>
          </w:tcPr>
          <w:p w14:paraId="3A4DFFB4">
            <w:pPr>
              <w:pStyle w:val="12"/>
              <w:widowControl w:val="0"/>
              <w:spacing w:line="360" w:lineRule="auto"/>
              <w:ind w:firstLine="0" w:firstLineChars="0"/>
              <w:rPr>
                <w:rFonts w:hint="default"/>
                <w:highlight w:val="none"/>
                <w:lang w:val="en-US" w:eastAsia="zh-CN"/>
              </w:rPr>
            </w:pPr>
            <w:r>
              <w:rPr>
                <w:rFonts w:hint="eastAsia"/>
                <w:highlight w:val="none"/>
                <w:lang w:val="en-US" w:eastAsia="zh-CN"/>
              </w:rPr>
              <w:t>标准参与单位，提出应用场景需求，对标准内容提出建议，参与标准验证</w:t>
            </w:r>
          </w:p>
        </w:tc>
      </w:tr>
      <w:tr w14:paraId="1C76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0659ADC2">
            <w:pPr>
              <w:pStyle w:val="12"/>
              <w:widowControl w:val="0"/>
              <w:spacing w:line="360" w:lineRule="auto"/>
              <w:ind w:firstLine="0" w:firstLineChars="0"/>
              <w:jc w:val="both"/>
              <w:rPr>
                <w:rFonts w:hint="eastAsia"/>
              </w:rPr>
            </w:pPr>
          </w:p>
        </w:tc>
        <w:tc>
          <w:tcPr>
            <w:tcW w:w="3574" w:type="dxa"/>
            <w:shd w:val="clear" w:color="auto" w:fill="auto"/>
            <w:vAlign w:val="top"/>
          </w:tcPr>
          <w:p w14:paraId="4C677CF6">
            <w:pPr>
              <w:pStyle w:val="12"/>
              <w:widowControl w:val="0"/>
              <w:spacing w:line="360" w:lineRule="auto"/>
              <w:ind w:right="8" w:rightChars="0" w:firstLine="0" w:firstLineChars="0"/>
              <w:rPr>
                <w:rFonts w:hint="eastAsia" w:ascii="宋体" w:hAnsi="Times New Roman" w:eastAsia="宋体" w:cs="Times New Roman"/>
                <w:sz w:val="21"/>
                <w:szCs w:val="21"/>
                <w:lang w:val="en-US" w:eastAsia="zh-CN" w:bidi="ar-SA"/>
              </w:rPr>
            </w:pPr>
            <w:r>
              <w:rPr>
                <w:rFonts w:hint="eastAsia" w:ascii="宋体" w:hAnsi="Times New Roman" w:eastAsia="宋体" w:cs="Times New Roman"/>
                <w:sz w:val="21"/>
                <w:szCs w:val="21"/>
                <w:lang w:val="en-US" w:eastAsia="zh-CN" w:bidi="ar-SA"/>
              </w:rPr>
              <w:t>北京汽车研究总院有限公司</w:t>
            </w:r>
          </w:p>
        </w:tc>
        <w:tc>
          <w:tcPr>
            <w:tcW w:w="2963" w:type="dxa"/>
            <w:vMerge w:val="continue"/>
          </w:tcPr>
          <w:p w14:paraId="50DDD839">
            <w:pPr>
              <w:pStyle w:val="12"/>
              <w:widowControl w:val="0"/>
              <w:spacing w:line="360" w:lineRule="auto"/>
              <w:ind w:firstLine="0" w:firstLineChars="0"/>
              <w:rPr>
                <w:rFonts w:hint="eastAsia"/>
                <w:highlight w:val="none"/>
                <w:lang w:val="en-US" w:eastAsia="zh-CN"/>
              </w:rPr>
            </w:pPr>
          </w:p>
        </w:tc>
      </w:tr>
      <w:tr w14:paraId="5573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5BB00EEB">
            <w:pPr>
              <w:pStyle w:val="12"/>
              <w:widowControl w:val="0"/>
              <w:spacing w:line="360" w:lineRule="auto"/>
              <w:ind w:firstLine="0" w:firstLineChars="0"/>
              <w:jc w:val="both"/>
              <w:rPr>
                <w:rFonts w:hint="eastAsia"/>
              </w:rPr>
            </w:pPr>
          </w:p>
        </w:tc>
        <w:tc>
          <w:tcPr>
            <w:tcW w:w="3574" w:type="dxa"/>
            <w:shd w:val="clear" w:color="auto" w:fill="auto"/>
            <w:vAlign w:val="top"/>
          </w:tcPr>
          <w:p w14:paraId="5E1B8ED9">
            <w:pPr>
              <w:pStyle w:val="12"/>
              <w:widowControl w:val="0"/>
              <w:spacing w:line="360" w:lineRule="auto"/>
              <w:ind w:right="8" w:rightChars="0" w:firstLine="0" w:firstLineChars="0"/>
              <w:rPr>
                <w:rFonts w:hint="eastAsia" w:ascii="宋体" w:hAnsi="Times New Roman" w:eastAsia="宋体" w:cs="Times New Roman"/>
                <w:sz w:val="21"/>
                <w:szCs w:val="21"/>
                <w:lang w:val="en-US" w:eastAsia="zh-CN" w:bidi="ar-SA"/>
              </w:rPr>
            </w:pPr>
            <w:r>
              <w:rPr>
                <w:rFonts w:hint="eastAsia" w:ascii="宋体" w:hAnsi="Times New Roman" w:eastAsia="宋体" w:cs="Times New Roman"/>
                <w:sz w:val="21"/>
                <w:szCs w:val="21"/>
                <w:lang w:val="en-US" w:eastAsia="zh-CN" w:bidi="ar-SA"/>
              </w:rPr>
              <w:t>东风汽车集团有限公司研发总院</w:t>
            </w:r>
          </w:p>
        </w:tc>
        <w:tc>
          <w:tcPr>
            <w:tcW w:w="2963" w:type="dxa"/>
            <w:vMerge w:val="continue"/>
          </w:tcPr>
          <w:p w14:paraId="439F8E3D">
            <w:pPr>
              <w:pStyle w:val="12"/>
              <w:widowControl w:val="0"/>
              <w:spacing w:line="360" w:lineRule="auto"/>
              <w:ind w:firstLine="0" w:firstLineChars="0"/>
              <w:rPr>
                <w:rFonts w:hint="eastAsia"/>
                <w:highlight w:val="none"/>
                <w:lang w:val="en-US" w:eastAsia="zh-CN"/>
              </w:rPr>
            </w:pPr>
          </w:p>
        </w:tc>
      </w:tr>
      <w:tr w14:paraId="0909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643FF382">
            <w:pPr>
              <w:pStyle w:val="12"/>
              <w:widowControl w:val="0"/>
              <w:spacing w:line="360" w:lineRule="auto"/>
              <w:ind w:firstLine="0" w:firstLineChars="0"/>
              <w:jc w:val="both"/>
            </w:pPr>
            <w:r>
              <w:rPr>
                <w:rFonts w:hint="eastAsia"/>
              </w:rPr>
              <w:t>Tier1</w:t>
            </w:r>
          </w:p>
        </w:tc>
        <w:tc>
          <w:tcPr>
            <w:tcW w:w="3574" w:type="dxa"/>
          </w:tcPr>
          <w:p w14:paraId="046DB578">
            <w:pPr>
              <w:pStyle w:val="12"/>
              <w:widowControl w:val="0"/>
              <w:spacing w:line="360" w:lineRule="auto"/>
              <w:ind w:right="8" w:firstLine="0" w:firstLineChars="0"/>
              <w:rPr>
                <w:szCs w:val="21"/>
              </w:rPr>
            </w:pPr>
            <w:r>
              <w:rPr>
                <w:rFonts w:hint="eastAsia"/>
                <w:szCs w:val="21"/>
              </w:rPr>
              <w:t>上海丰蕾信息科技有限公司</w:t>
            </w:r>
          </w:p>
        </w:tc>
        <w:tc>
          <w:tcPr>
            <w:tcW w:w="2963" w:type="dxa"/>
            <w:vMerge w:val="restart"/>
          </w:tcPr>
          <w:p w14:paraId="7FD77E01">
            <w:pPr>
              <w:pStyle w:val="12"/>
              <w:widowControl w:val="0"/>
              <w:spacing w:line="360" w:lineRule="auto"/>
              <w:ind w:firstLine="0" w:firstLineChars="0"/>
              <w:rPr>
                <w:rFonts w:hint="default"/>
                <w:highlight w:val="none"/>
                <w:lang w:val="en-US"/>
              </w:rPr>
            </w:pPr>
            <w:r>
              <w:rPr>
                <w:rFonts w:hint="eastAsia"/>
                <w:highlight w:val="none"/>
                <w:lang w:val="en-US" w:eastAsia="zh-CN"/>
              </w:rPr>
              <w:t>标准参与单位，对标准内容提出建议，负责接口集成应用与标准规范验证</w:t>
            </w:r>
          </w:p>
        </w:tc>
      </w:tr>
      <w:tr w14:paraId="46A4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704" w:type="dxa"/>
            <w:vMerge w:val="continue"/>
          </w:tcPr>
          <w:p w14:paraId="5A4FC4AB">
            <w:pPr>
              <w:pStyle w:val="12"/>
              <w:widowControl w:val="0"/>
              <w:spacing w:line="360" w:lineRule="auto"/>
              <w:ind w:firstLine="0" w:firstLineChars="0"/>
            </w:pPr>
          </w:p>
        </w:tc>
        <w:tc>
          <w:tcPr>
            <w:tcW w:w="3574" w:type="dxa"/>
          </w:tcPr>
          <w:p w14:paraId="4138C1AB">
            <w:pPr>
              <w:pStyle w:val="12"/>
              <w:widowControl w:val="0"/>
              <w:spacing w:line="360" w:lineRule="auto"/>
              <w:ind w:right="8" w:firstLine="0" w:firstLineChars="0"/>
              <w:rPr>
                <w:szCs w:val="21"/>
              </w:rPr>
            </w:pPr>
            <w:r>
              <w:rPr>
                <w:rFonts w:hint="eastAsia"/>
                <w:szCs w:val="21"/>
              </w:rPr>
              <w:t>北京英创汇智汽车技术有限公司</w:t>
            </w:r>
          </w:p>
        </w:tc>
        <w:tc>
          <w:tcPr>
            <w:tcW w:w="2963" w:type="dxa"/>
            <w:vMerge w:val="continue"/>
          </w:tcPr>
          <w:p w14:paraId="396A8607">
            <w:pPr>
              <w:pStyle w:val="12"/>
              <w:widowControl w:val="0"/>
              <w:spacing w:line="360" w:lineRule="auto"/>
              <w:ind w:firstLine="420"/>
              <w:rPr>
                <w:highlight w:val="none"/>
              </w:rPr>
            </w:pPr>
          </w:p>
        </w:tc>
      </w:tr>
      <w:tr w14:paraId="15B3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3ABDAAD8">
            <w:pPr>
              <w:pStyle w:val="12"/>
              <w:widowControl w:val="0"/>
              <w:spacing w:line="360" w:lineRule="auto"/>
              <w:ind w:firstLine="0" w:firstLineChars="0"/>
              <w:jc w:val="left"/>
            </w:pPr>
            <w:r>
              <w:rPr>
                <w:rFonts w:hint="eastAsia"/>
              </w:rPr>
              <w:t>芯片厂商</w:t>
            </w:r>
          </w:p>
        </w:tc>
        <w:tc>
          <w:tcPr>
            <w:tcW w:w="3574" w:type="dxa"/>
          </w:tcPr>
          <w:p w14:paraId="194FE7E1">
            <w:pPr>
              <w:pStyle w:val="12"/>
              <w:widowControl w:val="0"/>
              <w:spacing w:line="360" w:lineRule="auto"/>
              <w:ind w:right="8" w:firstLine="0" w:firstLineChars="0"/>
              <w:rPr>
                <w:szCs w:val="21"/>
              </w:rPr>
            </w:pPr>
            <w:r>
              <w:rPr>
                <w:rFonts w:hint="eastAsia"/>
                <w:szCs w:val="21"/>
              </w:rPr>
              <w:t>黑芝麻</w:t>
            </w:r>
            <w:r>
              <w:rPr>
                <w:szCs w:val="21"/>
              </w:rPr>
              <w:t>智能科技有限公司</w:t>
            </w:r>
          </w:p>
        </w:tc>
        <w:tc>
          <w:tcPr>
            <w:tcW w:w="2963" w:type="dxa"/>
            <w:vMerge w:val="restart"/>
          </w:tcPr>
          <w:p w14:paraId="297F5A30">
            <w:pPr>
              <w:pStyle w:val="12"/>
              <w:widowControl w:val="0"/>
              <w:spacing w:line="360" w:lineRule="auto"/>
              <w:ind w:firstLine="0" w:firstLineChars="0"/>
              <w:rPr>
                <w:rFonts w:hint="default"/>
                <w:highlight w:val="none"/>
                <w:lang w:val="en-US"/>
              </w:rPr>
            </w:pPr>
            <w:r>
              <w:rPr>
                <w:rFonts w:hint="eastAsia"/>
                <w:highlight w:val="none"/>
                <w:lang w:val="en-US" w:eastAsia="zh-CN"/>
              </w:rPr>
              <w:t>标准参与单位，负责芯片侧接口适配验证，提出硬件接口可实现性意见</w:t>
            </w:r>
          </w:p>
        </w:tc>
      </w:tr>
      <w:tr w14:paraId="591D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tcPr>
          <w:p w14:paraId="2812C544">
            <w:pPr>
              <w:pStyle w:val="12"/>
              <w:widowControl w:val="0"/>
              <w:spacing w:line="360" w:lineRule="auto"/>
              <w:ind w:firstLine="0" w:firstLineChars="0"/>
            </w:pPr>
          </w:p>
        </w:tc>
        <w:tc>
          <w:tcPr>
            <w:tcW w:w="3574" w:type="dxa"/>
          </w:tcPr>
          <w:p w14:paraId="73267D6B">
            <w:pPr>
              <w:pStyle w:val="12"/>
              <w:widowControl w:val="0"/>
              <w:spacing w:line="360" w:lineRule="auto"/>
              <w:ind w:right="8" w:firstLine="0" w:firstLineChars="0"/>
              <w:rPr>
                <w:szCs w:val="21"/>
              </w:rPr>
            </w:pPr>
            <w:r>
              <w:rPr>
                <w:rFonts w:hint="eastAsia"/>
                <w:szCs w:val="21"/>
              </w:rPr>
              <w:t>湖北芯擎科技股份有限公司</w:t>
            </w:r>
          </w:p>
        </w:tc>
        <w:tc>
          <w:tcPr>
            <w:tcW w:w="2963" w:type="dxa"/>
            <w:vMerge w:val="continue"/>
          </w:tcPr>
          <w:p w14:paraId="26A66929">
            <w:pPr>
              <w:pStyle w:val="12"/>
              <w:widowControl w:val="0"/>
              <w:spacing w:line="360" w:lineRule="auto"/>
              <w:ind w:firstLine="420"/>
              <w:rPr>
                <w:highlight w:val="yellow"/>
              </w:rPr>
            </w:pPr>
          </w:p>
        </w:tc>
      </w:tr>
      <w:tr w14:paraId="3035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tcPr>
          <w:p w14:paraId="3D18C6AE">
            <w:pPr>
              <w:pStyle w:val="12"/>
              <w:widowControl w:val="0"/>
              <w:spacing w:line="360" w:lineRule="auto"/>
              <w:ind w:firstLine="0" w:firstLineChars="0"/>
            </w:pPr>
          </w:p>
        </w:tc>
        <w:tc>
          <w:tcPr>
            <w:tcW w:w="3574" w:type="dxa"/>
          </w:tcPr>
          <w:p w14:paraId="342F8F01">
            <w:pPr>
              <w:pStyle w:val="12"/>
              <w:widowControl w:val="0"/>
              <w:spacing w:line="360" w:lineRule="auto"/>
              <w:ind w:right="8" w:firstLine="0" w:firstLineChars="0"/>
              <w:rPr>
                <w:rFonts w:hint="eastAsia"/>
                <w:szCs w:val="21"/>
              </w:rPr>
            </w:pPr>
            <w:r>
              <w:rPr>
                <w:rFonts w:hint="eastAsia"/>
                <w:szCs w:val="21"/>
              </w:rPr>
              <w:t>紫光同芯微电子有限公司</w:t>
            </w:r>
          </w:p>
        </w:tc>
        <w:tc>
          <w:tcPr>
            <w:tcW w:w="2963" w:type="dxa"/>
            <w:vMerge w:val="continue"/>
          </w:tcPr>
          <w:p w14:paraId="7DB3E82D">
            <w:pPr>
              <w:pStyle w:val="12"/>
              <w:widowControl w:val="0"/>
              <w:spacing w:line="360" w:lineRule="auto"/>
              <w:ind w:firstLine="420"/>
              <w:rPr>
                <w:highlight w:val="yellow"/>
              </w:rPr>
            </w:pPr>
          </w:p>
        </w:tc>
      </w:tr>
    </w:tbl>
    <w:p w14:paraId="55CB896D">
      <w:pPr>
        <w:numPr>
          <w:ilvl w:val="0"/>
          <w:numId w:val="2"/>
        </w:num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标准研讨情况</w:t>
      </w:r>
    </w:p>
    <w:p w14:paraId="50FF8C20">
      <w:pPr>
        <w:spacing w:line="360" w:lineRule="auto"/>
        <w:ind w:firstLine="367" w:firstLineChars="175"/>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202</w:t>
      </w:r>
      <w:r>
        <w:rPr>
          <w:rFonts w:hint="eastAsia" w:ascii="宋体" w:hAnsi="宋体" w:cs="宋体"/>
          <w:color w:val="000000" w:themeColor="text1"/>
          <w:szCs w:val="21"/>
          <w:lang w:val="en-US" w:eastAsia="zh-CN"/>
          <w14:textFill>
            <w14:solidFill>
              <w14:schemeClr w14:val="tx1"/>
            </w14:solidFill>
          </w14:textFill>
        </w:rPr>
        <w:t>6年12月，完成《安全车控操作系统面向硬件的接口规范》立项评审，明确标准编制方向与基本框架。</w:t>
      </w:r>
    </w:p>
    <w:p w14:paraId="49FBC13F">
      <w:pPr>
        <w:spacing w:line="360" w:lineRule="auto"/>
        <w:ind w:firstLine="367" w:firstLineChars="175"/>
        <w:rPr>
          <w:rFonts w:hint="default" w:ascii="宋体" w:hAnsi="宋体" w:cs="宋体"/>
          <w:color w:val="000000" w:themeColor="text1"/>
          <w:szCs w:val="21"/>
          <w:lang w:val="en-US" w:eastAsia="zh-CN"/>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202</w:t>
      </w:r>
      <w:r>
        <w:rPr>
          <w:rFonts w:hint="eastAsia" w:ascii="宋体" w:hAnsi="宋体" w:cs="宋体"/>
          <w:color w:val="000000" w:themeColor="text1"/>
          <w:szCs w:val="21"/>
          <w:lang w:val="en-US" w:eastAsia="zh-CN"/>
          <w14:textFill>
            <w14:solidFill>
              <w14:schemeClr w14:val="tx1"/>
            </w14:solidFill>
          </w14:textFill>
        </w:rPr>
        <w:t>6</w:t>
      </w:r>
      <w:r>
        <w:rPr>
          <w:rFonts w:hint="default" w:ascii="宋体" w:hAnsi="宋体" w:cs="宋体"/>
          <w:color w:val="000000" w:themeColor="text1"/>
          <w:szCs w:val="21"/>
          <w:lang w:val="en-US" w:eastAsia="zh-CN"/>
          <w14:textFill>
            <w14:solidFill>
              <w14:schemeClr w14:val="tx1"/>
            </w14:solidFill>
          </w14:textFill>
        </w:rPr>
        <w:t>年</w:t>
      </w:r>
      <w:r>
        <w:rPr>
          <w:rFonts w:hint="eastAsia" w:ascii="宋体" w:hAnsi="宋体" w:cs="宋体"/>
          <w:color w:val="000000" w:themeColor="text1"/>
          <w:szCs w:val="21"/>
          <w:lang w:val="en-US" w:eastAsia="zh-CN"/>
          <w14:textFill>
            <w14:solidFill>
              <w14:schemeClr w14:val="tx1"/>
            </w14:solidFill>
          </w14:textFill>
        </w:rPr>
        <w:t>1月—3</w:t>
      </w:r>
      <w:r>
        <w:rPr>
          <w:rFonts w:hint="default" w:ascii="宋体" w:hAnsi="宋体" w:cs="宋体"/>
          <w:color w:val="000000" w:themeColor="text1"/>
          <w:szCs w:val="21"/>
          <w:lang w:val="en-US" w:eastAsia="zh-CN"/>
          <w14:textFill>
            <w14:solidFill>
              <w14:schemeClr w14:val="tx1"/>
            </w14:solidFill>
          </w14:textFill>
        </w:rPr>
        <w:t>月，收到协会下发标准立项号，正式组建标准起草工作组，明确各参与单位职责分工，启动标准研制工作。</w:t>
      </w:r>
    </w:p>
    <w:p w14:paraId="7473B215">
      <w:pPr>
        <w:spacing w:line="360" w:lineRule="auto"/>
        <w:ind w:firstLine="367" w:firstLineChars="175"/>
        <w:rPr>
          <w:rFonts w:hint="default" w:ascii="宋体" w:hAnsi="宋体" w:cs="宋体"/>
          <w:color w:val="000000" w:themeColor="text1"/>
          <w:szCs w:val="21"/>
          <w:lang w:val="en-US"/>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2026年4月—6月，起草工作组开展标准草案编制与完善。工作组在充分分析 AUTOSAR 微控制器抽象层（MCAL）体系的基础上，结合国产芯片平台特点，完成了微控制器抽象接口、通信硬件接口、存储硬件接口、I/O 硬件接口、硬件安全接口的分类框架与技术要求编制，并针对每类接口定义了接口函数、参数及数据结构，形成标准草案初稿。</w:t>
      </w:r>
    </w:p>
    <w:p w14:paraId="706112B1">
      <w:pPr>
        <w:spacing w:line="360" w:lineRule="auto"/>
        <w:ind w:firstLine="367" w:firstLineChars="175"/>
        <w:rPr>
          <w:rFonts w:hint="default"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202</w:t>
      </w:r>
      <w:r>
        <w:rPr>
          <w:rFonts w:hint="eastAsia" w:ascii="宋体" w:hAnsi="宋体" w:cs="宋体"/>
          <w:color w:val="000000" w:themeColor="text1"/>
          <w:szCs w:val="21"/>
          <w:lang w:val="en-US" w:eastAsia="zh-CN"/>
          <w14:textFill>
            <w14:solidFill>
              <w14:schemeClr w14:val="tx1"/>
            </w14:solidFill>
          </w14:textFill>
        </w:rPr>
        <w:t>6年7月，标准起草工作组组织内部征求意见，各起草单位围绕术语和定义、标准规范性、接口分类、接口函数定义、数据结构等方面提出书面修改意见。</w:t>
      </w:r>
    </w:p>
    <w:p w14:paraId="571714C6">
      <w:pPr>
        <w:spacing w:line="360" w:lineRule="auto"/>
        <w:ind w:firstLine="367" w:firstLineChars="175"/>
        <w:rPr>
          <w:rFonts w:hint="default" w:ascii="宋体" w:hAnsi="宋体" w:cs="宋体"/>
          <w:color w:val="000000" w:themeColor="text1"/>
          <w:szCs w:val="21"/>
          <w:lang w:val="en-US"/>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202</w:t>
      </w:r>
      <w:r>
        <w:rPr>
          <w:rFonts w:hint="eastAsia" w:ascii="宋体" w:hAnsi="宋体" w:cs="宋体"/>
          <w:color w:val="000000" w:themeColor="text1"/>
          <w:szCs w:val="21"/>
          <w:lang w:val="en-US" w:eastAsia="zh-CN"/>
          <w14:textFill>
            <w14:solidFill>
              <w14:schemeClr w14:val="tx1"/>
            </w14:solidFill>
          </w14:textFill>
        </w:rPr>
        <w:t>6年8月，起草工作组对反馈意见进行逐条梳理和分析，重点围绕标准范围、术语和定义、通信硬件接口、存储硬件接口、以太网驱动接口等议题开展专题研讨与技术论证，并据此对标准草案进行多轮修改完善。</w:t>
      </w:r>
    </w:p>
    <w:p w14:paraId="2B84CF2A">
      <w:pPr>
        <w:spacing w:line="360" w:lineRule="auto"/>
        <w:ind w:firstLine="367" w:firstLineChars="175"/>
        <w:rPr>
          <w:rFonts w:hint="default" w:ascii="宋体" w:hAnsi="宋体" w:cs="宋体"/>
          <w:szCs w:val="21"/>
          <w:lang w:val="en-US"/>
        </w:rPr>
      </w:pPr>
      <w:r>
        <w:rPr>
          <w:rFonts w:hint="eastAsia" w:ascii="宋体" w:hAnsi="宋体" w:cs="宋体"/>
          <w:color w:val="000000" w:themeColor="text1"/>
          <w:szCs w:val="21"/>
          <w14:textFill>
            <w14:solidFill>
              <w14:schemeClr w14:val="tx1"/>
            </w14:solidFill>
          </w14:textFill>
        </w:rPr>
        <w:t>202</w:t>
      </w:r>
      <w:r>
        <w:rPr>
          <w:rFonts w:hint="eastAsia" w:ascii="宋体" w:hAnsi="宋体" w:cs="宋体"/>
          <w:color w:val="000000" w:themeColor="text1"/>
          <w:szCs w:val="21"/>
          <w:lang w:val="en-US" w:eastAsia="zh-CN"/>
          <w14:textFill>
            <w14:solidFill>
              <w14:schemeClr w14:val="tx1"/>
            </w14:solidFill>
          </w14:textFill>
        </w:rPr>
        <w:t>6年9月，起草工作组根据研讨结论形成征求意见处理意见，逐条落实修改内容，经完善后形成标准征求意见稿，提交中国汽车工业协会进入征求意见程序。</w:t>
      </w:r>
    </w:p>
    <w:p w14:paraId="70D631AD">
      <w:pPr>
        <w:spacing w:line="360" w:lineRule="auto"/>
        <w:ind w:firstLine="480" w:firstLineChars="200"/>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二、标准编制原则和主要内容</w:t>
      </w:r>
    </w:p>
    <w:p w14:paraId="643CA30C">
      <w:pPr>
        <w:spacing w:line="360" w:lineRule="auto"/>
        <w:ind w:firstLine="367" w:firstLineChars="175"/>
        <w:rPr>
          <w:rFonts w:hint="eastAsia" w:ascii="宋体" w:hAnsi="宋体" w:cs="宋体"/>
          <w:szCs w:val="21"/>
        </w:rPr>
      </w:pPr>
      <w:r>
        <w:rPr>
          <w:rFonts w:hint="eastAsia" w:ascii="宋体" w:hAnsi="宋体" w:cs="宋体"/>
          <w:szCs w:val="21"/>
        </w:rPr>
        <w:t>本标准编制原则，主要考虑以下关键因素：</w:t>
      </w:r>
    </w:p>
    <w:p w14:paraId="18D7E775">
      <w:pPr>
        <w:spacing w:line="360" w:lineRule="auto"/>
        <w:ind w:firstLine="367" w:firstLineChars="175"/>
        <w:rPr>
          <w:rFonts w:hint="default" w:eastAsia="宋体"/>
          <w:highlight w:val="none"/>
          <w:lang w:val="en-US"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一</w:t>
      </w:r>
      <w:r>
        <w:rPr>
          <w:rFonts w:hint="eastAsia" w:ascii="宋体" w:hAnsi="宋体" w:cs="宋体"/>
          <w:szCs w:val="21"/>
          <w:highlight w:val="none"/>
          <w:lang w:eastAsia="zh-CN"/>
        </w:rPr>
        <w:t>）</w:t>
      </w:r>
      <w:r>
        <w:rPr>
          <w:rFonts w:hint="eastAsia" w:ascii="宋体" w:hAnsi="宋体" w:cs="宋体"/>
          <w:szCs w:val="21"/>
          <w:highlight w:val="none"/>
        </w:rPr>
        <w:t>继承性：标准充分衔接 GB/T 47351—2026《智能网联汽车 车控操作系统技术要求及试验方法》关于车控操作系统、安全车控操作系统及系统软件的界定，继承AUTOSAR MCAL分层软硬件解耦思想与接口设计范式，在微控制器抽象接口、通信驱动接口、存储驱动接口、I/O 驱动接口等方面复用成熟工程经验，保持行业主流架构理念的延续性，便于开发人员理解、迁移已有工程经验，降低技术学习成本与跨平台移植工作量。</w:t>
      </w:r>
    </w:p>
    <w:p w14:paraId="6133CBC0">
      <w:pPr>
        <w:spacing w:line="360" w:lineRule="auto"/>
        <w:ind w:firstLine="367" w:firstLineChars="175"/>
        <w:rPr>
          <w:rFonts w:hint="eastAsia"/>
          <w:lang w:val="en-US" w:eastAsia="zh-CN"/>
        </w:rPr>
      </w:pPr>
      <w:r>
        <w:rPr>
          <w:rFonts w:hint="eastAsia"/>
          <w:highlight w:val="none"/>
          <w:lang w:val="en-US" w:eastAsia="zh-CN"/>
        </w:rPr>
        <w:t>（二）创新性：针对我国车规芯片多架构、多厂商、多平台的产业现状，标准在继承国际成熟方法的基础上，结合国产软硬件协同需求，对接口分类、函数命名、参数约束、数据结构、错误返回规则进行统一规范，并补充硬件安全接口相关要求，填补国内安全车控操作系统面向硬件接口标准空白，形成可落地、可验证、可推广的接口统一框架。</w:t>
      </w:r>
      <w:r>
        <w:rPr>
          <w:rFonts w:hint="eastAsia"/>
          <w:lang w:val="en-US" w:eastAsia="zh-CN"/>
        </w:rPr>
        <w:t xml:space="preserve">  </w:t>
      </w:r>
    </w:p>
    <w:p w14:paraId="63977748">
      <w:pPr>
        <w:spacing w:line="360" w:lineRule="auto"/>
        <w:ind w:firstLine="367" w:firstLineChars="175"/>
        <w:rPr>
          <w:rFonts w:hint="default"/>
          <w:lang w:val="en-US" w:eastAsia="zh-CN"/>
        </w:rPr>
      </w:pPr>
      <w:r>
        <w:rPr>
          <w:rFonts w:hint="eastAsia"/>
          <w:lang w:val="en-US" w:eastAsia="zh-CN"/>
        </w:rPr>
        <w:t>（三）通用性：标准不绑定特定芯片架构、编译器、操作系统内核或具体实现方案，聚焦接口的行为特征与数据表达。各类接口按功能域抽象定义，能够适配 M 类和 N 类车辆典型电子控制单元与车载计算平台，支持多核异构芯片、多外设组合及多供应商驱动组件的集成。</w:t>
      </w:r>
    </w:p>
    <w:p w14:paraId="622382E5">
      <w:pPr>
        <w:spacing w:line="360" w:lineRule="auto"/>
        <w:ind w:firstLine="367" w:firstLineChars="175"/>
        <w:rPr>
          <w:rFonts w:hint="eastAsia" w:ascii="宋体" w:hAnsi="宋体" w:cs="宋体"/>
          <w:szCs w:val="21"/>
          <w:lang w:val="en-US" w:eastAsia="zh-CN"/>
        </w:rPr>
      </w:pPr>
      <w:r>
        <w:rPr>
          <w:rFonts w:hint="eastAsia"/>
          <w:lang w:val="en-US" w:eastAsia="zh-CN"/>
        </w:rPr>
        <w:t>（四</w:t>
      </w:r>
      <w:r>
        <w:rPr>
          <w:rFonts w:hint="eastAsia" w:ascii="宋体" w:hAnsi="宋体" w:cs="宋体"/>
          <w:szCs w:val="21"/>
          <w:lang w:val="en-US" w:eastAsia="zh-CN"/>
        </w:rPr>
        <w:t>）可操作性：标准对每类接口明确函数原型、参数定义、数据结构、调用方式与异常返回规则，接口定义明确、完整、无歧义。工程人员可依据标准直接开展驱动开发、操作系统适配、接口一致性测试、问题定位与交付判定，减少主观解读空间，支撑标准化落地。</w:t>
      </w:r>
    </w:p>
    <w:p w14:paraId="24F4B3E4">
      <w:pPr>
        <w:spacing w:line="360" w:lineRule="auto"/>
        <w:ind w:firstLine="367" w:firstLineChars="175"/>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本标准的主要技术内容包括：</w:t>
      </w:r>
    </w:p>
    <w:p w14:paraId="0A8491C1">
      <w:pPr>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（一）硬件接口分类要求。 定义了微控制器抽象接口、通信硬件接口、存储硬件接口、I/O 硬件接口、硬件安全接口五大类接口。其中，微控制器抽象接口包含微控制器驱动接口、通用定时器驱动接口、看门狗驱动接口、核测试接口；通信硬件接口包含 CAN 驱动接口、LIN 驱动接口、以太网驱动接口、SPI 驱动接口、I²C 驱动接口；存储硬件接口包含 Flash 驱动接口、EEPROM 驱动接口、Flash 测试接口、RAM 测试接口；I/O 硬件接口包含 ADC 驱动接口、ICU 驱动接口、DIO 驱动接口、OCU 驱动接口、PWM 驱动接口、Port 驱动接口；硬件安全接口包含初始化接口、加密服务接口、密钥管理接口等。</w:t>
      </w:r>
    </w:p>
    <w:p w14:paraId="42F5E02D">
      <w:pPr>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（二）接口函数与数据结构要求。 针对各类硬件接口分别定义接口函数和数据结构，明确接口调用方式、参数定义、数据组织形式以及异常返回规则，统一软硬件交互的数据表达形式，降低底层硬件差异对上层软件的影响，支撑组件移植、集成验证与交付验收工作。</w:t>
      </w:r>
    </w:p>
    <w:p w14:paraId="316982C4">
      <w:pPr>
        <w:spacing w:line="360" w:lineRule="auto"/>
        <w:ind w:firstLine="480" w:firstLineChars="200"/>
        <w:rPr>
          <w:rFonts w:hint="eastAsia" w:ascii="黑体" w:hAnsi="黑体" w:eastAsia="黑体" w:cs="黑体"/>
          <w:color w:val="000000" w:themeColor="text1"/>
          <w:sz w:val="30"/>
          <w:szCs w:val="30"/>
          <w:highlight w:val="none"/>
          <w14:textFill>
            <w14:solidFill>
              <w14:schemeClr w14:val="tx1"/>
            </w14:solidFill>
          </w14:textFill>
        </w:rPr>
      </w:pPr>
      <w:r>
        <w:rPr>
          <w:rFonts w:hint="eastAsia" w:ascii="黑体" w:hAnsi="黑体" w:eastAsia="黑体" w:cs="黑体"/>
          <w:color w:val="000000" w:themeColor="text1"/>
          <w:sz w:val="24"/>
          <w:highlight w:val="none"/>
          <w14:textFill>
            <w14:solidFill>
              <w14:schemeClr w14:val="tx1"/>
            </w14:solidFill>
          </w14:textFill>
        </w:rPr>
        <w:t>三、采用国际标准和国外先进标准情况</w:t>
      </w:r>
    </w:p>
    <w:p w14:paraId="05874D7F">
      <w:pPr>
        <w:spacing w:line="360" w:lineRule="auto"/>
        <w:ind w:firstLine="367" w:firstLineChars="175"/>
        <w:rPr>
          <w:rFonts w:hint="eastAsia" w:ascii="宋体" w:hAnsi="宋体" w:cs="宋体"/>
          <w:szCs w:val="21"/>
          <w:lang w:val="en-US" w:eastAsia="zh-CN"/>
        </w:rPr>
      </w:pPr>
      <w:r>
        <w:rPr>
          <w:rFonts w:hint="eastAsia" w:ascii="宋体" w:hAnsi="宋体" w:cs="宋体"/>
          <w:szCs w:val="21"/>
          <w:lang w:val="en-US" w:eastAsia="zh-CN"/>
        </w:rPr>
        <w:t>本标准在制定过程中系统参考了操作系统相关国际标准，作为接口设计的技术依据。</w:t>
      </w:r>
    </w:p>
    <w:p w14:paraId="05747BBE">
      <w:pPr>
        <w:spacing w:line="360" w:lineRule="auto"/>
        <w:ind w:firstLine="420" w:firstLineChars="200"/>
        <w:rPr>
          <w:rFonts w:hint="default" w:ascii="宋体" w:hAnsi="宋体" w:cs="宋体"/>
          <w:color w:val="000000" w:themeColor="text1"/>
          <w:szCs w:val="21"/>
          <w:lang w:val="en-US"/>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AUTOSAR微控制器抽象层规范</w:t>
      </w:r>
      <w:r>
        <w:rPr>
          <w:rFonts w:hint="eastAsia" w:ascii="宋体" w:hAnsi="宋体" w:cs="宋体"/>
          <w:color w:val="000000" w:themeColor="text1"/>
          <w:szCs w:val="21"/>
          <w:lang w:val="en-US" w:eastAsia="zh-CN"/>
          <w14:textFill>
            <w14:solidFill>
              <w14:schemeClr w14:val="tx1"/>
            </w14:solidFill>
          </w14:textFill>
        </w:rPr>
        <w:t>：</w:t>
      </w:r>
      <w:r>
        <w:rPr>
          <w:rFonts w:hint="default" w:ascii="宋体" w:hAnsi="宋体" w:cs="宋体"/>
          <w:color w:val="000000" w:themeColor="text1"/>
          <w:szCs w:val="21"/>
          <w:lang w:val="en-US" w:eastAsia="zh-CN"/>
          <w14:textFill>
            <w14:solidFill>
              <w14:schemeClr w14:val="tx1"/>
            </w14:solidFill>
          </w14:textFill>
        </w:rPr>
        <w:t>本标准硬件接口分类与分层解耦思想参考Classic AUTOSAR MCAL的成熟方法，在微控制器驱动、通信驱动、存储驱动、I/O 驱动等方面继承其接口抽象理念；同时结合我国芯片生态特点对接口定义进行适应性裁剪与扩展，不直接照搬特定实现。</w:t>
      </w:r>
    </w:p>
    <w:p w14:paraId="11158ED1">
      <w:pPr>
        <w:spacing w:line="360" w:lineRule="auto"/>
        <w:ind w:firstLine="420" w:firstLineChars="200"/>
        <w:rPr>
          <w:rFonts w:hint="default" w:ascii="宋体" w:hAnsi="宋体" w:cs="宋体"/>
          <w:color w:val="000000" w:themeColor="text1"/>
          <w:szCs w:val="21"/>
          <w:lang w:val="en-US"/>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ISO 26262《道路车辆 功能安全》</w:t>
      </w:r>
      <w:r>
        <w:rPr>
          <w:rFonts w:hint="eastAsia" w:ascii="宋体" w:hAnsi="宋体" w:cs="宋体"/>
          <w:color w:val="000000" w:themeColor="text1"/>
          <w:szCs w:val="21"/>
          <w:lang w:val="en-US" w:eastAsia="zh-CN"/>
          <w14:textFill>
            <w14:solidFill>
              <w14:schemeClr w14:val="tx1"/>
            </w14:solidFill>
          </w14:textFill>
        </w:rPr>
        <w:t>：</w:t>
      </w:r>
      <w:r>
        <w:rPr>
          <w:rFonts w:hint="default" w:ascii="宋体" w:hAnsi="宋体" w:cs="宋体"/>
          <w:color w:val="000000" w:themeColor="text1"/>
          <w:szCs w:val="21"/>
          <w:lang w:val="en-US" w:eastAsia="zh-CN"/>
          <w14:textFill>
            <w14:solidFill>
              <w14:schemeClr w14:val="tx1"/>
            </w14:solidFill>
          </w14:textFill>
        </w:rPr>
        <w:t>ISO 26262规定了汽车电子电气系统全生命周期功能安全要求，定义ASIL A至ASIL D安全等级。本标准与功能安全相关的接口（如看门狗接口、核测试接口、RAM/Flash 测试接口等）参照ISO 26262的原则与方法，结合GB/T 34590.6、GB/T 34590.8落实到接口层面，确保相关接口能够支撑安全机制的实现与验证。</w:t>
      </w:r>
    </w:p>
    <w:p w14:paraId="32F20F06">
      <w:pPr>
        <w:spacing w:line="360" w:lineRule="auto"/>
        <w:ind w:firstLine="420" w:firstLineChars="200"/>
        <w:rPr>
          <w:rFonts w:hint="default" w:ascii="宋体" w:hAnsi="宋体" w:cs="宋体"/>
          <w:color w:val="000000" w:themeColor="text1"/>
          <w:szCs w:val="21"/>
          <w:lang w:val="en-US"/>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ISO/SAE 21434《道路车辆 网络安全工程》</w:t>
      </w:r>
      <w:r>
        <w:rPr>
          <w:rFonts w:hint="eastAsia" w:ascii="宋体" w:hAnsi="宋体" w:cs="宋体"/>
          <w:color w:val="000000" w:themeColor="text1"/>
          <w:szCs w:val="21"/>
          <w:lang w:val="en-US" w:eastAsia="zh-CN"/>
          <w14:textFill>
            <w14:solidFill>
              <w14:schemeClr w14:val="tx1"/>
            </w14:solidFill>
          </w14:textFill>
        </w:rPr>
        <w:t>：</w:t>
      </w:r>
      <w:r>
        <w:rPr>
          <w:rFonts w:hint="default" w:ascii="宋体" w:hAnsi="宋体" w:cs="宋体"/>
          <w:color w:val="000000" w:themeColor="text1"/>
          <w:szCs w:val="21"/>
          <w:lang w:val="en-US" w:eastAsia="zh-CN"/>
          <w14:textFill>
            <w14:solidFill>
              <w14:schemeClr w14:val="tx1"/>
            </w14:solidFill>
          </w14:textFill>
        </w:rPr>
        <w:t>ISO/SAE 21434规定车辆电子电气系统全生命周期的网络安全风险管理要求。本标准硬件安全接口参照其安全工程理念，将安全初始化、加密服务、密钥管理支撑等能力纳入接口规范，并与GB/T 46194—2025保持协调。</w:t>
      </w:r>
    </w:p>
    <w:p w14:paraId="358AF4F4">
      <w:pPr>
        <w:spacing w:line="360" w:lineRule="auto"/>
        <w:ind w:firstLine="420" w:firstLineChars="200"/>
        <w:rPr>
          <w:rFonts w:hint="default" w:ascii="宋体" w:hAnsi="宋体" w:cs="宋体"/>
          <w:color w:val="000000" w:themeColor="text1"/>
          <w:szCs w:val="21"/>
          <w:lang w:val="en-US"/>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GB/T 47351—2026《智能网联汽车 车控操作系统技术要求及试验方法》</w:t>
      </w:r>
      <w:r>
        <w:rPr>
          <w:rFonts w:hint="eastAsia" w:ascii="宋体" w:hAnsi="宋体" w:cs="宋体"/>
          <w:color w:val="000000" w:themeColor="text1"/>
          <w:szCs w:val="21"/>
          <w:lang w:val="en-US" w:eastAsia="zh-CN"/>
          <w14:textFill>
            <w14:solidFill>
              <w14:schemeClr w14:val="tx1"/>
            </w14:solidFill>
          </w14:textFill>
        </w:rPr>
        <w:t>：</w:t>
      </w:r>
      <w:r>
        <w:rPr>
          <w:rFonts w:hint="default" w:ascii="宋体" w:hAnsi="宋体" w:cs="宋体"/>
          <w:color w:val="000000" w:themeColor="text1"/>
          <w:szCs w:val="21"/>
          <w:lang w:val="en-US" w:eastAsia="zh-CN"/>
          <w14:textFill>
            <w14:solidFill>
              <w14:schemeClr w14:val="tx1"/>
            </w14:solidFill>
          </w14:textFill>
        </w:rPr>
        <w:t>本标准术语、范围和技术边界与GB/T 47351—2026保持一致，并在其安全车控操作系统框架下，对操作系统与硬件交互的接口提出细化要求，确保与车控操作系统国家标准协调一致。</w:t>
      </w:r>
    </w:p>
    <w:p w14:paraId="6077C4A4">
      <w:pPr>
        <w:spacing w:line="360" w:lineRule="auto"/>
        <w:ind w:firstLine="420" w:firstLineChars="200"/>
        <w:rPr>
          <w:rFonts w:hint="default" w:ascii="宋体" w:hAnsi="宋体" w:cs="宋体"/>
          <w:color w:val="000000" w:themeColor="text1"/>
          <w:szCs w:val="21"/>
          <w:lang w:val="en-US"/>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本标准在继承国际先进标准和行业工程实践的基础上，结合我国安全车控操作系统产业发展需求，首次系统性地制定面向硬件的接口规范体系，填补国内该领域标准空白。</w:t>
      </w:r>
    </w:p>
    <w:p w14:paraId="2D9A948F">
      <w:pPr>
        <w:spacing w:line="360" w:lineRule="auto"/>
        <w:ind w:firstLine="420" w:firstLineChars="175"/>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四、主要关键指标及试验验证情况</w:t>
      </w:r>
    </w:p>
    <w:p w14:paraId="7C86E0AC">
      <w:p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本标准属于接口规范类标准，核心质量特性体现为接口分类完整性、接口定义规范性、接口行为一致性和跨平台可移植性。</w:t>
      </w:r>
    </w:p>
    <w:p w14:paraId="1E698856">
      <w:p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在接口分类完整性方面，标准覆盖安全车控操作系统硬件交互所需的五大类接口，涵盖微控制器硬件接口（微控制器、定时器、看门狗、核测试），通信硬件接口（CAN、LIN、以太网、SPI、I2C通信外设），存储硬件接口（Flash、EEPROM存储介质），IO硬件接口（ADC、ICU、DIO、OCU、PWM、Port 等I/O资源），以及安全初始化、加密、密钥等硬件安全能力，接口分类完整、边界清晰。</w:t>
      </w:r>
    </w:p>
    <w:p w14:paraId="1DD54FBF">
      <w:p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在接口定义规范性方面，标准对每类接口统一规定函数名称、函数原型、参数类型与取值约束、返回规则及配套数据结构，明确接口调用前置条件、中断与任务上下文约束、并发访问约束及异常返回规则，保证接口定义精准、无歧义、可静态核查。</w:t>
      </w:r>
    </w:p>
    <w:p w14:paraId="293B75A1">
      <w:pPr>
        <w:spacing w:line="360" w:lineRule="auto"/>
        <w:ind w:firstLine="420" w:firstLineChars="200"/>
        <w:rPr>
          <w:rFonts w:hint="eastAsia" w:ascii="黑体" w:hAnsi="黑体" w:eastAsia="黑体" w:cs="黑体"/>
          <w:color w:val="000000" w:themeColor="text1"/>
          <w:sz w:val="24"/>
          <w:highlight w:val="none"/>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在验证方面，标准主要技术指标经起草单位在典型车规级芯片平台和车载计算平台上进行适配验证。验证工作包括：对接口头文件与规范定义进行静态一致性核查；对各接口开展正常调用、边界参数、非法输入、异常返回测试；在具体任务上下文分别验证接口行为；在多核及虚拟化环境下验证接口的跨核访问与资源隔离特性；在同一操作系统上针对多款芯片平台开展移植适配验证，评估适配工作量与接口改动范围。验证结果表明，按本标准定义的接口体系可支撑操作系统在多芯片平台上的移植复用，降低软硬件耦合度，为安全车控操作系统的规模化应用提供接口级标准支撑。</w:t>
      </w:r>
    </w:p>
    <w:p w14:paraId="282ADCBD">
      <w:pPr>
        <w:spacing w:line="360" w:lineRule="auto"/>
        <w:ind w:firstLine="480" w:firstLineChars="200"/>
        <w:rPr>
          <w:rFonts w:hint="eastAsia" w:ascii="黑体" w:hAnsi="黑体" w:eastAsia="黑体" w:cs="黑体"/>
          <w:color w:val="000000" w:themeColor="text1"/>
          <w:sz w:val="24"/>
          <w:highlight w:val="none"/>
          <w14:textFill>
            <w14:solidFill>
              <w14:schemeClr w14:val="tx1"/>
            </w14:solidFill>
          </w14:textFill>
        </w:rPr>
      </w:pPr>
      <w:r>
        <w:rPr>
          <w:rFonts w:hint="eastAsia" w:ascii="黑体" w:hAnsi="黑体" w:eastAsia="黑体" w:cs="黑体"/>
          <w:color w:val="000000" w:themeColor="text1"/>
          <w:sz w:val="24"/>
          <w:highlight w:val="none"/>
          <w14:textFill>
            <w14:solidFill>
              <w14:schemeClr w14:val="tx1"/>
            </w14:solidFill>
          </w14:textFill>
        </w:rPr>
        <w:t>五、与现行法律、法规和政策及相关标准的协调性</w:t>
      </w:r>
    </w:p>
    <w:p w14:paraId="0F62F4B0">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本标准与现行法律、法规和政策无冲突。</w:t>
      </w:r>
    </w:p>
    <w:p w14:paraId="16FA7F5F">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本标准在技术内容上与现行国家标准保持协调一致：</w:t>
      </w:r>
    </w:p>
    <w:p w14:paraId="27342604">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GB/T 47351—2026《智能网联汽车 车控操作系统技术要求及试验方法》：本标准术语、范围、系统软件边界和安全车控操作系统定位与GB/T 47351—2026保持一致，是车控操作系统国家标准在硬件接口方向的细化与落地。</w:t>
      </w:r>
    </w:p>
    <w:p w14:paraId="4FD2517F">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GB/T 34590—2022《道路车辆 功能安全》：本标准中与功能安全相关的接口（看门狗、核测试、RAM/Flash测试等）充分遵循GB/T 34590系列标准关于软件产品开发和支持过程的原则与方法。</w:t>
      </w:r>
    </w:p>
    <w:p w14:paraId="1F55F7C2">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GB/T 46194—2025《道路车辆 信息安全工程》：本标准硬件安全接口与GB/T 46194—2025的网络安全工程方法保持协调，覆盖安全初始化、加密服务支撑、密钥管理支撑等相关能力。</w:t>
      </w:r>
    </w:p>
    <w:p w14:paraId="6623700B">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AUTOSAR MCAL 相关规范：本标准在接口分类和分层解耦思想上与AUTOSAR MCAL保持衔接，便于工程迁移和国际协同；具体接口定义结合我国产业实际进行了适应性调整。</w:t>
      </w:r>
    </w:p>
    <w:p w14:paraId="6251B5FD">
      <w:pPr>
        <w:spacing w:line="360" w:lineRule="auto"/>
        <w:ind w:firstLine="480" w:firstLineChars="200"/>
        <w:rPr>
          <w:rFonts w:hint="eastAsia" w:ascii="黑体" w:hAnsi="黑体" w:eastAsia="黑体" w:cs="黑体"/>
          <w:color w:val="000000" w:themeColor="text1"/>
          <w:sz w:val="24"/>
          <w:highlight w:val="none"/>
          <w14:textFill>
            <w14:solidFill>
              <w14:schemeClr w14:val="tx1"/>
            </w14:solidFill>
          </w14:textFill>
        </w:rPr>
      </w:pPr>
      <w:r>
        <w:rPr>
          <w:rFonts w:hint="eastAsia" w:ascii="黑体" w:hAnsi="黑体" w:eastAsia="黑体" w:cs="黑体"/>
          <w:color w:val="000000" w:themeColor="text1"/>
          <w:sz w:val="24"/>
          <w:highlight w:val="none"/>
          <w14:textFill>
            <w14:solidFill>
              <w14:schemeClr w14:val="tx1"/>
            </w14:solidFill>
          </w14:textFill>
        </w:rPr>
        <w:t>六、贯彻标准的要求和措施建议</w:t>
      </w:r>
    </w:p>
    <w:p w14:paraId="73BF91A2">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本标准不直接涉及汽车安全、人身健康、国家安全、生态环境安全，主要是规范安全车控操作系统</w:t>
      </w:r>
      <w:r>
        <w:rPr>
          <w:rFonts w:hint="eastAsia" w:ascii="宋体" w:hAnsi="宋体" w:cs="宋体"/>
          <w:color w:val="000000" w:themeColor="text1"/>
          <w:szCs w:val="21"/>
          <w:lang w:val="en-US" w:eastAsia="zh-CN"/>
          <w14:textFill>
            <w14:solidFill>
              <w14:schemeClr w14:val="tx1"/>
            </w14:solidFill>
          </w14:textFill>
        </w:rPr>
        <w:t>的硬件接口</w:t>
      </w:r>
      <w:r>
        <w:rPr>
          <w:rFonts w:hint="eastAsia" w:ascii="宋体" w:hAnsi="宋体" w:cs="宋体"/>
          <w:color w:val="000000" w:themeColor="text1"/>
          <w:szCs w:val="21"/>
          <w14:textFill>
            <w14:solidFill>
              <w14:schemeClr w14:val="tx1"/>
            </w14:solidFill>
          </w14:textFill>
        </w:rPr>
        <w:t>，建议为推荐性标准。</w:t>
      </w:r>
    </w:p>
    <w:p w14:paraId="1AC077E4">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为有效推动本标准的贯彻实施，提出以下措施建议：</w:t>
      </w:r>
    </w:p>
    <w:p w14:paraId="082EC137">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建立标准推广与产业协作机制。建议联合芯片厂商、操作系统提供商、主机厂、Tier1及行业组织等形成合作组织或联盟，或者借助现有行业组织，系统推进标准的宣传、培训与实施工作。通过组织标准宣贯会、技术研讨会等形式，提升行业对标准的认知度和认可度。</w:t>
      </w:r>
    </w:p>
    <w:p w14:paraId="66DBEC2C">
      <w:pPr>
        <w:spacing w:line="360" w:lineRule="auto"/>
        <w:ind w:firstLine="420" w:firstLineChars="200"/>
        <w:rPr>
          <w:rFonts w:hint="eastAsia" w:ascii="黑体" w:hAnsi="黑体" w:eastAsia="黑体" w:cs="黑体"/>
          <w:color w:val="000000" w:themeColor="text1"/>
          <w:sz w:val="24"/>
          <w:highlight w:val="none"/>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二</w:t>
      </w:r>
      <w:r>
        <w:rPr>
          <w:rFonts w:hint="eastAsia" w:ascii="宋体" w:hAnsi="宋体" w:cs="宋体"/>
          <w:color w:val="000000" w:themeColor="text1"/>
          <w:szCs w:val="21"/>
          <w14:textFill>
            <w14:solidFill>
              <w14:schemeClr w14:val="tx1"/>
            </w14:solidFill>
          </w14:textFill>
        </w:rPr>
        <w:t>）推动标准在产业化项目中的应用。鼓励整车制造商</w:t>
      </w:r>
      <w:r>
        <w:rPr>
          <w:rFonts w:hint="eastAsia" w:ascii="宋体" w:hAnsi="宋体" w:cs="宋体"/>
          <w:color w:val="000000" w:themeColor="text1"/>
          <w:szCs w:val="21"/>
          <w:lang w:val="en-US" w:eastAsia="zh-CN"/>
          <w14:textFill>
            <w14:solidFill>
              <w14:schemeClr w14:val="tx1"/>
            </w14:solidFill>
          </w14:textFill>
        </w:rPr>
        <w:t>和系统提供商</w:t>
      </w:r>
      <w:r>
        <w:rPr>
          <w:rFonts w:hint="eastAsia" w:ascii="宋体" w:hAnsi="宋体" w:cs="宋体"/>
          <w:color w:val="000000" w:themeColor="text1"/>
          <w:szCs w:val="21"/>
          <w14:textFill>
            <w14:solidFill>
              <w14:schemeClr w14:val="tx1"/>
            </w14:solidFill>
          </w14:textFill>
        </w:rPr>
        <w:t>在新车型量产</w:t>
      </w:r>
      <w:r>
        <w:rPr>
          <w:rFonts w:hint="eastAsia" w:ascii="宋体" w:hAnsi="宋体" w:cs="宋体"/>
          <w:color w:val="000000" w:themeColor="text1"/>
          <w:szCs w:val="21"/>
          <w:lang w:val="en-US" w:eastAsia="zh-CN"/>
          <w14:textFill>
            <w14:solidFill>
              <w14:schemeClr w14:val="tx1"/>
            </w14:solidFill>
          </w14:textFill>
        </w:rPr>
        <w:t>开发与平台化项目</w:t>
      </w:r>
      <w:r>
        <w:rPr>
          <w:rFonts w:hint="eastAsia" w:ascii="宋体" w:hAnsi="宋体" w:cs="宋体"/>
          <w:color w:val="000000" w:themeColor="text1"/>
          <w:szCs w:val="21"/>
          <w14:textFill>
            <w14:solidFill>
              <w14:schemeClr w14:val="tx1"/>
            </w14:solidFill>
          </w14:textFill>
        </w:rPr>
        <w:t>中，将本标准作为</w:t>
      </w:r>
      <w:r>
        <w:rPr>
          <w:rFonts w:hint="eastAsia" w:ascii="宋体" w:hAnsi="宋体" w:cs="宋体"/>
          <w:color w:val="000000" w:themeColor="text1"/>
          <w:szCs w:val="21"/>
          <w:lang w:val="en-US" w:eastAsia="zh-CN"/>
          <w14:textFill>
            <w14:solidFill>
              <w14:schemeClr w14:val="tx1"/>
            </w14:solidFill>
          </w14:textFill>
        </w:rPr>
        <w:t>芯片选型、操作系统适配、驱动开发和供应商交付的依据；鼓励芯片厂商和驱动供应商依据本标准提供符合性接口实现及验证报告</w:t>
      </w:r>
      <w:r>
        <w:rPr>
          <w:rFonts w:hint="eastAsia" w:ascii="黑体" w:hAnsi="黑体" w:eastAsia="黑体" w:cs="黑体"/>
          <w:color w:val="000000" w:themeColor="text1"/>
          <w:sz w:val="24"/>
          <w:highlight w:val="none"/>
          <w14:textFill>
            <w14:solidFill>
              <w14:schemeClr w14:val="tx1"/>
            </w14:solidFill>
          </w14:textFill>
        </w:rPr>
        <w:t>。</w:t>
      </w:r>
    </w:p>
    <w:p w14:paraId="5CD9775D">
      <w:p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三）建设接口符合性测试能力。建议由检测机构和产业联盟联合开发接口一致性测试套件，包括头文件与命名静态核查工具、接口调用自动化测试用例，统一测试环境、判据口径和报告模板，为产品符合性评价、主机厂准入验证和第三方检测提供支撑。</w:t>
      </w:r>
    </w:p>
    <w:p w14:paraId="36AA4C80">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四</w:t>
      </w:r>
      <w:r>
        <w:rPr>
          <w:rFonts w:hint="eastAsia" w:ascii="宋体" w:hAnsi="宋体" w:cs="宋体"/>
          <w:color w:val="000000" w:themeColor="text1"/>
          <w:szCs w:val="21"/>
          <w14:textFill>
            <w14:solidFill>
              <w14:schemeClr w14:val="tx1"/>
            </w14:solidFill>
          </w14:textFill>
        </w:rPr>
        <w:t>）持续构建标准体系。本标准作为安全车控操作系统领域的基础性标准，后续</w:t>
      </w:r>
      <w:r>
        <w:rPr>
          <w:rFonts w:hint="eastAsia" w:ascii="宋体" w:hAnsi="宋体" w:cs="宋体"/>
          <w:color w:val="000000" w:themeColor="text1"/>
          <w:szCs w:val="21"/>
          <w:lang w:val="en-US" w:eastAsia="zh-CN"/>
          <w14:textFill>
            <w14:solidFill>
              <w14:schemeClr w14:val="tx1"/>
            </w14:solidFill>
          </w14:textFill>
        </w:rPr>
        <w:t>应与安全车控操作系统内核标准、中间件标准等相关标准协同推进，逐步拓展形成驱动适配指南接口符合型评价规范等系列标准，</w:t>
      </w:r>
      <w:r>
        <w:rPr>
          <w:rFonts w:hint="eastAsia" w:ascii="宋体" w:hAnsi="宋体" w:cs="宋体"/>
          <w:color w:val="000000" w:themeColor="text1"/>
          <w:szCs w:val="21"/>
          <w14:textFill>
            <w14:solidFill>
              <w14:schemeClr w14:val="tx1"/>
            </w14:solidFill>
          </w14:textFill>
        </w:rPr>
        <w:t>为行业提供从</w:t>
      </w:r>
      <w:r>
        <w:rPr>
          <w:rFonts w:hint="eastAsia" w:ascii="宋体" w:hAnsi="宋体" w:cs="宋体"/>
          <w:color w:val="000000" w:themeColor="text1"/>
          <w:szCs w:val="21"/>
          <w:lang w:val="en-US" w:eastAsia="zh-CN"/>
          <w14:textFill>
            <w14:solidFill>
              <w14:schemeClr w14:val="tx1"/>
            </w14:solidFill>
          </w14:textFill>
        </w:rPr>
        <w:t>芯片适配、驱动开发、系统集成到测试验证的全链条标准化支撑</w:t>
      </w:r>
      <w:bookmarkStart w:id="0" w:name="_GoBack"/>
      <w:bookmarkEnd w:id="0"/>
      <w:r>
        <w:rPr>
          <w:rFonts w:hint="eastAsia" w:ascii="宋体" w:hAnsi="宋体" w:cs="宋体"/>
          <w:color w:val="000000" w:themeColor="text1"/>
          <w:szCs w:val="21"/>
          <w14:textFill>
            <w14:solidFill>
              <w14:schemeClr w14:val="tx1"/>
            </w14:solidFill>
          </w14:textFill>
        </w:rPr>
        <w:t>。</w:t>
      </w:r>
    </w:p>
    <w:p w14:paraId="50FA2ECF">
      <w:pPr>
        <w:numPr>
          <w:ilvl w:val="0"/>
          <w:numId w:val="3"/>
        </w:numPr>
        <w:spacing w:line="360" w:lineRule="auto"/>
        <w:ind w:firstLine="480" w:firstLineChars="200"/>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其他需要说明的事项</w:t>
      </w:r>
    </w:p>
    <w:p w14:paraId="28E29C3C">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0E8A62-7A13-4D67-93B2-0D72C2D743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23BD82CA-4386-4F5C-8DC8-27FCB7F2A4B5}"/>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60A38F"/>
    <w:multiLevelType w:val="singleLevel"/>
    <w:tmpl w:val="C760A38F"/>
    <w:lvl w:ilvl="0" w:tentative="0">
      <w:start w:val="1"/>
      <w:numFmt w:val="chineseCounting"/>
      <w:suff w:val="nothing"/>
      <w:lvlText w:val="%1、"/>
      <w:lvlJc w:val="left"/>
      <w:rPr>
        <w:rFonts w:hint="eastAsia"/>
      </w:rPr>
    </w:lvl>
  </w:abstractNum>
  <w:abstractNum w:abstractNumId="1">
    <w:nsid w:val="E319F839"/>
    <w:multiLevelType w:val="singleLevel"/>
    <w:tmpl w:val="E319F839"/>
    <w:lvl w:ilvl="0" w:tentative="0">
      <w:start w:val="1"/>
      <w:numFmt w:val="chineseCounting"/>
      <w:suff w:val="nothing"/>
      <w:lvlText w:val="（%1）"/>
      <w:lvlJc w:val="left"/>
      <w:pPr>
        <w:ind w:left="360" w:firstLine="0"/>
      </w:pPr>
      <w:rPr>
        <w:rFonts w:hint="eastAsia"/>
      </w:rPr>
    </w:lvl>
  </w:abstractNum>
  <w:abstractNum w:abstractNumId="2">
    <w:nsid w:val="E3C56D80"/>
    <w:multiLevelType w:val="singleLevel"/>
    <w:tmpl w:val="E3C56D80"/>
    <w:lvl w:ilvl="0" w:tentative="0">
      <w:start w:val="7"/>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83"/>
    <w:rsid w:val="000D4B74"/>
    <w:rsid w:val="001255E7"/>
    <w:rsid w:val="00140DF8"/>
    <w:rsid w:val="00420EF3"/>
    <w:rsid w:val="004D4AEB"/>
    <w:rsid w:val="00A148B3"/>
    <w:rsid w:val="00C60935"/>
    <w:rsid w:val="00C65E24"/>
    <w:rsid w:val="00DE1E83"/>
    <w:rsid w:val="01671BDD"/>
    <w:rsid w:val="0167398B"/>
    <w:rsid w:val="02EB4148"/>
    <w:rsid w:val="037759DB"/>
    <w:rsid w:val="03C05867"/>
    <w:rsid w:val="04800661"/>
    <w:rsid w:val="04CB3BFD"/>
    <w:rsid w:val="05C55124"/>
    <w:rsid w:val="081E2C88"/>
    <w:rsid w:val="08624EAC"/>
    <w:rsid w:val="091F0FEF"/>
    <w:rsid w:val="092D54BA"/>
    <w:rsid w:val="094C0719"/>
    <w:rsid w:val="0A00497C"/>
    <w:rsid w:val="0A273AA8"/>
    <w:rsid w:val="0A3960E0"/>
    <w:rsid w:val="0A6A08B7"/>
    <w:rsid w:val="0AFD710E"/>
    <w:rsid w:val="0C454E5D"/>
    <w:rsid w:val="0CC779D3"/>
    <w:rsid w:val="0D0C188A"/>
    <w:rsid w:val="0D4E0633"/>
    <w:rsid w:val="0D933D59"/>
    <w:rsid w:val="0EE45CC0"/>
    <w:rsid w:val="0F3479B4"/>
    <w:rsid w:val="0F566DED"/>
    <w:rsid w:val="0F5B0347"/>
    <w:rsid w:val="0F8E2A2A"/>
    <w:rsid w:val="10C1473A"/>
    <w:rsid w:val="111B6540"/>
    <w:rsid w:val="112C42A9"/>
    <w:rsid w:val="116F23E8"/>
    <w:rsid w:val="152D05F0"/>
    <w:rsid w:val="157131C6"/>
    <w:rsid w:val="1571659F"/>
    <w:rsid w:val="15D171CD"/>
    <w:rsid w:val="16DD0A5E"/>
    <w:rsid w:val="170B4961"/>
    <w:rsid w:val="175B58E8"/>
    <w:rsid w:val="17D17958"/>
    <w:rsid w:val="17FE211F"/>
    <w:rsid w:val="18C64FE3"/>
    <w:rsid w:val="19481E9C"/>
    <w:rsid w:val="19B80DD0"/>
    <w:rsid w:val="19D41982"/>
    <w:rsid w:val="19DE635C"/>
    <w:rsid w:val="1A4E34E2"/>
    <w:rsid w:val="1B530684"/>
    <w:rsid w:val="1B80591D"/>
    <w:rsid w:val="1CCA728A"/>
    <w:rsid w:val="1D2B7B0B"/>
    <w:rsid w:val="1E21044D"/>
    <w:rsid w:val="1E403142"/>
    <w:rsid w:val="22026029"/>
    <w:rsid w:val="23103A2A"/>
    <w:rsid w:val="234B4A63"/>
    <w:rsid w:val="23EB1DA2"/>
    <w:rsid w:val="24286B52"/>
    <w:rsid w:val="2489657E"/>
    <w:rsid w:val="24C06D8A"/>
    <w:rsid w:val="25A42208"/>
    <w:rsid w:val="271D56CB"/>
    <w:rsid w:val="272154D3"/>
    <w:rsid w:val="28B0426F"/>
    <w:rsid w:val="29E52DB8"/>
    <w:rsid w:val="2A187840"/>
    <w:rsid w:val="2A5F10CB"/>
    <w:rsid w:val="2BC44419"/>
    <w:rsid w:val="2BFE5813"/>
    <w:rsid w:val="2CB74F17"/>
    <w:rsid w:val="2CC55886"/>
    <w:rsid w:val="2DD85145"/>
    <w:rsid w:val="2E055A3C"/>
    <w:rsid w:val="2E422F06"/>
    <w:rsid w:val="2E7C6418"/>
    <w:rsid w:val="2EED4C20"/>
    <w:rsid w:val="2F8F398D"/>
    <w:rsid w:val="30A05CC2"/>
    <w:rsid w:val="31D64091"/>
    <w:rsid w:val="32364B30"/>
    <w:rsid w:val="32C1089D"/>
    <w:rsid w:val="32EC54BB"/>
    <w:rsid w:val="33347D32"/>
    <w:rsid w:val="335C2374"/>
    <w:rsid w:val="33EC057D"/>
    <w:rsid w:val="345474EF"/>
    <w:rsid w:val="348002E4"/>
    <w:rsid w:val="34D042C2"/>
    <w:rsid w:val="35B62E36"/>
    <w:rsid w:val="35F26FC0"/>
    <w:rsid w:val="36400B3A"/>
    <w:rsid w:val="36851BE2"/>
    <w:rsid w:val="36CE50B3"/>
    <w:rsid w:val="38A12DBB"/>
    <w:rsid w:val="39290F4A"/>
    <w:rsid w:val="399F745E"/>
    <w:rsid w:val="3A8257E7"/>
    <w:rsid w:val="3AB17449"/>
    <w:rsid w:val="3CC26F41"/>
    <w:rsid w:val="415E3A35"/>
    <w:rsid w:val="41D57EC1"/>
    <w:rsid w:val="43AA2C88"/>
    <w:rsid w:val="45AF27D7"/>
    <w:rsid w:val="467C79A6"/>
    <w:rsid w:val="48FD1AAC"/>
    <w:rsid w:val="4A946440"/>
    <w:rsid w:val="4AE160EB"/>
    <w:rsid w:val="4B5F6853"/>
    <w:rsid w:val="4B74666B"/>
    <w:rsid w:val="4BC863A1"/>
    <w:rsid w:val="4F170C21"/>
    <w:rsid w:val="4F4703E8"/>
    <w:rsid w:val="4F672375"/>
    <w:rsid w:val="4FB355BA"/>
    <w:rsid w:val="4FBD770E"/>
    <w:rsid w:val="50C72164"/>
    <w:rsid w:val="516F0C45"/>
    <w:rsid w:val="51E43809"/>
    <w:rsid w:val="52E00474"/>
    <w:rsid w:val="546926EB"/>
    <w:rsid w:val="54F63F7F"/>
    <w:rsid w:val="55DB7F17"/>
    <w:rsid w:val="57154464"/>
    <w:rsid w:val="571F6FE3"/>
    <w:rsid w:val="579637F7"/>
    <w:rsid w:val="5ADC7453"/>
    <w:rsid w:val="5B4812AC"/>
    <w:rsid w:val="5C700ABB"/>
    <w:rsid w:val="5CC22998"/>
    <w:rsid w:val="5CC36A6F"/>
    <w:rsid w:val="5EF17565"/>
    <w:rsid w:val="5F310BD2"/>
    <w:rsid w:val="60732927"/>
    <w:rsid w:val="608F7035"/>
    <w:rsid w:val="609347CF"/>
    <w:rsid w:val="609B3C2C"/>
    <w:rsid w:val="60AC5E39"/>
    <w:rsid w:val="60BF5B37"/>
    <w:rsid w:val="61897F29"/>
    <w:rsid w:val="621243C2"/>
    <w:rsid w:val="621A5025"/>
    <w:rsid w:val="622D6B06"/>
    <w:rsid w:val="62A750F4"/>
    <w:rsid w:val="637D3ABD"/>
    <w:rsid w:val="638B442C"/>
    <w:rsid w:val="640338C7"/>
    <w:rsid w:val="64590086"/>
    <w:rsid w:val="64C64FF0"/>
    <w:rsid w:val="64FD3107"/>
    <w:rsid w:val="651B358E"/>
    <w:rsid w:val="68833924"/>
    <w:rsid w:val="68914293"/>
    <w:rsid w:val="69FD5C5E"/>
    <w:rsid w:val="6BF07522"/>
    <w:rsid w:val="6BFB09A2"/>
    <w:rsid w:val="6C47110C"/>
    <w:rsid w:val="6D1001EF"/>
    <w:rsid w:val="6D194268"/>
    <w:rsid w:val="6D9E2FAE"/>
    <w:rsid w:val="6E250FD9"/>
    <w:rsid w:val="6EDA0016"/>
    <w:rsid w:val="72007D93"/>
    <w:rsid w:val="72EE22E1"/>
    <w:rsid w:val="73267CCD"/>
    <w:rsid w:val="73465C7A"/>
    <w:rsid w:val="747B1105"/>
    <w:rsid w:val="74E0779E"/>
    <w:rsid w:val="75826D11"/>
    <w:rsid w:val="760360A4"/>
    <w:rsid w:val="761E6A3A"/>
    <w:rsid w:val="76780840"/>
    <w:rsid w:val="76C375E1"/>
    <w:rsid w:val="77757D0F"/>
    <w:rsid w:val="77E73FB8"/>
    <w:rsid w:val="7A08012D"/>
    <w:rsid w:val="7B767318"/>
    <w:rsid w:val="7BC40083"/>
    <w:rsid w:val="7C63789C"/>
    <w:rsid w:val="7E285B86"/>
    <w:rsid w:val="7E350DC4"/>
    <w:rsid w:val="7E9F26E2"/>
    <w:rsid w:val="7EF85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tabs>
        <w:tab w:val="center" w:pos="4153"/>
        <w:tab w:val="right" w:pos="8306"/>
      </w:tabs>
      <w:snapToGrid w:val="0"/>
      <w:jc w:val="center"/>
    </w:pPr>
    <w:rPr>
      <w:sz w:val="18"/>
      <w:szCs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paragraph" w:customStyle="1" w:styleId="1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3">
    <w:name w:val="页眉 字符"/>
    <w:basedOn w:val="8"/>
    <w:link w:val="4"/>
    <w:qFormat/>
    <w:uiPriority w:val="0"/>
    <w:rPr>
      <w:kern w:val="2"/>
      <w:sz w:val="18"/>
      <w:szCs w:val="18"/>
    </w:rPr>
  </w:style>
  <w:style w:type="character" w:customStyle="1" w:styleId="14">
    <w:name w:val="页脚 字符"/>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3517</Words>
  <Characters>3766</Characters>
  <Lines>99</Lines>
  <Paragraphs>82</Paragraphs>
  <TotalTime>6</TotalTime>
  <ScaleCrop>false</ScaleCrop>
  <LinksUpToDate>false</LinksUpToDate>
  <CharactersWithSpaces>3788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2025-10-27T02:15:00Z</dcterms:created>
  <dc:creator>ZHQ</dc:creator>
  <cp:lastModifiedBy>胡凤凤</cp:lastModifiedBy>
  <dcterms:modified xsi:type="dcterms:W3CDTF">2026-09-29T05:54:34Z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eyJoZGlkIjoiYmRmNWVkNzUzMTgwMTNjY2I5ODdhNWQ3ODk1MzcwNDEiLCJ1c2VySWQiOiI0ODEyNjg0MzcifQ==</vt:lpwstr>
  </property>
  <property fmtid="{D5CDD505-2E9C-101B-9397-08002B2CF9AE}" pid="4" name="ICV">
    <vt:lpwstr>250461E8308B4A3BADEBC994B3575779_13</vt:lpwstr>
  </property>
</Properties>
</file>