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1"/>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0D1BD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7512CC4B">
            <w:pPr>
              <w:pStyle w:val="19"/>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6D345E8B">
            <w:pPr>
              <w:pStyle w:val="19"/>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t>43.040.15</w:t>
            </w:r>
          </w:p>
        </w:tc>
      </w:tr>
      <w:tr w14:paraId="7D9E2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007CAFAF">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31"/>
              <w:tblpPr w:vertAnchor="page" w:horzAnchor="margin" w:tblpX="1" w:tblpY="341"/>
              <w:tblOverlap w:val="never"/>
              <w:tblW w:w="9242"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3C3A89C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vAlign w:val="center"/>
                </w:tcPr>
                <w:p w14:paraId="4A6C6A65">
                  <w:pPr>
                    <w:pStyle w:val="55"/>
                    <w:framePr w:wrap="notBeside" w:vAnchor="page" w:hAnchor="page" w:x="1372" w:y="568"/>
                    <w:ind w:left="420" w:right="624"/>
                    <w:rPr>
                      <w:rFonts w:hint="eastAsia" w:ascii="宋体" w:hAnsi="宋体"/>
                      <w:sz w:val="28"/>
                      <w:szCs w:val="28"/>
                    </w:rPr>
                  </w:pPr>
                  <w:r>
                    <w:rPr>
                      <w:sz w:val="21"/>
                      <w:szCs w:val="21"/>
                    </w:rPr>
                    <w:t xml:space="preserve"> </w:t>
                  </w:r>
                </w:p>
              </w:tc>
            </w:tr>
          </w:tbl>
          <w:p w14:paraId="2CC43125">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t>T 35</w:t>
            </w:r>
          </w:p>
        </w:tc>
      </w:tr>
    </w:tbl>
    <w:p w14:paraId="37103BF2">
      <w:pPr>
        <w:pStyle w:val="56"/>
        <w:framePr w:w="9639" w:h="1174" w:hRule="exact" w:hSpace="181" w:vSpace="181" w:wrap="around" w:hAnchor="page" w:x="1305" w:y="1545"/>
        <w:rPr>
          <w:rFonts w:hint="eastAsia" w:ascii="黑体" w:hAnsi="黑体" w:eastAsia="黑体"/>
          <w:b w:val="0"/>
          <w:bCs w:val="0"/>
          <w:w w:val="100"/>
          <w:sz w:val="84"/>
          <w:szCs w:val="84"/>
        </w:rPr>
      </w:pPr>
      <w:bookmarkStart w:id="0" w:name="_Hlk26473981"/>
      <w:r>
        <w:rPr>
          <w:rFonts w:hint="eastAsia" w:ascii="黑体" w:eastAsia="黑体"/>
          <w:b w:val="0"/>
          <w:w w:val="100"/>
          <w:sz w:val="84"/>
          <w:szCs w:val="84"/>
        </w:rPr>
        <w:t>团体</w:t>
      </w:r>
      <w:r>
        <w:rPr>
          <w:rFonts w:hint="eastAsia" w:ascii="黑体" w:hAnsi="黑体" w:eastAsia="黑体"/>
          <w:b w:val="0"/>
          <w:bCs w:val="0"/>
          <w:w w:val="100"/>
          <w:sz w:val="84"/>
          <w:szCs w:val="84"/>
        </w:rPr>
        <w:t>标准</w:t>
      </w:r>
    </w:p>
    <w:bookmarkEnd w:id="0"/>
    <w:p w14:paraId="04D8742E">
      <w:pPr>
        <w:pStyle w:val="201"/>
        <w:framePr w:wrap="around"/>
      </w:pPr>
      <w:r>
        <w:t>T/CAAMTB XX</w:t>
      </w:r>
      <w:r>
        <w:rPr>
          <w:rFonts w:hAnsi="黑体"/>
        </w:rPr>
        <w:t>—XXXX</w:t>
      </w:r>
    </w:p>
    <w:p w14:paraId="7EEDC433">
      <w:pPr>
        <w:pStyle w:val="202"/>
        <w:framePr w:wrap="around"/>
        <w:rPr>
          <w:rFonts w:hint="eastAsia" w:hAnsi="黑体"/>
        </w:rPr>
      </w:pPr>
      <w:r>
        <w:rPr>
          <w:rFonts w:hAnsi="黑体"/>
        </w:rPr>
        <w:t xml:space="preserve"> </w:t>
      </w:r>
    </w:p>
    <w:p w14:paraId="028CE147">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71AB00EF">
      <w:pPr>
        <w:pStyle w:val="56"/>
        <w:framePr w:w="9639" w:h="6976" w:hRule="exact" w:hSpace="0" w:vSpace="0" w:wrap="around" w:hAnchor="page" w:y="6408"/>
        <w:jc w:val="center"/>
        <w:rPr>
          <w:rFonts w:hint="eastAsia" w:ascii="黑体" w:hAnsi="黑体" w:eastAsia="黑体"/>
          <w:b w:val="0"/>
          <w:bCs w:val="0"/>
          <w:w w:val="100"/>
        </w:rPr>
      </w:pPr>
    </w:p>
    <w:p w14:paraId="484FCE1B">
      <w:pPr>
        <w:pStyle w:val="203"/>
        <w:framePr w:h="6974" w:hRule="exact" w:wrap="around" w:x="1419" w:anchorLock="1"/>
        <w:rPr>
          <w:rFonts w:hint="eastAsia"/>
        </w:rPr>
      </w:pPr>
      <w:r>
        <w:rPr>
          <w:rFonts w:hint="eastAsia"/>
        </w:rPr>
        <w:t>安全车控操作系统配置指南</w:t>
      </w:r>
    </w:p>
    <w:p w14:paraId="38A2C756">
      <w:pPr>
        <w:framePr w:w="9639" w:h="6974" w:hRule="exact" w:wrap="around" w:vAnchor="page" w:hAnchor="page" w:x="1419" w:y="6408" w:anchorLock="1"/>
        <w:ind w:left="-1418"/>
      </w:pPr>
    </w:p>
    <w:p w14:paraId="57C60CCD">
      <w:pPr>
        <w:pStyle w:val="131"/>
        <w:framePr w:w="9639" w:h="6974" w:hRule="exact" w:wrap="around" w:vAnchor="page" w:hAnchor="page" w:x="1419" w:y="6408" w:anchorLock="1"/>
        <w:textAlignment w:val="bottom"/>
        <w:rPr>
          <w:rFonts w:eastAsia="黑体"/>
          <w:szCs w:val="28"/>
        </w:rPr>
      </w:pPr>
    </w:p>
    <w:p w14:paraId="63E5F727">
      <w:pPr>
        <w:pStyle w:val="131"/>
        <w:framePr w:w="9639" w:h="6974" w:hRule="exact" w:wrap="around" w:vAnchor="page" w:hAnchor="page" w:x="1419" w:y="6408" w:anchorLock="1"/>
        <w:textAlignment w:val="bottom"/>
        <w:rPr>
          <w:rFonts w:eastAsia="黑体"/>
          <w:szCs w:val="28"/>
        </w:rPr>
      </w:pPr>
      <w:r>
        <w:rPr>
          <w:rFonts w:hint="eastAsia" w:eastAsia="黑体"/>
          <w:szCs w:val="28"/>
        </w:rPr>
        <w:t xml:space="preserve">Configuration </w:t>
      </w:r>
      <w:r>
        <w:rPr>
          <w:rFonts w:eastAsia="黑体"/>
          <w:szCs w:val="28"/>
        </w:rPr>
        <w:t xml:space="preserve">Guideline </w:t>
      </w:r>
      <w:r>
        <w:rPr>
          <w:rFonts w:hint="eastAsia" w:eastAsia="黑体"/>
          <w:szCs w:val="28"/>
        </w:rPr>
        <w:t xml:space="preserve">of </w:t>
      </w:r>
      <w:r>
        <w:rPr>
          <w:rFonts w:eastAsia="黑体"/>
          <w:szCs w:val="28"/>
        </w:rPr>
        <w:t>Safety Vehicle</w:t>
      </w:r>
      <w:r>
        <w:rPr>
          <w:rFonts w:hint="eastAsia" w:eastAsia="黑体"/>
          <w:szCs w:val="28"/>
        </w:rPr>
        <w:t>-</w:t>
      </w:r>
      <w:r>
        <w:rPr>
          <w:rFonts w:eastAsia="黑体"/>
          <w:szCs w:val="28"/>
        </w:rPr>
        <w:t>Control Operating Systems</w:t>
      </w:r>
    </w:p>
    <w:p w14:paraId="0847757A">
      <w:pPr>
        <w:framePr w:w="9639" w:h="6974" w:hRule="exact" w:wrap="around" w:vAnchor="page" w:hAnchor="page" w:x="1419" w:y="6408" w:anchorLock="1"/>
        <w:spacing w:line="760" w:lineRule="exact"/>
        <w:ind w:left="-1418"/>
      </w:pPr>
    </w:p>
    <w:p w14:paraId="387288C9">
      <w:pPr>
        <w:pStyle w:val="131"/>
        <w:framePr w:w="9639" w:h="6974" w:hRule="exact" w:wrap="around" w:vAnchor="page" w:hAnchor="page" w:x="1419" w:y="6408" w:anchorLock="1"/>
        <w:textAlignment w:val="bottom"/>
        <w:rPr>
          <w:rFonts w:eastAsia="黑体"/>
          <w:szCs w:val="28"/>
        </w:rPr>
      </w:pPr>
    </w:p>
    <w:p w14:paraId="1CF65B17">
      <w:pPr>
        <w:pStyle w:val="131"/>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listEntry w:val=" "/>
              <w:listEntry w:val="草案版次选择"/>
              <w:listEntry w:val="（工作组讨论稿）"/>
              <w:listEntry w:val="（征求意见稿）"/>
              <w:listEntry w:val="（送审讨论稿）"/>
              <w:listEntry w:val="（送审稿）"/>
              <w:listEntry w:val="（报批稿）"/>
            </w:ddList>
          </w:ffData>
        </w:fldChar>
      </w:r>
      <w:bookmarkStart w:id="1" w:name="下拉1"/>
      <w:r>
        <w:rPr>
          <w:sz w:val="24"/>
          <w:szCs w:val="28"/>
        </w:rPr>
        <w:instrText xml:space="preserve"> FORMDROPDOWN </w:instrText>
      </w:r>
      <w:r>
        <w:rPr>
          <w:sz w:val="24"/>
          <w:szCs w:val="28"/>
        </w:rPr>
        <w:fldChar w:fldCharType="separate"/>
      </w:r>
      <w:r>
        <w:rPr>
          <w:sz w:val="24"/>
          <w:szCs w:val="28"/>
        </w:rPr>
        <w:fldChar w:fldCharType="end"/>
      </w:r>
      <w:bookmarkEnd w:id="1"/>
    </w:p>
    <w:p w14:paraId="3211538E">
      <w:pPr>
        <w:pStyle w:val="131"/>
        <w:framePr w:w="9639" w:h="6974" w:hRule="exact" w:wrap="around" w:vAnchor="page" w:hAnchor="page" w:x="1419" w:y="6408" w:anchorLock="1"/>
        <w:spacing w:before="180" w:line="240" w:lineRule="atLeast"/>
        <w:textAlignment w:val="bottom"/>
        <w:rPr>
          <w:rFonts w:hint="eastAsia" w:eastAsia="宋体"/>
          <w:sz w:val="21"/>
          <w:szCs w:val="28"/>
          <w:lang w:eastAsia="zh-CN"/>
        </w:rPr>
      </w:pPr>
      <w:r>
        <w:rPr>
          <w:rFonts w:hint="eastAsia"/>
          <w:sz w:val="21"/>
          <w:szCs w:val="28"/>
          <w:lang w:eastAsia="zh-CN"/>
        </w:rPr>
        <w:t>（征求意见稿）</w:t>
      </w:r>
    </w:p>
    <w:p w14:paraId="5DBF2C07">
      <w:pPr>
        <w:pStyle w:val="131"/>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2" w:name="下拉2"/>
      <w:r>
        <w:rPr>
          <w:b/>
          <w:sz w:val="21"/>
          <w:szCs w:val="28"/>
        </w:rPr>
        <w:instrText xml:space="preserve"> FORMDROPDOWN </w:instrText>
      </w:r>
      <w:r>
        <w:rPr>
          <w:b/>
          <w:sz w:val="21"/>
          <w:szCs w:val="28"/>
        </w:rPr>
        <w:fldChar w:fldCharType="separate"/>
      </w:r>
      <w:r>
        <w:rPr>
          <w:b/>
          <w:sz w:val="21"/>
          <w:szCs w:val="28"/>
        </w:rPr>
        <w:fldChar w:fldCharType="end"/>
      </w:r>
      <w:bookmarkEnd w:id="2"/>
      <w:bookmarkStart w:id="102" w:name="_GoBack"/>
      <w:bookmarkEnd w:id="102"/>
    </w:p>
    <w:p w14:paraId="0A08E04A">
      <w:pPr>
        <w:pStyle w:val="199"/>
        <w:framePr w:wrap="around" w:y="14176"/>
      </w:pPr>
      <w:r>
        <w:rPr>
          <w:rFonts w:ascii="黑体"/>
        </w:rPr>
        <w:t>202</w:t>
      </w:r>
      <w:r>
        <w:rPr>
          <w:rFonts w:hint="eastAsia" w:ascii="黑体"/>
        </w:rPr>
        <w:t>6</w:t>
      </w:r>
      <w:r>
        <w:t xml:space="preserve"> </w:t>
      </w:r>
      <w:r>
        <w:rPr>
          <w:rFonts w:ascii="黑体"/>
        </w:rPr>
        <w:t>-</w:t>
      </w:r>
      <w:r>
        <w:t xml:space="preserve"> </w:t>
      </w:r>
      <w:r>
        <w:rPr>
          <w:rFonts w:hint="eastAsia" w:ascii="黑体"/>
        </w:rPr>
        <w:t>xx</w:t>
      </w:r>
      <w:r>
        <w:t xml:space="preserve"> </w:t>
      </w:r>
      <w:r>
        <w:rPr>
          <w:rFonts w:ascii="黑体"/>
        </w:rPr>
        <w:t xml:space="preserve">- </w:t>
      </w:r>
      <w:r>
        <w:rPr>
          <w:rFonts w:hint="eastAsia" w:ascii="黑体"/>
        </w:rPr>
        <w:t>xx</w:t>
      </w:r>
      <w:r>
        <w:rPr>
          <w:rFonts w:hint="eastAsia"/>
        </w:rPr>
        <w:t>发布</w:t>
      </w:r>
    </w:p>
    <w:p w14:paraId="11911EE6">
      <w:pPr>
        <w:pStyle w:val="200"/>
        <w:framePr w:wrap="around" w:y="14176"/>
      </w:pPr>
      <w:r>
        <w:rPr>
          <w:rFonts w:ascii="黑体"/>
        </w:rPr>
        <w:t>202</w:t>
      </w:r>
      <w:r>
        <w:rPr>
          <w:rFonts w:hint="eastAsia" w:ascii="黑体"/>
        </w:rPr>
        <w:t>6</w:t>
      </w:r>
      <w:r>
        <w:rPr>
          <w:rFonts w:ascii="黑体"/>
        </w:rPr>
        <w:t xml:space="preserve"> -</w:t>
      </w:r>
      <w:r>
        <w:t xml:space="preserve"> </w:t>
      </w:r>
      <w:r>
        <w:rPr>
          <w:rFonts w:hint="eastAsia" w:ascii="黑体"/>
        </w:rPr>
        <w:t>xx</w:t>
      </w:r>
      <w:r>
        <w:t xml:space="preserve"> </w:t>
      </w:r>
      <w:r>
        <w:rPr>
          <w:rFonts w:ascii="黑体"/>
        </w:rPr>
        <w:t>-</w:t>
      </w:r>
      <w:r>
        <w:t xml:space="preserve"> </w:t>
      </w:r>
      <w:r>
        <w:rPr>
          <w:rFonts w:hint="eastAsia" w:ascii="黑体"/>
        </w:rPr>
        <w:t>xx</w:t>
      </w:r>
      <w:r>
        <w:rPr>
          <w:rFonts w:hint="eastAsia"/>
        </w:rPr>
        <w:t>实施</w:t>
      </w:r>
    </w:p>
    <w:p w14:paraId="075B10E2">
      <w:pPr>
        <w:pStyle w:val="157"/>
        <w:framePr w:h="584" w:hRule="exact" w:hSpace="181" w:vSpace="181" w:wrap="around" w:y="14800"/>
        <w:rPr>
          <w:rFonts w:hint="eastAsia" w:hAnsi="黑体"/>
        </w:rPr>
      </w:pPr>
      <w:r>
        <w:rPr>
          <w:rFonts w:hAnsi="黑体"/>
          <w:w w:val="100"/>
          <w:sz w:val="28"/>
        </w:rPr>
        <w:fldChar w:fldCharType="begin">
          <w:ffData>
            <w:name w:val="fm"/>
            <w:enabled/>
            <w:calcOnExit w:val="0"/>
            <w:textInput>
              <w:default w:val="中国汽车工业协会"/>
            </w:textInput>
          </w:ffData>
        </w:fldChar>
      </w:r>
      <w:bookmarkStart w:id="3" w:name="fm"/>
      <w:r>
        <w:rPr>
          <w:rFonts w:hAnsi="黑体"/>
          <w:w w:val="100"/>
          <w:sz w:val="28"/>
        </w:rPr>
        <w:instrText xml:space="preserve"> FORMTEXT </w:instrText>
      </w:r>
      <w:r>
        <w:rPr>
          <w:rFonts w:hAnsi="黑体"/>
          <w:w w:val="100"/>
          <w:sz w:val="28"/>
        </w:rPr>
        <w:fldChar w:fldCharType="separate"/>
      </w:r>
      <w:r>
        <w:rPr>
          <w:rFonts w:hAnsi="黑体"/>
          <w:w w:val="100"/>
          <w:sz w:val="28"/>
        </w:rPr>
        <w:t>中国汽车工业协会</w:t>
      </w:r>
      <w:r>
        <w:rPr>
          <w:rFonts w:hAnsi="黑体"/>
          <w:w w:val="100"/>
          <w:sz w:val="28"/>
        </w:rPr>
        <w:fldChar w:fldCharType="end"/>
      </w:r>
      <w:bookmarkEnd w:id="3"/>
      <w:r>
        <w:rPr>
          <w:rFonts w:ascii="Times New Roman"/>
          <w:w w:val="100"/>
          <w:sz w:val="28"/>
        </w:rPr>
        <w:t>  </w:t>
      </w:r>
      <w:r>
        <w:rPr>
          <w:rStyle w:val="235"/>
          <w:rFonts w:hint="eastAsia" w:hAnsi="黑体"/>
          <w:position w:val="0"/>
        </w:rPr>
        <w:t>发</w:t>
      </w:r>
      <w:r>
        <w:rPr>
          <w:rStyle w:val="235"/>
          <w:rFonts w:hint="eastAsia" w:hAnsi="黑体"/>
          <w:spacing w:val="0"/>
          <w:position w:val="0"/>
        </w:rPr>
        <w:t>布</w:t>
      </w:r>
    </w:p>
    <w:p w14:paraId="4BA371D6">
      <w:pPr>
        <w:rPr>
          <w:rFonts w:hint="eastAsia" w:ascii="宋体" w:hAnsi="宋体"/>
          <w:sz w:val="28"/>
          <w:szCs w:val="28"/>
        </w:r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5853005F">
      <w:pPr>
        <w:rPr>
          <w:rFonts w:hint="eastAsia" w:ascii="宋体" w:hAnsi="宋体"/>
          <w:sz w:val="28"/>
          <w:szCs w:val="28"/>
        </w:rPr>
      </w:pPr>
    </w:p>
    <w:p w14:paraId="0342305B">
      <w:pPr>
        <w:rPr>
          <w:rFonts w:hint="eastAsia" w:ascii="宋体" w:hAnsi="宋体"/>
          <w:sz w:val="28"/>
          <w:szCs w:val="28"/>
        </w:rPr>
      </w:pPr>
    </w:p>
    <w:p w14:paraId="1D45BF7E">
      <w:pPr>
        <w:rPr>
          <w:rFonts w:hint="eastAsia" w:ascii="宋体" w:hAnsi="宋体"/>
          <w:sz w:val="28"/>
          <w:szCs w:val="28"/>
        </w:rPr>
      </w:pPr>
    </w:p>
    <w:p w14:paraId="17D0139A">
      <w:pPr>
        <w:rPr>
          <w:rFonts w:hint="eastAsia" w:ascii="宋体" w:hAnsi="宋体"/>
          <w:sz w:val="28"/>
          <w:szCs w:val="28"/>
        </w:rPr>
        <w:sectPr>
          <w:headerReference r:id="rId6" w:type="first"/>
          <w:footerReference r:id="rId8" w:type="first"/>
          <w:headerReference r:id="rId5" w:type="default"/>
          <w:footerReference r:id="rId7" w:type="even"/>
          <w:type w:val="continuous"/>
          <w:pgSz w:w="11906" w:h="16838"/>
          <w:pgMar w:top="567" w:right="1134" w:bottom="1134" w:left="1134" w:header="1418" w:footer="1134" w:gutter="284"/>
          <w:cols w:space="425" w:num="1"/>
          <w:titlePg/>
          <w:docGrid w:linePitch="312" w:charSpace="0"/>
        </w:sectPr>
      </w:pPr>
    </w:p>
    <w:p w14:paraId="248CC8B9">
      <w:pPr>
        <w:rPr>
          <w:rFonts w:hint="eastAsia" w:ascii="宋体" w:hAnsi="宋体"/>
          <w:sz w:val="28"/>
          <w:szCs w:val="28"/>
        </w:rPr>
      </w:pPr>
    </w:p>
    <w:p w14:paraId="47FD2983">
      <w:pPr>
        <w:rPr>
          <w:rFonts w:hint="eastAsia" w:ascii="宋体" w:hAnsi="宋体"/>
          <w:sz w:val="28"/>
          <w:szCs w:val="28"/>
        </w:rPr>
      </w:pPr>
    </w:p>
    <w:p w14:paraId="562E6B4B">
      <w:pPr>
        <w:rPr>
          <w:rFonts w:hint="eastAsia" w:ascii="宋体" w:hAnsi="宋体"/>
          <w:sz w:val="28"/>
          <w:szCs w:val="28"/>
        </w:rPr>
        <w:sectPr>
          <w:pgSz w:w="11906" w:h="16838"/>
          <w:pgMar w:top="567" w:right="1134" w:bottom="1134" w:left="1134" w:header="1418" w:footer="1134" w:gutter="284"/>
          <w:cols w:space="425" w:num="1"/>
          <w:titlePg/>
          <w:docGrid w:linePitch="312" w:charSpace="0"/>
        </w:sectPr>
      </w:pPr>
    </w:p>
    <w:p w14:paraId="4DD6FAE1">
      <w:pPr>
        <w:pStyle w:val="97"/>
        <w:spacing w:after="360"/>
      </w:pPr>
      <w:bookmarkStart w:id="4" w:name="BookMark1"/>
      <w:bookmarkStart w:id="5" w:name="_Toc108256640"/>
      <w:bookmarkStart w:id="6" w:name="_Toc108009579"/>
      <w:r>
        <w:rPr>
          <w:rFonts w:hint="eastAsia"/>
          <w:spacing w:val="320"/>
        </w:rPr>
        <w:t>目</w:t>
      </w:r>
      <w:r>
        <w:rPr>
          <w:rFonts w:hint="eastAsia"/>
        </w:rPr>
        <w:t>次</w:t>
      </w:r>
    </w:p>
    <w:sdt>
      <w:sdtPr>
        <w:rPr>
          <w:rFonts w:ascii="宋体" w:hAnsi="宋体" w:eastAsia="黑体"/>
          <w:sz w:val="32"/>
        </w:rPr>
        <w:id w:val="147481082"/>
        <w15:color w:val="DBDBDB"/>
        <w:docPartObj>
          <w:docPartGallery w:val="Table of Contents"/>
          <w:docPartUnique/>
        </w:docPartObj>
      </w:sdtPr>
      <w:sdtEndPr>
        <w:rPr>
          <w:rFonts w:ascii="黑体" w:hAnsi="Calibri" w:eastAsia="黑体"/>
          <w:sz w:val="32"/>
        </w:rPr>
      </w:sdtEndPr>
      <w:sdtContent>
        <w:p w14:paraId="4B637363">
          <w:pPr>
            <w:spacing w:line="240" w:lineRule="auto"/>
            <w:jc w:val="center"/>
          </w:pPr>
        </w:p>
        <w:p w14:paraId="414E7B26">
          <w:pPr>
            <w:pStyle w:val="20"/>
            <w:tabs>
              <w:tab w:val="right" w:leader="dot" w:pos="9354"/>
            </w:tabs>
          </w:pPr>
          <w:r>
            <w:fldChar w:fldCharType="begin"/>
          </w:r>
          <w:r>
            <w:instrText xml:space="preserve">TOC \o "1-3" \h \u </w:instrText>
          </w:r>
          <w:r>
            <w:fldChar w:fldCharType="separate"/>
          </w:r>
          <w:r>
            <w:fldChar w:fldCharType="begin"/>
          </w:r>
          <w:r>
            <w:instrText xml:space="preserve"> HYPERLINK \l "_Toc2923" </w:instrText>
          </w:r>
          <w:r>
            <w:fldChar w:fldCharType="separate"/>
          </w:r>
          <w:r>
            <w:rPr>
              <w:spacing w:val="320"/>
            </w:rPr>
            <w:t>前</w:t>
          </w:r>
          <w:r>
            <w:t>言</w:t>
          </w:r>
          <w:r>
            <w:tab/>
          </w:r>
          <w:r>
            <w:fldChar w:fldCharType="begin"/>
          </w:r>
          <w:r>
            <w:instrText xml:space="preserve"> PAGEREF _Toc2923 \h </w:instrText>
          </w:r>
          <w:r>
            <w:fldChar w:fldCharType="separate"/>
          </w:r>
          <w:r>
            <w:t>II</w:t>
          </w:r>
          <w:r>
            <w:fldChar w:fldCharType="end"/>
          </w:r>
          <w:r>
            <w:fldChar w:fldCharType="end"/>
          </w:r>
        </w:p>
        <w:p w14:paraId="7AD74701">
          <w:pPr>
            <w:pStyle w:val="20"/>
            <w:tabs>
              <w:tab w:val="right" w:leader="dot" w:pos="9354"/>
            </w:tabs>
          </w:pPr>
          <w:r>
            <w:fldChar w:fldCharType="begin"/>
          </w:r>
          <w:r>
            <w:instrText xml:space="preserve"> HYPERLINK \l "_Toc9246" </w:instrText>
          </w:r>
          <w:r>
            <w:fldChar w:fldCharType="separate"/>
          </w:r>
          <w:r>
            <w:rPr>
              <w:rFonts w:hint="eastAsia" w:ascii="黑体" w:eastAsia="黑体"/>
            </w:rPr>
            <w:t xml:space="preserve">1 </w:t>
          </w:r>
          <w:r>
            <w:rPr>
              <w:rFonts w:hint="eastAsia"/>
            </w:rPr>
            <w:t>范围</w:t>
          </w:r>
          <w:r>
            <w:tab/>
          </w:r>
          <w:r>
            <w:fldChar w:fldCharType="begin"/>
          </w:r>
          <w:r>
            <w:instrText xml:space="preserve"> PAGEREF _Toc9246 \h </w:instrText>
          </w:r>
          <w:r>
            <w:fldChar w:fldCharType="separate"/>
          </w:r>
          <w:r>
            <w:t>1</w:t>
          </w:r>
          <w:r>
            <w:fldChar w:fldCharType="end"/>
          </w:r>
          <w:r>
            <w:fldChar w:fldCharType="end"/>
          </w:r>
        </w:p>
        <w:p w14:paraId="2FCBE847">
          <w:pPr>
            <w:pStyle w:val="20"/>
            <w:tabs>
              <w:tab w:val="right" w:leader="dot" w:pos="9354"/>
            </w:tabs>
          </w:pPr>
          <w:r>
            <w:fldChar w:fldCharType="begin"/>
          </w:r>
          <w:r>
            <w:instrText xml:space="preserve"> HYPERLINK \l "_Toc8974" </w:instrText>
          </w:r>
          <w:r>
            <w:fldChar w:fldCharType="separate"/>
          </w:r>
          <w:r>
            <w:rPr>
              <w:rFonts w:hint="eastAsia" w:ascii="黑体" w:eastAsia="黑体"/>
            </w:rPr>
            <w:t xml:space="preserve">2 </w:t>
          </w:r>
          <w:r>
            <w:rPr>
              <w:rFonts w:hint="eastAsia"/>
            </w:rPr>
            <w:t>规范性引用文件</w:t>
          </w:r>
          <w:r>
            <w:tab/>
          </w:r>
          <w:r>
            <w:fldChar w:fldCharType="begin"/>
          </w:r>
          <w:r>
            <w:instrText xml:space="preserve"> PAGEREF _Toc8974 \h </w:instrText>
          </w:r>
          <w:r>
            <w:fldChar w:fldCharType="separate"/>
          </w:r>
          <w:r>
            <w:t>1</w:t>
          </w:r>
          <w:r>
            <w:fldChar w:fldCharType="end"/>
          </w:r>
          <w:r>
            <w:fldChar w:fldCharType="end"/>
          </w:r>
        </w:p>
        <w:p w14:paraId="3C9AA976">
          <w:pPr>
            <w:pStyle w:val="20"/>
            <w:tabs>
              <w:tab w:val="right" w:leader="dot" w:pos="9354"/>
            </w:tabs>
          </w:pPr>
          <w:r>
            <w:fldChar w:fldCharType="begin"/>
          </w:r>
          <w:r>
            <w:instrText xml:space="preserve"> HYPERLINK \l "_Toc10067" </w:instrText>
          </w:r>
          <w:r>
            <w:fldChar w:fldCharType="separate"/>
          </w:r>
          <w:r>
            <w:rPr>
              <w:rFonts w:hint="eastAsia" w:ascii="黑体" w:eastAsia="黑体"/>
            </w:rPr>
            <w:t xml:space="preserve">3 </w:t>
          </w:r>
          <w:r>
            <w:rPr>
              <w:rFonts w:hint="eastAsia"/>
            </w:rPr>
            <w:t>术语和定义</w:t>
          </w:r>
          <w:r>
            <w:tab/>
          </w:r>
          <w:r>
            <w:fldChar w:fldCharType="begin"/>
          </w:r>
          <w:r>
            <w:instrText xml:space="preserve"> PAGEREF _Toc10067 \h </w:instrText>
          </w:r>
          <w:r>
            <w:fldChar w:fldCharType="separate"/>
          </w:r>
          <w:r>
            <w:t>1</w:t>
          </w:r>
          <w:r>
            <w:fldChar w:fldCharType="end"/>
          </w:r>
          <w:r>
            <w:fldChar w:fldCharType="end"/>
          </w:r>
        </w:p>
        <w:p w14:paraId="1463DA27">
          <w:pPr>
            <w:pStyle w:val="20"/>
            <w:tabs>
              <w:tab w:val="right" w:leader="dot" w:pos="9354"/>
            </w:tabs>
          </w:pPr>
          <w:r>
            <w:fldChar w:fldCharType="begin"/>
          </w:r>
          <w:r>
            <w:instrText xml:space="preserve"> HYPERLINK \l "_Toc17079" </w:instrText>
          </w:r>
          <w:r>
            <w:fldChar w:fldCharType="separate"/>
          </w:r>
          <w:r>
            <w:rPr>
              <w:rFonts w:hint="eastAsia" w:ascii="黑体" w:eastAsia="黑体"/>
            </w:rPr>
            <w:t xml:space="preserve">4 </w:t>
          </w:r>
          <w:r>
            <w:rPr>
              <w:rFonts w:hint="eastAsia"/>
            </w:rPr>
            <w:t>缩略语</w:t>
          </w:r>
          <w:r>
            <w:tab/>
          </w:r>
          <w:r>
            <w:fldChar w:fldCharType="begin"/>
          </w:r>
          <w:r>
            <w:instrText xml:space="preserve"> PAGEREF _Toc17079 \h </w:instrText>
          </w:r>
          <w:r>
            <w:fldChar w:fldCharType="separate"/>
          </w:r>
          <w:r>
            <w:t>2</w:t>
          </w:r>
          <w:r>
            <w:fldChar w:fldCharType="end"/>
          </w:r>
          <w:r>
            <w:fldChar w:fldCharType="end"/>
          </w:r>
        </w:p>
        <w:p w14:paraId="55B4CC2E">
          <w:pPr>
            <w:pStyle w:val="20"/>
            <w:tabs>
              <w:tab w:val="right" w:leader="dot" w:pos="9354"/>
            </w:tabs>
          </w:pPr>
          <w:r>
            <w:fldChar w:fldCharType="begin"/>
          </w:r>
          <w:r>
            <w:instrText xml:space="preserve"> HYPERLINK \l "_Toc13728" </w:instrText>
          </w:r>
          <w:r>
            <w:fldChar w:fldCharType="separate"/>
          </w:r>
          <w:r>
            <w:rPr>
              <w:rFonts w:hint="eastAsia" w:ascii="黑体" w:eastAsia="黑体"/>
            </w:rPr>
            <w:t xml:space="preserve">5 </w:t>
          </w:r>
          <w:r>
            <w:rPr>
              <w:rFonts w:hint="eastAsia"/>
            </w:rPr>
            <w:t>配置流程</w:t>
          </w:r>
          <w:r>
            <w:tab/>
          </w:r>
          <w:r>
            <w:fldChar w:fldCharType="begin"/>
          </w:r>
          <w:r>
            <w:instrText xml:space="preserve"> PAGEREF _Toc13728 \h </w:instrText>
          </w:r>
          <w:r>
            <w:fldChar w:fldCharType="separate"/>
          </w:r>
          <w:r>
            <w:t>2</w:t>
          </w:r>
          <w:r>
            <w:fldChar w:fldCharType="end"/>
          </w:r>
          <w:r>
            <w:fldChar w:fldCharType="end"/>
          </w:r>
        </w:p>
        <w:p w14:paraId="1409DB87">
          <w:pPr>
            <w:pStyle w:val="25"/>
            <w:tabs>
              <w:tab w:val="right" w:leader="dot" w:pos="9354"/>
              <w:tab w:val="clear" w:pos="9344"/>
            </w:tabs>
          </w:pPr>
          <w:r>
            <w:fldChar w:fldCharType="begin"/>
          </w:r>
          <w:r>
            <w:instrText xml:space="preserve"> HYPERLINK \l "_Toc5270"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5.1 </w:t>
          </w:r>
          <w:r>
            <w:rPr>
              <w:rFonts w:hint="eastAsia"/>
            </w:rPr>
            <w:t>配置准备</w:t>
          </w:r>
          <w:r>
            <w:tab/>
          </w:r>
          <w:r>
            <w:fldChar w:fldCharType="begin"/>
          </w:r>
          <w:r>
            <w:instrText xml:space="preserve"> PAGEREF _Toc5270 \h </w:instrText>
          </w:r>
          <w:r>
            <w:fldChar w:fldCharType="separate"/>
          </w:r>
          <w:r>
            <w:t>2</w:t>
          </w:r>
          <w:r>
            <w:fldChar w:fldCharType="end"/>
          </w:r>
          <w:r>
            <w:fldChar w:fldCharType="end"/>
          </w:r>
        </w:p>
        <w:p w14:paraId="59378336">
          <w:pPr>
            <w:pStyle w:val="25"/>
            <w:tabs>
              <w:tab w:val="right" w:leader="dot" w:pos="9354"/>
              <w:tab w:val="clear" w:pos="9344"/>
            </w:tabs>
          </w:pPr>
          <w:r>
            <w:fldChar w:fldCharType="begin"/>
          </w:r>
          <w:r>
            <w:instrText xml:space="preserve"> HYPERLINK \l "_Toc31699"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5.2 </w:t>
          </w:r>
          <w:r>
            <w:rPr>
              <w:rFonts w:hint="eastAsia"/>
            </w:rPr>
            <w:t>配置实施</w:t>
          </w:r>
          <w:r>
            <w:tab/>
          </w:r>
          <w:r>
            <w:fldChar w:fldCharType="begin"/>
          </w:r>
          <w:r>
            <w:instrText xml:space="preserve"> PAGEREF _Toc31699 \h </w:instrText>
          </w:r>
          <w:r>
            <w:fldChar w:fldCharType="separate"/>
          </w:r>
          <w:r>
            <w:t>2</w:t>
          </w:r>
          <w:r>
            <w:fldChar w:fldCharType="end"/>
          </w:r>
          <w:r>
            <w:fldChar w:fldCharType="end"/>
          </w:r>
        </w:p>
        <w:p w14:paraId="41B19F29">
          <w:pPr>
            <w:pStyle w:val="25"/>
            <w:tabs>
              <w:tab w:val="right" w:leader="dot" w:pos="9354"/>
              <w:tab w:val="clear" w:pos="9344"/>
            </w:tabs>
          </w:pPr>
          <w:r>
            <w:fldChar w:fldCharType="begin"/>
          </w:r>
          <w:r>
            <w:instrText xml:space="preserve"> HYPERLINK \l "_Toc30773"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5.3 </w:t>
          </w:r>
          <w:r>
            <w:rPr>
              <w:rFonts w:hint="eastAsia"/>
            </w:rPr>
            <w:t>代码生成与集成</w:t>
          </w:r>
          <w:r>
            <w:tab/>
          </w:r>
          <w:r>
            <w:fldChar w:fldCharType="begin"/>
          </w:r>
          <w:r>
            <w:instrText xml:space="preserve"> PAGEREF _Toc30773 \h </w:instrText>
          </w:r>
          <w:r>
            <w:fldChar w:fldCharType="separate"/>
          </w:r>
          <w:r>
            <w:t>3</w:t>
          </w:r>
          <w:r>
            <w:fldChar w:fldCharType="end"/>
          </w:r>
          <w:r>
            <w:fldChar w:fldCharType="end"/>
          </w:r>
        </w:p>
        <w:p w14:paraId="5633BAFD">
          <w:pPr>
            <w:pStyle w:val="25"/>
            <w:tabs>
              <w:tab w:val="right" w:leader="dot" w:pos="9354"/>
              <w:tab w:val="clear" w:pos="9344"/>
            </w:tabs>
          </w:pPr>
          <w:r>
            <w:fldChar w:fldCharType="begin"/>
          </w:r>
          <w:r>
            <w:instrText xml:space="preserve"> HYPERLINK \l "_Toc29041"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5.4 </w:t>
          </w:r>
          <w:r>
            <w:rPr>
              <w:rFonts w:hint="eastAsia"/>
            </w:rPr>
            <w:t>配置管理</w:t>
          </w:r>
          <w:r>
            <w:tab/>
          </w:r>
          <w:r>
            <w:fldChar w:fldCharType="begin"/>
          </w:r>
          <w:r>
            <w:instrText xml:space="preserve"> PAGEREF _Toc29041 \h </w:instrText>
          </w:r>
          <w:r>
            <w:fldChar w:fldCharType="separate"/>
          </w:r>
          <w:r>
            <w:t>3</w:t>
          </w:r>
          <w:r>
            <w:fldChar w:fldCharType="end"/>
          </w:r>
          <w:r>
            <w:fldChar w:fldCharType="end"/>
          </w:r>
        </w:p>
        <w:p w14:paraId="1999669C">
          <w:pPr>
            <w:pStyle w:val="20"/>
            <w:tabs>
              <w:tab w:val="right" w:leader="dot" w:pos="9354"/>
            </w:tabs>
          </w:pPr>
          <w:r>
            <w:fldChar w:fldCharType="begin"/>
          </w:r>
          <w:r>
            <w:instrText xml:space="preserve"> HYPERLINK \l "_Toc27777" </w:instrText>
          </w:r>
          <w:r>
            <w:fldChar w:fldCharType="separate"/>
          </w:r>
          <w:r>
            <w:rPr>
              <w:rFonts w:hint="eastAsia" w:ascii="黑体" w:eastAsia="黑体"/>
            </w:rPr>
            <w:t xml:space="preserve">6 </w:t>
          </w:r>
          <w:r>
            <w:rPr>
              <w:rFonts w:hint="eastAsia"/>
            </w:rPr>
            <w:t>模块分层及协同配置</w:t>
          </w:r>
          <w:r>
            <w:tab/>
          </w:r>
          <w:r>
            <w:fldChar w:fldCharType="begin"/>
          </w:r>
          <w:r>
            <w:instrText xml:space="preserve"> PAGEREF _Toc27777 \h </w:instrText>
          </w:r>
          <w:r>
            <w:fldChar w:fldCharType="separate"/>
          </w:r>
          <w:r>
            <w:t>3</w:t>
          </w:r>
          <w:r>
            <w:fldChar w:fldCharType="end"/>
          </w:r>
          <w:r>
            <w:fldChar w:fldCharType="end"/>
          </w:r>
        </w:p>
        <w:p w14:paraId="2D023B53">
          <w:pPr>
            <w:pStyle w:val="25"/>
            <w:tabs>
              <w:tab w:val="right" w:leader="dot" w:pos="9354"/>
              <w:tab w:val="clear" w:pos="9344"/>
            </w:tabs>
          </w:pPr>
          <w:r>
            <w:fldChar w:fldCharType="begin"/>
          </w:r>
          <w:r>
            <w:instrText xml:space="preserve"> HYPERLINK \l "_Toc28980"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6.1 </w:t>
          </w:r>
          <w:r>
            <w:rPr>
              <w:rFonts w:hint="eastAsia" w:hAnsi="宋体"/>
            </w:rPr>
            <w:t>硬件驱动配置</w:t>
          </w:r>
          <w:r>
            <w:tab/>
          </w:r>
          <w:r>
            <w:fldChar w:fldCharType="begin"/>
          </w:r>
          <w:r>
            <w:instrText xml:space="preserve"> PAGEREF _Toc28980 \h </w:instrText>
          </w:r>
          <w:r>
            <w:fldChar w:fldCharType="separate"/>
          </w:r>
          <w:r>
            <w:t>3</w:t>
          </w:r>
          <w:r>
            <w:fldChar w:fldCharType="end"/>
          </w:r>
          <w:r>
            <w:fldChar w:fldCharType="end"/>
          </w:r>
        </w:p>
        <w:p w14:paraId="49AAB206">
          <w:pPr>
            <w:pStyle w:val="16"/>
            <w:tabs>
              <w:tab w:val="right" w:leader="dot" w:pos="9354"/>
            </w:tabs>
          </w:pPr>
          <w:r>
            <w:fldChar w:fldCharType="begin"/>
          </w:r>
          <w:r>
            <w:instrText xml:space="preserve"> HYPERLINK \l "_Toc17126" </w:instrText>
          </w:r>
          <w:r>
            <w:fldChar w:fldCharType="separate"/>
          </w:r>
          <w:r>
            <w:rPr>
              <w:rFonts w:hint="eastAsia" w:ascii="黑体" w:eastAsia="黑体"/>
            </w:rPr>
            <w:t xml:space="preserve">6.1.1 </w:t>
          </w:r>
          <w:r>
            <w:rPr>
              <w:rFonts w:hint="eastAsia"/>
            </w:rPr>
            <w:t>微控制器驱动配置</w:t>
          </w:r>
          <w:r>
            <w:tab/>
          </w:r>
          <w:r>
            <w:fldChar w:fldCharType="begin"/>
          </w:r>
          <w:r>
            <w:instrText xml:space="preserve"> PAGEREF _Toc17126 \h </w:instrText>
          </w:r>
          <w:r>
            <w:fldChar w:fldCharType="separate"/>
          </w:r>
          <w:r>
            <w:t>3</w:t>
          </w:r>
          <w:r>
            <w:fldChar w:fldCharType="end"/>
          </w:r>
          <w:r>
            <w:fldChar w:fldCharType="end"/>
          </w:r>
        </w:p>
        <w:p w14:paraId="347C65F9">
          <w:pPr>
            <w:pStyle w:val="16"/>
            <w:tabs>
              <w:tab w:val="right" w:leader="dot" w:pos="9354"/>
            </w:tabs>
          </w:pPr>
          <w:r>
            <w:fldChar w:fldCharType="begin"/>
          </w:r>
          <w:r>
            <w:instrText xml:space="preserve"> HYPERLINK \l "_Toc10784" </w:instrText>
          </w:r>
          <w:r>
            <w:fldChar w:fldCharType="separate"/>
          </w:r>
          <w:r>
            <w:rPr>
              <w:rFonts w:hint="eastAsia" w:ascii="黑体" w:eastAsia="黑体"/>
            </w:rPr>
            <w:t xml:space="preserve">6.1.2 </w:t>
          </w:r>
          <w:r>
            <w:rPr>
              <w:rFonts w:hint="eastAsia"/>
            </w:rPr>
            <w:t>存储器驱动配置</w:t>
          </w:r>
          <w:r>
            <w:tab/>
          </w:r>
          <w:r>
            <w:fldChar w:fldCharType="begin"/>
          </w:r>
          <w:r>
            <w:instrText xml:space="preserve"> PAGEREF _Toc10784 \h </w:instrText>
          </w:r>
          <w:r>
            <w:fldChar w:fldCharType="separate"/>
          </w:r>
          <w:r>
            <w:t>3</w:t>
          </w:r>
          <w:r>
            <w:fldChar w:fldCharType="end"/>
          </w:r>
          <w:r>
            <w:fldChar w:fldCharType="end"/>
          </w:r>
        </w:p>
        <w:p w14:paraId="2360DA79">
          <w:pPr>
            <w:pStyle w:val="16"/>
            <w:tabs>
              <w:tab w:val="right" w:leader="dot" w:pos="9354"/>
            </w:tabs>
          </w:pPr>
          <w:r>
            <w:fldChar w:fldCharType="begin"/>
          </w:r>
          <w:r>
            <w:instrText xml:space="preserve"> HYPERLINK \l "_Toc11382" </w:instrText>
          </w:r>
          <w:r>
            <w:fldChar w:fldCharType="separate"/>
          </w:r>
          <w:r>
            <w:rPr>
              <w:rFonts w:hint="eastAsia" w:ascii="黑体" w:eastAsia="黑体"/>
            </w:rPr>
            <w:t xml:space="preserve">6.1.3 </w:t>
          </w:r>
          <w:r>
            <w:rPr>
              <w:rFonts w:hint="eastAsia"/>
            </w:rPr>
            <w:t>通信驱动配置</w:t>
          </w:r>
          <w:r>
            <w:tab/>
          </w:r>
          <w:r>
            <w:fldChar w:fldCharType="begin"/>
          </w:r>
          <w:r>
            <w:instrText xml:space="preserve"> PAGEREF _Toc11382 \h </w:instrText>
          </w:r>
          <w:r>
            <w:fldChar w:fldCharType="separate"/>
          </w:r>
          <w:r>
            <w:t>3</w:t>
          </w:r>
          <w:r>
            <w:fldChar w:fldCharType="end"/>
          </w:r>
          <w:r>
            <w:fldChar w:fldCharType="end"/>
          </w:r>
        </w:p>
        <w:p w14:paraId="55AA25B4">
          <w:pPr>
            <w:pStyle w:val="16"/>
            <w:tabs>
              <w:tab w:val="right" w:leader="dot" w:pos="9354"/>
            </w:tabs>
          </w:pPr>
          <w:r>
            <w:fldChar w:fldCharType="begin"/>
          </w:r>
          <w:r>
            <w:instrText xml:space="preserve"> HYPERLINK \l "_Toc22167" </w:instrText>
          </w:r>
          <w:r>
            <w:fldChar w:fldCharType="separate"/>
          </w:r>
          <w:r>
            <w:rPr>
              <w:rFonts w:hint="eastAsia" w:ascii="黑体" w:eastAsia="黑体"/>
            </w:rPr>
            <w:t xml:space="preserve">6.1.4 </w:t>
          </w:r>
          <w:r>
            <w:rPr>
              <w:rFonts w:hint="eastAsia"/>
            </w:rPr>
            <w:t>输入输出驱动配置</w:t>
          </w:r>
          <w:r>
            <w:tab/>
          </w:r>
          <w:r>
            <w:fldChar w:fldCharType="begin"/>
          </w:r>
          <w:r>
            <w:instrText xml:space="preserve"> PAGEREF _Toc22167 \h </w:instrText>
          </w:r>
          <w:r>
            <w:fldChar w:fldCharType="separate"/>
          </w:r>
          <w:r>
            <w:t>4</w:t>
          </w:r>
          <w:r>
            <w:fldChar w:fldCharType="end"/>
          </w:r>
          <w:r>
            <w:fldChar w:fldCharType="end"/>
          </w:r>
        </w:p>
        <w:p w14:paraId="7B754ABF">
          <w:pPr>
            <w:pStyle w:val="25"/>
            <w:tabs>
              <w:tab w:val="right" w:leader="dot" w:pos="9354"/>
              <w:tab w:val="clear" w:pos="9344"/>
            </w:tabs>
          </w:pPr>
          <w:r>
            <w:fldChar w:fldCharType="begin"/>
          </w:r>
          <w:r>
            <w:instrText xml:space="preserve"> HYPERLINK \l "_Toc31037"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6.2 </w:t>
          </w:r>
          <w:r>
            <w:rPr>
              <w:rFonts w:hint="eastAsia"/>
            </w:rPr>
            <w:t>内核配置</w:t>
          </w:r>
          <w:r>
            <w:tab/>
          </w:r>
          <w:r>
            <w:fldChar w:fldCharType="begin"/>
          </w:r>
          <w:r>
            <w:instrText xml:space="preserve"> PAGEREF _Toc31037 \h </w:instrText>
          </w:r>
          <w:r>
            <w:fldChar w:fldCharType="separate"/>
          </w:r>
          <w:r>
            <w:t>4</w:t>
          </w:r>
          <w:r>
            <w:fldChar w:fldCharType="end"/>
          </w:r>
          <w:r>
            <w:fldChar w:fldCharType="end"/>
          </w:r>
        </w:p>
        <w:p w14:paraId="5DC171DA">
          <w:pPr>
            <w:pStyle w:val="25"/>
            <w:tabs>
              <w:tab w:val="right" w:leader="dot" w:pos="9354"/>
              <w:tab w:val="clear" w:pos="9344"/>
            </w:tabs>
          </w:pPr>
          <w:r>
            <w:fldChar w:fldCharType="begin"/>
          </w:r>
          <w:r>
            <w:instrText xml:space="preserve"> HYPERLINK \l "_Toc20704"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6.3 </w:t>
          </w:r>
          <w:r>
            <w:rPr>
              <w:rFonts w:hint="eastAsia"/>
            </w:rPr>
            <w:t>中间件配置</w:t>
          </w:r>
          <w:r>
            <w:tab/>
          </w:r>
          <w:r>
            <w:fldChar w:fldCharType="begin"/>
          </w:r>
          <w:r>
            <w:instrText xml:space="preserve"> PAGEREF _Toc20704 \h </w:instrText>
          </w:r>
          <w:r>
            <w:fldChar w:fldCharType="separate"/>
          </w:r>
          <w:r>
            <w:t>4</w:t>
          </w:r>
          <w:r>
            <w:fldChar w:fldCharType="end"/>
          </w:r>
          <w:r>
            <w:fldChar w:fldCharType="end"/>
          </w:r>
        </w:p>
        <w:p w14:paraId="6139AAC2">
          <w:pPr>
            <w:pStyle w:val="25"/>
            <w:tabs>
              <w:tab w:val="right" w:leader="dot" w:pos="9354"/>
              <w:tab w:val="clear" w:pos="9344"/>
            </w:tabs>
          </w:pPr>
          <w:r>
            <w:fldChar w:fldCharType="begin"/>
          </w:r>
          <w:r>
            <w:instrText xml:space="preserve"> HYPERLINK \l "_Toc25383"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6.4 </w:t>
          </w:r>
          <w:r>
            <w:rPr>
              <w:rFonts w:hint="eastAsia"/>
            </w:rPr>
            <w:t>运行时环境配置</w:t>
          </w:r>
          <w:r>
            <w:tab/>
          </w:r>
          <w:r>
            <w:fldChar w:fldCharType="begin"/>
          </w:r>
          <w:r>
            <w:instrText xml:space="preserve"> PAGEREF _Toc25383 \h </w:instrText>
          </w:r>
          <w:r>
            <w:fldChar w:fldCharType="separate"/>
          </w:r>
          <w:r>
            <w:t>4</w:t>
          </w:r>
          <w:r>
            <w:fldChar w:fldCharType="end"/>
          </w:r>
          <w:r>
            <w:fldChar w:fldCharType="end"/>
          </w:r>
        </w:p>
        <w:p w14:paraId="7C58CA43">
          <w:pPr>
            <w:pStyle w:val="25"/>
            <w:tabs>
              <w:tab w:val="right" w:leader="dot" w:pos="9354"/>
              <w:tab w:val="clear" w:pos="9344"/>
            </w:tabs>
          </w:pPr>
          <w:r>
            <w:fldChar w:fldCharType="begin"/>
          </w:r>
          <w:r>
            <w:instrText xml:space="preserve"> HYPERLINK \l "_Toc6385"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6.5 </w:t>
          </w:r>
          <w:r>
            <w:rPr>
              <w:rFonts w:hint="eastAsia"/>
            </w:rPr>
            <w:t>模块间协同配置</w:t>
          </w:r>
          <w:r>
            <w:tab/>
          </w:r>
          <w:r>
            <w:fldChar w:fldCharType="begin"/>
          </w:r>
          <w:r>
            <w:instrText xml:space="preserve"> PAGEREF _Toc6385 \h </w:instrText>
          </w:r>
          <w:r>
            <w:fldChar w:fldCharType="separate"/>
          </w:r>
          <w:r>
            <w:t>4</w:t>
          </w:r>
          <w:r>
            <w:fldChar w:fldCharType="end"/>
          </w:r>
          <w:r>
            <w:fldChar w:fldCharType="end"/>
          </w:r>
        </w:p>
        <w:p w14:paraId="75545ADB">
          <w:pPr>
            <w:pStyle w:val="20"/>
            <w:tabs>
              <w:tab w:val="right" w:leader="dot" w:pos="9354"/>
            </w:tabs>
          </w:pPr>
          <w:r>
            <w:fldChar w:fldCharType="begin"/>
          </w:r>
          <w:r>
            <w:instrText xml:space="preserve"> HYPERLINK \l "_Toc18725" </w:instrText>
          </w:r>
          <w:r>
            <w:fldChar w:fldCharType="separate"/>
          </w:r>
          <w:r>
            <w:rPr>
              <w:rFonts w:hint="eastAsia" w:ascii="黑体" w:eastAsia="黑体"/>
            </w:rPr>
            <w:t xml:space="preserve">7 </w:t>
          </w:r>
          <w:r>
            <w:rPr>
              <w:rFonts w:hint="eastAsia"/>
            </w:rPr>
            <w:t>安全配置指南</w:t>
          </w:r>
          <w:r>
            <w:tab/>
          </w:r>
          <w:r>
            <w:fldChar w:fldCharType="begin"/>
          </w:r>
          <w:r>
            <w:instrText xml:space="preserve"> PAGEREF _Toc18725 \h </w:instrText>
          </w:r>
          <w:r>
            <w:fldChar w:fldCharType="separate"/>
          </w:r>
          <w:r>
            <w:t>4</w:t>
          </w:r>
          <w:r>
            <w:fldChar w:fldCharType="end"/>
          </w:r>
          <w:r>
            <w:fldChar w:fldCharType="end"/>
          </w:r>
        </w:p>
        <w:p w14:paraId="402E80C4">
          <w:pPr>
            <w:pStyle w:val="25"/>
            <w:tabs>
              <w:tab w:val="right" w:leader="dot" w:pos="9354"/>
              <w:tab w:val="clear" w:pos="9344"/>
            </w:tabs>
          </w:pPr>
          <w:r>
            <w:fldChar w:fldCharType="begin"/>
          </w:r>
          <w:r>
            <w:instrText xml:space="preserve"> HYPERLINK \l "_Toc15744"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7.1 </w:t>
          </w:r>
          <w:r>
            <w:rPr>
              <w:rFonts w:hint="eastAsia"/>
            </w:rPr>
            <w:t>功能安全配置</w:t>
          </w:r>
          <w:r>
            <w:tab/>
          </w:r>
          <w:r>
            <w:fldChar w:fldCharType="begin"/>
          </w:r>
          <w:r>
            <w:instrText xml:space="preserve"> PAGEREF _Toc15744 \h </w:instrText>
          </w:r>
          <w:r>
            <w:fldChar w:fldCharType="separate"/>
          </w:r>
          <w:r>
            <w:t>4</w:t>
          </w:r>
          <w:r>
            <w:fldChar w:fldCharType="end"/>
          </w:r>
          <w:r>
            <w:fldChar w:fldCharType="end"/>
          </w:r>
        </w:p>
        <w:p w14:paraId="530EA6C2">
          <w:pPr>
            <w:pStyle w:val="25"/>
            <w:tabs>
              <w:tab w:val="right" w:leader="dot" w:pos="9354"/>
              <w:tab w:val="clear" w:pos="9344"/>
            </w:tabs>
          </w:pPr>
          <w:r>
            <w:fldChar w:fldCharType="begin"/>
          </w:r>
          <w:r>
            <w:instrText xml:space="preserve"> HYPERLINK \l "_Toc9337"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7.2 </w:t>
          </w:r>
          <w:r>
            <w:rPr>
              <w:rFonts w:hint="eastAsia"/>
            </w:rPr>
            <w:t>信息安全配置</w:t>
          </w:r>
          <w:r>
            <w:tab/>
          </w:r>
          <w:r>
            <w:fldChar w:fldCharType="begin"/>
          </w:r>
          <w:r>
            <w:instrText xml:space="preserve"> PAGEREF _Toc9337 \h </w:instrText>
          </w:r>
          <w:r>
            <w:fldChar w:fldCharType="separate"/>
          </w:r>
          <w:r>
            <w:t>5</w:t>
          </w:r>
          <w:r>
            <w:fldChar w:fldCharType="end"/>
          </w:r>
          <w:r>
            <w:fldChar w:fldCharType="end"/>
          </w:r>
        </w:p>
        <w:p w14:paraId="74204C38">
          <w:pPr>
            <w:pStyle w:val="20"/>
            <w:tabs>
              <w:tab w:val="right" w:leader="dot" w:pos="9354"/>
            </w:tabs>
          </w:pPr>
          <w:r>
            <w:fldChar w:fldCharType="begin"/>
          </w:r>
          <w:r>
            <w:instrText xml:space="preserve"> HYPERLINK \l "_Toc27302" </w:instrText>
          </w:r>
          <w:r>
            <w:fldChar w:fldCharType="separate"/>
          </w:r>
          <w:r>
            <w:rPr>
              <w:rFonts w:hint="eastAsia"/>
            </w:rPr>
            <w:t>附录A （资料性）</w:t>
          </w:r>
          <w:r>
            <w:t xml:space="preserve"> </w:t>
          </w:r>
          <w:r>
            <w:rPr>
              <w:rFonts w:hint="eastAsia"/>
            </w:rPr>
            <w:t>安全车控操作系统配置示例</w:t>
          </w:r>
          <w:r>
            <w:tab/>
          </w:r>
          <w:r>
            <w:fldChar w:fldCharType="begin"/>
          </w:r>
          <w:r>
            <w:instrText xml:space="preserve"> PAGEREF _Toc27302 \h </w:instrText>
          </w:r>
          <w:r>
            <w:fldChar w:fldCharType="separate"/>
          </w:r>
          <w:r>
            <w:t>6</w:t>
          </w:r>
          <w:r>
            <w:fldChar w:fldCharType="end"/>
          </w:r>
          <w:r>
            <w:fldChar w:fldCharType="end"/>
          </w:r>
        </w:p>
        <w:p w14:paraId="16190831">
          <w:pPr>
            <w:pStyle w:val="16"/>
            <w:tabs>
              <w:tab w:val="right" w:leader="dot" w:pos="9354"/>
            </w:tabs>
          </w:pPr>
          <w:r>
            <w:fldChar w:fldCharType="begin"/>
          </w:r>
          <w:r>
            <w:instrText xml:space="preserve"> HYPERLINK \l "_Toc4422" </w:instrText>
          </w:r>
          <w:r>
            <w:fldChar w:fldCharType="separate"/>
          </w:r>
          <w:r>
            <w:rPr>
              <w:rFonts w:hint="eastAsia" w:ascii="黑体" w:eastAsia="黑体"/>
            </w:rPr>
            <w:t xml:space="preserve">A.1 </w:t>
          </w:r>
          <w:r>
            <w:rPr>
              <w:rFonts w:hint="eastAsia"/>
            </w:rPr>
            <w:t>控制器功能与信号流向说明</w:t>
          </w:r>
          <w:r>
            <w:tab/>
          </w:r>
          <w:r>
            <w:fldChar w:fldCharType="begin"/>
          </w:r>
          <w:r>
            <w:instrText xml:space="preserve"> PAGEREF _Toc4422 \h </w:instrText>
          </w:r>
          <w:r>
            <w:fldChar w:fldCharType="separate"/>
          </w:r>
          <w:r>
            <w:t>6</w:t>
          </w:r>
          <w:r>
            <w:fldChar w:fldCharType="end"/>
          </w:r>
          <w:r>
            <w:fldChar w:fldCharType="end"/>
          </w:r>
        </w:p>
        <w:p w14:paraId="595BFF6A">
          <w:pPr>
            <w:pStyle w:val="16"/>
            <w:tabs>
              <w:tab w:val="right" w:leader="dot" w:pos="9354"/>
            </w:tabs>
          </w:pPr>
          <w:r>
            <w:fldChar w:fldCharType="begin"/>
          </w:r>
          <w:r>
            <w:instrText xml:space="preserve"> HYPERLINK \l "_Toc12957" </w:instrText>
          </w:r>
          <w:r>
            <w:fldChar w:fldCharType="separate"/>
          </w:r>
          <w:r>
            <w:rPr>
              <w:rFonts w:hint="eastAsia" w:ascii="黑体" w:eastAsia="黑体"/>
            </w:rPr>
            <w:t xml:space="preserve">A.2 </w:t>
          </w:r>
          <w:r>
            <w:rPr>
              <w:rFonts w:hint="eastAsia" w:hAnsi="黑体"/>
              <w:kern w:val="0"/>
            </w:rPr>
            <w:t>安全车控操作系统配置过程</w:t>
          </w:r>
          <w:r>
            <w:tab/>
          </w:r>
          <w:r>
            <w:fldChar w:fldCharType="begin"/>
          </w:r>
          <w:r>
            <w:instrText xml:space="preserve"> PAGEREF _Toc12957 \h </w:instrText>
          </w:r>
          <w:r>
            <w:fldChar w:fldCharType="separate"/>
          </w:r>
          <w:r>
            <w:t>6</w:t>
          </w:r>
          <w:r>
            <w:fldChar w:fldCharType="end"/>
          </w:r>
          <w:r>
            <w:fldChar w:fldCharType="end"/>
          </w:r>
        </w:p>
        <w:p w14:paraId="39626784">
          <w:pPr>
            <w:pStyle w:val="16"/>
            <w:tabs>
              <w:tab w:val="right" w:leader="dot" w:pos="9354"/>
            </w:tabs>
          </w:pPr>
          <w:r>
            <w:fldChar w:fldCharType="begin"/>
          </w:r>
          <w:r>
            <w:instrText xml:space="preserve"> HYPERLINK \l "_Toc19685" </w:instrText>
          </w:r>
          <w:r>
            <w:fldChar w:fldCharType="separate"/>
          </w:r>
          <w:r>
            <w:rPr>
              <w:rFonts w:hint="eastAsia" w:ascii="黑体" w:eastAsia="黑体"/>
              <w:bCs/>
              <w:kern w:val="0"/>
            </w:rPr>
            <w:t xml:space="preserve">A.3 </w:t>
          </w:r>
          <w:r>
            <w:rPr>
              <w:rFonts w:hint="eastAsia"/>
              <w:bCs/>
              <w:kern w:val="0"/>
            </w:rPr>
            <w:t>安全车控操作系统配置参数</w:t>
          </w:r>
          <w:r>
            <w:tab/>
          </w:r>
          <w:r>
            <w:fldChar w:fldCharType="begin"/>
          </w:r>
          <w:r>
            <w:instrText xml:space="preserve"> PAGEREF _Toc19685 \h </w:instrText>
          </w:r>
          <w:r>
            <w:fldChar w:fldCharType="separate"/>
          </w:r>
          <w:r>
            <w:t>7</w:t>
          </w:r>
          <w:r>
            <w:fldChar w:fldCharType="end"/>
          </w:r>
          <w:r>
            <w:fldChar w:fldCharType="end"/>
          </w:r>
        </w:p>
        <w:p w14:paraId="0F29FCE9">
          <w:pPr>
            <w:pStyle w:val="97"/>
            <w:spacing w:after="360"/>
          </w:pPr>
          <w:r>
            <w:fldChar w:fldCharType="end"/>
          </w:r>
        </w:p>
      </w:sdtContent>
    </w:sdt>
    <w:p w14:paraId="58D834D5">
      <w:pPr>
        <w:pStyle w:val="97"/>
        <w:spacing w:after="360"/>
        <w:sectPr>
          <w:headerReference r:id="rId9" w:type="default"/>
          <w:footerReference r:id="rId11" w:type="default"/>
          <w:headerReference r:id="rId10" w:type="even"/>
          <w:pgSz w:w="11906" w:h="16838"/>
          <w:pgMar w:top="2410" w:right="1134" w:bottom="1134" w:left="1134" w:header="1418" w:footer="1134" w:gutter="284"/>
          <w:pgNumType w:fmt="upperRoman" w:start="1"/>
          <w:cols w:space="425" w:num="1"/>
          <w:formProt w:val="0"/>
          <w:docGrid w:linePitch="312" w:charSpace="0"/>
        </w:sectPr>
      </w:pPr>
    </w:p>
    <w:bookmarkEnd w:id="4"/>
    <w:p w14:paraId="796FC670">
      <w:pPr>
        <w:pStyle w:val="95"/>
        <w:spacing w:after="360"/>
      </w:pPr>
      <w:bookmarkStart w:id="7" w:name="_Toc2923"/>
      <w:bookmarkStart w:id="8" w:name="_Toc29215"/>
      <w:bookmarkStart w:id="9" w:name="_Toc2833"/>
      <w:bookmarkStart w:id="10" w:name="BookMark2"/>
      <w:r>
        <w:rPr>
          <w:spacing w:val="320"/>
        </w:rPr>
        <w:t>前</w:t>
      </w:r>
      <w:r>
        <w:t>言</w:t>
      </w:r>
      <w:bookmarkEnd w:id="5"/>
      <w:bookmarkEnd w:id="6"/>
      <w:bookmarkEnd w:id="7"/>
      <w:bookmarkEnd w:id="8"/>
      <w:bookmarkEnd w:id="9"/>
    </w:p>
    <w:p w14:paraId="501CA894">
      <w:pPr>
        <w:pStyle w:val="62"/>
        <w:ind w:firstLine="420"/>
      </w:pPr>
      <w:r>
        <w:rPr>
          <w:rFonts w:hint="eastAsia"/>
        </w:rPr>
        <w:t>本文件按照GB/T 1.1—2020《标准化工作导则  第1部分：标准化文件的结构和起草规则》的规定起草。</w:t>
      </w:r>
    </w:p>
    <w:p w14:paraId="767C1333">
      <w:pPr>
        <w:pStyle w:val="62"/>
        <w:ind w:firstLine="420"/>
      </w:pPr>
      <w:r>
        <w:rPr>
          <w:rFonts w:hint="eastAsia"/>
        </w:rPr>
        <w:t>请注意本文件的某些内容可能涉及专利。本文件的发布机构不承担识别专利的责任。</w:t>
      </w:r>
    </w:p>
    <w:p w14:paraId="10F978C7">
      <w:pPr>
        <w:pStyle w:val="62"/>
        <w:ind w:firstLine="420"/>
      </w:pPr>
      <w:r>
        <w:rPr>
          <w:rFonts w:hint="eastAsia"/>
        </w:rPr>
        <w:t>本文件由中国汽车工业协会汽车X</w:t>
      </w:r>
      <w:r>
        <w:t>XX</w:t>
      </w:r>
      <w:r>
        <w:rPr>
          <w:rFonts w:hint="eastAsia"/>
        </w:rPr>
        <w:t>委员会提出。</w:t>
      </w:r>
    </w:p>
    <w:p w14:paraId="4D9B1779">
      <w:pPr>
        <w:pStyle w:val="62"/>
        <w:ind w:firstLine="420"/>
      </w:pPr>
      <w:r>
        <w:rPr>
          <w:rFonts w:hint="eastAsia"/>
        </w:rPr>
        <w:t>本文件由中国汽车工业协会归口。</w:t>
      </w:r>
    </w:p>
    <w:p w14:paraId="51E06B1A">
      <w:pPr>
        <w:pStyle w:val="62"/>
        <w:ind w:firstLine="420"/>
      </w:pPr>
      <w:r>
        <w:rPr>
          <w:rFonts w:hint="eastAsia"/>
        </w:rPr>
        <w:t>本文件起草单位：普华基础软件股份有限公司、中国第一汽车集团有限公司、上海机动车检测认证技术研究中心有限公司</w:t>
      </w:r>
    </w:p>
    <w:p w14:paraId="29799EBC">
      <w:pPr>
        <w:pStyle w:val="62"/>
        <w:ind w:firstLine="420"/>
      </w:pPr>
      <w:r>
        <w:rPr>
          <w:rFonts w:hint="eastAsia"/>
        </w:rPr>
        <w:t>本文件主要起草人：</w:t>
      </w:r>
    </w:p>
    <w:p w14:paraId="39CB676B">
      <w:pPr>
        <w:pStyle w:val="62"/>
        <w:ind w:firstLine="420"/>
      </w:pPr>
    </w:p>
    <w:p w14:paraId="4B4B3489">
      <w:pPr>
        <w:pStyle w:val="62"/>
        <w:ind w:firstLine="420"/>
        <w:sectPr>
          <w:headerReference r:id="rId12" w:type="default"/>
          <w:footerReference r:id="rId13" w:type="default"/>
          <w:pgSz w:w="11906" w:h="16838"/>
          <w:pgMar w:top="2410" w:right="1134" w:bottom="1134" w:left="1134" w:header="1418" w:footer="1134" w:gutter="284"/>
          <w:pgNumType w:fmt="upperRoman"/>
          <w:cols w:space="425" w:num="1"/>
          <w:formProt w:val="0"/>
          <w:docGrid w:linePitch="312" w:charSpace="0"/>
        </w:sectPr>
      </w:pPr>
    </w:p>
    <w:bookmarkEnd w:id="10"/>
    <w:p w14:paraId="1F2B3C3F">
      <w:pPr>
        <w:spacing w:line="20" w:lineRule="exact"/>
        <w:jc w:val="center"/>
        <w:rPr>
          <w:rFonts w:hint="eastAsia" w:ascii="黑体" w:hAnsi="黑体" w:eastAsia="黑体"/>
          <w:sz w:val="32"/>
          <w:szCs w:val="32"/>
        </w:rPr>
      </w:pPr>
      <w:bookmarkStart w:id="11" w:name="BookMark4"/>
    </w:p>
    <w:p w14:paraId="58B2F382">
      <w:pPr>
        <w:spacing w:line="20" w:lineRule="exact"/>
        <w:jc w:val="center"/>
        <w:rPr>
          <w:rFonts w:hint="eastAsia" w:ascii="黑体" w:hAnsi="黑体" w:eastAsia="黑体"/>
          <w:sz w:val="32"/>
          <w:szCs w:val="32"/>
        </w:rPr>
      </w:pPr>
    </w:p>
    <w:sdt>
      <w:sdtPr>
        <w:tag w:val="NEW_STAND_NAME"/>
        <w:id w:val="595910757"/>
        <w:lock w:val="sdtLocked"/>
        <w:placeholder>
          <w:docPart w:val="4E051CDF2BE54DE6910978A71523488B"/>
        </w:placeholder>
      </w:sdtPr>
      <w:sdtContent>
        <w:p w14:paraId="6434AC06">
          <w:pPr>
            <w:pStyle w:val="183"/>
            <w:spacing w:before="240" w:beforeLines="100" w:after="528" w:afterLines="220"/>
            <w:rPr>
              <w:rFonts w:hint="eastAsia"/>
            </w:rPr>
          </w:pPr>
          <w:bookmarkStart w:id="12" w:name="NEW_STAND_NAME"/>
          <w:r>
            <w:rPr>
              <w:rFonts w:hint="eastAsia"/>
            </w:rPr>
            <w:t>安全车控操作系统配置指南</w:t>
          </w:r>
        </w:p>
      </w:sdtContent>
    </w:sdt>
    <w:bookmarkEnd w:id="12"/>
    <w:p w14:paraId="53B84E4D">
      <w:pPr>
        <w:pStyle w:val="110"/>
        <w:spacing w:before="240" w:after="240"/>
      </w:pPr>
      <w:bookmarkStart w:id="13" w:name="_Toc26986530"/>
      <w:bookmarkStart w:id="14" w:name="_Toc26648465"/>
      <w:bookmarkStart w:id="15" w:name="_Toc17233333"/>
      <w:bookmarkStart w:id="16" w:name="_Toc17233325"/>
      <w:bookmarkStart w:id="17" w:name="_Toc108256641"/>
      <w:bookmarkStart w:id="18" w:name="_Toc2215"/>
      <w:bookmarkStart w:id="19" w:name="_Toc24884211"/>
      <w:bookmarkStart w:id="20" w:name="_Toc24884218"/>
      <w:bookmarkStart w:id="21" w:name="_Toc9246"/>
      <w:bookmarkStart w:id="22" w:name="_Toc26986771"/>
      <w:bookmarkStart w:id="23" w:name="_Toc8156"/>
      <w:bookmarkStart w:id="24" w:name="_Toc26718930"/>
      <w:bookmarkStart w:id="25" w:name="_Toc108009581"/>
      <w:r>
        <w:rPr>
          <w:rFonts w:hint="eastAsia"/>
        </w:rPr>
        <w:t>范围</w:t>
      </w:r>
      <w:bookmarkEnd w:id="13"/>
      <w:bookmarkEnd w:id="14"/>
      <w:bookmarkEnd w:id="15"/>
      <w:bookmarkEnd w:id="16"/>
      <w:bookmarkEnd w:id="17"/>
      <w:bookmarkEnd w:id="18"/>
      <w:bookmarkEnd w:id="19"/>
      <w:bookmarkEnd w:id="20"/>
      <w:bookmarkEnd w:id="21"/>
      <w:bookmarkEnd w:id="22"/>
      <w:bookmarkEnd w:id="23"/>
      <w:bookmarkEnd w:id="24"/>
      <w:bookmarkEnd w:id="25"/>
    </w:p>
    <w:p w14:paraId="60A0BDEE">
      <w:pPr>
        <w:pStyle w:val="62"/>
        <w:ind w:firstLine="420"/>
      </w:pPr>
      <w:bookmarkStart w:id="26" w:name="_Toc24884219"/>
      <w:bookmarkStart w:id="27" w:name="_Toc17233326"/>
      <w:bookmarkStart w:id="28" w:name="_Toc24884212"/>
      <w:bookmarkStart w:id="29" w:name="_Toc17233334"/>
      <w:bookmarkStart w:id="30" w:name="_Toc26648466"/>
      <w:r>
        <w:rPr>
          <w:rFonts w:hint="eastAsia"/>
        </w:rPr>
        <w:t>本文件提供了安全车控操作系统的配置指南，包括配置流程、模块分层及协同、安全配置三方面：配置流程部分提供了安全车控操作系统配置准备、配置实施、代码生成与集成、配置管理的指导，模块分层及协同配置部分提供了硬件驱动、内核、中间件、运行时环境配置及模块间协同配置的指导，安全配置部分提供了功能安全配置与信息安全配置的指导。</w:t>
      </w:r>
    </w:p>
    <w:p w14:paraId="11A34B20">
      <w:pPr>
        <w:pStyle w:val="62"/>
        <w:ind w:firstLine="420"/>
      </w:pPr>
      <w:r>
        <w:rPr>
          <w:rFonts w:hint="eastAsia"/>
        </w:rPr>
        <w:t>本文件适用于M类和N类车辆的电子控制单元或车载计算平台所搭载的安全车控操作系统配置，其他车辆类型参照执行。</w:t>
      </w:r>
    </w:p>
    <w:p w14:paraId="4085C12C">
      <w:pPr>
        <w:pStyle w:val="110"/>
        <w:spacing w:before="240" w:after="240"/>
      </w:pPr>
      <w:bookmarkStart w:id="31" w:name="_Toc108009582"/>
      <w:bookmarkStart w:id="32" w:name="_Toc6778"/>
      <w:bookmarkStart w:id="33" w:name="_Toc26718931"/>
      <w:bookmarkStart w:id="34" w:name="_Toc26986531"/>
      <w:bookmarkStart w:id="35" w:name="_Toc24423"/>
      <w:bookmarkStart w:id="36" w:name="_Toc8974"/>
      <w:bookmarkStart w:id="37" w:name="_Toc26986772"/>
      <w:bookmarkStart w:id="38" w:name="_Toc108256642"/>
      <w:r>
        <w:rPr>
          <w:rFonts w:hint="eastAsia"/>
        </w:rPr>
        <w:t>规范性引用文件</w:t>
      </w:r>
      <w:bookmarkEnd w:id="26"/>
      <w:bookmarkEnd w:id="27"/>
      <w:bookmarkEnd w:id="28"/>
      <w:bookmarkEnd w:id="29"/>
      <w:bookmarkEnd w:id="30"/>
      <w:bookmarkEnd w:id="31"/>
      <w:bookmarkEnd w:id="32"/>
      <w:bookmarkEnd w:id="33"/>
      <w:bookmarkEnd w:id="34"/>
      <w:bookmarkEnd w:id="35"/>
      <w:bookmarkEnd w:id="36"/>
      <w:bookmarkEnd w:id="37"/>
      <w:bookmarkEnd w:id="38"/>
    </w:p>
    <w:sdt>
      <w:sdtPr>
        <w:rPr>
          <w:rFonts w:hint="eastAsia"/>
        </w:rPr>
        <w:id w:val="715848253"/>
        <w:placeholder>
          <w:docPart w:val="B2B94AB5FF36453AAC934CA3EC55FCD0"/>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665097D0">
          <w:pPr>
            <w:pStyle w:val="62"/>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3CDCF6CE">
      <w:pPr>
        <w:pStyle w:val="62"/>
        <w:ind w:firstLine="420"/>
      </w:pPr>
      <w:bookmarkStart w:id="39" w:name="_Toc108256643"/>
      <w:bookmarkStart w:id="40" w:name="_Toc30542"/>
      <w:bookmarkStart w:id="41" w:name="_Toc108009583"/>
      <w:bookmarkStart w:id="42" w:name="_Toc21134"/>
      <w:r>
        <w:rPr>
          <w:rFonts w:hint="eastAsia" w:hAnsi="宋体" w:cs="宋体"/>
        </w:rPr>
        <w:t>GB/T 47351-2026 智能网联汽车 车控操作系统技术要求及试验方法</w:t>
      </w:r>
    </w:p>
    <w:p w14:paraId="03F51A6D">
      <w:pPr>
        <w:pStyle w:val="62"/>
        <w:ind w:firstLine="420"/>
      </w:pPr>
      <w:r>
        <w:t>GB/T 34590</w:t>
      </w:r>
      <w:r>
        <w:rPr>
          <w:rFonts w:hint="eastAsia"/>
        </w:rPr>
        <w:t>-2022</w:t>
      </w:r>
      <w:r>
        <w:t xml:space="preserve"> 道路车辆 功能安全</w:t>
      </w:r>
    </w:p>
    <w:p w14:paraId="6D03760D">
      <w:pPr>
        <w:pStyle w:val="62"/>
        <w:ind w:firstLine="420"/>
      </w:pPr>
      <w:r>
        <w:rPr>
          <w:rFonts w:hint="eastAsia"/>
        </w:rPr>
        <w:t>GB/T 46194-2025 道路车辆 信息安全工程</w:t>
      </w:r>
    </w:p>
    <w:p w14:paraId="38D4C23D">
      <w:pPr>
        <w:pStyle w:val="110"/>
        <w:spacing w:before="240" w:after="240"/>
      </w:pPr>
      <w:bookmarkStart w:id="43" w:name="_Toc10067"/>
      <w:r>
        <w:rPr>
          <w:rFonts w:hint="eastAsia"/>
          <w:szCs w:val="21"/>
        </w:rPr>
        <w:t>术语和定义</w:t>
      </w:r>
      <w:bookmarkEnd w:id="39"/>
      <w:bookmarkEnd w:id="40"/>
      <w:bookmarkEnd w:id="41"/>
      <w:bookmarkEnd w:id="42"/>
      <w:bookmarkEnd w:id="43"/>
    </w:p>
    <w:sdt>
      <w:sdtPr>
        <w:id w:val="-1"/>
        <w:placeholder>
          <w:docPart w:val="C398F88C426D48A9A51BA631F171828A"/>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552C7F31">
          <w:pPr>
            <w:pStyle w:val="62"/>
            <w:ind w:firstLine="420"/>
          </w:pPr>
          <w:bookmarkStart w:id="44" w:name="_Toc26986532"/>
          <w:bookmarkEnd w:id="44"/>
          <w:r>
            <w:t>下列术语和定义适用于本文件。</w:t>
          </w:r>
        </w:p>
      </w:sdtContent>
    </w:sdt>
    <w:p w14:paraId="27185D42">
      <w:pPr>
        <w:pStyle w:val="229"/>
        <w:rPr>
          <w:rFonts w:hint="eastAsia" w:ascii="黑体" w:hAnsi="黑体" w:eastAsia="黑体"/>
        </w:rPr>
      </w:pPr>
      <w:bookmarkStart w:id="45" w:name="_Toc108009584"/>
    </w:p>
    <w:p w14:paraId="6CBE7A60">
      <w:pPr>
        <w:pStyle w:val="229"/>
        <w:numPr>
          <w:ilvl w:val="0"/>
          <w:numId w:val="0"/>
        </w:numPr>
        <w:ind w:firstLine="420" w:firstLineChars="200"/>
        <w:rPr>
          <w:rFonts w:hint="eastAsia" w:ascii="黑体" w:hAnsi="黑体" w:eastAsia="黑体"/>
        </w:rPr>
      </w:pPr>
      <w:r>
        <w:rPr>
          <w:rFonts w:hint="eastAsia" w:ascii="黑体" w:hAnsi="黑体" w:eastAsia="黑体"/>
        </w:rPr>
        <w:t>车控操作系统  vehicle-control operating system</w:t>
      </w:r>
    </w:p>
    <w:p w14:paraId="6269A710">
      <w:pPr>
        <w:pStyle w:val="62"/>
        <w:ind w:firstLine="420"/>
      </w:pPr>
      <w:r>
        <w:rPr>
          <w:rFonts w:hint="eastAsia"/>
        </w:rPr>
        <w:t>运行于车载智能计算基础平台硬件及汽车电子控制单元硬件之上，支撑</w:t>
      </w:r>
      <w:bookmarkStart w:id="46" w:name="_Hlk89078208"/>
      <w:r>
        <w:rPr>
          <w:rFonts w:hint="eastAsia"/>
        </w:rPr>
        <w:t>智能网联汽车驾驶自动化功能实现</w:t>
      </w:r>
      <w:bookmarkEnd w:id="46"/>
      <w:r>
        <w:rPr>
          <w:rFonts w:hint="eastAsia"/>
        </w:rPr>
        <w:t>和安全可靠运行的软件集合。车控操作系统可进一步细分为智能驾驶操作系统和安全车控操作系统，包括系统软件和功能软件。</w:t>
      </w:r>
    </w:p>
    <w:p w14:paraId="0A3B0A20">
      <w:pPr>
        <w:pStyle w:val="62"/>
        <w:ind w:firstLine="420"/>
        <w:rPr>
          <w:rFonts w:hint="eastAsia" w:ascii="黑体" w:hAnsi="黑体" w:eastAsia="黑体"/>
        </w:rPr>
      </w:pPr>
      <w:r>
        <w:rPr>
          <w:rFonts w:hint="eastAsia"/>
        </w:rPr>
        <w:t xml:space="preserve">[来源：GB/T </w:t>
      </w:r>
      <w:r>
        <w:rPr>
          <w:rFonts w:hint="eastAsia" w:hAnsi="宋体" w:cs="宋体"/>
        </w:rPr>
        <w:t>47351-2026,3.2]</w:t>
      </w:r>
    </w:p>
    <w:p w14:paraId="16002407">
      <w:pPr>
        <w:pStyle w:val="229"/>
        <w:rPr>
          <w:rFonts w:hint="eastAsia" w:ascii="黑体" w:hAnsi="黑体" w:eastAsia="黑体"/>
        </w:rPr>
      </w:pPr>
    </w:p>
    <w:p w14:paraId="1E72CF13">
      <w:pPr>
        <w:pStyle w:val="229"/>
        <w:numPr>
          <w:ilvl w:val="0"/>
          <w:numId w:val="0"/>
        </w:numPr>
        <w:ind w:firstLine="420" w:firstLineChars="200"/>
        <w:rPr>
          <w:rFonts w:hint="eastAsia" w:ascii="黑体" w:hAnsi="黑体" w:eastAsia="黑体"/>
        </w:rPr>
      </w:pPr>
      <w:r>
        <w:rPr>
          <w:rFonts w:hint="eastAsia" w:ascii="黑体" w:hAnsi="黑体" w:eastAsia="黑体"/>
        </w:rPr>
        <w:t>安全车控操作系统</w:t>
      </w:r>
      <w:r>
        <w:rPr>
          <w:rFonts w:ascii="黑体" w:hAnsi="黑体" w:eastAsia="黑体"/>
        </w:rPr>
        <w:t xml:space="preserve">  </w:t>
      </w:r>
      <w:r>
        <w:rPr>
          <w:rFonts w:hint="eastAsia" w:ascii="黑体" w:hAnsi="黑体" w:eastAsia="黑体"/>
        </w:rPr>
        <w:t>safety vehicle-control operating system</w:t>
      </w:r>
    </w:p>
    <w:p w14:paraId="357EDE06">
      <w:pPr>
        <w:pStyle w:val="62"/>
        <w:ind w:firstLine="420"/>
      </w:pPr>
      <w:r>
        <w:rPr>
          <w:rFonts w:hint="eastAsia"/>
        </w:rPr>
        <w:t>车控操作系统（</w:t>
      </w:r>
      <w:r>
        <w:t>3.</w:t>
      </w:r>
      <w:r>
        <w:rPr>
          <w:rFonts w:hint="eastAsia"/>
        </w:rPr>
        <w:t>1</w:t>
      </w:r>
      <w:r>
        <w:t>）中支撑智能网联汽车安全可靠运行的软件集合，</w:t>
      </w:r>
      <w:r>
        <w:rPr>
          <w:rFonts w:hint="eastAsia"/>
        </w:rPr>
        <w:t>包括系统软件和功能软件。</w:t>
      </w:r>
    </w:p>
    <w:p w14:paraId="5F186904">
      <w:pPr>
        <w:pStyle w:val="62"/>
        <w:ind w:firstLine="420"/>
      </w:pPr>
      <w:r>
        <w:rPr>
          <w:rFonts w:hint="eastAsia"/>
        </w:rPr>
        <w:t xml:space="preserve">[来源：GB/T </w:t>
      </w:r>
      <w:r>
        <w:rPr>
          <w:rFonts w:hint="eastAsia" w:hAnsi="宋体" w:cs="宋体"/>
        </w:rPr>
        <w:t>47351-2026,3.3]</w:t>
      </w:r>
    </w:p>
    <w:p w14:paraId="46819A51">
      <w:pPr>
        <w:pStyle w:val="229"/>
        <w:ind w:left="420" w:hanging="420" w:hangingChars="200"/>
        <w:rPr>
          <w:rFonts w:hint="eastAsia" w:ascii="黑体" w:hAnsi="黑体" w:eastAsia="黑体"/>
        </w:rPr>
      </w:pPr>
    </w:p>
    <w:p w14:paraId="7509E36C">
      <w:pPr>
        <w:pStyle w:val="229"/>
        <w:numPr>
          <w:ilvl w:val="0"/>
          <w:numId w:val="0"/>
        </w:numPr>
        <w:ind w:firstLine="420" w:firstLineChars="200"/>
        <w:rPr>
          <w:rFonts w:hint="eastAsia" w:ascii="黑体" w:hAnsi="黑体" w:eastAsia="黑体"/>
        </w:rPr>
      </w:pPr>
      <w:r>
        <w:rPr>
          <w:rFonts w:hint="eastAsia" w:ascii="黑体" w:hAnsi="黑体" w:eastAsia="黑体"/>
        </w:rPr>
        <w:t xml:space="preserve">配置 </w:t>
      </w:r>
      <w:r>
        <w:rPr>
          <w:rFonts w:ascii="黑体" w:hAnsi="黑体" w:eastAsia="黑体"/>
        </w:rPr>
        <w:t xml:space="preserve"> </w:t>
      </w:r>
      <w:r>
        <w:rPr>
          <w:rFonts w:hint="eastAsia" w:ascii="黑体" w:hAnsi="黑体" w:eastAsia="黑体"/>
        </w:rPr>
        <w:t>configuration</w:t>
      </w:r>
    </w:p>
    <w:p w14:paraId="1766A9D0">
      <w:pPr>
        <w:pStyle w:val="62"/>
        <w:ind w:firstLine="420"/>
      </w:pPr>
      <w:r>
        <w:t>对安全车控操作系统的各项参数、功能模块及其运行环境进行设置和调整的过程。</w:t>
      </w:r>
    </w:p>
    <w:p w14:paraId="588D428A">
      <w:pPr>
        <w:pStyle w:val="62"/>
        <w:ind w:firstLine="420"/>
      </w:pPr>
    </w:p>
    <w:p w14:paraId="3E3E87E4">
      <w:pPr>
        <w:pStyle w:val="229"/>
        <w:ind w:left="420" w:hanging="420" w:hangingChars="200"/>
      </w:pPr>
    </w:p>
    <w:p w14:paraId="7FF014E9">
      <w:pPr>
        <w:pStyle w:val="229"/>
        <w:numPr>
          <w:ilvl w:val="0"/>
          <w:numId w:val="0"/>
        </w:numPr>
        <w:ind w:firstLine="420" w:firstLineChars="200"/>
        <w:rPr>
          <w:rFonts w:hint="eastAsia" w:ascii="黑体" w:hAnsi="黑体" w:eastAsia="黑体"/>
        </w:rPr>
      </w:pPr>
      <w:r>
        <w:rPr>
          <w:rFonts w:hint="eastAsia" w:ascii="黑体" w:hAnsi="黑体" w:eastAsia="黑体"/>
        </w:rPr>
        <w:t>运行时环境 run time environment</w:t>
      </w:r>
    </w:p>
    <w:p w14:paraId="385F1BBE">
      <w:pPr>
        <w:pStyle w:val="62"/>
        <w:ind w:firstLine="420"/>
      </w:pPr>
      <w:r>
        <w:rPr>
          <w:rFonts w:hint="eastAsia"/>
        </w:rPr>
        <w:t>安全车控操作系统架构中为应用软件组件提供通信服务的中间件层。</w:t>
      </w:r>
    </w:p>
    <w:p w14:paraId="33B80D7C">
      <w:pPr>
        <w:pStyle w:val="62"/>
        <w:ind w:firstLine="0" w:firstLineChars="0"/>
      </w:pPr>
    </w:p>
    <w:p w14:paraId="36EA1022">
      <w:pPr>
        <w:pStyle w:val="229"/>
        <w:ind w:left="420" w:hanging="420" w:hangingChars="200"/>
        <w:rPr>
          <w:rFonts w:hint="eastAsia" w:ascii="黑体" w:hAnsi="黑体" w:eastAsia="黑体"/>
        </w:rPr>
      </w:pPr>
    </w:p>
    <w:p w14:paraId="4C79CA22">
      <w:pPr>
        <w:pStyle w:val="229"/>
        <w:numPr>
          <w:ilvl w:val="0"/>
          <w:numId w:val="0"/>
        </w:numPr>
        <w:ind w:firstLine="420" w:firstLineChars="200"/>
        <w:rPr>
          <w:rFonts w:hint="eastAsia" w:ascii="黑体" w:hAnsi="黑体" w:eastAsia="黑体"/>
        </w:rPr>
      </w:pPr>
      <w:r>
        <w:rPr>
          <w:rFonts w:hint="eastAsia" w:ascii="黑体" w:hAnsi="黑体" w:eastAsia="黑体"/>
        </w:rPr>
        <w:t>软件组件 software component</w:t>
      </w:r>
    </w:p>
    <w:p w14:paraId="774C55C3">
      <w:pPr>
        <w:pStyle w:val="62"/>
        <w:ind w:firstLine="420"/>
      </w:pPr>
      <w:r>
        <w:rPr>
          <w:rFonts w:hint="eastAsia"/>
        </w:rPr>
        <w:t>应用软件中实现特定功能的可复用软件单元，通过端口与其他组件进行通信。</w:t>
      </w:r>
    </w:p>
    <w:p w14:paraId="46830AC2">
      <w:pPr>
        <w:pStyle w:val="229"/>
        <w:numPr>
          <w:ilvl w:val="0"/>
          <w:numId w:val="0"/>
        </w:numPr>
        <w:ind w:firstLine="420" w:firstLineChars="200"/>
        <w:rPr>
          <w:rFonts w:hint="eastAsia" w:ascii="黑体" w:hAnsi="黑体" w:eastAsia="黑体"/>
        </w:rPr>
      </w:pPr>
    </w:p>
    <w:p w14:paraId="2C408420">
      <w:pPr>
        <w:pStyle w:val="229"/>
        <w:ind w:left="420" w:hanging="420" w:hangingChars="200"/>
        <w:rPr>
          <w:rFonts w:hint="eastAsia" w:ascii="黑体" w:hAnsi="黑体" w:eastAsia="黑体"/>
        </w:rPr>
      </w:pPr>
    </w:p>
    <w:p w14:paraId="42199CB0">
      <w:pPr>
        <w:pStyle w:val="229"/>
        <w:numPr>
          <w:ilvl w:val="0"/>
          <w:numId w:val="0"/>
        </w:numPr>
        <w:spacing w:before="105" w:after="105"/>
        <w:ind w:firstLine="420" w:firstLineChars="200"/>
        <w:jc w:val="left"/>
        <w:textAlignment w:val="baseline"/>
        <w:rPr>
          <w:rFonts w:hint="eastAsia" w:ascii="黑体" w:hAnsi="黑体" w:eastAsia="黑体"/>
          <w:color w:val="1A1A1A"/>
        </w:rPr>
      </w:pPr>
      <w:r>
        <w:rPr>
          <w:rFonts w:hint="eastAsia" w:ascii="黑体" w:hAnsi="黑体" w:eastAsia="黑体"/>
        </w:rPr>
        <w:t>任务映射 task mapping</w:t>
      </w:r>
    </w:p>
    <w:p w14:paraId="6B9CD657">
      <w:pPr>
        <w:pStyle w:val="62"/>
        <w:ind w:firstLine="420"/>
      </w:pPr>
      <w:r>
        <w:rPr>
          <w:rFonts w:hint="eastAsia"/>
        </w:rPr>
        <w:t>将软件组件中的可运行实体分配至操作系统任务的过程。</w:t>
      </w:r>
    </w:p>
    <w:p w14:paraId="7AD7AF9A">
      <w:pPr>
        <w:pStyle w:val="62"/>
        <w:ind w:firstLine="420"/>
        <w:rPr>
          <w:rFonts w:hint="eastAsia" w:ascii="黑体" w:hAnsi="黑体" w:eastAsia="黑体"/>
        </w:rPr>
      </w:pPr>
    </w:p>
    <w:p w14:paraId="3F78ABA5">
      <w:pPr>
        <w:pStyle w:val="110"/>
        <w:spacing w:before="240" w:after="240"/>
      </w:pPr>
      <w:bookmarkStart w:id="47" w:name="_Toc17079"/>
      <w:r>
        <w:rPr>
          <w:rFonts w:hint="eastAsia"/>
        </w:rPr>
        <w:t>缩略语</w:t>
      </w:r>
      <w:bookmarkEnd w:id="47"/>
    </w:p>
    <w:p w14:paraId="135DA6CC">
      <w:pPr>
        <w:pStyle w:val="62"/>
        <w:ind w:firstLine="420"/>
      </w:pPr>
      <w:r>
        <w:t>ADC：模数转换器 (Analog-to-Digital Converter)</w:t>
      </w:r>
    </w:p>
    <w:p w14:paraId="0AD48906">
      <w:pPr>
        <w:pStyle w:val="62"/>
        <w:ind w:firstLine="420"/>
      </w:pPr>
      <w:r>
        <w:t>ASIL：汽车安全完整性等级 (Automotive Safety Integrity Level)</w:t>
      </w:r>
    </w:p>
    <w:p w14:paraId="16996567">
      <w:pPr>
        <w:pStyle w:val="62"/>
        <w:ind w:firstLine="420"/>
      </w:pPr>
      <w:r>
        <w:t>BSW：基础软件 (Basic Software)</w:t>
      </w:r>
    </w:p>
    <w:p w14:paraId="15D3D911">
      <w:pPr>
        <w:pStyle w:val="62"/>
        <w:ind w:firstLine="420"/>
      </w:pPr>
      <w:r>
        <w:t>CAL：网络安全保障等级 (Cybersecurity Assurance Level)</w:t>
      </w:r>
    </w:p>
    <w:p w14:paraId="7B3B20F0">
      <w:pPr>
        <w:pStyle w:val="62"/>
        <w:ind w:firstLine="420"/>
      </w:pPr>
      <w:r>
        <w:t>CAN：控制器局域网络 (Controller Area Network)</w:t>
      </w:r>
    </w:p>
    <w:p w14:paraId="266B8722">
      <w:pPr>
        <w:pStyle w:val="62"/>
        <w:ind w:firstLine="420"/>
      </w:pPr>
      <w:r>
        <w:t>CRC：循环冗余校验 (Cyclic Redundancy Check)</w:t>
      </w:r>
    </w:p>
    <w:p w14:paraId="062BE538">
      <w:pPr>
        <w:pStyle w:val="62"/>
        <w:ind w:firstLine="420"/>
      </w:pPr>
      <w:r>
        <w:t>DIO：数字输入输出 (Digital Input/Output)</w:t>
      </w:r>
    </w:p>
    <w:p w14:paraId="5D053BDB">
      <w:pPr>
        <w:pStyle w:val="62"/>
        <w:ind w:firstLine="420"/>
      </w:pPr>
      <w:r>
        <w:t>E2E：端到端保护 (End-to-End)</w:t>
      </w:r>
    </w:p>
    <w:p w14:paraId="2CD62856">
      <w:pPr>
        <w:pStyle w:val="62"/>
        <w:ind w:firstLine="420"/>
      </w:pPr>
      <w:r>
        <w:t>ECU：电子控制单元 (Electronic Control Unit)</w:t>
      </w:r>
    </w:p>
    <w:p w14:paraId="2ED634AC">
      <w:pPr>
        <w:pStyle w:val="62"/>
        <w:ind w:firstLine="420"/>
      </w:pPr>
      <w:r>
        <w:t>ETH：以太网 (Ethernet)</w:t>
      </w:r>
    </w:p>
    <w:p w14:paraId="6AAF849F">
      <w:pPr>
        <w:pStyle w:val="62"/>
        <w:ind w:firstLine="420"/>
      </w:pPr>
      <w:r>
        <w:t>HSM：硬件安全模块 (Hardware Security Module)</w:t>
      </w:r>
    </w:p>
    <w:p w14:paraId="6A7FB54E">
      <w:pPr>
        <w:pStyle w:val="62"/>
        <w:ind w:firstLine="420"/>
      </w:pPr>
      <w:r>
        <w:t>I2C：集成电路总线 (Inter-Integrated Circuit)</w:t>
      </w:r>
    </w:p>
    <w:p w14:paraId="405B609B">
      <w:pPr>
        <w:pStyle w:val="62"/>
        <w:ind w:firstLine="420"/>
      </w:pPr>
      <w:r>
        <w:t>LIN：局域通信网络 (Local Interconnect Network)</w:t>
      </w:r>
    </w:p>
    <w:p w14:paraId="0C95EA09">
      <w:pPr>
        <w:pStyle w:val="62"/>
        <w:ind w:firstLine="420"/>
      </w:pPr>
      <w:r>
        <w:t>MMU：内存管理单元 (Memory Management Unit)</w:t>
      </w:r>
    </w:p>
    <w:p w14:paraId="6E4018EF">
      <w:pPr>
        <w:pStyle w:val="62"/>
        <w:ind w:firstLine="420"/>
      </w:pPr>
      <w:r>
        <w:t>MPU：内存保护单元 (Memory Protection Unit)</w:t>
      </w:r>
    </w:p>
    <w:p w14:paraId="2C097579">
      <w:pPr>
        <w:pStyle w:val="62"/>
        <w:ind w:firstLine="420"/>
      </w:pPr>
      <w:r>
        <w:t>MSC：微秒级通道 (Micro-Second Channel)</w:t>
      </w:r>
    </w:p>
    <w:p w14:paraId="01EC651F">
      <w:pPr>
        <w:pStyle w:val="62"/>
        <w:ind w:firstLine="420"/>
      </w:pPr>
      <w:r>
        <w:t>PDU：协议数据单元 (Protocol Data Unit)</w:t>
      </w:r>
    </w:p>
    <w:p w14:paraId="64F018A5">
      <w:pPr>
        <w:pStyle w:val="62"/>
        <w:ind w:firstLine="420"/>
      </w:pPr>
      <w:r>
        <w:t>PWM：脉宽调制 (Pulse Width Modulation)</w:t>
      </w:r>
    </w:p>
    <w:p w14:paraId="69EE6F99">
      <w:pPr>
        <w:pStyle w:val="62"/>
        <w:ind w:firstLine="420"/>
      </w:pPr>
      <w:r>
        <w:t>RTE：运行时环境 (Run-Time Environment)</w:t>
      </w:r>
    </w:p>
    <w:p w14:paraId="7B3C2283">
      <w:pPr>
        <w:pStyle w:val="62"/>
        <w:ind w:firstLine="420"/>
      </w:pPr>
      <w:r>
        <w:t>SPI：串行外设接口 (Serial Peripheral Interface)</w:t>
      </w:r>
    </w:p>
    <w:p w14:paraId="4D04E4F0">
      <w:pPr>
        <w:pStyle w:val="62"/>
        <w:ind w:firstLine="420"/>
      </w:pPr>
      <w:r>
        <w:t>SWC：软件组件 (Software Component)</w:t>
      </w:r>
    </w:p>
    <w:p w14:paraId="4FCFB403">
      <w:pPr>
        <w:pStyle w:val="62"/>
        <w:ind w:firstLine="420"/>
      </w:pPr>
      <w:r>
        <w:t>TSR：技术安全需求 (Technical Safety Requirement)</w:t>
      </w:r>
    </w:p>
    <w:p w14:paraId="6E39B559">
      <w:pPr>
        <w:pStyle w:val="62"/>
        <w:ind w:firstLine="420"/>
      </w:pPr>
      <w:r>
        <w:t>UART：通用异步收发传输器 (Universal Asynchronous Receiver/Transmitter)</w:t>
      </w:r>
    </w:p>
    <w:p w14:paraId="36EF0481">
      <w:pPr>
        <w:pStyle w:val="110"/>
        <w:spacing w:before="240" w:after="240"/>
      </w:pPr>
      <w:bookmarkStart w:id="48" w:name="_Toc22585"/>
      <w:bookmarkStart w:id="49" w:name="_Toc13728"/>
      <w:bookmarkStart w:id="50" w:name="_Toc31507"/>
      <w:r>
        <w:rPr>
          <w:rFonts w:hint="eastAsia"/>
        </w:rPr>
        <w:t>配置流程</w:t>
      </w:r>
      <w:bookmarkEnd w:id="48"/>
      <w:bookmarkEnd w:id="49"/>
      <w:bookmarkEnd w:id="50"/>
    </w:p>
    <w:p w14:paraId="0A8C955E">
      <w:pPr>
        <w:pStyle w:val="111"/>
        <w:spacing w:before="120" w:after="120"/>
      </w:pPr>
      <w:bookmarkStart w:id="51" w:name="_Toc5270"/>
      <w:bookmarkStart w:id="52" w:name="_Toc3187"/>
      <w:r>
        <w:rPr>
          <w:rFonts w:hint="eastAsia"/>
        </w:rPr>
        <w:t>配置准备</w:t>
      </w:r>
      <w:bookmarkEnd w:id="51"/>
      <w:bookmarkEnd w:id="52"/>
    </w:p>
    <w:p w14:paraId="4E4AFC15">
      <w:pPr>
        <w:pStyle w:val="62"/>
        <w:ind w:firstLine="420"/>
      </w:pPr>
      <w:r>
        <w:rPr>
          <w:rFonts w:hint="eastAsia"/>
        </w:rPr>
        <w:t>安全车控操作系统的配置准备，</w:t>
      </w:r>
      <w:r>
        <w:rPr>
          <w:rFonts w:hint="eastAsia" w:hAnsi="宋体"/>
        </w:rPr>
        <w:t>应按照以下步骤进行：</w:t>
      </w:r>
    </w:p>
    <w:p w14:paraId="2DB58FAA">
      <w:pPr>
        <w:pStyle w:val="180"/>
        <w:tabs>
          <w:tab w:val="left" w:pos="2248"/>
        </w:tabs>
        <w:rPr>
          <w:rFonts w:ascii="Times New Roman"/>
        </w:rPr>
      </w:pPr>
      <w:r>
        <w:rPr>
          <w:rFonts w:hint="eastAsia" w:ascii="Times New Roman"/>
        </w:rPr>
        <w:t>硬件平台确认：确认目标硬件平台特性，包括微控制器型号、主频、存储大小、内存大小、外设资源等；</w:t>
      </w:r>
    </w:p>
    <w:p w14:paraId="29554506">
      <w:pPr>
        <w:pStyle w:val="180"/>
        <w:tabs>
          <w:tab w:val="left" w:pos="2248"/>
        </w:tabs>
        <w:rPr>
          <w:rFonts w:ascii="Times New Roman"/>
        </w:rPr>
      </w:pPr>
      <w:r>
        <w:rPr>
          <w:rFonts w:hint="eastAsia" w:ascii="Times New Roman"/>
        </w:rPr>
        <w:t>工具链准备：选择和配置符合标准的配置工具链；</w:t>
      </w:r>
    </w:p>
    <w:p w14:paraId="4745CFF8">
      <w:pPr>
        <w:pStyle w:val="180"/>
        <w:tabs>
          <w:tab w:val="left" w:pos="2248"/>
        </w:tabs>
        <w:rPr>
          <w:rFonts w:ascii="Times New Roman"/>
        </w:rPr>
      </w:pPr>
      <w:r>
        <w:rPr>
          <w:rFonts w:hint="eastAsia" w:ascii="Times New Roman"/>
        </w:rPr>
        <w:t>需求分析：分析功能需求、功能安全、信息安全、实时性及系统资源需求，结合系统需求、应用架构需求及硬件需求，明确配置约束与目标；</w:t>
      </w:r>
    </w:p>
    <w:p w14:paraId="5C48404C">
      <w:pPr>
        <w:pStyle w:val="180"/>
        <w:tabs>
          <w:tab w:val="left" w:pos="2248"/>
        </w:tabs>
        <w:rPr>
          <w:rFonts w:ascii="Times New Roman"/>
        </w:rPr>
      </w:pPr>
      <w:r>
        <w:rPr>
          <w:rFonts w:hint="eastAsia" w:ascii="Times New Roman"/>
        </w:rPr>
        <w:t>工程创建：基于所选硬件平台和系统架构创建基础工程框架，导入基础模块描述文件；</w:t>
      </w:r>
    </w:p>
    <w:p w14:paraId="5AD79054">
      <w:pPr>
        <w:pStyle w:val="180"/>
        <w:tabs>
          <w:tab w:val="left" w:pos="2248"/>
        </w:tabs>
        <w:rPr>
          <w:rFonts w:ascii="Times New Roman"/>
        </w:rPr>
      </w:pPr>
      <w:r>
        <w:rPr>
          <w:rFonts w:hint="eastAsia" w:ascii="Times New Roman"/>
        </w:rPr>
        <w:t>架构设计：进行硬件相关驱动组件设计、系统需求对应功能组件设计、通信诊断等电子电气架构对应组件设计。</w:t>
      </w:r>
    </w:p>
    <w:p w14:paraId="1AC8D5DD">
      <w:pPr>
        <w:pStyle w:val="111"/>
        <w:spacing w:before="120" w:after="120"/>
      </w:pPr>
      <w:bookmarkStart w:id="53" w:name="_Toc29509"/>
      <w:bookmarkStart w:id="54" w:name="_Toc31699"/>
      <w:r>
        <w:rPr>
          <w:rFonts w:hint="eastAsia"/>
        </w:rPr>
        <w:t>配置实施</w:t>
      </w:r>
      <w:bookmarkEnd w:id="53"/>
      <w:bookmarkEnd w:id="54"/>
    </w:p>
    <w:p w14:paraId="25C12F9E">
      <w:pPr>
        <w:pStyle w:val="62"/>
        <w:ind w:firstLine="420"/>
      </w:pPr>
      <w:r>
        <w:rPr>
          <w:rFonts w:hint="eastAsia"/>
        </w:rPr>
        <w:t>安全车控操作系统的配置实施，</w:t>
      </w:r>
      <w:r>
        <w:rPr>
          <w:rFonts w:hint="eastAsia" w:hAnsi="宋体"/>
        </w:rPr>
        <w:t>应按照以下步骤进行：</w:t>
      </w:r>
    </w:p>
    <w:p w14:paraId="7F4C79F1">
      <w:pPr>
        <w:pStyle w:val="180"/>
        <w:numPr>
          <w:ilvl w:val="0"/>
          <w:numId w:val="32"/>
        </w:numPr>
        <w:tabs>
          <w:tab w:val="left" w:pos="2248"/>
        </w:tabs>
        <w:rPr>
          <w:rFonts w:ascii="Times New Roman"/>
        </w:rPr>
      </w:pPr>
      <w:r>
        <w:rPr>
          <w:rFonts w:hint="eastAsia" w:ascii="Times New Roman"/>
        </w:rPr>
        <w:t>模块创建与选择：应根据系统需求在工程中创建或选择所需的软件模块；</w:t>
      </w:r>
    </w:p>
    <w:p w14:paraId="33EEFF93">
      <w:pPr>
        <w:pStyle w:val="180"/>
        <w:numPr>
          <w:ilvl w:val="0"/>
          <w:numId w:val="32"/>
        </w:numPr>
        <w:tabs>
          <w:tab w:val="left" w:pos="2248"/>
        </w:tabs>
        <w:rPr>
          <w:rFonts w:ascii="Times New Roman"/>
        </w:rPr>
      </w:pPr>
      <w:r>
        <w:rPr>
          <w:rFonts w:hint="eastAsia" w:ascii="Times New Roman"/>
        </w:rPr>
        <w:t>文件导入：应支持导入行业标准文件以自动提取配置信息，包括ARXML文件、DBC文件、LDF文件、ODX文件；</w:t>
      </w:r>
    </w:p>
    <w:p w14:paraId="72CF68F7">
      <w:pPr>
        <w:pStyle w:val="180"/>
        <w:numPr>
          <w:ilvl w:val="0"/>
          <w:numId w:val="32"/>
        </w:numPr>
        <w:tabs>
          <w:tab w:val="left" w:pos="2248"/>
        </w:tabs>
        <w:rPr>
          <w:rFonts w:ascii="Times New Roman"/>
        </w:rPr>
      </w:pPr>
      <w:r>
        <w:rPr>
          <w:rFonts w:hint="eastAsia" w:ascii="Times New Roman"/>
        </w:rPr>
        <w:t>参数配置：应通过配置工具界面设置模块参数，包括通信参数、诊断参数、存储参数及安全参数等，并进行任务映射（task mapping）及RTE配置；</w:t>
      </w:r>
    </w:p>
    <w:p w14:paraId="19FABF46">
      <w:pPr>
        <w:pStyle w:val="180"/>
        <w:numPr>
          <w:ilvl w:val="0"/>
          <w:numId w:val="32"/>
        </w:numPr>
        <w:tabs>
          <w:tab w:val="left" w:pos="2248"/>
        </w:tabs>
        <w:rPr>
          <w:rFonts w:ascii="Times New Roman"/>
        </w:rPr>
      </w:pPr>
      <w:r>
        <w:rPr>
          <w:rFonts w:hint="eastAsia" w:ascii="Times New Roman"/>
        </w:rPr>
        <w:t>配置校验：应执行静态校验，检查参数合法性、模块间依赖一致性、资源冲突及是否符合安全约束。</w:t>
      </w:r>
    </w:p>
    <w:p w14:paraId="43889781">
      <w:pPr>
        <w:pStyle w:val="111"/>
        <w:spacing w:before="120" w:after="120"/>
      </w:pPr>
      <w:bookmarkStart w:id="55" w:name="_Toc30773"/>
      <w:bookmarkStart w:id="56" w:name="_Toc31427"/>
      <w:r>
        <w:rPr>
          <w:rFonts w:hint="eastAsia"/>
        </w:rPr>
        <w:t>代码生成与集成</w:t>
      </w:r>
      <w:bookmarkEnd w:id="55"/>
      <w:bookmarkEnd w:id="56"/>
    </w:p>
    <w:p w14:paraId="6A28F6BE">
      <w:pPr>
        <w:pStyle w:val="62"/>
        <w:ind w:firstLine="420"/>
      </w:pPr>
      <w:r>
        <w:rPr>
          <w:rFonts w:hint="eastAsia"/>
        </w:rPr>
        <w:t>安全车控操作系统的代码生成与集成，</w:t>
      </w:r>
      <w:r>
        <w:rPr>
          <w:rFonts w:hint="eastAsia" w:hAnsi="宋体"/>
        </w:rPr>
        <w:t>应按照以下步骤进行：</w:t>
      </w:r>
    </w:p>
    <w:p w14:paraId="408ED0C8">
      <w:pPr>
        <w:pStyle w:val="180"/>
        <w:numPr>
          <w:ilvl w:val="0"/>
          <w:numId w:val="33"/>
        </w:numPr>
        <w:tabs>
          <w:tab w:val="left" w:pos="2248"/>
        </w:tabs>
        <w:rPr>
          <w:rFonts w:ascii="Times New Roman"/>
        </w:rPr>
      </w:pPr>
      <w:r>
        <w:rPr>
          <w:rFonts w:hint="eastAsia" w:ascii="Times New Roman"/>
        </w:rPr>
        <w:t>配置代码生成：应使用配置工具生成与硬件、软件框架相关的配置代码；</w:t>
      </w:r>
    </w:p>
    <w:p w14:paraId="41EC68DD">
      <w:pPr>
        <w:pStyle w:val="180"/>
        <w:numPr>
          <w:ilvl w:val="0"/>
          <w:numId w:val="33"/>
        </w:numPr>
        <w:tabs>
          <w:tab w:val="left" w:pos="2248"/>
        </w:tabs>
        <w:rPr>
          <w:rFonts w:ascii="Times New Roman"/>
        </w:rPr>
      </w:pPr>
      <w:r>
        <w:rPr>
          <w:rFonts w:hint="eastAsia" w:ascii="Times New Roman"/>
        </w:rPr>
        <w:t>软件集成：应将生成的配置代码与手写代码、运行时环境及底层驱动进行集成，确保接口一致；</w:t>
      </w:r>
    </w:p>
    <w:p w14:paraId="257FC8D1">
      <w:pPr>
        <w:pStyle w:val="180"/>
        <w:numPr>
          <w:ilvl w:val="0"/>
          <w:numId w:val="33"/>
        </w:numPr>
        <w:tabs>
          <w:tab w:val="left" w:pos="2248"/>
        </w:tabs>
        <w:rPr>
          <w:rFonts w:ascii="Times New Roman"/>
        </w:rPr>
      </w:pPr>
      <w:r>
        <w:rPr>
          <w:rFonts w:hint="eastAsia" w:ascii="Times New Roman"/>
        </w:rPr>
        <w:t>编译构建：应使用指定编译工具链完成系统镜像的编译链接，生成可执行文件；</w:t>
      </w:r>
    </w:p>
    <w:p w14:paraId="3247CE4C">
      <w:pPr>
        <w:pStyle w:val="180"/>
        <w:numPr>
          <w:ilvl w:val="0"/>
          <w:numId w:val="33"/>
        </w:numPr>
        <w:tabs>
          <w:tab w:val="left" w:pos="2248"/>
        </w:tabs>
        <w:rPr>
          <w:rFonts w:ascii="Times New Roman"/>
        </w:rPr>
      </w:pPr>
      <w:r>
        <w:rPr>
          <w:rFonts w:hint="eastAsia" w:ascii="Times New Roman"/>
        </w:rPr>
        <w:t>链接配置：应根据内存映射调整链接脚本，确保代码与数据段地址分配符合硬件约束。</w:t>
      </w:r>
    </w:p>
    <w:p w14:paraId="07C20152">
      <w:pPr>
        <w:pStyle w:val="180"/>
        <w:numPr>
          <w:ilvl w:val="0"/>
          <w:numId w:val="33"/>
        </w:numPr>
        <w:tabs>
          <w:tab w:val="left" w:pos="2248"/>
        </w:tabs>
        <w:rPr>
          <w:rFonts w:ascii="Times New Roman"/>
        </w:rPr>
      </w:pPr>
      <w:r>
        <w:rPr>
          <w:rFonts w:hint="eastAsia" w:ascii="Times New Roman"/>
        </w:rPr>
        <w:t>调试验证：应在实际硬件环境中进行功能测试，分析实际CPU负载、内存使用情况等。</w:t>
      </w:r>
    </w:p>
    <w:p w14:paraId="38B953BF">
      <w:pPr>
        <w:pStyle w:val="111"/>
        <w:spacing w:before="120" w:after="120"/>
      </w:pPr>
      <w:bookmarkStart w:id="57" w:name="_Toc29041"/>
      <w:bookmarkStart w:id="58" w:name="_Toc7453"/>
      <w:r>
        <w:rPr>
          <w:rFonts w:hint="eastAsia"/>
        </w:rPr>
        <w:t>配置管理</w:t>
      </w:r>
      <w:bookmarkEnd w:id="57"/>
      <w:bookmarkEnd w:id="58"/>
    </w:p>
    <w:p w14:paraId="38CE9FA1">
      <w:pPr>
        <w:pStyle w:val="62"/>
        <w:ind w:firstLine="420"/>
      </w:pPr>
      <w:r>
        <w:rPr>
          <w:rFonts w:hint="eastAsia"/>
        </w:rPr>
        <w:t>安全车控操作系统的配置管理，</w:t>
      </w:r>
      <w:r>
        <w:rPr>
          <w:rFonts w:hint="eastAsia" w:hAnsi="宋体"/>
        </w:rPr>
        <w:t>应遵循以下要求：</w:t>
      </w:r>
    </w:p>
    <w:p w14:paraId="69CEA3C6">
      <w:pPr>
        <w:pStyle w:val="180"/>
        <w:numPr>
          <w:ilvl w:val="0"/>
          <w:numId w:val="34"/>
        </w:numPr>
        <w:tabs>
          <w:tab w:val="left" w:pos="2248"/>
        </w:tabs>
        <w:rPr>
          <w:rFonts w:ascii="Times New Roman"/>
        </w:rPr>
      </w:pPr>
      <w:r>
        <w:rPr>
          <w:rFonts w:hint="eastAsia" w:ascii="Times New Roman"/>
        </w:rPr>
        <w:t>版本控制：所有配置文件、生成代码及工具配置均应纳入版本管理，记录变更历史；</w:t>
      </w:r>
    </w:p>
    <w:p w14:paraId="376DDD4A">
      <w:pPr>
        <w:pStyle w:val="180"/>
        <w:numPr>
          <w:ilvl w:val="0"/>
          <w:numId w:val="34"/>
        </w:numPr>
        <w:tabs>
          <w:tab w:val="left" w:pos="2248"/>
        </w:tabs>
        <w:rPr>
          <w:rFonts w:ascii="Times New Roman"/>
        </w:rPr>
      </w:pPr>
      <w:r>
        <w:rPr>
          <w:rFonts w:hint="eastAsia" w:ascii="Times New Roman"/>
        </w:rPr>
        <w:t>变更管理：配置变更应经过评审与验证，确保变更受控且不影响已有功能；</w:t>
      </w:r>
    </w:p>
    <w:p w14:paraId="0CCF2B1D">
      <w:pPr>
        <w:pStyle w:val="180"/>
        <w:numPr>
          <w:ilvl w:val="0"/>
          <w:numId w:val="34"/>
        </w:numPr>
        <w:tabs>
          <w:tab w:val="left" w:pos="2248"/>
        </w:tabs>
        <w:rPr>
          <w:rFonts w:ascii="Times New Roman"/>
        </w:rPr>
      </w:pPr>
      <w:r>
        <w:rPr>
          <w:rFonts w:hint="eastAsia" w:ascii="Times New Roman"/>
        </w:rPr>
        <w:t>基线管理：在关键里程碑应建立配置基线，作为后续发布的基准。</w:t>
      </w:r>
    </w:p>
    <w:p w14:paraId="02B5B91A">
      <w:pPr>
        <w:pStyle w:val="110"/>
        <w:spacing w:before="240" w:after="240"/>
      </w:pPr>
      <w:bookmarkStart w:id="59" w:name="_Toc103782697"/>
      <w:bookmarkEnd w:id="59"/>
      <w:bookmarkStart w:id="60" w:name="_Toc1405"/>
      <w:bookmarkStart w:id="61" w:name="_Toc28037"/>
      <w:bookmarkStart w:id="62" w:name="_Toc27777"/>
      <w:r>
        <w:rPr>
          <w:rFonts w:hint="eastAsia"/>
        </w:rPr>
        <w:t>模块分层及协同</w:t>
      </w:r>
      <w:bookmarkEnd w:id="60"/>
      <w:bookmarkEnd w:id="61"/>
      <w:r>
        <w:rPr>
          <w:rFonts w:hint="eastAsia"/>
        </w:rPr>
        <w:t>配置</w:t>
      </w:r>
      <w:bookmarkEnd w:id="62"/>
    </w:p>
    <w:p w14:paraId="108ACB74">
      <w:pPr>
        <w:pStyle w:val="111"/>
        <w:spacing w:before="120" w:after="120"/>
        <w:rPr>
          <w:rFonts w:hint="eastAsia" w:ascii="宋体" w:hAnsi="宋体" w:eastAsia="宋体"/>
        </w:rPr>
      </w:pPr>
      <w:bookmarkStart w:id="63" w:name="_Toc103782698"/>
      <w:bookmarkEnd w:id="63"/>
      <w:bookmarkStart w:id="64" w:name="_Toc28980"/>
      <w:bookmarkStart w:id="65" w:name="_Toc12355"/>
      <w:r>
        <w:rPr>
          <w:rFonts w:hint="eastAsia" w:ascii="宋体" w:hAnsi="宋体"/>
        </w:rPr>
        <w:t>硬件驱动配置</w:t>
      </w:r>
      <w:bookmarkEnd w:id="64"/>
      <w:bookmarkEnd w:id="65"/>
    </w:p>
    <w:p w14:paraId="37ABCCAD">
      <w:pPr>
        <w:pStyle w:val="71"/>
        <w:spacing w:before="120" w:after="120"/>
      </w:pPr>
      <w:bookmarkStart w:id="66" w:name="_Toc19893"/>
      <w:bookmarkStart w:id="67" w:name="_Toc17126"/>
      <w:r>
        <w:rPr>
          <w:rFonts w:hint="eastAsia"/>
        </w:rPr>
        <w:t>微控制器驱动配置</w:t>
      </w:r>
      <w:bookmarkEnd w:id="66"/>
      <w:bookmarkEnd w:id="67"/>
    </w:p>
    <w:p w14:paraId="54D7E7C8">
      <w:pPr>
        <w:widowControl/>
        <w:autoSpaceDE w:val="0"/>
        <w:autoSpaceDN w:val="0"/>
        <w:adjustRightInd/>
        <w:spacing w:line="240" w:lineRule="auto"/>
        <w:ind w:firstLine="424" w:firstLineChars="202"/>
        <w:rPr>
          <w:rFonts w:ascii="宋体" w:hAnsi="Times New Roman"/>
          <w:kern w:val="0"/>
        </w:rPr>
      </w:pPr>
      <w:r>
        <w:rPr>
          <w:rFonts w:hint="eastAsia" w:ascii="宋体" w:hAnsi="Times New Roman"/>
          <w:kern w:val="0"/>
        </w:rPr>
        <w:t>微控制器驱动配置涉及MCU、WDG等配置项，具体要求如下：</w:t>
      </w:r>
    </w:p>
    <w:p w14:paraId="79E3C2D0">
      <w:pPr>
        <w:pStyle w:val="180"/>
        <w:numPr>
          <w:ilvl w:val="0"/>
          <w:numId w:val="35"/>
        </w:numPr>
        <w:tabs>
          <w:tab w:val="left" w:pos="2248"/>
        </w:tabs>
      </w:pPr>
      <w:r>
        <w:rPr>
          <w:rFonts w:hint="eastAsia"/>
        </w:rPr>
        <w:t>MCU配置：应配置微控制器内核寄存器初始化及核心外设，设置电源管理模式及切换条件；应配置MCU时钟，包括系统时钟源的选择与切换、PLL倍频参数、内核时钟及外设总线分频系数、外设时钟使能及门控策略。</w:t>
      </w:r>
    </w:p>
    <w:p w14:paraId="31B599A1">
      <w:pPr>
        <w:pStyle w:val="180"/>
        <w:numPr>
          <w:ilvl w:val="0"/>
          <w:numId w:val="35"/>
        </w:numPr>
        <w:tabs>
          <w:tab w:val="left" w:pos="2248"/>
        </w:tabs>
      </w:pPr>
      <w:r>
        <w:rPr>
          <w:rFonts w:hint="eastAsia"/>
        </w:rPr>
        <w:t>WDG配置：应设置看门狗超时时间及窗口阈值、触发复位的响应行为，定义喂狗策略及安全访问序列。</w:t>
      </w:r>
    </w:p>
    <w:p w14:paraId="1ED376E7">
      <w:pPr>
        <w:pStyle w:val="71"/>
        <w:spacing w:before="120" w:after="120"/>
      </w:pPr>
      <w:bookmarkStart w:id="68" w:name="_Toc10784"/>
      <w:bookmarkStart w:id="69" w:name="_Toc32704"/>
      <w:r>
        <w:rPr>
          <w:rFonts w:hint="eastAsia"/>
        </w:rPr>
        <w:t>存储器驱动配置</w:t>
      </w:r>
      <w:bookmarkEnd w:id="68"/>
      <w:bookmarkEnd w:id="69"/>
    </w:p>
    <w:p w14:paraId="31854559">
      <w:pPr>
        <w:widowControl/>
        <w:autoSpaceDE w:val="0"/>
        <w:autoSpaceDN w:val="0"/>
        <w:adjustRightInd/>
        <w:spacing w:line="240" w:lineRule="auto"/>
        <w:ind w:firstLine="424" w:firstLineChars="202"/>
        <w:rPr>
          <w:rFonts w:ascii="宋体" w:hAnsi="Times New Roman"/>
          <w:kern w:val="0"/>
        </w:rPr>
      </w:pPr>
      <w:r>
        <w:rPr>
          <w:rFonts w:hint="eastAsia" w:ascii="宋体" w:hAnsi="Times New Roman"/>
          <w:kern w:val="0"/>
        </w:rPr>
        <w:t>存储器驱动配置涉及分区、FLASH、EEPROM等配置项，具体要求如下：</w:t>
      </w:r>
    </w:p>
    <w:p w14:paraId="60C24178">
      <w:pPr>
        <w:pStyle w:val="180"/>
        <w:numPr>
          <w:ilvl w:val="0"/>
          <w:numId w:val="36"/>
        </w:numPr>
        <w:tabs>
          <w:tab w:val="left" w:pos="2248"/>
        </w:tabs>
      </w:pPr>
      <w:r>
        <w:rPr>
          <w:rFonts w:hint="eastAsia"/>
        </w:rPr>
        <w:t>分区划分：</w:t>
      </w:r>
    </w:p>
    <w:p w14:paraId="17568624">
      <w:pPr>
        <w:pStyle w:val="180"/>
        <w:numPr>
          <w:ilvl w:val="0"/>
          <w:numId w:val="37"/>
        </w:numPr>
        <w:tabs>
          <w:tab w:val="left" w:pos="2248"/>
          <w:tab w:val="clear" w:pos="851"/>
        </w:tabs>
        <w:ind w:left="845" w:firstLine="0"/>
      </w:pPr>
      <w:r>
        <w:rPr>
          <w:rFonts w:hint="eastAsia"/>
        </w:rPr>
        <w:t>应划分Bootloader区、应用代码区、参数存储区；</w:t>
      </w:r>
    </w:p>
    <w:p w14:paraId="6D64DBFB">
      <w:pPr>
        <w:pStyle w:val="180"/>
        <w:numPr>
          <w:ilvl w:val="0"/>
          <w:numId w:val="37"/>
        </w:numPr>
        <w:tabs>
          <w:tab w:val="left" w:pos="2248"/>
          <w:tab w:val="clear" w:pos="851"/>
        </w:tabs>
        <w:ind w:left="845" w:firstLine="0"/>
      </w:pPr>
      <w:r>
        <w:rPr>
          <w:rFonts w:hint="eastAsia"/>
        </w:rPr>
        <w:t>若硬件芯片支持A/B分区（SWAP特性），应根据其特性进行分区规划，满足OTA升级时的安全回滚要求。</w:t>
      </w:r>
    </w:p>
    <w:p w14:paraId="51582245">
      <w:pPr>
        <w:pStyle w:val="180"/>
        <w:numPr>
          <w:ilvl w:val="0"/>
          <w:numId w:val="36"/>
        </w:numPr>
        <w:tabs>
          <w:tab w:val="left" w:pos="2248"/>
        </w:tabs>
      </w:pPr>
      <w:r>
        <w:rPr>
          <w:rFonts w:hint="eastAsia"/>
        </w:rPr>
        <w:t>FLASH配置：应配置FLASH扇区划分、擦除时间参数及读写等待周期，配置读写保护机制及安全访问权限；</w:t>
      </w:r>
    </w:p>
    <w:p w14:paraId="3D279519">
      <w:pPr>
        <w:pStyle w:val="180"/>
        <w:numPr>
          <w:ilvl w:val="0"/>
          <w:numId w:val="36"/>
        </w:numPr>
        <w:tabs>
          <w:tab w:val="left" w:pos="2248"/>
        </w:tabs>
      </w:pPr>
      <w:r>
        <w:rPr>
          <w:rFonts w:hint="eastAsia"/>
        </w:rPr>
        <w:t>EEPROM配置：应配置EEPROM的块大小、擦写循环策略，配置数据校验机制。</w:t>
      </w:r>
    </w:p>
    <w:p w14:paraId="328FA65E">
      <w:pPr>
        <w:pStyle w:val="71"/>
        <w:spacing w:before="120" w:after="120"/>
      </w:pPr>
      <w:bookmarkStart w:id="70" w:name="_Toc24429"/>
      <w:bookmarkStart w:id="71" w:name="_Toc11382"/>
      <w:r>
        <w:rPr>
          <w:rFonts w:hint="eastAsia"/>
        </w:rPr>
        <w:t>通信驱动配置</w:t>
      </w:r>
      <w:bookmarkEnd w:id="70"/>
      <w:bookmarkEnd w:id="71"/>
    </w:p>
    <w:p w14:paraId="4BEE2629">
      <w:pPr>
        <w:widowControl/>
        <w:autoSpaceDE w:val="0"/>
        <w:autoSpaceDN w:val="0"/>
        <w:adjustRightInd/>
        <w:spacing w:line="240" w:lineRule="auto"/>
        <w:ind w:firstLine="424" w:firstLineChars="202"/>
        <w:rPr>
          <w:rFonts w:ascii="宋体" w:hAnsi="Times New Roman"/>
          <w:kern w:val="0"/>
        </w:rPr>
      </w:pPr>
      <w:r>
        <w:rPr>
          <w:rFonts w:hint="eastAsia" w:ascii="宋体" w:hAnsi="Times New Roman"/>
          <w:kern w:val="0"/>
        </w:rPr>
        <w:t>通信驱动配置涉及CAN、SPI、I2C、UART、MSC、LIN、ETH等配置项，具体要求如下：</w:t>
      </w:r>
    </w:p>
    <w:p w14:paraId="0A3ACDB6">
      <w:pPr>
        <w:pStyle w:val="180"/>
        <w:numPr>
          <w:ilvl w:val="0"/>
          <w:numId w:val="38"/>
        </w:numPr>
        <w:tabs>
          <w:tab w:val="left" w:pos="2248"/>
        </w:tabs>
      </w:pPr>
      <w:r>
        <w:rPr>
          <w:rFonts w:hint="eastAsia"/>
        </w:rPr>
        <w:t>CAN配置：应配置CAN控制器波特率、采样点、收发邮箱的分配等；</w:t>
      </w:r>
    </w:p>
    <w:p w14:paraId="0CF2784A">
      <w:pPr>
        <w:pStyle w:val="180"/>
        <w:numPr>
          <w:ilvl w:val="0"/>
          <w:numId w:val="38"/>
        </w:numPr>
        <w:tabs>
          <w:tab w:val="left" w:pos="2248"/>
        </w:tabs>
      </w:pPr>
      <w:r>
        <w:rPr>
          <w:rFonts w:hint="eastAsia"/>
        </w:rPr>
        <w:t>SPI配置：应定义主从模式、通信速率，配置中断或DMA传输方式等；</w:t>
      </w:r>
    </w:p>
    <w:p w14:paraId="4CFD7910">
      <w:pPr>
        <w:pStyle w:val="180"/>
        <w:numPr>
          <w:ilvl w:val="0"/>
          <w:numId w:val="38"/>
        </w:numPr>
        <w:tabs>
          <w:tab w:val="left" w:pos="2248"/>
        </w:tabs>
      </w:pPr>
      <w:r>
        <w:rPr>
          <w:rFonts w:hint="eastAsia"/>
        </w:rPr>
        <w:t>I2C配置：应配置主从模式、时钟频率、通信速率、地址模式及中断/DMA传输方式；</w:t>
      </w:r>
    </w:p>
    <w:p w14:paraId="331A2DE9">
      <w:pPr>
        <w:pStyle w:val="180"/>
        <w:numPr>
          <w:ilvl w:val="0"/>
          <w:numId w:val="38"/>
        </w:numPr>
        <w:tabs>
          <w:tab w:val="left" w:pos="2248"/>
        </w:tabs>
      </w:pPr>
      <w:r>
        <w:rPr>
          <w:rFonts w:hint="eastAsia"/>
        </w:rPr>
        <w:t>UART配置：应配置波特率、时钟源、数据位、停止位、校验位及中断/DMA传输方式；</w:t>
      </w:r>
    </w:p>
    <w:p w14:paraId="0E6007FC">
      <w:pPr>
        <w:pStyle w:val="180"/>
        <w:numPr>
          <w:ilvl w:val="0"/>
          <w:numId w:val="38"/>
        </w:numPr>
        <w:tabs>
          <w:tab w:val="left" w:pos="2248"/>
        </w:tabs>
      </w:pPr>
      <w:r>
        <w:rPr>
          <w:rFonts w:hint="eastAsia"/>
        </w:rPr>
        <w:t>MSC配置：应配置时钟频率、通信速率、数据宽度及DMA传输方式；</w:t>
      </w:r>
    </w:p>
    <w:p w14:paraId="151EF4D7">
      <w:pPr>
        <w:pStyle w:val="180"/>
        <w:numPr>
          <w:ilvl w:val="0"/>
          <w:numId w:val="38"/>
        </w:numPr>
        <w:tabs>
          <w:tab w:val="left" w:pos="2248"/>
        </w:tabs>
      </w:pPr>
      <w:r>
        <w:rPr>
          <w:rFonts w:hint="eastAsia"/>
        </w:rPr>
        <w:t>LIN配置： 应配置LIN控制器工作模式、调度表、帧标识符、响应长度、波特率及超时处理策略；</w:t>
      </w:r>
    </w:p>
    <w:p w14:paraId="5FA3889C">
      <w:pPr>
        <w:pStyle w:val="180"/>
        <w:numPr>
          <w:ilvl w:val="0"/>
          <w:numId w:val="38"/>
        </w:numPr>
        <w:tabs>
          <w:tab w:val="left" w:pos="2248"/>
        </w:tabs>
      </w:pPr>
      <w:r>
        <w:rPr>
          <w:rFonts w:hint="eastAsia"/>
        </w:rPr>
        <w:t>ETH配置：应配置 MAC 地址、IP 地址、通信速率、双工模式及中断/DMA 传输方式。</w:t>
      </w:r>
    </w:p>
    <w:p w14:paraId="1FBCC4D5">
      <w:pPr>
        <w:pStyle w:val="71"/>
        <w:spacing w:before="120" w:after="120"/>
      </w:pPr>
      <w:bookmarkStart w:id="72" w:name="_Toc24618"/>
      <w:bookmarkStart w:id="73" w:name="_Toc22167"/>
      <w:r>
        <w:rPr>
          <w:rFonts w:hint="eastAsia"/>
        </w:rPr>
        <w:t>输入输出驱动配置</w:t>
      </w:r>
      <w:bookmarkEnd w:id="72"/>
      <w:bookmarkEnd w:id="73"/>
    </w:p>
    <w:p w14:paraId="27D7D208">
      <w:pPr>
        <w:widowControl/>
        <w:autoSpaceDE w:val="0"/>
        <w:autoSpaceDN w:val="0"/>
        <w:adjustRightInd/>
        <w:spacing w:line="240" w:lineRule="auto"/>
        <w:ind w:firstLine="424" w:firstLineChars="202"/>
        <w:rPr>
          <w:rFonts w:ascii="宋体" w:hAnsi="Times New Roman"/>
          <w:kern w:val="0"/>
        </w:rPr>
      </w:pPr>
      <w:r>
        <w:rPr>
          <w:rFonts w:hint="eastAsia" w:ascii="宋体" w:hAnsi="Times New Roman"/>
          <w:kern w:val="0"/>
        </w:rPr>
        <w:t>输入输出驱动配置涉及PORT、DIO、PWM、ADC等配置项，具体要求如下：</w:t>
      </w:r>
    </w:p>
    <w:p w14:paraId="1DA14EA8">
      <w:pPr>
        <w:pStyle w:val="180"/>
        <w:numPr>
          <w:ilvl w:val="0"/>
          <w:numId w:val="39"/>
        </w:numPr>
        <w:tabs>
          <w:tab w:val="left" w:pos="2248"/>
        </w:tabs>
      </w:pPr>
      <w:r>
        <w:rPr>
          <w:rFonts w:hint="eastAsia"/>
        </w:rPr>
        <w:t>PORT配置：应定义引脚功能复用（GPIO、外设功能）及上下拉状态；</w:t>
      </w:r>
    </w:p>
    <w:p w14:paraId="50533D06">
      <w:pPr>
        <w:widowControl/>
        <w:autoSpaceDE w:val="0"/>
        <w:autoSpaceDN w:val="0"/>
        <w:adjustRightInd/>
        <w:spacing w:line="240" w:lineRule="auto"/>
        <w:ind w:firstLine="404" w:firstLineChars="202"/>
        <w:rPr>
          <w:rFonts w:ascii="宋体" w:hAnsi="Times New Roman"/>
          <w:kern w:val="0"/>
          <w:sz w:val="20"/>
          <w:szCs w:val="20"/>
        </w:rPr>
      </w:pPr>
      <w:r>
        <w:rPr>
          <w:rFonts w:hint="eastAsia" w:ascii="宋体" w:hAnsi="Times New Roman"/>
          <w:kern w:val="0"/>
          <w:sz w:val="20"/>
          <w:szCs w:val="20"/>
        </w:rPr>
        <w:t>注：PORT引脚为共享资源，引脚分配应与6.1.3通信驱动、6.1.4 输入输出驱动配置等模块的引脚需求统一规划，避免引脚功能冲突。</w:t>
      </w:r>
    </w:p>
    <w:p w14:paraId="2458FFA6">
      <w:pPr>
        <w:pStyle w:val="180"/>
        <w:numPr>
          <w:ilvl w:val="0"/>
          <w:numId w:val="39"/>
        </w:numPr>
        <w:tabs>
          <w:tab w:val="left" w:pos="2248"/>
        </w:tabs>
      </w:pPr>
      <w:r>
        <w:rPr>
          <w:rFonts w:hint="eastAsia"/>
        </w:rPr>
        <w:t>DIO配置：应设置数字输入输出方向、初始电平及驱动能力；</w:t>
      </w:r>
    </w:p>
    <w:p w14:paraId="05544F70">
      <w:pPr>
        <w:pStyle w:val="180"/>
        <w:numPr>
          <w:ilvl w:val="0"/>
          <w:numId w:val="39"/>
        </w:numPr>
        <w:tabs>
          <w:tab w:val="left" w:pos="2248"/>
        </w:tabs>
      </w:pPr>
      <w:r>
        <w:rPr>
          <w:rFonts w:hint="eastAsia"/>
        </w:rPr>
        <w:t>PWM配置：应设置周期、占空比、输出极性及对齐方式；</w:t>
      </w:r>
    </w:p>
    <w:p w14:paraId="0E781DC9">
      <w:pPr>
        <w:pStyle w:val="180"/>
        <w:numPr>
          <w:ilvl w:val="0"/>
          <w:numId w:val="39"/>
        </w:numPr>
        <w:tabs>
          <w:tab w:val="left" w:pos="2248"/>
        </w:tabs>
      </w:pPr>
      <w:r>
        <w:rPr>
          <w:rFonts w:hint="eastAsia"/>
        </w:rPr>
        <w:t>ADC配置：应配置采样通道、采样周期、触发源及中断/DMA传输。</w:t>
      </w:r>
    </w:p>
    <w:p w14:paraId="311B4DEF">
      <w:pPr>
        <w:pStyle w:val="111"/>
        <w:spacing w:before="120" w:after="120"/>
      </w:pPr>
      <w:bookmarkStart w:id="74" w:name="_Toc15125"/>
      <w:bookmarkStart w:id="75" w:name="_Toc31037"/>
      <w:r>
        <w:rPr>
          <w:rFonts w:hint="eastAsia"/>
        </w:rPr>
        <w:t>内核配置</w:t>
      </w:r>
      <w:bookmarkEnd w:id="74"/>
      <w:bookmarkEnd w:id="75"/>
    </w:p>
    <w:p w14:paraId="7F89A037">
      <w:pPr>
        <w:widowControl/>
        <w:autoSpaceDE w:val="0"/>
        <w:autoSpaceDN w:val="0"/>
        <w:adjustRightInd/>
        <w:spacing w:line="240" w:lineRule="auto"/>
        <w:ind w:firstLine="424" w:firstLineChars="202"/>
        <w:rPr>
          <w:rFonts w:ascii="宋体" w:hAnsi="Times New Roman"/>
          <w:kern w:val="0"/>
        </w:rPr>
      </w:pPr>
      <w:r>
        <w:rPr>
          <w:rFonts w:hint="eastAsia" w:ascii="宋体" w:hAnsi="Times New Roman"/>
          <w:kern w:val="0"/>
        </w:rPr>
        <w:t>内核配置涉及任务、中断、时钟、资源等配置项，具体要求如下：</w:t>
      </w:r>
    </w:p>
    <w:p w14:paraId="5DD44861">
      <w:pPr>
        <w:pStyle w:val="180"/>
        <w:numPr>
          <w:ilvl w:val="0"/>
          <w:numId w:val="40"/>
        </w:numPr>
      </w:pPr>
      <w:r>
        <w:rPr>
          <w:rFonts w:hint="eastAsia"/>
        </w:rPr>
        <w:t>任务配置：应配置任务优先级、栈大小、调度策略及任务间同步机制等；</w:t>
      </w:r>
    </w:p>
    <w:p w14:paraId="33E98862">
      <w:pPr>
        <w:pStyle w:val="180"/>
        <w:numPr>
          <w:ilvl w:val="0"/>
          <w:numId w:val="40"/>
        </w:numPr>
      </w:pPr>
      <w:r>
        <w:rPr>
          <w:rFonts w:hint="eastAsia"/>
        </w:rPr>
        <w:t>中断配置：应配置中断类别、中断优先级、中断服务例程的触发与响应规则等；</w:t>
      </w:r>
    </w:p>
    <w:p w14:paraId="2121D498">
      <w:pPr>
        <w:pStyle w:val="180"/>
        <w:numPr>
          <w:ilvl w:val="0"/>
          <w:numId w:val="40"/>
        </w:numPr>
      </w:pPr>
      <w:r>
        <w:rPr>
          <w:rFonts w:hint="eastAsia"/>
        </w:rPr>
        <w:t>时钟配置：应配置计数器、报警器、调度表等，支持周期性任务与时间触发的精确调度；</w:t>
      </w:r>
    </w:p>
    <w:p w14:paraId="29E59F84">
      <w:pPr>
        <w:pStyle w:val="180"/>
        <w:numPr>
          <w:ilvl w:val="0"/>
          <w:numId w:val="40"/>
        </w:numPr>
      </w:pPr>
      <w:r>
        <w:rPr>
          <w:rFonts w:hint="eastAsia"/>
        </w:rPr>
        <w:t>资源配置：应配置资源、自旋锁的访问规则，防止单核与多核环境下的数据竞争。</w:t>
      </w:r>
    </w:p>
    <w:p w14:paraId="69254BB0">
      <w:pPr>
        <w:pStyle w:val="111"/>
        <w:spacing w:before="120" w:after="120"/>
      </w:pPr>
      <w:bookmarkStart w:id="76" w:name="_Toc20704"/>
      <w:bookmarkStart w:id="77" w:name="_Toc7579"/>
      <w:r>
        <w:rPr>
          <w:rFonts w:hint="eastAsia"/>
        </w:rPr>
        <w:t>中间件配置</w:t>
      </w:r>
      <w:bookmarkEnd w:id="76"/>
      <w:bookmarkEnd w:id="77"/>
    </w:p>
    <w:p w14:paraId="56D59CBE">
      <w:pPr>
        <w:widowControl/>
        <w:autoSpaceDE w:val="0"/>
        <w:autoSpaceDN w:val="0"/>
        <w:adjustRightInd/>
        <w:spacing w:line="240" w:lineRule="auto"/>
        <w:ind w:firstLine="424" w:firstLineChars="202"/>
        <w:rPr>
          <w:rFonts w:ascii="宋体" w:hAnsi="Times New Roman"/>
          <w:kern w:val="0"/>
        </w:rPr>
      </w:pPr>
      <w:r>
        <w:rPr>
          <w:rFonts w:hint="eastAsia" w:ascii="宋体" w:hAnsi="Times New Roman"/>
          <w:kern w:val="0"/>
        </w:rPr>
        <w:t>中间件配置涉及存储服务、通信服务、诊断服务、系统服务等配置项，具体要求如下：</w:t>
      </w:r>
    </w:p>
    <w:p w14:paraId="5BEAFDE3">
      <w:pPr>
        <w:pStyle w:val="180"/>
        <w:numPr>
          <w:ilvl w:val="0"/>
          <w:numId w:val="41"/>
        </w:numPr>
      </w:pPr>
      <w:r>
        <w:rPr>
          <w:rFonts w:hint="eastAsia"/>
        </w:rPr>
        <w:t>存储服务配置：应配置存储服务的读写周期、冗余存储、CRC校验等，包括NvM块属性、默认值等；</w:t>
      </w:r>
    </w:p>
    <w:p w14:paraId="611AD7A3">
      <w:pPr>
        <w:pStyle w:val="180"/>
        <w:numPr>
          <w:ilvl w:val="0"/>
          <w:numId w:val="41"/>
        </w:numPr>
      </w:pPr>
      <w:r>
        <w:rPr>
          <w:rFonts w:hint="eastAsia"/>
        </w:rPr>
        <w:t>通信服务配置：应配置通信服务的更新周期、网关路由规则、路径、协议转换规则、信号解析、服务发现、标定通信等；</w:t>
      </w:r>
    </w:p>
    <w:p w14:paraId="5DCF70D0">
      <w:pPr>
        <w:pStyle w:val="180"/>
        <w:numPr>
          <w:ilvl w:val="0"/>
          <w:numId w:val="41"/>
        </w:numPr>
      </w:pPr>
      <w:r>
        <w:rPr>
          <w:rFonts w:hint="eastAsia"/>
        </w:rPr>
        <w:t>诊断服务配置：应配置诊断服务的访问权限、故障码存储策略及冻结帧数据记录规则，并配置功能禁止表（Fim），明确故障与安全状态的映射关系；</w:t>
      </w:r>
    </w:p>
    <w:p w14:paraId="7A27CB47">
      <w:pPr>
        <w:pStyle w:val="180"/>
        <w:numPr>
          <w:ilvl w:val="0"/>
          <w:numId w:val="41"/>
        </w:numPr>
      </w:pPr>
      <w:r>
        <w:rPr>
          <w:rFonts w:hint="eastAsia"/>
        </w:rPr>
        <w:t>系统服务配置：应配置系统服务的模式仲裁规则、动作执行逻辑、启动/睡眠流程及唤醒管理等。</w:t>
      </w:r>
    </w:p>
    <w:p w14:paraId="63AE5C53">
      <w:pPr>
        <w:pStyle w:val="111"/>
        <w:spacing w:before="120" w:after="120"/>
      </w:pPr>
      <w:bookmarkStart w:id="78" w:name="_Toc25383"/>
      <w:bookmarkStart w:id="79" w:name="_Toc15397"/>
      <w:r>
        <w:rPr>
          <w:rFonts w:hint="eastAsia"/>
        </w:rPr>
        <w:t>运行时环境配置</w:t>
      </w:r>
      <w:bookmarkEnd w:id="78"/>
      <w:bookmarkEnd w:id="79"/>
    </w:p>
    <w:p w14:paraId="3318CDF8">
      <w:pPr>
        <w:pStyle w:val="62"/>
        <w:ind w:firstLine="420"/>
      </w:pPr>
      <w:r>
        <w:rPr>
          <w:rFonts w:hint="eastAsia"/>
        </w:rPr>
        <w:t>运行时环境配置涉及通信接口、通信机制、事件配置、错误处理机制等配置项，具体要求如下：</w:t>
      </w:r>
    </w:p>
    <w:p w14:paraId="59A2798F">
      <w:pPr>
        <w:pStyle w:val="180"/>
        <w:numPr>
          <w:ilvl w:val="0"/>
          <w:numId w:val="42"/>
        </w:numPr>
      </w:pPr>
      <w:r>
        <w:rPr>
          <w:rFonts w:hint="eastAsia"/>
        </w:rPr>
        <w:t>通信接口配置：应定义应用程序之间及应用程序与基础软件之间的通信接口，包括具体的接口属性、数据类型与数据映射规则等；</w:t>
      </w:r>
    </w:p>
    <w:p w14:paraId="491E5451">
      <w:pPr>
        <w:pStyle w:val="180"/>
        <w:numPr>
          <w:ilvl w:val="0"/>
          <w:numId w:val="42"/>
        </w:numPr>
      </w:pPr>
      <w:r>
        <w:rPr>
          <w:rFonts w:hint="eastAsia"/>
        </w:rPr>
        <w:t>通信机制配置：应配置显式/隐式通信、异步/同步调用模式等通知机制；</w:t>
      </w:r>
    </w:p>
    <w:p w14:paraId="2B957A73">
      <w:pPr>
        <w:pStyle w:val="180"/>
        <w:numPr>
          <w:ilvl w:val="0"/>
          <w:numId w:val="42"/>
        </w:numPr>
      </w:pPr>
      <w:r>
        <w:rPr>
          <w:rFonts w:hint="eastAsia"/>
        </w:rPr>
        <w:t>事件配置：应设置事件的触发条件与调度策略，支持多核任务同步与资源互斥访问；</w:t>
      </w:r>
    </w:p>
    <w:p w14:paraId="20874B25">
      <w:pPr>
        <w:pStyle w:val="180"/>
        <w:numPr>
          <w:ilvl w:val="0"/>
          <w:numId w:val="42"/>
        </w:numPr>
      </w:pPr>
      <w:r>
        <w:rPr>
          <w:rFonts w:hint="eastAsia"/>
        </w:rPr>
        <w:t>错误处理机制配置：应定义通信超时、数据校验失败等异常情况的处理策略与恢复机制。</w:t>
      </w:r>
    </w:p>
    <w:p w14:paraId="015A9B38">
      <w:pPr>
        <w:pStyle w:val="111"/>
        <w:spacing w:before="120" w:after="120"/>
      </w:pPr>
      <w:bookmarkStart w:id="80" w:name="_Toc6385"/>
      <w:bookmarkStart w:id="81" w:name="_Toc28263"/>
      <w:r>
        <w:rPr>
          <w:rFonts w:hint="eastAsia"/>
        </w:rPr>
        <w:t>模块间协同配置</w:t>
      </w:r>
      <w:bookmarkEnd w:id="80"/>
      <w:bookmarkEnd w:id="81"/>
    </w:p>
    <w:p w14:paraId="0C015F7B">
      <w:pPr>
        <w:widowControl/>
        <w:tabs>
          <w:tab w:val="left" w:pos="581"/>
        </w:tabs>
        <w:autoSpaceDE w:val="0"/>
        <w:autoSpaceDN w:val="0"/>
        <w:adjustRightInd/>
        <w:spacing w:line="240" w:lineRule="auto"/>
        <w:ind w:firstLine="424" w:firstLineChars="202"/>
        <w:rPr>
          <w:kern w:val="0"/>
        </w:rPr>
      </w:pPr>
      <w:r>
        <w:rPr>
          <w:rFonts w:hint="eastAsia"/>
          <w:kern w:val="0"/>
        </w:rPr>
        <w:t>模块间协同配置需对内核、中间件、运行时环境等模块间协同的相关参数进行配置。</w:t>
      </w:r>
    </w:p>
    <w:p w14:paraId="2BB8A4A3">
      <w:pPr>
        <w:pStyle w:val="110"/>
        <w:spacing w:before="240" w:after="240"/>
      </w:pPr>
      <w:bookmarkStart w:id="82" w:name="_Toc103782699"/>
      <w:bookmarkEnd w:id="82"/>
      <w:bookmarkStart w:id="83" w:name="_Hlk101272872"/>
      <w:bookmarkEnd w:id="83"/>
      <w:bookmarkStart w:id="84" w:name="_Toc19822"/>
      <w:bookmarkStart w:id="85" w:name="_Toc18725"/>
      <w:r>
        <w:rPr>
          <w:rFonts w:hint="eastAsia"/>
        </w:rPr>
        <w:t>安全配置</w:t>
      </w:r>
      <w:bookmarkEnd w:id="84"/>
      <w:r>
        <w:rPr>
          <w:rFonts w:hint="eastAsia"/>
        </w:rPr>
        <w:t>指南</w:t>
      </w:r>
      <w:bookmarkEnd w:id="85"/>
    </w:p>
    <w:p w14:paraId="6590D3F9">
      <w:pPr>
        <w:pStyle w:val="111"/>
        <w:spacing w:before="120" w:after="120"/>
      </w:pPr>
      <w:bookmarkStart w:id="86" w:name="_Toc15744"/>
      <w:bookmarkStart w:id="87" w:name="_Toc12451"/>
      <w:r>
        <w:rPr>
          <w:rFonts w:hint="eastAsia"/>
        </w:rPr>
        <w:t>功能安全配置</w:t>
      </w:r>
      <w:bookmarkEnd w:id="86"/>
      <w:bookmarkEnd w:id="87"/>
    </w:p>
    <w:p w14:paraId="0020D5FC">
      <w:pPr>
        <w:widowControl/>
        <w:autoSpaceDE w:val="0"/>
        <w:autoSpaceDN w:val="0"/>
        <w:adjustRightInd/>
        <w:spacing w:line="240" w:lineRule="auto"/>
        <w:ind w:firstLine="424" w:firstLineChars="202"/>
        <w:rPr>
          <w:rFonts w:ascii="宋体" w:hAnsi="Times New Roman"/>
          <w:kern w:val="0"/>
        </w:rPr>
      </w:pPr>
      <w:r>
        <w:rPr>
          <w:rFonts w:hint="eastAsia" w:ascii="宋体" w:hAnsi="Times New Roman"/>
          <w:kern w:val="0"/>
        </w:rPr>
        <w:t>安全车控操作系统的功能安全配置应遵循GB/T 34590标准规定的开发流程，以技术安全需求（Technical Safety Requirement, TSR）作为核心输入。配置实施过程应依据系统与软件工程各阶段的分析结果，确保所配置的安全机制能正确、完整地实现指定的安全目标。</w:t>
      </w:r>
    </w:p>
    <w:p w14:paraId="06BDCA2A">
      <w:pPr>
        <w:pStyle w:val="180"/>
        <w:numPr>
          <w:ilvl w:val="0"/>
          <w:numId w:val="43"/>
        </w:numPr>
      </w:pPr>
      <w:r>
        <w:rPr>
          <w:rFonts w:hint="eastAsia"/>
        </w:rPr>
        <w:t>解析TSR：从整车或ECU层级的技术安全需求中提取与安全车控操作系统相关的安全要求，明确所需的安全机制类型（如故障检测、故障响应、安全状态切换）及其ASIL等级。</w:t>
      </w:r>
    </w:p>
    <w:p w14:paraId="3A0167C7">
      <w:pPr>
        <w:pStyle w:val="180"/>
        <w:numPr>
          <w:ilvl w:val="0"/>
          <w:numId w:val="43"/>
        </w:numPr>
      </w:pPr>
      <w:r>
        <w:rPr>
          <w:rFonts w:hint="eastAsia"/>
        </w:rPr>
        <w:t>选择安全机制：根据TSR及ASIL等级，选择适用的安全机制并进行参数化配置，典型机制包括但不限于：</w:t>
      </w:r>
    </w:p>
    <w:p w14:paraId="62F72030">
      <w:pPr>
        <w:pStyle w:val="180"/>
        <w:numPr>
          <w:ilvl w:val="0"/>
          <w:numId w:val="44"/>
        </w:numPr>
        <w:tabs>
          <w:tab w:val="left" w:pos="2248"/>
          <w:tab w:val="clear" w:pos="851"/>
        </w:tabs>
        <w:ind w:left="845" w:firstLine="0"/>
      </w:pPr>
      <w:r>
        <w:rPr>
          <w:rFonts w:hint="eastAsia"/>
        </w:rPr>
        <w:t>内存保护：应配置MPU/MMU划分内存分区，设置不同任务或OS-Application的读写执行权限，防止相互干扰。</w:t>
      </w:r>
    </w:p>
    <w:p w14:paraId="3D9AB95D">
      <w:pPr>
        <w:pStyle w:val="180"/>
        <w:numPr>
          <w:ilvl w:val="0"/>
          <w:numId w:val="44"/>
        </w:numPr>
        <w:tabs>
          <w:tab w:val="left" w:pos="2248"/>
          <w:tab w:val="clear" w:pos="851"/>
        </w:tabs>
        <w:ind w:left="845" w:firstLine="0"/>
      </w:pPr>
      <w:r>
        <w:rPr>
          <w:rFonts w:hint="eastAsia"/>
        </w:rPr>
        <w:t>时间保护：应配置任务/中断的执行时间、间隔时间、资源持有时间监控或中断的禁用时间监控等，超时触发安全钩子或系统复位。</w:t>
      </w:r>
    </w:p>
    <w:p w14:paraId="73C5FC26">
      <w:pPr>
        <w:pStyle w:val="180"/>
        <w:numPr>
          <w:ilvl w:val="0"/>
          <w:numId w:val="44"/>
        </w:numPr>
        <w:tabs>
          <w:tab w:val="left" w:pos="2248"/>
          <w:tab w:val="clear" w:pos="851"/>
        </w:tabs>
        <w:ind w:left="845" w:firstLine="0"/>
      </w:pPr>
      <w:r>
        <w:rPr>
          <w:rFonts w:hint="eastAsia"/>
        </w:rPr>
        <w:t>服务保护：应配置服务的调用参数校验、调用环境校验与非法调用序列保护等，对非法调用进行检测并拒绝服务或执行保护动作，防止非法或异常的服务调用导致系统行为不可预期。</w:t>
      </w:r>
    </w:p>
    <w:p w14:paraId="0D673611">
      <w:pPr>
        <w:pStyle w:val="180"/>
        <w:numPr>
          <w:ilvl w:val="0"/>
          <w:numId w:val="44"/>
        </w:numPr>
        <w:tabs>
          <w:tab w:val="left" w:pos="2248"/>
          <w:tab w:val="clear" w:pos="851"/>
        </w:tabs>
        <w:ind w:left="845" w:firstLine="0"/>
      </w:pPr>
      <w:r>
        <w:rPr>
          <w:rFonts w:hint="eastAsia"/>
        </w:rPr>
        <w:t>端到端通信保护：针对安全相关信号或PDU，应配置E2E保护机制（如CRC、计数器、ID校验），防止通信链路中的数据损坏、丢失或重复。</w:t>
      </w:r>
    </w:p>
    <w:p w14:paraId="4B91F22E">
      <w:pPr>
        <w:pStyle w:val="180"/>
        <w:numPr>
          <w:ilvl w:val="0"/>
          <w:numId w:val="44"/>
        </w:numPr>
        <w:tabs>
          <w:tab w:val="left" w:pos="2248"/>
          <w:tab w:val="clear" w:pos="851"/>
        </w:tabs>
        <w:ind w:left="845" w:firstLine="0"/>
      </w:pPr>
      <w:r>
        <w:rPr>
          <w:rFonts w:hint="eastAsia"/>
        </w:rPr>
        <w:t>非易失性存储保护：应配置NvM模块的冗余存储、CRC校验、写入验证及数据恢复机制，确保关键参数在存储过程中的完整性。</w:t>
      </w:r>
    </w:p>
    <w:p w14:paraId="3904BDE8">
      <w:pPr>
        <w:pStyle w:val="180"/>
        <w:numPr>
          <w:ilvl w:val="0"/>
          <w:numId w:val="44"/>
        </w:numPr>
        <w:tabs>
          <w:tab w:val="left" w:pos="2248"/>
          <w:tab w:val="clear" w:pos="851"/>
        </w:tabs>
        <w:ind w:left="845" w:firstLine="0"/>
      </w:pPr>
      <w:r>
        <w:rPr>
          <w:rFonts w:hint="eastAsia"/>
        </w:rPr>
        <w:t>看门狗管理：应配置看门狗管理的执行时间监控、执行次数监控、逻辑监控等，验证特定软件是否按预期执行。</w:t>
      </w:r>
    </w:p>
    <w:p w14:paraId="05F6360A">
      <w:pPr>
        <w:pStyle w:val="180"/>
        <w:numPr>
          <w:ilvl w:val="0"/>
          <w:numId w:val="44"/>
        </w:numPr>
        <w:tabs>
          <w:tab w:val="left" w:pos="2248"/>
          <w:tab w:val="clear" w:pos="851"/>
        </w:tabs>
        <w:ind w:left="845" w:firstLine="0"/>
      </w:pPr>
      <w:r>
        <w:rPr>
          <w:rFonts w:hint="eastAsia"/>
        </w:rPr>
        <w:t>安全监控与诊断配置：应配置周期性自检任务，如RAM测试、FLASH测试、CPU寄存器测试等。</w:t>
      </w:r>
    </w:p>
    <w:p w14:paraId="5183DF6B">
      <w:pPr>
        <w:pStyle w:val="111"/>
        <w:spacing w:before="120" w:after="120"/>
      </w:pPr>
      <w:bookmarkStart w:id="88" w:name="_Toc9337"/>
      <w:bookmarkStart w:id="89" w:name="_Toc8471"/>
      <w:r>
        <w:rPr>
          <w:rFonts w:hint="eastAsia"/>
        </w:rPr>
        <w:t>信息安全配置</w:t>
      </w:r>
      <w:bookmarkEnd w:id="88"/>
      <w:bookmarkEnd w:id="89"/>
    </w:p>
    <w:p w14:paraId="4B1EF824">
      <w:pPr>
        <w:widowControl/>
        <w:autoSpaceDE w:val="0"/>
        <w:autoSpaceDN w:val="0"/>
        <w:adjustRightInd/>
        <w:spacing w:line="240" w:lineRule="auto"/>
        <w:ind w:firstLine="424" w:firstLineChars="202"/>
        <w:rPr>
          <w:rFonts w:ascii="宋体" w:hAnsi="Times New Roman"/>
          <w:kern w:val="0"/>
        </w:rPr>
      </w:pPr>
      <w:r>
        <w:rPr>
          <w:rFonts w:hint="eastAsia" w:ascii="宋体" w:hAnsi="Times New Roman"/>
          <w:kern w:val="0"/>
        </w:rPr>
        <w:t>安全车控操作系统的信息安全配置应根据应用配置与信息安全相关的要求，确保系统符合GB/T 46194标准，防止未授权访问、数据篡改及恶意攻击。安全车控操作系统信息安全配置主要包括加密服务配置、安全通信配置、访问控制配置、安全启动与安全更新配置：</w:t>
      </w:r>
    </w:p>
    <w:p w14:paraId="7E2268F9">
      <w:pPr>
        <w:pStyle w:val="180"/>
        <w:numPr>
          <w:ilvl w:val="0"/>
          <w:numId w:val="45"/>
        </w:numPr>
        <w:tabs>
          <w:tab w:val="left" w:pos="2248"/>
        </w:tabs>
      </w:pPr>
      <w:r>
        <w:rPr>
          <w:rFonts w:hint="eastAsia"/>
        </w:rPr>
        <w:t>加密服务：应配置加密服务模块，选择加密算法，设置密钥管理策略，包括密钥生成、存储、更新及销毁机制，应配置加密驱动模块进行硬件加速器初始化及安全密钥存储区的访问权限；</w:t>
      </w:r>
    </w:p>
    <w:p w14:paraId="092207E1">
      <w:pPr>
        <w:pStyle w:val="180"/>
        <w:numPr>
          <w:ilvl w:val="0"/>
          <w:numId w:val="45"/>
        </w:numPr>
        <w:tabs>
          <w:tab w:val="left" w:pos="2248"/>
        </w:tabs>
      </w:pPr>
      <w:r>
        <w:rPr>
          <w:rFonts w:hint="eastAsia"/>
        </w:rPr>
        <w:t>安全存储：应配置安全存储区域（如HSM），将密钥、证书及关键配置参数等敏感数据隔离存储于受硬件保护的加密存储区；应配置严格的访问权限控制策略，禁止非安全域软件直接读取明文，仅允许通过加密驱动接口在身份认证通过后解密访问；</w:t>
      </w:r>
    </w:p>
    <w:p w14:paraId="7994FA1B">
      <w:pPr>
        <w:pStyle w:val="180"/>
        <w:numPr>
          <w:ilvl w:val="0"/>
          <w:numId w:val="45"/>
        </w:numPr>
        <w:tabs>
          <w:tab w:val="left" w:pos="2248"/>
        </w:tabs>
      </w:pPr>
      <w:r>
        <w:rPr>
          <w:rFonts w:hint="eastAsia"/>
        </w:rPr>
        <w:t>安全通信：应配置安全车控操作系统添加身份验证码，宜设置新鲜值管理策略防止报文重发；</w:t>
      </w:r>
    </w:p>
    <w:p w14:paraId="634BE6ED">
      <w:pPr>
        <w:pStyle w:val="180"/>
        <w:numPr>
          <w:ilvl w:val="0"/>
          <w:numId w:val="45"/>
        </w:numPr>
        <w:tabs>
          <w:tab w:val="left" w:pos="2248"/>
        </w:tabs>
      </w:pPr>
      <w:r>
        <w:rPr>
          <w:rFonts w:hint="eastAsia"/>
        </w:rPr>
        <w:t>访问控制：应定义软件模块的安全访问权限，配置身份验证机制，设置防火墙规则限制非法节点访问关键资源；</w:t>
      </w:r>
    </w:p>
    <w:p w14:paraId="71E6FB85">
      <w:pPr>
        <w:pStyle w:val="180"/>
        <w:numPr>
          <w:ilvl w:val="0"/>
          <w:numId w:val="45"/>
        </w:numPr>
        <w:tabs>
          <w:tab w:val="left" w:pos="2248"/>
        </w:tabs>
      </w:pPr>
      <w:r>
        <w:rPr>
          <w:rFonts w:hint="eastAsia"/>
        </w:rPr>
        <w:t>安全诊断：应配置诊断服务的访问控制，设置访问失败的错误计数器及锁定策略，对敏感诊断服务启动安全认证，配置诊断会话层的安全等级及其转换条件；</w:t>
      </w:r>
    </w:p>
    <w:p w14:paraId="454C0CF6">
      <w:pPr>
        <w:pStyle w:val="180"/>
        <w:numPr>
          <w:ilvl w:val="0"/>
          <w:numId w:val="45"/>
        </w:numPr>
        <w:tabs>
          <w:tab w:val="left" w:pos="2248"/>
        </w:tabs>
      </w:pPr>
      <w:r>
        <w:rPr>
          <w:rFonts w:hint="eastAsia"/>
        </w:rPr>
        <w:t>安全启动与安全更新：应配置安全启动链，设置软件更新时的签名验证和完整性校验机制；</w:t>
      </w:r>
    </w:p>
    <w:p w14:paraId="119A05B9">
      <w:pPr>
        <w:pStyle w:val="180"/>
        <w:numPr>
          <w:ilvl w:val="0"/>
          <w:numId w:val="45"/>
        </w:numPr>
        <w:tabs>
          <w:tab w:val="left" w:pos="2248"/>
        </w:tabs>
      </w:pPr>
      <w:r>
        <w:rPr>
          <w:rFonts w:hint="eastAsia"/>
        </w:rPr>
        <w:t>安全日志：应配置安全事件日志记录机制，记录非法访问、密钥更新失败等事件，设置日志存储策略，确保日志的完整性和防篡改性。</w:t>
      </w:r>
    </w:p>
    <w:p w14:paraId="5CDA4134">
      <w:pPr>
        <w:pStyle w:val="62"/>
        <w:ind w:firstLine="420"/>
        <w:sectPr>
          <w:headerReference r:id="rId14" w:type="default"/>
          <w:footerReference r:id="rId15" w:type="default"/>
          <w:pgSz w:w="11906" w:h="16838"/>
          <w:pgMar w:top="2410" w:right="1134" w:bottom="1134" w:left="1134" w:header="1418" w:footer="1134" w:gutter="284"/>
          <w:pgNumType w:start="1"/>
          <w:cols w:space="425" w:num="1"/>
          <w:formProt w:val="0"/>
          <w:docGrid w:linePitch="312" w:charSpace="0"/>
        </w:sectPr>
      </w:pPr>
    </w:p>
    <w:bookmarkEnd w:id="11"/>
    <w:p w14:paraId="3C044E2B">
      <w:pPr>
        <w:pStyle w:val="204"/>
        <w:rPr>
          <w:rFonts w:hint="eastAsia"/>
        </w:rPr>
      </w:pPr>
      <w:bookmarkStart w:id="90" w:name="BookMark5"/>
    </w:p>
    <w:p w14:paraId="0C379F24">
      <w:pPr>
        <w:pStyle w:val="205"/>
      </w:pPr>
    </w:p>
    <w:p w14:paraId="4CE0E18C">
      <w:pPr>
        <w:pStyle w:val="110"/>
        <w:numPr>
          <w:ilvl w:val="1"/>
          <w:numId w:val="0"/>
        </w:numPr>
        <w:spacing w:before="240" w:after="240"/>
        <w:jc w:val="center"/>
      </w:pPr>
      <w:bookmarkStart w:id="91" w:name="_Toc28851"/>
      <w:bookmarkStart w:id="92" w:name="_Toc16133"/>
      <w:bookmarkStart w:id="93" w:name="_Toc27302"/>
      <w:r>
        <w:rPr>
          <w:rFonts w:hint="eastAsia"/>
        </w:rPr>
        <w:t>附录A</w:t>
      </w:r>
      <w:r>
        <w:rPr>
          <w:rFonts w:hint="eastAsia"/>
        </w:rPr>
        <w:br w:type="textWrapping"/>
      </w:r>
      <w:bookmarkStart w:id="94" w:name="_Toc108256647"/>
      <w:r>
        <w:rPr>
          <w:rFonts w:hint="eastAsia"/>
        </w:rPr>
        <w:t>（资料性）</w:t>
      </w:r>
      <w:r>
        <w:br w:type="textWrapping"/>
      </w:r>
      <w:bookmarkEnd w:id="91"/>
      <w:bookmarkEnd w:id="92"/>
      <w:bookmarkEnd w:id="94"/>
      <w:r>
        <w:rPr>
          <w:rFonts w:hint="eastAsia"/>
        </w:rPr>
        <w:t>安全车控操作系统配置示例</w:t>
      </w:r>
      <w:bookmarkEnd w:id="93"/>
    </w:p>
    <w:p w14:paraId="6A399DE9">
      <w:pPr>
        <w:widowControl/>
        <w:autoSpaceDE w:val="0"/>
        <w:autoSpaceDN w:val="0"/>
        <w:adjustRightInd/>
        <w:spacing w:line="240" w:lineRule="auto"/>
        <w:ind w:firstLine="424" w:firstLineChars="202"/>
        <w:rPr>
          <w:rFonts w:ascii="宋体" w:hAnsi="Times New Roman"/>
          <w:kern w:val="0"/>
        </w:rPr>
      </w:pPr>
      <w:bookmarkStart w:id="95" w:name="_Toc4451"/>
      <w:r>
        <w:rPr>
          <w:rFonts w:hint="eastAsia" w:ascii="宋体" w:hAnsi="Times New Roman"/>
          <w:kern w:val="0"/>
        </w:rPr>
        <w:t>本附录以雨刮电机控制器为例，对其安全车控操作系统的配置进行示例说明。</w:t>
      </w:r>
    </w:p>
    <w:p w14:paraId="3F6BDC9F">
      <w:pPr>
        <w:pStyle w:val="84"/>
        <w:spacing w:before="120" w:after="120"/>
      </w:pPr>
      <w:bookmarkStart w:id="96" w:name="_Toc4422"/>
      <w:r>
        <w:rPr>
          <w:rFonts w:hint="eastAsia"/>
        </w:rPr>
        <w:t>控制器功能与信号流向说明</w:t>
      </w:r>
      <w:bookmarkEnd w:id="96"/>
    </w:p>
    <w:p w14:paraId="27FB8599">
      <w:pPr>
        <w:pStyle w:val="62"/>
        <w:ind w:firstLine="420"/>
      </w:pPr>
      <w:r>
        <w:t>雨刮电机控制器是</w:t>
      </w:r>
      <w:r>
        <w:rPr>
          <w:rFonts w:hint="eastAsia"/>
        </w:rPr>
        <w:t>汽车车身电气系统中的关键执行部件，负责接收来自上层控制器（如车身域控制器或中央网关）的控制指令，解析雨刮工作模式（如停止、间歇、低速、高速）及喷水请求，并驱动直流电机执行对应的刮拭动作。该控制器通常需具备快速响应能力、低功耗特性、故障检测及安全回退机制，其软件配置的正确性与完整性直接影响驾驶视野安全与整车可靠性。</w:t>
      </w:r>
    </w:p>
    <w:p w14:paraId="7740FD25">
      <w:pPr>
        <w:pStyle w:val="62"/>
        <w:ind w:firstLine="420"/>
      </w:pPr>
      <w:r>
        <w:rPr>
          <w:rFonts w:hint="eastAsia"/>
        </w:rPr>
        <w:t>本示例以一款基于LIN总线通信的雨刮电机从节点控制器为例，依照本标准中的配置框架，从配置准备、配置实施、代码生成与配置管理，对安全车控操作系统在控制器上的配置过程进行示例。</w:t>
      </w:r>
    </w:p>
    <w:p w14:paraId="133C67FC">
      <w:pPr>
        <w:pStyle w:val="62"/>
        <w:ind w:firstLine="420"/>
      </w:pPr>
      <w:r>
        <w:rPr>
          <w:rFonts w:hint="eastAsia"/>
        </w:rPr>
        <w:t>如下为雨刮电机控制的信号流转图，用户通过触摸屏触发雨刮控制按钮操作</w:t>
      </w:r>
      <w:r>
        <w:rPr>
          <w:rFonts w:ascii="Calibri" w:hAnsi="Calibri" w:cs="Calibri"/>
          <w:vertAlign w:val="superscript"/>
        </w:rPr>
        <w:t>①</w:t>
      </w:r>
      <w:r>
        <w:rPr>
          <w:rFonts w:hint="eastAsia"/>
        </w:rPr>
        <w:t>，多媒体控制单元检测到该操作并解析为雨刮控制信号</w:t>
      </w:r>
      <w:r>
        <w:rPr>
          <w:rFonts w:ascii="Calibri" w:hAnsi="Calibri" w:cs="Calibri"/>
          <w:vertAlign w:val="superscript"/>
        </w:rPr>
        <w:t>②</w:t>
      </w:r>
      <w:r>
        <w:rPr>
          <w:rFonts w:hint="eastAsia"/>
        </w:rPr>
        <w:t>，经CAN总线向前车身区域控制器转发雨刮控制信号</w:t>
      </w:r>
      <w:r>
        <w:rPr>
          <w:rFonts w:ascii="Calibri" w:hAnsi="Calibri" w:cs="Calibri"/>
          <w:vertAlign w:val="superscript"/>
        </w:rPr>
        <w:t>③</w:t>
      </w:r>
      <w:r>
        <w:rPr>
          <w:rFonts w:hint="eastAsia"/>
        </w:rPr>
        <w:t>，前车身区域控制器通过CAN总线接收并确认雨刮控制信号</w:t>
      </w:r>
      <w:r>
        <w:rPr>
          <w:rFonts w:hint="eastAsia" w:ascii="微软雅黑" w:hAnsi="微软雅黑" w:eastAsia="微软雅黑" w:cs="微软雅黑"/>
          <w:vertAlign w:val="superscript"/>
        </w:rPr>
        <w:t>④</w:t>
      </w:r>
      <w:r>
        <w:rPr>
          <w:rFonts w:hint="eastAsia"/>
        </w:rPr>
        <w:t>，然后经LIN总线向雨刮电机控制器转发该控制信号</w:t>
      </w:r>
      <w:r>
        <w:rPr>
          <w:rFonts w:hint="eastAsia" w:ascii="微软雅黑" w:hAnsi="微软雅黑" w:eastAsia="微软雅黑" w:cs="微软雅黑"/>
          <w:vertAlign w:val="superscript"/>
        </w:rPr>
        <w:t>⑤</w:t>
      </w:r>
      <w:r>
        <w:rPr>
          <w:rFonts w:hint="eastAsia"/>
        </w:rPr>
        <w:t>。雨刮电机控制器通过LIN总线接收雨刮控制信号并完成解析</w:t>
      </w:r>
      <w:r>
        <w:rPr>
          <w:rFonts w:hint="eastAsia" w:ascii="微软雅黑" w:hAnsi="微软雅黑" w:eastAsia="微软雅黑" w:cs="微软雅黑"/>
          <w:vertAlign w:val="superscript"/>
        </w:rPr>
        <w:t>⑥</w:t>
      </w:r>
      <w:r>
        <w:rPr>
          <w:rFonts w:hint="eastAsia"/>
        </w:rPr>
        <w:t>，再通过硬件IO接口生成雨刮电机驱动信号，控制雨刮电机</w:t>
      </w:r>
      <w:r>
        <w:rPr>
          <w:rFonts w:hint="eastAsia" w:ascii="微软雅黑" w:hAnsi="微软雅黑" w:eastAsia="微软雅黑" w:cs="微软雅黑"/>
          <w:vertAlign w:val="superscript"/>
        </w:rPr>
        <w:t>⑦</w:t>
      </w:r>
      <w:r>
        <w:rPr>
          <w:rFonts w:hint="eastAsia"/>
        </w:rPr>
        <w:t>，雨刮电机启动并按指令运转，带动雨刮器执行玻璃刮拭动作</w:t>
      </w:r>
      <w:r>
        <w:rPr>
          <w:rFonts w:hint="eastAsia" w:ascii="微软雅黑" w:hAnsi="微软雅黑" w:eastAsia="微软雅黑" w:cs="微软雅黑"/>
          <w:vertAlign w:val="superscript"/>
        </w:rPr>
        <w:t>⑧</w:t>
      </w:r>
      <w:r>
        <w:rPr>
          <w:rFonts w:hint="eastAsia"/>
        </w:rPr>
        <w:t>。</w:t>
      </w:r>
    </w:p>
    <w:p w14:paraId="0F6DE59F">
      <w:pPr>
        <w:pStyle w:val="62"/>
        <w:ind w:firstLine="0" w:firstLineChars="0"/>
        <w:jc w:val="center"/>
      </w:pPr>
      <w:r>
        <w:rPr>
          <w:rFonts w:hint="eastAsia"/>
        </w:rPr>
        <w:drawing>
          <wp:inline distT="0" distB="0" distL="114300" distR="114300">
            <wp:extent cx="3077210" cy="1754505"/>
            <wp:effectExtent l="0" t="0" r="8890" b="10795"/>
            <wp:docPr id="1" name="图片 1" descr="f773b337-cd02-4d8d-b607-b298efe8be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773b337-cd02-4d8d-b607-b298efe8bea4"/>
                    <pic:cNvPicPr>
                      <a:picLocks noChangeAspect="1"/>
                    </pic:cNvPicPr>
                  </pic:nvPicPr>
                  <pic:blipFill>
                    <a:blip r:embed="rId19"/>
                    <a:stretch>
                      <a:fillRect/>
                    </a:stretch>
                  </pic:blipFill>
                  <pic:spPr>
                    <a:xfrm>
                      <a:off x="0" y="0"/>
                      <a:ext cx="3077210" cy="1754505"/>
                    </a:xfrm>
                    <a:prstGeom prst="rect">
                      <a:avLst/>
                    </a:prstGeom>
                  </pic:spPr>
                </pic:pic>
              </a:graphicData>
            </a:graphic>
          </wp:inline>
        </w:drawing>
      </w:r>
    </w:p>
    <w:p w14:paraId="060ECBA6">
      <w:pPr>
        <w:pStyle w:val="62"/>
        <w:ind w:firstLine="420"/>
      </w:pPr>
      <w:r>
        <w:t>本示例中的雨刮电机控制器对应上述步骤中的第⑥、⑦环节，即作为LIN总线上的从节点接收控制指令并驱动电机执行。</w:t>
      </w:r>
    </w:p>
    <w:p w14:paraId="00A74C57">
      <w:pPr>
        <w:pStyle w:val="84"/>
        <w:spacing w:before="120" w:after="120"/>
      </w:pPr>
      <w:bookmarkStart w:id="97" w:name="_Toc12957"/>
      <w:r>
        <w:rPr>
          <w:rFonts w:hint="eastAsia" w:hAnsi="黑体"/>
          <w:kern w:val="0"/>
        </w:rPr>
        <w:t>安全车控操作系统</w:t>
      </w:r>
      <w:bookmarkEnd w:id="95"/>
      <w:r>
        <w:rPr>
          <w:rFonts w:hint="eastAsia" w:hAnsi="黑体"/>
          <w:kern w:val="0"/>
        </w:rPr>
        <w:t>配置过程</w:t>
      </w:r>
      <w:bookmarkEnd w:id="97"/>
    </w:p>
    <w:p w14:paraId="2D285F74">
      <w:pPr>
        <w:widowControl/>
        <w:autoSpaceDE w:val="0"/>
        <w:autoSpaceDN w:val="0"/>
        <w:adjustRightInd/>
        <w:spacing w:line="240" w:lineRule="auto"/>
        <w:rPr>
          <w:rFonts w:ascii="宋体" w:hAnsi="Times New Roman"/>
          <w:b/>
          <w:bCs/>
          <w:kern w:val="0"/>
        </w:rPr>
      </w:pPr>
      <w:r>
        <w:rPr>
          <w:rFonts w:hint="eastAsia" w:ascii="宋体" w:hAnsi="Times New Roman"/>
          <w:b/>
          <w:bCs/>
          <w:kern w:val="0"/>
        </w:rPr>
        <w:t>A.2.1 配置准备</w:t>
      </w:r>
    </w:p>
    <w:p w14:paraId="00E2A150">
      <w:pPr>
        <w:widowControl/>
        <w:numPr>
          <w:ilvl w:val="0"/>
          <w:numId w:val="46"/>
        </w:numPr>
        <w:autoSpaceDE w:val="0"/>
        <w:autoSpaceDN w:val="0"/>
        <w:adjustRightInd/>
        <w:spacing w:line="240" w:lineRule="auto"/>
        <w:rPr>
          <w:rFonts w:ascii="宋体" w:hAnsi="Times New Roman"/>
          <w:kern w:val="0"/>
        </w:rPr>
      </w:pPr>
      <w:r>
        <w:rPr>
          <w:rFonts w:hint="eastAsia" w:ascii="宋体" w:hAnsi="Times New Roman"/>
          <w:b/>
          <w:bCs/>
          <w:kern w:val="0"/>
        </w:rPr>
        <w:t>硬件平台确认</w:t>
      </w:r>
      <w:r>
        <w:rPr>
          <w:rFonts w:hint="eastAsia" w:ascii="宋体" w:hAnsi="Times New Roman"/>
          <w:kern w:val="0"/>
        </w:rPr>
        <w:t>：目标MCU为车规级32位微控制器，具备LIN控制器、通用定时器、看门狗及PWM输出端口。</w:t>
      </w:r>
    </w:p>
    <w:p w14:paraId="11533393">
      <w:pPr>
        <w:widowControl/>
        <w:numPr>
          <w:ilvl w:val="0"/>
          <w:numId w:val="46"/>
        </w:numPr>
        <w:autoSpaceDE w:val="0"/>
        <w:autoSpaceDN w:val="0"/>
        <w:adjustRightInd/>
        <w:spacing w:line="240" w:lineRule="auto"/>
        <w:rPr>
          <w:rFonts w:ascii="宋体" w:hAnsi="Times New Roman"/>
          <w:kern w:val="0"/>
        </w:rPr>
      </w:pPr>
      <w:r>
        <w:rPr>
          <w:rFonts w:hint="eastAsia" w:ascii="宋体" w:hAnsi="Times New Roman"/>
          <w:b/>
          <w:bCs/>
          <w:kern w:val="0"/>
        </w:rPr>
        <w:t>工具链准备</w:t>
      </w:r>
      <w:r>
        <w:rPr>
          <w:rFonts w:hint="eastAsia" w:ascii="宋体" w:hAnsi="Times New Roman"/>
          <w:kern w:val="0"/>
        </w:rPr>
        <w:t>：选用支持安全车控操作系统的配置工具、编译工具链及调试器。</w:t>
      </w:r>
    </w:p>
    <w:p w14:paraId="3FEE3E65">
      <w:pPr>
        <w:widowControl/>
        <w:numPr>
          <w:ilvl w:val="0"/>
          <w:numId w:val="46"/>
        </w:numPr>
        <w:autoSpaceDE w:val="0"/>
        <w:autoSpaceDN w:val="0"/>
        <w:adjustRightInd/>
        <w:spacing w:line="240" w:lineRule="auto"/>
        <w:rPr>
          <w:rFonts w:ascii="宋体" w:hAnsi="Times New Roman"/>
          <w:kern w:val="0"/>
        </w:rPr>
      </w:pPr>
      <w:r>
        <w:rPr>
          <w:rFonts w:hint="eastAsia" w:ascii="宋体" w:hAnsi="Times New Roman"/>
          <w:b/>
          <w:bCs/>
          <w:kern w:val="0"/>
        </w:rPr>
        <w:t>需求分析</w:t>
      </w:r>
      <w:r>
        <w:rPr>
          <w:rFonts w:hint="eastAsia" w:ascii="宋体" w:hAnsi="Times New Roman"/>
          <w:kern w:val="0"/>
        </w:rPr>
        <w:t>：</w:t>
      </w:r>
    </w:p>
    <w:p w14:paraId="31DC87ED">
      <w:pPr>
        <w:pStyle w:val="62"/>
        <w:ind w:firstLine="420"/>
        <w:jc w:val="center"/>
      </w:pPr>
      <w:r>
        <w:rPr>
          <w:rFonts w:hint="eastAsia"/>
        </w:rPr>
        <w:t>功能需求：解析LIN帧（ID 0x01），从数据域中提取雨刮电机控制信号，如下为信号排布图：</w:t>
      </w:r>
      <w:r>
        <w:rPr>
          <w:rFonts w:hint="eastAsia"/>
        </w:rPr>
        <w:br w:type="textWrapping"/>
      </w:r>
      <w:r>
        <w:rPr>
          <w:rFonts w:hint="eastAsia"/>
        </w:rPr>
        <w:drawing>
          <wp:inline distT="0" distB="0" distL="114300" distR="114300">
            <wp:extent cx="3926205" cy="1400810"/>
            <wp:effectExtent l="0" t="0" r="10795" b="8890"/>
            <wp:docPr id="2" name="图片 2" descr="a5e6a476-9459-4257-90eb-960e9d99e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5e6a476-9459-4257-90eb-960e9d99ee61"/>
                    <pic:cNvPicPr>
                      <a:picLocks noChangeAspect="1"/>
                    </pic:cNvPicPr>
                  </pic:nvPicPr>
                  <pic:blipFill>
                    <a:blip r:embed="rId20"/>
                    <a:stretch>
                      <a:fillRect/>
                    </a:stretch>
                  </pic:blipFill>
                  <pic:spPr>
                    <a:xfrm>
                      <a:off x="0" y="0"/>
                      <a:ext cx="3926205" cy="1400810"/>
                    </a:xfrm>
                    <a:prstGeom prst="rect">
                      <a:avLst/>
                    </a:prstGeom>
                  </pic:spPr>
                </pic:pic>
              </a:graphicData>
            </a:graphic>
          </wp:inline>
        </w:drawing>
      </w:r>
    </w:p>
    <w:p w14:paraId="745763C4">
      <w:pPr>
        <w:pStyle w:val="62"/>
        <w:ind w:firstLine="420"/>
      </w:pPr>
      <w:r>
        <w:rPr>
          <w:rFonts w:hint="eastAsia"/>
        </w:rPr>
        <w:t>其中，字节4，6~7比特位对应雨刮电机控制信号，取值范围为0~3，分别对应关闭、低速、中速、高速；喷水量大小信号对应字节4的0~5比特位，取值范围为0~63，0对应喷水关闭，1~63对应喷水量大小，数值越大则喷水量越大。</w:t>
      </w:r>
    </w:p>
    <w:p w14:paraId="579B39C8">
      <w:pPr>
        <w:pStyle w:val="62"/>
        <w:ind w:firstLine="420"/>
      </w:pPr>
      <w:r>
        <w:rPr>
          <w:rFonts w:hint="eastAsia"/>
        </w:rPr>
        <w:t>实时性：从接收LIN帧到PWM输出，端到端延迟≤20ms。</w:t>
      </w:r>
    </w:p>
    <w:p w14:paraId="790496ED">
      <w:pPr>
        <w:pStyle w:val="62"/>
        <w:ind w:firstLine="420"/>
      </w:pPr>
      <w:r>
        <w:rPr>
          <w:rFonts w:hint="eastAsia"/>
        </w:rPr>
        <w:t>功能安全：按ASIL B配置看门狗，监控任务执行周期；对控制信号进行合理性校验。</w:t>
      </w:r>
    </w:p>
    <w:p w14:paraId="401F0A2B">
      <w:pPr>
        <w:pStyle w:val="62"/>
        <w:ind w:firstLine="420"/>
      </w:pPr>
      <w:r>
        <w:rPr>
          <w:rFonts w:hint="eastAsia"/>
        </w:rPr>
        <w:t>资源约束：Flash≤</w:t>
      </w:r>
      <w:r>
        <w:t>256</w:t>
      </w:r>
      <w:r>
        <w:rPr>
          <w:rFonts w:hint="eastAsia"/>
        </w:rPr>
        <w:t>KB，RAM≤</w:t>
      </w:r>
      <w:r>
        <w:t>32</w:t>
      </w:r>
      <w:r>
        <w:rPr>
          <w:rFonts w:hint="eastAsia"/>
        </w:rPr>
        <w:t>KB。</w:t>
      </w:r>
    </w:p>
    <w:p w14:paraId="01D5E812">
      <w:pPr>
        <w:widowControl/>
        <w:numPr>
          <w:ilvl w:val="0"/>
          <w:numId w:val="46"/>
        </w:numPr>
        <w:autoSpaceDE w:val="0"/>
        <w:autoSpaceDN w:val="0"/>
        <w:adjustRightInd/>
        <w:spacing w:line="240" w:lineRule="auto"/>
      </w:pPr>
      <w:r>
        <w:rPr>
          <w:rFonts w:hint="eastAsia" w:ascii="宋体" w:hAnsi="Times New Roman"/>
          <w:b/>
          <w:bCs/>
          <w:kern w:val="0"/>
        </w:rPr>
        <w:t>工程创建</w:t>
      </w:r>
      <w:r>
        <w:rPr>
          <w:rFonts w:hint="eastAsia" w:ascii="宋体" w:hAnsi="Times New Roman"/>
          <w:kern w:val="0"/>
        </w:rPr>
        <w:t>：</w:t>
      </w:r>
      <w:r>
        <w:rPr>
          <w:rFonts w:hint="eastAsia"/>
        </w:rPr>
        <w:t>新建ECU配置工程，导入MCAL描述文件及LIN通信矩阵。</w:t>
      </w:r>
    </w:p>
    <w:p w14:paraId="0634A2DB">
      <w:pPr>
        <w:widowControl/>
        <w:numPr>
          <w:ilvl w:val="0"/>
          <w:numId w:val="46"/>
        </w:numPr>
        <w:autoSpaceDE w:val="0"/>
        <w:autoSpaceDN w:val="0"/>
        <w:adjustRightInd/>
        <w:spacing w:line="240" w:lineRule="auto"/>
      </w:pPr>
      <w:r>
        <w:rPr>
          <w:rFonts w:hint="eastAsia"/>
          <w:b/>
          <w:bCs/>
        </w:rPr>
        <w:t>架构设计</w:t>
      </w:r>
      <w:r>
        <w:rPr>
          <w:rFonts w:hint="eastAsia"/>
        </w:rPr>
        <w:t>：根据电子电气架构及需求分析结果，完成组件划分与接口设计：</w:t>
      </w:r>
    </w:p>
    <w:p w14:paraId="2C585466">
      <w:pPr>
        <w:pStyle w:val="62"/>
        <w:ind w:firstLine="420"/>
      </w:pPr>
      <w:r>
        <w:rPr>
          <w:rFonts w:hint="eastAsia"/>
        </w:rPr>
        <w:t>硬件相关驱动组件设计：基于目标MCU外设资源，规划LIN驱动、PWM、DIO、ADC（可选）、看门狗等驱动组件的引脚分配与通道映射，其中LIN收发引脚、PWM输出引脚及电机方向控制引脚按共享资源统一规划，避免引脚冲突。</w:t>
      </w:r>
    </w:p>
    <w:p w14:paraId="53AA974C">
      <w:pPr>
        <w:pStyle w:val="62"/>
        <w:ind w:firstLine="420"/>
      </w:pPr>
      <w:r>
        <w:rPr>
          <w:rFonts w:hint="eastAsia"/>
        </w:rPr>
        <w:t>功能组件设计：划分软件组件（SWC），包括Lin_Rx_SWC（负责LIN报文接收与信号解析）和Motor_Ctrl_SWC（负责电机驱动控制与喷水控制），定义Sender-Receiver接口及端口连接关系。</w:t>
      </w:r>
    </w:p>
    <w:p w14:paraId="527B2FCA">
      <w:pPr>
        <w:pStyle w:val="62"/>
        <w:ind w:firstLine="420"/>
        <w:rPr>
          <w:b/>
          <w:bCs/>
        </w:rPr>
      </w:pPr>
      <w:r>
        <w:rPr>
          <w:rFonts w:hint="eastAsia"/>
        </w:rPr>
        <w:t>通信诊断组件设计：依据LIN通信矩阵，设计LinIf、PduR、Com等通信服务组件的信号路由与映射关系，并设计Dem、Fim等诊断组件的故障码定义及故障与安全状态映射关系。</w:t>
      </w:r>
      <w:r>
        <w:rPr>
          <w:rFonts w:hint="eastAsia"/>
        </w:rPr>
        <w:br w:type="textWrapping"/>
      </w:r>
      <w:r>
        <w:rPr>
          <w:rFonts w:hint="eastAsia"/>
          <w:b/>
          <w:bCs/>
        </w:rPr>
        <w:t>A.2.2 配置实施</w:t>
      </w:r>
    </w:p>
    <w:p w14:paraId="5AE52D33">
      <w:pPr>
        <w:widowControl/>
        <w:numPr>
          <w:ilvl w:val="0"/>
          <w:numId w:val="46"/>
        </w:numPr>
        <w:autoSpaceDE w:val="0"/>
        <w:autoSpaceDN w:val="0"/>
        <w:adjustRightInd/>
        <w:spacing w:line="240" w:lineRule="auto"/>
      </w:pPr>
      <w:r>
        <w:rPr>
          <w:rFonts w:hint="eastAsia"/>
        </w:rPr>
        <w:t>模块创建与选择：根据需求勾选必要BSW模块，包括LIN驱动（Lin）、LIN接口（LinIf）、PDU路由（PduR）、通信管理（Com）、操作系统（OS）、看门狗管理（WdgM）等。</w:t>
      </w:r>
    </w:p>
    <w:p w14:paraId="2503EF0C">
      <w:pPr>
        <w:widowControl/>
        <w:numPr>
          <w:ilvl w:val="0"/>
          <w:numId w:val="46"/>
        </w:numPr>
        <w:autoSpaceDE w:val="0"/>
        <w:autoSpaceDN w:val="0"/>
        <w:adjustRightInd/>
        <w:spacing w:line="240" w:lineRule="auto"/>
      </w:pPr>
      <w:r>
        <w:rPr>
          <w:rFonts w:hint="eastAsia"/>
        </w:rPr>
        <w:t>文件导入：导入LDF文件，自动生成LIN调度表、帧ID及信号映射；导入ARXML文件完成数据类型与软件组件（SWC）映射；执行Task mapping，将可运行实体分配至对应的OS任务；完成RTE接口连线，配置软件组件之间的端口连接关系。</w:t>
      </w:r>
    </w:p>
    <w:p w14:paraId="22F659F5">
      <w:pPr>
        <w:widowControl/>
        <w:numPr>
          <w:ilvl w:val="0"/>
          <w:numId w:val="46"/>
        </w:numPr>
        <w:autoSpaceDE w:val="0"/>
        <w:autoSpaceDN w:val="0"/>
        <w:adjustRightInd/>
        <w:spacing w:line="240" w:lineRule="auto"/>
      </w:pPr>
      <w:r>
        <w:rPr>
          <w:rFonts w:hint="eastAsia"/>
        </w:rPr>
        <w:t>参数配置：参见A.3章节。</w:t>
      </w:r>
    </w:p>
    <w:p w14:paraId="5FE5C120">
      <w:pPr>
        <w:widowControl/>
        <w:numPr>
          <w:ilvl w:val="0"/>
          <w:numId w:val="46"/>
        </w:numPr>
        <w:autoSpaceDE w:val="0"/>
        <w:autoSpaceDN w:val="0"/>
        <w:adjustRightInd/>
        <w:spacing w:line="240" w:lineRule="auto"/>
        <w:rPr>
          <w:rFonts w:ascii="宋体" w:hAnsi="Times New Roman"/>
          <w:kern w:val="0"/>
        </w:rPr>
      </w:pPr>
      <w:r>
        <w:rPr>
          <w:rFonts w:hint="eastAsia"/>
        </w:rPr>
        <w:t>配置校验：执行静态校验，确认LIN帧ID与Com信号映射一致、任务堆栈无溢出风险、看门狗阈值与实际周期匹配。</w:t>
      </w:r>
    </w:p>
    <w:p w14:paraId="0C2EE084">
      <w:pPr>
        <w:widowControl/>
        <w:autoSpaceDE w:val="0"/>
        <w:autoSpaceDN w:val="0"/>
        <w:adjustRightInd/>
        <w:spacing w:line="240" w:lineRule="auto"/>
        <w:rPr>
          <w:rFonts w:ascii="宋体" w:hAnsi="Times New Roman"/>
          <w:b/>
          <w:bCs/>
          <w:kern w:val="0"/>
        </w:rPr>
      </w:pPr>
      <w:r>
        <w:rPr>
          <w:rFonts w:hint="eastAsia" w:ascii="宋体" w:hAnsi="Times New Roman"/>
          <w:b/>
          <w:bCs/>
          <w:kern w:val="0"/>
        </w:rPr>
        <w:t>A.2.3 代码生成与集成</w:t>
      </w:r>
    </w:p>
    <w:p w14:paraId="7D67CD0A">
      <w:pPr>
        <w:widowControl/>
        <w:numPr>
          <w:ilvl w:val="0"/>
          <w:numId w:val="46"/>
        </w:numPr>
        <w:autoSpaceDE w:val="0"/>
        <w:autoSpaceDN w:val="0"/>
        <w:adjustRightInd/>
        <w:spacing w:line="240" w:lineRule="auto"/>
        <w:rPr>
          <w:rFonts w:ascii="宋体" w:hAnsi="Times New Roman"/>
          <w:kern w:val="0"/>
        </w:rPr>
      </w:pPr>
      <w:r>
        <w:rPr>
          <w:rFonts w:hint="eastAsia" w:ascii="Times New Roman"/>
        </w:rPr>
        <w:t>配置代码生成：使用配置工具生成Lin_Cfg.c/h、Com_Cfg.c/h、Os_Cfg.c/h、WdgM_Cfg.c/h等文件。</w:t>
      </w:r>
    </w:p>
    <w:p w14:paraId="1231F577">
      <w:pPr>
        <w:widowControl/>
        <w:numPr>
          <w:ilvl w:val="0"/>
          <w:numId w:val="46"/>
        </w:numPr>
        <w:autoSpaceDE w:val="0"/>
        <w:autoSpaceDN w:val="0"/>
        <w:adjustRightInd/>
        <w:spacing w:line="240" w:lineRule="auto"/>
        <w:rPr>
          <w:rFonts w:ascii="宋体" w:hAnsi="Times New Roman"/>
          <w:kern w:val="0"/>
        </w:rPr>
      </w:pPr>
      <w:r>
        <w:rPr>
          <w:rFonts w:hint="eastAsia" w:ascii="宋体" w:hAnsi="Times New Roman"/>
          <w:kern w:val="0"/>
        </w:rPr>
        <w:t>软件集成：将生成的配置代码与手写应用层代码集成。</w:t>
      </w:r>
    </w:p>
    <w:p w14:paraId="21A2A163">
      <w:pPr>
        <w:widowControl/>
        <w:numPr>
          <w:ilvl w:val="0"/>
          <w:numId w:val="46"/>
        </w:numPr>
        <w:autoSpaceDE w:val="0"/>
        <w:autoSpaceDN w:val="0"/>
        <w:adjustRightInd/>
        <w:spacing w:line="240" w:lineRule="auto"/>
        <w:rPr>
          <w:rFonts w:ascii="宋体" w:hAnsi="Times New Roman"/>
          <w:kern w:val="0"/>
        </w:rPr>
      </w:pPr>
      <w:r>
        <w:rPr>
          <w:rFonts w:hint="eastAsia" w:ascii="宋体" w:hAnsi="Times New Roman"/>
          <w:kern w:val="0"/>
        </w:rPr>
        <w:t>编译构建：配置链接脚本，编译生成可执行文件。</w:t>
      </w:r>
    </w:p>
    <w:p w14:paraId="77160D8E">
      <w:pPr>
        <w:widowControl/>
        <w:numPr>
          <w:ilvl w:val="0"/>
          <w:numId w:val="46"/>
        </w:numPr>
        <w:autoSpaceDE w:val="0"/>
        <w:autoSpaceDN w:val="0"/>
        <w:adjustRightInd/>
        <w:spacing w:line="240" w:lineRule="auto"/>
        <w:rPr>
          <w:rFonts w:ascii="宋体" w:hAnsi="Times New Roman"/>
          <w:kern w:val="0"/>
        </w:rPr>
      </w:pPr>
      <w:r>
        <w:rPr>
          <w:rFonts w:hint="eastAsia" w:ascii="宋体" w:hAnsi="Times New Roman"/>
          <w:kern w:val="0"/>
        </w:rPr>
        <w:t>调试验证：烧录至目标硬件，使用LIN总线仿真工具发送ID 0x01控制帧，通过示波器观测PWM输出信号，验证电机正常响应。</w:t>
      </w:r>
    </w:p>
    <w:p w14:paraId="24130270">
      <w:pPr>
        <w:widowControl/>
        <w:autoSpaceDE w:val="0"/>
        <w:autoSpaceDN w:val="0"/>
        <w:adjustRightInd/>
        <w:spacing w:line="240" w:lineRule="auto"/>
        <w:rPr>
          <w:rFonts w:ascii="宋体" w:hAnsi="Times New Roman"/>
          <w:b/>
          <w:bCs/>
          <w:kern w:val="0"/>
        </w:rPr>
      </w:pPr>
      <w:r>
        <w:rPr>
          <w:rFonts w:hint="eastAsia" w:ascii="宋体" w:hAnsi="Times New Roman"/>
          <w:b/>
          <w:bCs/>
          <w:kern w:val="0"/>
        </w:rPr>
        <w:t>A.2.4 配置管理</w:t>
      </w:r>
    </w:p>
    <w:p w14:paraId="0851544A">
      <w:pPr>
        <w:widowControl/>
        <w:numPr>
          <w:ilvl w:val="0"/>
          <w:numId w:val="46"/>
        </w:numPr>
        <w:autoSpaceDE w:val="0"/>
        <w:autoSpaceDN w:val="0"/>
        <w:adjustRightInd/>
        <w:spacing w:line="240" w:lineRule="auto"/>
        <w:rPr>
          <w:rFonts w:ascii="宋体" w:hAnsi="Times New Roman"/>
          <w:kern w:val="0"/>
        </w:rPr>
      </w:pPr>
      <w:r>
        <w:rPr>
          <w:rFonts w:ascii="宋体" w:hAnsi="Times New Roman"/>
          <w:kern w:val="0"/>
        </w:rPr>
        <w:t>所有配置源文件及生成代码纳入版本控制</w:t>
      </w:r>
      <w:r>
        <w:rPr>
          <w:rFonts w:hint="eastAsia" w:ascii="宋体" w:hAnsi="Times New Roman"/>
          <w:kern w:val="0"/>
        </w:rPr>
        <w:t>软件</w:t>
      </w:r>
      <w:r>
        <w:rPr>
          <w:rFonts w:ascii="宋体" w:hAnsi="Times New Roman"/>
          <w:kern w:val="0"/>
        </w:rPr>
        <w:t>，</w:t>
      </w:r>
      <w:r>
        <w:rPr>
          <w:rFonts w:hint="eastAsia" w:ascii="宋体" w:hAnsi="Times New Roman"/>
          <w:kern w:val="0"/>
        </w:rPr>
        <w:t>过程中</w:t>
      </w:r>
      <w:r>
        <w:rPr>
          <w:rFonts w:ascii="宋体" w:hAnsi="Times New Roman"/>
          <w:kern w:val="0"/>
        </w:rPr>
        <w:t>记录每次变更的原因与内容。</w:t>
      </w:r>
    </w:p>
    <w:p w14:paraId="331B46F1">
      <w:pPr>
        <w:widowControl/>
        <w:numPr>
          <w:ilvl w:val="0"/>
          <w:numId w:val="46"/>
        </w:numPr>
        <w:autoSpaceDE w:val="0"/>
        <w:autoSpaceDN w:val="0"/>
        <w:adjustRightInd/>
        <w:spacing w:line="240" w:lineRule="auto"/>
      </w:pPr>
      <w:r>
        <w:rPr>
          <w:rFonts w:ascii="宋体" w:hAnsi="Times New Roman"/>
          <w:kern w:val="0"/>
        </w:rPr>
        <w:t>通过配置评审后建立基线版本</w:t>
      </w:r>
      <w:r>
        <w:rPr>
          <w:rFonts w:hint="eastAsia" w:ascii="宋体" w:hAnsi="Times New Roman"/>
          <w:kern w:val="0"/>
        </w:rPr>
        <w:t>，用于后续测试、发布与维护。</w:t>
      </w:r>
      <w:bookmarkEnd w:id="90"/>
      <w:bookmarkStart w:id="98" w:name="BookMark8"/>
    </w:p>
    <w:p w14:paraId="387D5DE6">
      <w:pPr>
        <w:pStyle w:val="84"/>
        <w:spacing w:before="120" w:after="120"/>
        <w:rPr>
          <w:rFonts w:ascii="宋体"/>
          <w:b/>
          <w:bCs/>
          <w:kern w:val="0"/>
        </w:rPr>
      </w:pPr>
      <w:bookmarkStart w:id="99" w:name="_Toc19685"/>
      <w:r>
        <w:rPr>
          <w:rFonts w:hint="eastAsia" w:ascii="宋体"/>
          <w:b/>
          <w:bCs/>
          <w:kern w:val="0"/>
        </w:rPr>
        <w:t>安全车控操作系统配置参数</w:t>
      </w:r>
      <w:bookmarkEnd w:id="99"/>
    </w:p>
    <w:p w14:paraId="3C880BEF">
      <w:pPr>
        <w:widowControl/>
        <w:autoSpaceDE w:val="0"/>
        <w:autoSpaceDN w:val="0"/>
        <w:adjustRightInd/>
        <w:spacing w:line="240" w:lineRule="auto"/>
        <w:rPr>
          <w:rFonts w:ascii="宋体" w:hAnsi="Times New Roman"/>
          <w:b/>
          <w:bCs/>
          <w:kern w:val="0"/>
        </w:rPr>
      </w:pPr>
      <w:r>
        <w:rPr>
          <w:rFonts w:hint="eastAsia" w:ascii="宋体" w:hAnsi="Times New Roman"/>
          <w:b/>
          <w:bCs/>
          <w:kern w:val="0"/>
        </w:rPr>
        <w:t>A.3.1 硬件驱动配置</w:t>
      </w:r>
    </w:p>
    <w:p w14:paraId="4A3E9F53">
      <w:pPr>
        <w:pStyle w:val="62"/>
        <w:ind w:firstLine="420"/>
      </w:pPr>
      <w:r>
        <w:rPr>
          <w:rFonts w:hint="eastAsia"/>
        </w:rPr>
        <w:t>硬件驱动配置包括微控制器驱动配置、存储器驱动配置、通信驱动配置、输入输出驱动配置。</w:t>
      </w:r>
    </w:p>
    <w:p w14:paraId="5F730246">
      <w:pPr>
        <w:pStyle w:val="62"/>
        <w:numPr>
          <w:ilvl w:val="0"/>
          <w:numId w:val="47"/>
        </w:numPr>
        <w:ind w:firstLineChars="0"/>
      </w:pPr>
      <w:r>
        <w:rPr>
          <w:rFonts w:hint="eastAsia"/>
        </w:rPr>
        <w:t>微控制器驱动配置</w:t>
      </w:r>
    </w:p>
    <w:p w14:paraId="5A2B3070">
      <w:pPr>
        <w:pStyle w:val="62"/>
        <w:ind w:firstLine="420"/>
      </w:pPr>
      <w:r>
        <w:t>电源管理配置：休眠模式配置为Deep Sleep，唤醒源包括LIN总线唤醒。</w:t>
      </w:r>
    </w:p>
    <w:p w14:paraId="45EE1FF0">
      <w:pPr>
        <w:pStyle w:val="62"/>
        <w:ind w:firstLine="420"/>
      </w:pPr>
      <w:r>
        <w:t>时钟配置：系统时钟源选择外部晶振（8 MHz），经PLL倍频至80 MHz，外设总线时钟配置为40 MHz。</w:t>
      </w:r>
    </w:p>
    <w:p w14:paraId="5B4C1F90">
      <w:pPr>
        <w:pStyle w:val="62"/>
        <w:ind w:firstLine="420"/>
      </w:pPr>
      <w:r>
        <w:t>看门狗配置：启用独立看门狗，超时时间设置为100ms；喂狗窗口设置为50~</w:t>
      </w:r>
      <w:r>
        <w:rPr>
          <w:rFonts w:hint="eastAsia"/>
        </w:rPr>
        <w:t>8</w:t>
      </w:r>
      <w:r>
        <w:t>0 ms，喂狗失败触发系统复位。</w:t>
      </w:r>
    </w:p>
    <w:p w14:paraId="1263CE4D">
      <w:pPr>
        <w:pStyle w:val="62"/>
        <w:numPr>
          <w:ilvl w:val="0"/>
          <w:numId w:val="47"/>
        </w:numPr>
        <w:ind w:firstLineChars="0"/>
      </w:pPr>
      <w:r>
        <w:rPr>
          <w:rFonts w:hint="eastAsia"/>
        </w:rPr>
        <w:t>存储器驱动配置</w:t>
      </w:r>
    </w:p>
    <w:p w14:paraId="19EE2489">
      <w:pPr>
        <w:pStyle w:val="62"/>
        <w:ind w:firstLine="420"/>
      </w:pPr>
      <w:r>
        <w:t>Flash驱动配置</w:t>
      </w:r>
      <w:r>
        <w:rPr>
          <w:rFonts w:hint="eastAsia"/>
        </w:rPr>
        <w:t>如下：</w:t>
      </w:r>
    </w:p>
    <w:p w14:paraId="5FFC56F6">
      <w:pPr>
        <w:pStyle w:val="62"/>
        <w:ind w:firstLine="420"/>
      </w:pPr>
      <w:r>
        <w:t>扇区划分：前64KB用于Bootloader，</w:t>
      </w:r>
      <w:r>
        <w:rPr>
          <w:rFonts w:hint="eastAsia"/>
        </w:rPr>
        <w:t>中间</w:t>
      </w:r>
      <w:r>
        <w:t>128KB用于</w:t>
      </w:r>
      <w:r>
        <w:rPr>
          <w:rFonts w:hint="eastAsia"/>
        </w:rPr>
        <w:t>车控操作系统代码和</w:t>
      </w:r>
      <w:r>
        <w:t>应用代码，最后16KB用于参数存储。</w:t>
      </w:r>
    </w:p>
    <w:p w14:paraId="6EA1083C">
      <w:pPr>
        <w:pStyle w:val="62"/>
        <w:ind w:firstLine="420"/>
      </w:pPr>
      <w:r>
        <w:t>擦除时间参数：扇区擦除典型值50ms，页擦除典型值5ms。</w:t>
      </w:r>
    </w:p>
    <w:p w14:paraId="32C5E314">
      <w:pPr>
        <w:pStyle w:val="62"/>
        <w:ind w:firstLine="420"/>
      </w:pPr>
      <w:r>
        <w:t>读写等待周期：配置为1个等待周期，适配80MHz系统时钟。</w:t>
      </w:r>
    </w:p>
    <w:p w14:paraId="6CA544B7">
      <w:pPr>
        <w:pStyle w:val="62"/>
        <w:ind w:firstLine="420"/>
      </w:pPr>
      <w:r>
        <w:t>读写保护机制：启用Flash读写保护，保护Bootloader和关键参数区不被非法修改。</w:t>
      </w:r>
    </w:p>
    <w:p w14:paraId="1B4A0124">
      <w:pPr>
        <w:pStyle w:val="62"/>
        <w:ind w:firstLine="420"/>
      </w:pPr>
      <w:r>
        <w:t>安全访问权限：仅允许经过授权的代码执行Flash擦写操作。</w:t>
      </w:r>
    </w:p>
    <w:p w14:paraId="011A81D9">
      <w:pPr>
        <w:pStyle w:val="62"/>
        <w:ind w:firstLine="420"/>
      </w:pPr>
      <w:r>
        <w:t>EEPROM驱动配置</w:t>
      </w:r>
      <w:r>
        <w:rPr>
          <w:rFonts w:hint="eastAsia"/>
        </w:rPr>
        <w:t>如下</w:t>
      </w:r>
      <w:r>
        <w:t>：</w:t>
      </w:r>
    </w:p>
    <w:p w14:paraId="70F4050C">
      <w:pPr>
        <w:pStyle w:val="62"/>
        <w:ind w:firstLine="420"/>
      </w:pPr>
      <w:r>
        <w:t>EEPROM仿真驱动（Fee）配置：块大小16字节，总容量4 KB。</w:t>
      </w:r>
    </w:p>
    <w:p w14:paraId="5C72856F">
      <w:pPr>
        <w:pStyle w:val="62"/>
        <w:ind w:firstLine="420"/>
      </w:pPr>
      <w:r>
        <w:t>擦写循环策略：采用磨损均衡算法，每个物理块最多擦写10万次。</w:t>
      </w:r>
    </w:p>
    <w:p w14:paraId="3075E43E">
      <w:pPr>
        <w:pStyle w:val="62"/>
        <w:ind w:firstLine="420"/>
      </w:pPr>
      <w:r>
        <w:t>数据校验机制：启用CRC-16校验，每16字节数据附加2字节校验码。</w:t>
      </w:r>
    </w:p>
    <w:p w14:paraId="35C1EE19">
      <w:pPr>
        <w:pStyle w:val="62"/>
        <w:ind w:firstLine="420"/>
      </w:pPr>
      <w:r>
        <w:t>冗余存储策略：关键参数（如电机标定系数）存储2副本，读取时进行一致性比较。</w:t>
      </w:r>
    </w:p>
    <w:p w14:paraId="6BD80B2C">
      <w:pPr>
        <w:pStyle w:val="62"/>
        <w:numPr>
          <w:ilvl w:val="0"/>
          <w:numId w:val="47"/>
        </w:numPr>
        <w:ind w:firstLineChars="0"/>
      </w:pPr>
      <w:r>
        <w:rPr>
          <w:rFonts w:hint="eastAsia"/>
        </w:rPr>
        <w:t>通信驱动配置</w:t>
      </w:r>
    </w:p>
    <w:p w14:paraId="5A318BDF">
      <w:pPr>
        <w:pStyle w:val="62"/>
        <w:ind w:firstLine="420"/>
      </w:pPr>
      <w:r>
        <w:t>LIN控制器配置：工作模式设置为从节点（Slave），波特率19200bps。</w:t>
      </w:r>
    </w:p>
    <w:p w14:paraId="39CFD1A3">
      <w:pPr>
        <w:pStyle w:val="62"/>
        <w:ind w:firstLine="420"/>
      </w:pPr>
      <w:r>
        <w:t>帧配置：关联帧ID 0x01，响应长度</w:t>
      </w:r>
      <w:r>
        <w:rPr>
          <w:rFonts w:hint="eastAsia"/>
        </w:rPr>
        <w:t>1</w:t>
      </w:r>
      <w:r>
        <w:t>字节，帧超时设置为50ms。</w:t>
      </w:r>
    </w:p>
    <w:p w14:paraId="74AA3C11">
      <w:pPr>
        <w:pStyle w:val="62"/>
        <w:ind w:firstLine="420"/>
      </w:pPr>
      <w:r>
        <w:t>调度表配置：从节点无需配置调度表，由主节点提供帧头。</w:t>
      </w:r>
    </w:p>
    <w:p w14:paraId="41CF60EC">
      <w:pPr>
        <w:pStyle w:val="62"/>
        <w:numPr>
          <w:ilvl w:val="0"/>
          <w:numId w:val="47"/>
        </w:numPr>
        <w:ind w:firstLineChars="0"/>
      </w:pPr>
      <w:r>
        <w:rPr>
          <w:rFonts w:hint="eastAsia"/>
        </w:rPr>
        <w:t>输入输出驱动配置</w:t>
      </w:r>
    </w:p>
    <w:p w14:paraId="4BC6043E">
      <w:pPr>
        <w:pStyle w:val="62"/>
        <w:ind w:firstLine="420"/>
      </w:pPr>
      <w:r>
        <w:t>PWM配置：PWM通道1用于电机驱动，频率1kHz，占空比初始为0%，输出极性高电平有效。</w:t>
      </w:r>
    </w:p>
    <w:p w14:paraId="069D9572">
      <w:pPr>
        <w:pStyle w:val="62"/>
        <w:ind w:firstLine="420"/>
      </w:pPr>
      <w:r>
        <w:t>DIO配置：DIO引脚2配置为电机方向控制（高/低电平切换正反转），DIO引脚3配置为喷水电磁阀驱动。</w:t>
      </w:r>
    </w:p>
    <w:p w14:paraId="667ADE80">
      <w:pPr>
        <w:pStyle w:val="62"/>
        <w:ind w:firstLine="420"/>
      </w:pPr>
      <w:r>
        <w:t>ADC配置（可选）：ADC通道0用于电机电流采样，采样周期10 μs，用于堵转检测。</w:t>
      </w:r>
    </w:p>
    <w:p w14:paraId="12B6B529">
      <w:pPr>
        <w:widowControl/>
        <w:autoSpaceDE w:val="0"/>
        <w:autoSpaceDN w:val="0"/>
        <w:adjustRightInd/>
        <w:spacing w:line="240" w:lineRule="auto"/>
        <w:rPr>
          <w:rFonts w:ascii="宋体" w:hAnsi="Times New Roman"/>
          <w:b/>
          <w:bCs/>
          <w:kern w:val="0"/>
        </w:rPr>
      </w:pPr>
      <w:r>
        <w:rPr>
          <w:rFonts w:hint="eastAsia" w:ascii="宋体" w:hAnsi="Times New Roman"/>
          <w:b/>
          <w:bCs/>
          <w:kern w:val="0"/>
        </w:rPr>
        <w:t>A.3.2 操作系统配置</w:t>
      </w:r>
    </w:p>
    <w:p w14:paraId="0650A583">
      <w:pPr>
        <w:pStyle w:val="62"/>
        <w:ind w:firstLine="420"/>
      </w:pPr>
      <w:r>
        <w:rPr>
          <w:rFonts w:hint="eastAsia"/>
        </w:rPr>
        <w:t>操作系统配置按照ASIL A要求进行任务、中断、资源及内存保护配置。</w:t>
      </w:r>
    </w:p>
    <w:p w14:paraId="5EEA4E3B">
      <w:pPr>
        <w:pStyle w:val="62"/>
        <w:numPr>
          <w:ilvl w:val="0"/>
          <w:numId w:val="47"/>
        </w:numPr>
        <w:ind w:firstLineChars="0"/>
      </w:pPr>
      <w:r>
        <w:rPr>
          <w:rFonts w:hint="eastAsia"/>
        </w:rPr>
        <w:t>任务配置</w:t>
      </w:r>
    </w:p>
    <w:p w14:paraId="5DC81DC0">
      <w:pPr>
        <w:pStyle w:val="62"/>
        <w:ind w:firstLine="420"/>
      </w:pPr>
      <w:r>
        <w:t>本示例共配置三个任务，分别承担LIN报文接收、电机控制执行及看门狗</w:t>
      </w:r>
      <w:r>
        <w:rPr>
          <w:rFonts w:hint="eastAsia"/>
        </w:rPr>
        <w:t>Alive</w:t>
      </w:r>
      <w:r>
        <w:t>监控职责。Lin_Rx_Task负责周期性读取LIN总线上的控制信号，并将解析后的数据存入共享缓冲区；Motor_Ctrl_Task 由 Lin_Rx_Task 通过事件触发，读取共享数据并更新PWM输出，实现电机驱动；Wdg_A</w:t>
      </w:r>
      <w:r>
        <w:rPr>
          <w:rFonts w:hint="eastAsia"/>
        </w:rPr>
        <w:t>live</w:t>
      </w:r>
      <w:r>
        <w:t>_Task 由</w:t>
      </w:r>
      <w:r>
        <w:rPr>
          <w:rFonts w:hint="eastAsia"/>
        </w:rPr>
        <w:t>操作系统</w:t>
      </w:r>
      <w:r>
        <w:t>周期</w:t>
      </w:r>
      <w:r>
        <w:rPr>
          <w:rFonts w:hint="eastAsia"/>
        </w:rPr>
        <w:t>性</w:t>
      </w:r>
      <w:r>
        <w:t>调度，用于辅助看门狗管理器（WdgM）执行</w:t>
      </w:r>
      <w:r>
        <w:rPr>
          <w:rFonts w:hint="eastAsia"/>
        </w:rPr>
        <w:t>Alive</w:t>
      </w:r>
      <w:r>
        <w:t>监控，验证 Motor_Ctrl_Task 的执行周期是否满足设计要求。三个任务通过事件、共享缓冲区及看门狗机制实现协同，确保控制链路的实时性与安全性。</w:t>
      </w:r>
    </w:p>
    <w:p w14:paraId="612A334D">
      <w:pPr>
        <w:pStyle w:val="62"/>
        <w:ind w:firstLine="420"/>
      </w:pPr>
      <w:r>
        <w:t>Lin_Rx_Task：周期10 ms，优先级6（中等），栈大小1 KB，调度策略为完全抢占。触发方式为Alarm周期性激活。</w:t>
      </w:r>
    </w:p>
    <w:p w14:paraId="2AFF0809">
      <w:pPr>
        <w:pStyle w:val="62"/>
        <w:ind w:firstLine="420"/>
      </w:pPr>
      <w:r>
        <w:t>Motor_Ctrl_Task：周期10 ms，优先级8（较高），栈大小1 KB，调度策略为完全抢占。由Lin_Rx_Task设置事件触发。</w:t>
      </w:r>
    </w:p>
    <w:p w14:paraId="14E40CCD">
      <w:pPr>
        <w:pStyle w:val="62"/>
        <w:ind w:firstLine="420"/>
      </w:pPr>
      <w:r>
        <w:t>Wdg_A</w:t>
      </w:r>
      <w:r>
        <w:rPr>
          <w:rFonts w:hint="eastAsia"/>
        </w:rPr>
        <w:t>live</w:t>
      </w:r>
      <w:r>
        <w:t>_Task：周期10 ms，优先级4（较低），栈大小512 B，由OS自动调度。</w:t>
      </w:r>
    </w:p>
    <w:p w14:paraId="0BCBCB8C">
      <w:pPr>
        <w:pStyle w:val="62"/>
        <w:numPr>
          <w:ilvl w:val="0"/>
          <w:numId w:val="47"/>
        </w:numPr>
        <w:ind w:firstLineChars="0"/>
      </w:pPr>
      <w:r>
        <w:rPr>
          <w:rFonts w:hint="eastAsia"/>
        </w:rPr>
        <w:t>中断配置</w:t>
      </w:r>
    </w:p>
    <w:p w14:paraId="244C80BE">
      <w:pPr>
        <w:pStyle w:val="62"/>
        <w:ind w:firstLine="420"/>
      </w:pPr>
      <w:r>
        <w:t>LIN接收完成中断：优先级2（高，Cat 2 ISR），直接通知Lin_Rx_Task就绪。</w:t>
      </w:r>
    </w:p>
    <w:p w14:paraId="25F3CC6C">
      <w:pPr>
        <w:pStyle w:val="62"/>
        <w:ind w:firstLine="420"/>
      </w:pPr>
      <w:r>
        <w:t>PWM周期中断（用于占空比更新）：优先级1（低）。</w:t>
      </w:r>
    </w:p>
    <w:p w14:paraId="14F60515">
      <w:pPr>
        <w:pStyle w:val="62"/>
        <w:numPr>
          <w:ilvl w:val="0"/>
          <w:numId w:val="47"/>
        </w:numPr>
        <w:ind w:firstLineChars="0"/>
      </w:pPr>
      <w:r>
        <w:rPr>
          <w:rFonts w:hint="eastAsia"/>
        </w:rPr>
        <w:t>资源配置</w:t>
      </w:r>
    </w:p>
    <w:p w14:paraId="3D2DB2CC">
      <w:pPr>
        <w:pStyle w:val="62"/>
        <w:ind w:firstLine="420"/>
      </w:pPr>
      <w:r>
        <w:t>定义资源RES_MOTOR_CTRL，保护电机控制关键数据（如当前占空比），使用自旋锁实现任务间互斥访问。</w:t>
      </w:r>
    </w:p>
    <w:p w14:paraId="1D31107B">
      <w:pPr>
        <w:pStyle w:val="62"/>
        <w:numPr>
          <w:ilvl w:val="0"/>
          <w:numId w:val="47"/>
        </w:numPr>
        <w:ind w:firstLineChars="0"/>
      </w:pPr>
      <w:r>
        <w:rPr>
          <w:rFonts w:hint="eastAsia"/>
        </w:rPr>
        <w:t>内存保护配置</w:t>
      </w:r>
    </w:p>
    <w:p w14:paraId="7E520663">
      <w:pPr>
        <w:pStyle w:val="62"/>
        <w:ind w:firstLine="420"/>
      </w:pPr>
      <w:r>
        <w:rPr>
          <w:rFonts w:hint="eastAsia"/>
        </w:rPr>
        <w:t>启用MPU，划分为三个保护区域：</w:t>
      </w:r>
    </w:p>
    <w:p w14:paraId="2BCBFDA6">
      <w:pPr>
        <w:pStyle w:val="62"/>
        <w:ind w:firstLine="420"/>
      </w:pPr>
      <w:r>
        <w:rPr>
          <w:rFonts w:hint="eastAsia"/>
        </w:rPr>
        <w:t>系统代码区（R-X）：仅任务可执行。</w:t>
      </w:r>
    </w:p>
    <w:p w14:paraId="4BCEA28B">
      <w:pPr>
        <w:pStyle w:val="62"/>
        <w:ind w:firstLine="420"/>
      </w:pPr>
      <w:r>
        <w:t>关键数据区（RW-）：仅Motor_Ctrl_Task可读写。</w:t>
      </w:r>
    </w:p>
    <w:p w14:paraId="513E9526">
      <w:pPr>
        <w:pStyle w:val="62"/>
        <w:ind w:firstLine="420"/>
      </w:pPr>
      <w:r>
        <w:t>通信缓冲区（RW-）：允许Lin_Rx_Task和Motor_Ctrl_Task共享访问。</w:t>
      </w:r>
    </w:p>
    <w:p w14:paraId="68ECA6CC">
      <w:pPr>
        <w:pStyle w:val="62"/>
        <w:numPr>
          <w:ilvl w:val="0"/>
          <w:numId w:val="47"/>
        </w:numPr>
        <w:ind w:firstLineChars="0"/>
      </w:pPr>
      <w:r>
        <w:rPr>
          <w:rFonts w:hint="eastAsia"/>
        </w:rPr>
        <w:t>时间保护配置</w:t>
      </w:r>
    </w:p>
    <w:p w14:paraId="59C7D1B3">
      <w:pPr>
        <w:pStyle w:val="62"/>
        <w:ind w:firstLine="420"/>
      </w:pPr>
      <w:r>
        <w:t>对Motor_Ctrl_Task设置最大执行时间10 ms，超时则触发ProtectionHook复位。</w:t>
      </w:r>
    </w:p>
    <w:p w14:paraId="61C4A7F3">
      <w:pPr>
        <w:widowControl/>
        <w:autoSpaceDE w:val="0"/>
        <w:autoSpaceDN w:val="0"/>
        <w:adjustRightInd/>
        <w:spacing w:line="240" w:lineRule="auto"/>
        <w:rPr>
          <w:rFonts w:ascii="宋体" w:hAnsi="Times New Roman"/>
          <w:b/>
          <w:bCs/>
          <w:kern w:val="0"/>
        </w:rPr>
      </w:pPr>
      <w:r>
        <w:rPr>
          <w:rFonts w:hint="eastAsia" w:ascii="宋体" w:hAnsi="Times New Roman"/>
          <w:b/>
          <w:bCs/>
          <w:kern w:val="0"/>
        </w:rPr>
        <w:t>A.3.3 中间件配置</w:t>
      </w:r>
    </w:p>
    <w:p w14:paraId="506C1302">
      <w:pPr>
        <w:pStyle w:val="62"/>
        <w:ind w:firstLine="420"/>
      </w:pPr>
      <w:r>
        <w:t>中间件配置包括通信服务、存储服务和诊断服务。</w:t>
      </w:r>
    </w:p>
    <w:p w14:paraId="5D22059F">
      <w:pPr>
        <w:pStyle w:val="62"/>
        <w:numPr>
          <w:ilvl w:val="0"/>
          <w:numId w:val="47"/>
        </w:numPr>
        <w:ind w:firstLineChars="0"/>
      </w:pPr>
      <w:r>
        <w:rPr>
          <w:rFonts w:hint="eastAsia"/>
        </w:rPr>
        <w:t>通信服务配置</w:t>
      </w:r>
    </w:p>
    <w:p w14:paraId="7D3E930E">
      <w:pPr>
        <w:pStyle w:val="62"/>
        <w:ind w:firstLine="420"/>
      </w:pPr>
      <w:r>
        <w:t>LinIf模块</w:t>
      </w:r>
      <w:r>
        <w:rPr>
          <w:rFonts w:hint="eastAsia"/>
        </w:rPr>
        <w:t>：</w:t>
      </w:r>
    </w:p>
    <w:p w14:paraId="649C684F">
      <w:pPr>
        <w:pStyle w:val="62"/>
        <w:ind w:firstLine="420"/>
      </w:pPr>
      <w:r>
        <w:t>LIN通道0绑定至物理LIN收发器。</w:t>
      </w:r>
    </w:p>
    <w:p w14:paraId="5F5A9203">
      <w:pPr>
        <w:pStyle w:val="62"/>
        <w:ind w:firstLine="420"/>
      </w:pPr>
      <w:r>
        <w:t>从</w:t>
      </w:r>
      <w:r>
        <w:rPr>
          <w:rFonts w:hint="eastAsia"/>
        </w:rPr>
        <w:t>机</w:t>
      </w:r>
      <w:r>
        <w:t>模式，关联帧ID 0x01，响应长度</w:t>
      </w:r>
      <w:r>
        <w:rPr>
          <w:rFonts w:hint="eastAsia"/>
        </w:rPr>
        <w:t>1</w:t>
      </w:r>
      <w:r>
        <w:t>字节。</w:t>
      </w:r>
    </w:p>
    <w:p w14:paraId="30A06BD6">
      <w:pPr>
        <w:pStyle w:val="62"/>
        <w:ind w:firstLine="420"/>
      </w:pPr>
      <w:r>
        <w:t>接收超时阈值50 ms。</w:t>
      </w:r>
    </w:p>
    <w:p w14:paraId="1555B60E">
      <w:pPr>
        <w:pStyle w:val="62"/>
        <w:ind w:firstLine="420"/>
      </w:pPr>
      <w:r>
        <w:t>PduR模块：</w:t>
      </w:r>
    </w:p>
    <w:p w14:paraId="1435EB3D">
      <w:pPr>
        <w:pStyle w:val="62"/>
        <w:ind w:firstLine="420"/>
      </w:pPr>
      <w:r>
        <w:t>路由表配置：LIN接收PDU（ID PDU_LIN_RX_01）路由至Com模块的接收PDU（ID PDU_COM_RX_WIPER）。</w:t>
      </w:r>
    </w:p>
    <w:p w14:paraId="738E46D1">
      <w:pPr>
        <w:pStyle w:val="62"/>
        <w:ind w:firstLine="420"/>
      </w:pPr>
      <w:r>
        <w:t>Com模块：</w:t>
      </w:r>
    </w:p>
    <w:p w14:paraId="343FC0F4">
      <w:pPr>
        <w:pStyle w:val="62"/>
        <w:ind w:firstLine="420"/>
      </w:pPr>
      <w:r>
        <w:t>定义信号WiperCmd：方向为接收，数据类型UINT8，起始位0，位长度2，字节序Motorola。</w:t>
      </w:r>
    </w:p>
    <w:p w14:paraId="0CDA2264">
      <w:pPr>
        <w:pStyle w:val="62"/>
        <w:ind w:firstLine="420"/>
      </w:pPr>
      <w:r>
        <w:t>定义信号SprayAmount：方向为接收，数据类型UINT8，起始位2，位长度6。</w:t>
      </w:r>
    </w:p>
    <w:p w14:paraId="27661053">
      <w:pPr>
        <w:pStyle w:val="62"/>
        <w:ind w:firstLine="420"/>
      </w:pPr>
      <w:r>
        <w:t>配置接收指示回调函数WiperCmd_RxIndication，用于触发Motor_Ctrl_Task。</w:t>
      </w:r>
    </w:p>
    <w:p w14:paraId="118D0A42">
      <w:pPr>
        <w:pStyle w:val="62"/>
        <w:ind w:firstLine="420"/>
      </w:pPr>
      <w:r>
        <w:t>信号无效值处理：若连续3个周期未收到有效信号，将默认值设为0（关闭）。</w:t>
      </w:r>
    </w:p>
    <w:p w14:paraId="6ACF521A">
      <w:pPr>
        <w:pStyle w:val="62"/>
        <w:numPr>
          <w:ilvl w:val="0"/>
          <w:numId w:val="47"/>
        </w:numPr>
        <w:ind w:firstLineChars="0"/>
      </w:pPr>
      <w:r>
        <w:rPr>
          <w:rFonts w:hint="eastAsia"/>
        </w:rPr>
        <w:t>存储服务配置</w:t>
      </w:r>
    </w:p>
    <w:p w14:paraId="2E8D9E44">
      <w:pPr>
        <w:pStyle w:val="62"/>
        <w:ind w:firstLine="420"/>
      </w:pPr>
      <w:r>
        <w:t>NvM模块：</w:t>
      </w:r>
    </w:p>
    <w:p w14:paraId="09FD630F">
      <w:pPr>
        <w:pStyle w:val="62"/>
        <w:ind w:firstLine="420"/>
      </w:pPr>
      <w:r>
        <w:t>不需要复杂存储，仅简化配置EEPROM仿真（Fee）用于存储默认参数（如电机标定系数）。</w:t>
      </w:r>
    </w:p>
    <w:p w14:paraId="58CDED72">
      <w:pPr>
        <w:pStyle w:val="62"/>
        <w:ind w:firstLine="420"/>
      </w:pPr>
      <w:r>
        <w:t>数据块大小16字节，CRC校验启用，冗余存储2副本。</w:t>
      </w:r>
    </w:p>
    <w:p w14:paraId="6F1B14B0">
      <w:pPr>
        <w:pStyle w:val="62"/>
        <w:numPr>
          <w:ilvl w:val="0"/>
          <w:numId w:val="47"/>
        </w:numPr>
        <w:ind w:firstLineChars="0"/>
      </w:pPr>
      <w:r>
        <w:rPr>
          <w:rFonts w:hint="eastAsia"/>
        </w:rPr>
        <w:t>诊断服务配置</w:t>
      </w:r>
    </w:p>
    <w:p w14:paraId="7CF5A1D0">
      <w:pPr>
        <w:pStyle w:val="62"/>
        <w:ind w:firstLine="420"/>
      </w:pPr>
      <w:r>
        <w:t>Dem模块：</w:t>
      </w:r>
    </w:p>
    <w:p w14:paraId="764DAEC2">
      <w:pPr>
        <w:pStyle w:val="62"/>
        <w:ind w:firstLine="420"/>
      </w:pPr>
      <w:r>
        <w:t>定义故障码：DTC_MOTOR_STALL（电机堵转），DTC_LIN_TIMEOUT（LIN超时）。</w:t>
      </w:r>
    </w:p>
    <w:p w14:paraId="1D362E9B">
      <w:pPr>
        <w:pStyle w:val="62"/>
        <w:ind w:firstLine="420"/>
      </w:pPr>
      <w:r>
        <w:t>冻结帧配置：存储故障发生时的LIN帧数据及计数器。</w:t>
      </w:r>
    </w:p>
    <w:p w14:paraId="42A6B9F7">
      <w:pPr>
        <w:pStyle w:val="62"/>
        <w:ind w:firstLine="420"/>
      </w:pPr>
      <w:r>
        <w:t>Fim模块：</w:t>
      </w:r>
    </w:p>
    <w:p w14:paraId="1139016A">
      <w:pPr>
        <w:pStyle w:val="62"/>
        <w:ind w:firstLine="420"/>
      </w:pPr>
      <w:r>
        <w:t>配置功能禁止表：检测到DTC_MOTOR_STALL后，禁止电机驱动PWM输出，进入安全状态。</w:t>
      </w:r>
    </w:p>
    <w:p w14:paraId="52F7FA53">
      <w:pPr>
        <w:widowControl/>
        <w:autoSpaceDE w:val="0"/>
        <w:autoSpaceDN w:val="0"/>
        <w:adjustRightInd/>
        <w:spacing w:line="240" w:lineRule="auto"/>
        <w:rPr>
          <w:rFonts w:ascii="宋体" w:hAnsi="Times New Roman"/>
          <w:b/>
          <w:bCs/>
          <w:kern w:val="0"/>
        </w:rPr>
      </w:pPr>
      <w:r>
        <w:rPr>
          <w:rFonts w:hint="eastAsia" w:ascii="宋体" w:hAnsi="Times New Roman"/>
          <w:b/>
          <w:bCs/>
          <w:kern w:val="0"/>
        </w:rPr>
        <w:t>A.3.4 运行时环境配置</w:t>
      </w:r>
    </w:p>
    <w:p w14:paraId="0E4B328C">
      <w:pPr>
        <w:pStyle w:val="62"/>
        <w:ind w:firstLine="420"/>
      </w:pPr>
      <w:r>
        <w:rPr>
          <w:rFonts w:hint="eastAsia"/>
        </w:rPr>
        <w:t>运行时环境（RTE）配置主要定义软件组件（SWC）间的通信接口及可运行实体映射。</w:t>
      </w:r>
    </w:p>
    <w:p w14:paraId="75DEEA04">
      <w:pPr>
        <w:pStyle w:val="62"/>
        <w:ind w:firstLine="420"/>
      </w:pPr>
      <w:r>
        <w:rPr>
          <w:rFonts w:hint="eastAsia"/>
        </w:rPr>
        <w:t>通信接口配置：</w:t>
      </w:r>
    </w:p>
    <w:p w14:paraId="03C48E66">
      <w:pPr>
        <w:pStyle w:val="62"/>
        <w:ind w:firstLine="420"/>
      </w:pPr>
      <w:r>
        <w:rPr>
          <w:rFonts w:hint="eastAsia"/>
        </w:rPr>
        <w:t>Sender-Receiver接口：定义端口WiperControl_Port，携带信号WiperCmd和SprayAmount。</w:t>
      </w:r>
    </w:p>
    <w:p w14:paraId="269784BF">
      <w:pPr>
        <w:pStyle w:val="62"/>
        <w:ind w:firstLine="420"/>
      </w:pPr>
      <w:r>
        <w:rPr>
          <w:rFonts w:hint="eastAsia"/>
        </w:rPr>
        <w:t>连接Lin_Rx_SWC（提供方）的输出端口和Motor_Ctrl_SWC（需求方）的输入端口。</w:t>
      </w:r>
    </w:p>
    <w:p w14:paraId="1DCC54E0">
      <w:pPr>
        <w:pStyle w:val="62"/>
        <w:ind w:firstLine="420"/>
      </w:pPr>
      <w:r>
        <w:rPr>
          <w:rFonts w:hint="eastAsia"/>
        </w:rPr>
        <w:t>可运行实体映射：</w:t>
      </w:r>
    </w:p>
    <w:p w14:paraId="42E0E5C6">
      <w:pPr>
        <w:pStyle w:val="62"/>
        <w:ind w:firstLine="420"/>
      </w:pPr>
      <w:r>
        <w:rPr>
          <w:rFonts w:hint="eastAsia"/>
        </w:rPr>
        <w:t>Lin_Rx_SWC中包含可运行实体RE_Lin_Rx，由RTE事件LIN_RX_FRAME_EVENT触发，映射至Lin_Rx_Task。</w:t>
      </w:r>
    </w:p>
    <w:p w14:paraId="48DBB2F2">
      <w:pPr>
        <w:pStyle w:val="62"/>
        <w:ind w:firstLine="420"/>
      </w:pPr>
      <w:r>
        <w:rPr>
          <w:rFonts w:hint="eastAsia"/>
        </w:rPr>
        <w:t>Motor_Ctrl_SWC中包含可运行实体RE_Motor_Update，由RTE事件DATA_RECEIVED_EVENT触发，映射至Motor_Ctrl_Task。</w:t>
      </w:r>
    </w:p>
    <w:p w14:paraId="2F6CDBD6">
      <w:pPr>
        <w:pStyle w:val="62"/>
        <w:ind w:firstLine="420"/>
      </w:pPr>
      <w:r>
        <w:rPr>
          <w:rFonts w:hint="eastAsia"/>
        </w:rPr>
        <w:t>错误处理配置：RTE超时监控设置100ms，超时后调用Rte_RunErrorHook记录事件。</w:t>
      </w:r>
    </w:p>
    <w:p w14:paraId="7E3A661F">
      <w:pPr>
        <w:widowControl/>
        <w:autoSpaceDE w:val="0"/>
        <w:autoSpaceDN w:val="0"/>
        <w:adjustRightInd/>
        <w:spacing w:line="240" w:lineRule="auto"/>
        <w:rPr>
          <w:rFonts w:ascii="宋体" w:hAnsi="Times New Roman"/>
          <w:b/>
          <w:bCs/>
          <w:kern w:val="0"/>
        </w:rPr>
      </w:pPr>
      <w:r>
        <w:rPr>
          <w:rFonts w:hint="eastAsia" w:ascii="宋体" w:hAnsi="Times New Roman"/>
          <w:b/>
          <w:bCs/>
          <w:kern w:val="0"/>
        </w:rPr>
        <w:t>A.3.5 安全配置</w:t>
      </w:r>
    </w:p>
    <w:p w14:paraId="216CBB1C">
      <w:pPr>
        <w:pStyle w:val="62"/>
        <w:ind w:firstLine="420"/>
      </w:pPr>
      <w:r>
        <w:t>安全配置</w:t>
      </w:r>
      <w:r>
        <w:rPr>
          <w:rFonts w:hint="eastAsia"/>
        </w:rPr>
        <w:t>涵盖</w:t>
      </w:r>
      <w:r>
        <w:t>功能安全和信息安全</w:t>
      </w:r>
      <w:r>
        <w:rPr>
          <w:rFonts w:hint="eastAsia"/>
        </w:rPr>
        <w:t>两方面</w:t>
      </w:r>
      <w:r>
        <w:t>，</w:t>
      </w:r>
      <w:r>
        <w:rPr>
          <w:rFonts w:hint="eastAsia"/>
        </w:rPr>
        <w:t>功能安全</w:t>
      </w:r>
      <w:r>
        <w:t>按</w:t>
      </w:r>
      <w:r>
        <w:rPr>
          <w:rFonts w:hint="eastAsia"/>
        </w:rPr>
        <w:t>ISO 26262定义的</w:t>
      </w:r>
      <w:r>
        <w:t xml:space="preserve">ASIL </w:t>
      </w:r>
      <w:r>
        <w:rPr>
          <w:rFonts w:hint="eastAsia"/>
        </w:rPr>
        <w:t>B</w:t>
      </w:r>
      <w:r>
        <w:t>等级</w:t>
      </w:r>
      <w:r>
        <w:rPr>
          <w:rFonts w:hint="eastAsia"/>
        </w:rPr>
        <w:t>要求</w:t>
      </w:r>
      <w:r>
        <w:t>进行</w:t>
      </w:r>
      <w:r>
        <w:rPr>
          <w:rFonts w:hint="eastAsia"/>
        </w:rPr>
        <w:t>配置，信息安全按照ISO/SAE 21434定义的网络安全保障等级（CAL 1）进行配置</w:t>
      </w:r>
      <w:r>
        <w:t>。</w:t>
      </w:r>
    </w:p>
    <w:p w14:paraId="6352E0C9">
      <w:pPr>
        <w:pStyle w:val="62"/>
        <w:numPr>
          <w:ilvl w:val="0"/>
          <w:numId w:val="47"/>
        </w:numPr>
        <w:ind w:firstLineChars="0"/>
      </w:pPr>
      <w:r>
        <w:rPr>
          <w:rFonts w:hint="eastAsia"/>
        </w:rPr>
        <w:t>功能安全配置</w:t>
      </w:r>
    </w:p>
    <w:p w14:paraId="7D866106">
      <w:pPr>
        <w:pStyle w:val="62"/>
        <w:ind w:firstLine="420"/>
      </w:pPr>
      <w:r>
        <w:t>看门狗管理器（WdgM）：</w:t>
      </w:r>
    </w:p>
    <w:p w14:paraId="27451380">
      <w:pPr>
        <w:pStyle w:val="62"/>
        <w:ind w:firstLine="420"/>
      </w:pPr>
      <w:r>
        <w:t>配置</w:t>
      </w:r>
      <w:r>
        <w:rPr>
          <w:rFonts w:hint="eastAsia"/>
        </w:rPr>
        <w:t>alive</w:t>
      </w:r>
      <w:r>
        <w:t>监控实体SE_MOTOR_CTRL，要求Motor_Ctrl_Task执行周期为10 ms ± 2 ms。</w:t>
      </w:r>
    </w:p>
    <w:p w14:paraId="2009D3C5">
      <w:pPr>
        <w:pStyle w:val="62"/>
        <w:ind w:firstLine="420"/>
      </w:pPr>
      <w:r>
        <w:t>配置</w:t>
      </w:r>
      <w:r>
        <w:rPr>
          <w:rFonts w:hint="eastAsia"/>
        </w:rPr>
        <w:t>a</w:t>
      </w:r>
      <w:r>
        <w:t>live监控实体SE_LIN_RX，要求Lin_Rx_Task至少每20 ms执行一次。</w:t>
      </w:r>
    </w:p>
    <w:p w14:paraId="340DDDDF">
      <w:pPr>
        <w:pStyle w:val="62"/>
        <w:ind w:firstLine="420"/>
      </w:pPr>
      <w:r>
        <w:t>监控失败时，W</w:t>
      </w:r>
      <w:r>
        <w:rPr>
          <w:rFonts w:hint="eastAsia"/>
        </w:rPr>
        <w:t>dg</w:t>
      </w:r>
      <w:r>
        <w:t>执行复位。</w:t>
      </w:r>
    </w:p>
    <w:p w14:paraId="13057B6C">
      <w:pPr>
        <w:pStyle w:val="62"/>
        <w:ind w:firstLine="420"/>
      </w:pPr>
      <w:r>
        <w:t>周期性自检：</w:t>
      </w:r>
    </w:p>
    <w:p w14:paraId="545C95AE">
      <w:pPr>
        <w:pStyle w:val="62"/>
        <w:ind w:firstLine="420"/>
      </w:pPr>
      <w:r>
        <w:t>启动时执行RAM Test，测试关键数据区。</w:t>
      </w:r>
    </w:p>
    <w:p w14:paraId="7EE71DEE">
      <w:pPr>
        <w:pStyle w:val="62"/>
        <w:ind w:firstLine="420"/>
      </w:pPr>
      <w:r>
        <w:t>运行时每1000 ms执行一次堆栈溢出检测。</w:t>
      </w:r>
    </w:p>
    <w:p w14:paraId="03743EFB">
      <w:pPr>
        <w:pStyle w:val="62"/>
        <w:numPr>
          <w:ilvl w:val="0"/>
          <w:numId w:val="47"/>
        </w:numPr>
        <w:ind w:firstLineChars="0"/>
      </w:pPr>
      <w:r>
        <w:rPr>
          <w:rFonts w:hint="eastAsia"/>
        </w:rPr>
        <w:t>信息安全配置</w:t>
      </w:r>
    </w:p>
    <w:p w14:paraId="1DA0DF0E">
      <w:pPr>
        <w:pStyle w:val="62"/>
        <w:ind w:firstLine="420"/>
      </w:pPr>
      <w:r>
        <w:t>本示例中LIN总线通信暂不涉及额外的信息安全机制（如SecOC），实际项目中可根据需求按ISO/SAE 21434进行配置。</w:t>
      </w:r>
    </w:p>
    <w:p w14:paraId="3F99D495">
      <w:pPr>
        <w:pStyle w:val="62"/>
        <w:ind w:firstLine="420"/>
      </w:pPr>
    </w:p>
    <w:p w14:paraId="0B7D3053">
      <w:pPr>
        <w:pStyle w:val="62"/>
        <w:ind w:firstLine="420" w:firstLineChars="0"/>
      </w:pPr>
      <w:r>
        <w:rPr>
          <w:rFonts w:hint="eastAsia"/>
        </w:rPr>
        <w:t>注：以上参数配置值（如时钟频率、超时时间、优先级等）均为示例值，实际项目中需根据具体硬件和需求进行调整。</w:t>
      </w:r>
    </w:p>
    <w:p w14:paraId="5CB38B9C">
      <w:pPr>
        <w:pStyle w:val="69"/>
        <w:spacing w:before="96" w:after="120"/>
      </w:pPr>
      <w:bookmarkStart w:id="100" w:name="_Toc170488826"/>
      <w:bookmarkStart w:id="101" w:name="_Toc15663"/>
      <w:r>
        <w:rPr>
          <w:rFonts w:hint="eastAsia"/>
          <w:spacing w:val="105"/>
        </w:rPr>
        <w:t>参考文</w:t>
      </w:r>
      <w:r>
        <w:rPr>
          <w:rFonts w:hint="eastAsia"/>
        </w:rPr>
        <w:t>献</w:t>
      </w:r>
      <w:bookmarkEnd w:id="100"/>
      <w:bookmarkEnd w:id="101"/>
    </w:p>
    <w:p w14:paraId="6EFFC6FF">
      <w:pPr>
        <w:pStyle w:val="62"/>
        <w:numPr>
          <w:ilvl w:val="0"/>
          <w:numId w:val="48"/>
        </w:numPr>
        <w:ind w:firstLine="420"/>
      </w:pPr>
      <w:r>
        <w:rPr>
          <w:rFonts w:hint="eastAsia"/>
        </w:rPr>
        <w:t>ISO 26262-2018 道路车辆 功能安全（Road Vehicles - Function Safety）</w:t>
      </w:r>
    </w:p>
    <w:p w14:paraId="658210FB">
      <w:pPr>
        <w:pStyle w:val="62"/>
        <w:numPr>
          <w:ilvl w:val="0"/>
          <w:numId w:val="48"/>
        </w:numPr>
        <w:ind w:firstLine="420"/>
      </w:pPr>
      <w:r>
        <w:rPr>
          <w:rFonts w:hint="eastAsia"/>
        </w:rPr>
        <w:t>ISO/SAE 21434-2021 道路车辆 网络安全功能（Road Vehicles - Cybersecurity Engineering）</w:t>
      </w:r>
    </w:p>
    <w:p w14:paraId="49D26033">
      <w:pPr>
        <w:pStyle w:val="62"/>
        <w:ind w:firstLine="0" w:firstLineChars="0"/>
        <w:jc w:val="center"/>
      </w:pPr>
      <w:r>
        <w:rPr>
          <w:rFonts w:hint="eastAsia"/>
        </w:rPr>
        <w:drawing>
          <wp:inline distT="0" distB="0" distL="0" distR="0">
            <wp:extent cx="1485900" cy="317500"/>
            <wp:effectExtent l="0" t="0" r="0" b="6350"/>
            <wp:docPr id="8"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21">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45"/>
      <w:bookmarkEnd w:id="98"/>
    </w:p>
    <w:sectPr>
      <w:headerReference r:id="rId16" w:type="default"/>
      <w:footerReference r:id="rId17" w:type="default"/>
      <w:pgSz w:w="11906" w:h="16838"/>
      <w:pgMar w:top="2410" w:right="1134" w:bottom="1134" w:left="1134" w:header="1418" w:footer="1134" w:gutter="284"/>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Nimbus Roman No9 L"/>
    <w:panose1 w:val="020B0604020202020204"/>
    <w:charset w:val="00"/>
    <w:family w:val="swiss"/>
    <w:pitch w:val="default"/>
    <w:sig w:usb0="00000000" w:usb1="00000000" w:usb2="00000009" w:usb3="00000000" w:csb0="000001FF" w:csb1="00000000"/>
  </w:font>
  <w:font w:name="方正黑体_GBK">
    <w:panose1 w:val="02000000000000000000"/>
    <w:charset w:val="86"/>
    <w:family w:val="auto"/>
    <w:pitch w:val="default"/>
    <w:sig w:usb0="00000001" w:usb1="08000000" w:usb2="00000000" w:usb3="00000000" w:csb0="00040000" w:csb1="00000000"/>
  </w:font>
  <w:font w:name="Courier New">
    <w:altName w:val="DejaVu Sans"/>
    <w:panose1 w:val="02070309020205020404"/>
    <w:charset w:val="00"/>
    <w:family w:val="modern"/>
    <w:pitch w:val="default"/>
    <w:sig w:usb0="00000000" w:usb1="00000000" w:usb2="00000009" w:usb3="00000000" w:csb0="000001FF" w:csb1="00000000"/>
  </w:font>
  <w:font w:name="DejaVu Sans">
    <w:panose1 w:val="020B0603030804020204"/>
    <w:charset w:val="00"/>
    <w:family w:val="auto"/>
    <w:pitch w:val="default"/>
    <w:sig w:usb0="E7006EFF" w:usb1="D200FDFF" w:usb2="0A246029" w:usb3="0400200C" w:csb0="600001FF" w:csb1="DFFF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微软雅黑">
    <w:altName w:val="方正黑体_GBK"/>
    <w:panose1 w:val="020B0503020204020204"/>
    <w:charset w:val="86"/>
    <w:family w:val="swiss"/>
    <w:pitch w:val="default"/>
    <w:sig w:usb0="00000000" w:usb1="00000000" w:usb2="00000016" w:usb3="00000000" w:csb0="0004001F" w:csb1="00000000"/>
  </w:font>
  <w:font w:name="文泉驿微米黑">
    <w:panose1 w:val="020B0606030804020204"/>
    <w:charset w:val="86"/>
    <w:family w:val="auto"/>
    <w:pitch w:val="default"/>
    <w:sig w:usb0="E10002EF" w:usb1="6BDFFCFB" w:usb2="00800036" w:usb3="00000000" w:csb0="603E019F" w:csb1="DFD70000"/>
  </w:font>
  <w:font w:name="Noto Sans CJK JP Bold">
    <w:panose1 w:val="020B0800000000000000"/>
    <w:charset w:val="86"/>
    <w:family w:val="auto"/>
    <w:pitch w:val="default"/>
    <w:sig w:usb0="30000003" w:usb1="2BDF3C10" w:usb2="00000016" w:usb3="00000000" w:csb0="602E0107" w:csb1="00000000"/>
  </w:font>
  <w:font w:name="方正仿宋_GBK">
    <w:panose1 w:val="02000000000000000000"/>
    <w:charset w:val="86"/>
    <w:family w:val="auto"/>
    <w:pitch w:val="default"/>
    <w:sig w:usb0="00000001" w:usb1="08000000" w:usb2="00000000" w:usb3="00000000" w:csb0="00040000" w:csb1="00000000"/>
  </w:font>
  <w:font w:name="等线 Light">
    <w:altName w:val="汉仪力量黑简"/>
    <w:panose1 w:val="00000000000000000000"/>
    <w:charset w:val="00"/>
    <w:family w:val="auto"/>
    <w:pitch w:val="default"/>
    <w:sig w:usb0="00000000" w:usb1="00000000" w:usb2="00000000" w:usb3="00000000" w:csb0="00000000" w:csb1="00000000"/>
  </w:font>
  <w:font w:name="汉仪力量黑简">
    <w:panose1 w:val="00020600040101010101"/>
    <w:charset w:val="86"/>
    <w:family w:val="auto"/>
    <w:pitch w:val="default"/>
    <w:sig w:usb0="A00002BF" w:usb1="18EF7CFA" w:usb2="00000016" w:usb3="00000000" w:csb0="00040000" w:csb1="00000000"/>
  </w:font>
  <w:font w:name="等线">
    <w:altName w:val="汉仪力量黑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5884B">
    <w:pPr>
      <w:pStyle w:val="18"/>
      <w:jc w:val="left"/>
    </w:pPr>
    <w:r>
      <w:fldChar w:fldCharType="begin"/>
    </w:r>
    <w:r>
      <w:instrText xml:space="preserve">PAGE   \* MERGEFORMAT</w:instrText>
    </w:r>
    <w:r>
      <w:fldChar w:fldCharType="separate"/>
    </w:r>
    <w:r>
      <w:rPr>
        <w:lang w:val="zh-CN"/>
      </w:rPr>
      <w:t>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7ECED">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9095F">
    <w:pPr>
      <w:pStyle w:val="58"/>
    </w:pPr>
    <w:r>
      <w:fldChar w:fldCharType="begin"/>
    </w:r>
    <w:r>
      <w:instrText xml:space="preserve">PAGE   \* MERGEFORMAT</w:instrText>
    </w:r>
    <w:r>
      <w:fldChar w:fldCharType="separate"/>
    </w:r>
    <w:r>
      <w:rPr>
        <w:lang w:val="zh-CN"/>
      </w:rPr>
      <w:t>I</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165D0">
    <w:pPr>
      <w:pStyle w:val="58"/>
      <w:ind w:right="947"/>
      <w:jc w:val="both"/>
    </w:pPr>
    <w:r>
      <w:fldChar w:fldCharType="begin"/>
    </w:r>
    <w:r>
      <w:instrText xml:space="preserve">PAGE   \* MERGEFORMAT</w:instrText>
    </w:r>
    <w:r>
      <w:fldChar w:fldCharType="separate"/>
    </w:r>
    <w:r>
      <w:rPr>
        <w:lang w:val="zh-CN"/>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7C2FB">
    <w:pPr>
      <w:pStyle w:val="58"/>
    </w:pPr>
    <w:r>
      <w:fldChar w:fldCharType="begin"/>
    </w:r>
    <w:r>
      <w:instrText xml:space="preserve">PAGE   \* MERGEFORMAT</w:instrText>
    </w:r>
    <w:r>
      <w:fldChar w:fldCharType="separate"/>
    </w:r>
    <w:r>
      <w:rPr>
        <w:lang w:val="zh-CN"/>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D6F2E">
    <w:pPr>
      <w:pStyle w:val="58"/>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01F9C">
    <w:pPr>
      <w:pStyle w:val="19"/>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AE44C">
    <w:pPr>
      <w:pStyle w:val="19"/>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6CC0E">
    <w:pPr>
      <w:pStyle w:val="67"/>
      <w:rPr>
        <w:rFonts w:hint="eastAsia"/>
      </w:rPr>
    </w:pPr>
    <w:r>
      <w:fldChar w:fldCharType="begin"/>
    </w:r>
    <w:r>
      <w:instrText xml:space="preserve"> STYLEREF  标准文件_文件编号  \* MERGEFORMAT </w:instrText>
    </w:r>
    <w:r>
      <w:fldChar w:fldCharType="separate"/>
    </w:r>
    <w:r>
      <w:t>T/CAAMTB XX—XXXX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3CE66">
    <w:pPr>
      <w:pStyle w:val="67"/>
      <w:jc w:val="left"/>
      <w:rPr>
        <w:rFonts w:hint="eastAsia"/>
      </w:rPr>
    </w:pPr>
    <w:r>
      <w:fldChar w:fldCharType="begin"/>
    </w:r>
    <w:r>
      <w:instrText xml:space="preserve"> STYLEREF  标准文件_文件编号  \* MERGEFORMAT </w:instrText>
    </w:r>
    <w:r>
      <w:fldChar w:fldCharType="separate"/>
    </w:r>
    <w:r>
      <w:t>T/CAAMTB XX—XXXX</w:t>
    </w:r>
    <w:r>
      <w:fldChar w:fldCharType="end"/>
    </w:r>
  </w:p>
  <w:p w14:paraId="0621E830">
    <w:pPr>
      <w:pStyle w:val="1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40FAA">
    <w:pPr>
      <w:pStyle w:val="67"/>
      <w:ind w:right="840"/>
      <w:jc w:val="both"/>
      <w:rPr>
        <w:rFonts w:hint="eastAsia"/>
      </w:rPr>
    </w:pPr>
    <w:r>
      <w:fldChar w:fldCharType="begin"/>
    </w:r>
    <w:r>
      <w:instrText xml:space="preserve"> STYLEREF  标准文件_文件编号  \* MERGEFORMAT </w:instrText>
    </w:r>
    <w:r>
      <w:fldChar w:fldCharType="separate"/>
    </w:r>
    <w:r>
      <w:t>T/CAAMTB 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C326F">
    <w:pPr>
      <w:pStyle w:val="67"/>
      <w:rPr>
        <w:rFonts w:hint="eastAsia"/>
      </w:rPr>
    </w:pPr>
    <w:r>
      <w:fldChar w:fldCharType="begin"/>
    </w:r>
    <w:r>
      <w:instrText xml:space="preserve"> STYLEREF  标准文件_文件编号  \* MERGEFORMAT </w:instrText>
    </w:r>
    <w:r>
      <w:fldChar w:fldCharType="separate"/>
    </w:r>
    <w:r>
      <w:t>T/CAAMTB XX—XXXX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004C8">
    <w:pPr>
      <w:pStyle w:val="67"/>
      <w:rPr>
        <w:rFonts w:hint="eastAsia"/>
      </w:rPr>
    </w:pPr>
    <w:r>
      <w:fldChar w:fldCharType="begin"/>
    </w:r>
    <w:r>
      <w:instrText xml:space="preserve"> STYLEREF  标准文件_文件编号  \* MERGEFORMAT </w:instrText>
    </w:r>
    <w:r>
      <w:fldChar w:fldCharType="separate"/>
    </w:r>
    <w:r>
      <w:t>T/CAAMTB 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2E4130"/>
    <w:multiLevelType w:val="singleLevel"/>
    <w:tmpl w:val="AC2E4130"/>
    <w:lvl w:ilvl="0" w:tentative="0">
      <w:start w:val="1"/>
      <w:numFmt w:val="bullet"/>
      <w:lvlText w:val=""/>
      <w:lvlJc w:val="left"/>
      <w:pPr>
        <w:ind w:left="420" w:hanging="420"/>
      </w:pPr>
      <w:rPr>
        <w:rFonts w:hint="default" w:ascii="Wingdings" w:hAnsi="Wingdings"/>
      </w:rPr>
    </w:lvl>
  </w:abstractNum>
  <w:abstractNum w:abstractNumId="1">
    <w:nsid w:val="02837933"/>
    <w:multiLevelType w:val="multilevel"/>
    <w:tmpl w:val="02837933"/>
    <w:lvl w:ilvl="0" w:tentative="0">
      <w:start w:val="1"/>
      <w:numFmt w:val="decimal"/>
      <w:pStyle w:val="70"/>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2">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5"/>
      <w:suff w:val="nothing"/>
      <w:lvlText w:val="%1%2.%3　"/>
      <w:lvlJc w:val="left"/>
      <w:pPr>
        <w:ind w:left="0" w:firstLine="0"/>
      </w:pPr>
    </w:lvl>
    <w:lvl w:ilvl="3" w:tentative="0">
      <w:start w:val="1"/>
      <w:numFmt w:val="decimal"/>
      <w:pStyle w:val="124"/>
      <w:suff w:val="nothing"/>
      <w:lvlText w:val="%1%2.%3.%4　"/>
      <w:lvlJc w:val="left"/>
      <w:pPr>
        <w:ind w:left="0" w:firstLine="0"/>
      </w:pPr>
    </w:lvl>
    <w:lvl w:ilvl="4" w:tentative="0">
      <w:start w:val="1"/>
      <w:numFmt w:val="decimal"/>
      <w:pStyle w:val="159"/>
      <w:suff w:val="nothing"/>
      <w:lvlText w:val="%1%2.%3.%4.%5　"/>
      <w:lvlJc w:val="left"/>
      <w:pPr>
        <w:ind w:left="0" w:firstLine="0"/>
      </w:pPr>
    </w:lvl>
    <w:lvl w:ilvl="5" w:tentative="0">
      <w:start w:val="1"/>
      <w:numFmt w:val="decimal"/>
      <w:pStyle w:val="161"/>
      <w:suff w:val="nothing"/>
      <w:lvlText w:val="%1%2.%3.%4.%5.%6　"/>
      <w:lvlJc w:val="left"/>
      <w:pPr>
        <w:ind w:left="0" w:firstLine="0"/>
      </w:pPr>
    </w:lvl>
    <w:lvl w:ilvl="6" w:tentative="0">
      <w:start w:val="1"/>
      <w:numFmt w:val="decimal"/>
      <w:pStyle w:val="164"/>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053833FF"/>
    <w:multiLevelType w:val="singleLevel"/>
    <w:tmpl w:val="053833FF"/>
    <w:lvl w:ilvl="0" w:tentative="0">
      <w:start w:val="1"/>
      <w:numFmt w:val="decimal"/>
      <w:suff w:val="space"/>
      <w:lvlText w:val="[%1]"/>
      <w:lvlJc w:val="left"/>
    </w:lvl>
  </w:abstractNum>
  <w:abstractNum w:abstractNumId="4">
    <w:nsid w:val="074A4F06"/>
    <w:multiLevelType w:val="singleLevel"/>
    <w:tmpl w:val="074A4F06"/>
    <w:lvl w:ilvl="0" w:tentative="0">
      <w:start w:val="1"/>
      <w:numFmt w:val="decimal"/>
      <w:suff w:val="nothing"/>
      <w:lvlText w:val="%1）"/>
      <w:lvlJc w:val="left"/>
      <w:pPr>
        <w:ind w:left="420"/>
      </w:pPr>
    </w:lvl>
  </w:abstractNum>
  <w:abstractNum w:abstractNumId="5">
    <w:nsid w:val="079102AD"/>
    <w:multiLevelType w:val="multilevel"/>
    <w:tmpl w:val="079102AD"/>
    <w:lvl w:ilvl="0" w:tentative="0">
      <w:start w:val="1"/>
      <w:numFmt w:val="decimal"/>
      <w:pStyle w:val="186"/>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6">
    <w:nsid w:val="07ED3FEA"/>
    <w:multiLevelType w:val="multilevel"/>
    <w:tmpl w:val="07ED3FEA"/>
    <w:lvl w:ilvl="0" w:tentative="0">
      <w:start w:val="1"/>
      <w:numFmt w:val="none"/>
      <w:pStyle w:val="95"/>
      <w:lvlText w:val="%1"/>
      <w:lvlJc w:val="left"/>
      <w:pPr>
        <w:ind w:left="425" w:hanging="425"/>
      </w:pPr>
      <w:rPr>
        <w:rFonts w:hint="eastAsia"/>
      </w:rPr>
    </w:lvl>
    <w:lvl w:ilvl="1" w:tentative="0">
      <w:start w:val="1"/>
      <w:numFmt w:val="decimal"/>
      <w:pStyle w:val="206"/>
      <w:suff w:val="nothing"/>
      <w:lvlText w:val="%10.%2 "/>
      <w:lvlJc w:val="left"/>
      <w:pPr>
        <w:ind w:left="0" w:firstLine="0"/>
      </w:pPr>
      <w:rPr>
        <w:rFonts w:hint="eastAsia" w:ascii="黑体" w:eastAsia="黑体" w:hAnsiTheme="minorHAnsi"/>
        <w:b w:val="0"/>
        <w:i w:val="0"/>
        <w:sz w:val="21"/>
      </w:rPr>
    </w:lvl>
    <w:lvl w:ilvl="2" w:tentative="0">
      <w:start w:val="1"/>
      <w:numFmt w:val="decimal"/>
      <w:pStyle w:val="207"/>
      <w:suff w:val="nothing"/>
      <w:lvlText w:val="%10.%2.%3 "/>
      <w:lvlJc w:val="left"/>
      <w:pPr>
        <w:ind w:left="0" w:firstLine="0"/>
      </w:pPr>
      <w:rPr>
        <w:rFonts w:hint="eastAsia" w:ascii="黑体" w:eastAsia="黑体" w:hAnsiTheme="minorHAnsi"/>
        <w:b w:val="0"/>
        <w:i w:val="0"/>
        <w:sz w:val="21"/>
      </w:rPr>
    </w:lvl>
    <w:lvl w:ilvl="3" w:tentative="0">
      <w:start w:val="1"/>
      <w:numFmt w:val="decimal"/>
      <w:pStyle w:val="208"/>
      <w:suff w:val="nothing"/>
      <w:lvlText w:val="%10.%2.%3.%4 "/>
      <w:lvlJc w:val="left"/>
      <w:pPr>
        <w:ind w:left="0" w:firstLine="0"/>
      </w:pPr>
      <w:rPr>
        <w:rFonts w:hint="eastAsia" w:ascii="黑体" w:eastAsia="黑体" w:hAnsiTheme="minorHAnsi"/>
        <w:b w:val="0"/>
        <w:i w:val="0"/>
        <w:sz w:val="21"/>
      </w:rPr>
    </w:lvl>
    <w:lvl w:ilvl="4" w:tentative="0">
      <w:start w:val="1"/>
      <w:numFmt w:val="decimal"/>
      <w:pStyle w:val="209"/>
      <w:suff w:val="nothing"/>
      <w:lvlText w:val="%10.%2.%3.%4.%5 "/>
      <w:lvlJc w:val="left"/>
      <w:pPr>
        <w:ind w:left="0" w:firstLine="0"/>
      </w:pPr>
      <w:rPr>
        <w:rFonts w:hint="eastAsia" w:ascii="黑体" w:eastAsia="黑体" w:hAnsiTheme="minorHAnsi"/>
        <w:b w:val="0"/>
        <w:i w:val="0"/>
        <w:sz w:val="21"/>
      </w:rPr>
    </w:lvl>
    <w:lvl w:ilvl="5" w:tentative="0">
      <w:start w:val="1"/>
      <w:numFmt w:val="decimal"/>
      <w:pStyle w:val="210"/>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0AE367E9"/>
    <w:multiLevelType w:val="multilevel"/>
    <w:tmpl w:val="0AE367E9"/>
    <w:lvl w:ilvl="0" w:tentative="0">
      <w:start w:val="1"/>
      <w:numFmt w:val="none"/>
      <w:pStyle w:val="187"/>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8">
    <w:nsid w:val="0BDC1670"/>
    <w:multiLevelType w:val="multilevel"/>
    <w:tmpl w:val="0BDC1670"/>
    <w:lvl w:ilvl="0" w:tentative="0">
      <w:start w:val="1"/>
      <w:numFmt w:val="decimal"/>
      <w:pStyle w:val="73"/>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0D051F45"/>
    <w:multiLevelType w:val="multilevel"/>
    <w:tmpl w:val="0D051F45"/>
    <w:lvl w:ilvl="0" w:tentative="0">
      <w:start w:val="1"/>
      <w:numFmt w:val="lowerRoman"/>
      <w:pStyle w:val="175"/>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0">
    <w:nsid w:val="1AD20F90"/>
    <w:multiLevelType w:val="multilevel"/>
    <w:tmpl w:val="1AD20F90"/>
    <w:lvl w:ilvl="0" w:tentative="0">
      <w:start w:val="1"/>
      <w:numFmt w:val="none"/>
      <w:pStyle w:val="116"/>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1AF15012"/>
    <w:multiLevelType w:val="multilevel"/>
    <w:tmpl w:val="1AF15012"/>
    <w:lvl w:ilvl="0" w:tentative="0">
      <w:start w:val="1"/>
      <w:numFmt w:val="upperLetter"/>
      <w:pStyle w:val="91"/>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2">
    <w:nsid w:val="1EAA1992"/>
    <w:multiLevelType w:val="multilevel"/>
    <w:tmpl w:val="1EAA1992"/>
    <w:lvl w:ilvl="0" w:tentative="0">
      <w:start w:val="1"/>
      <w:numFmt w:val="none"/>
      <w:pStyle w:val="98"/>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3">
    <w:nsid w:val="207CA807"/>
    <w:multiLevelType w:val="singleLevel"/>
    <w:tmpl w:val="207CA807"/>
    <w:lvl w:ilvl="0" w:tentative="0">
      <w:start w:val="1"/>
      <w:numFmt w:val="decimal"/>
      <w:suff w:val="nothing"/>
      <w:lvlText w:val="%1）"/>
      <w:lvlJc w:val="left"/>
      <w:pPr>
        <w:ind w:left="420"/>
      </w:pPr>
    </w:lvl>
  </w:abstractNum>
  <w:abstractNum w:abstractNumId="14">
    <w:nsid w:val="2C5917C3"/>
    <w:multiLevelType w:val="multilevel"/>
    <w:tmpl w:val="2C5917C3"/>
    <w:lvl w:ilvl="0" w:tentative="0">
      <w:start w:val="1"/>
      <w:numFmt w:val="none"/>
      <w:pStyle w:val="138"/>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3"/>
      <w:lvlText w:val=""/>
      <w:lvlJc w:val="left"/>
      <w:pPr>
        <w:ind w:left="851" w:hanging="431"/>
      </w:pPr>
      <w:rPr>
        <w:rFonts w:hint="default" w:ascii="Symbol" w:hAnsi="Symbol"/>
        <w:sz w:val="21"/>
      </w:rPr>
    </w:lvl>
    <w:lvl w:ilvl="2" w:tentative="0">
      <w:start w:val="1"/>
      <w:numFmt w:val="bullet"/>
      <w:pStyle w:val="178"/>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5">
    <w:nsid w:val="32F04FB2"/>
    <w:multiLevelType w:val="multilevel"/>
    <w:tmpl w:val="32F04FB2"/>
    <w:lvl w:ilvl="0" w:tentative="0">
      <w:start w:val="1"/>
      <w:numFmt w:val="lowerLetter"/>
      <w:pStyle w:val="107"/>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6">
    <w:nsid w:val="3E770732"/>
    <w:multiLevelType w:val="singleLevel"/>
    <w:tmpl w:val="3E770732"/>
    <w:lvl w:ilvl="0" w:tentative="0">
      <w:start w:val="1"/>
      <w:numFmt w:val="bullet"/>
      <w:lvlText w:val=""/>
      <w:lvlJc w:val="left"/>
      <w:pPr>
        <w:ind w:left="420" w:hanging="420"/>
      </w:pPr>
      <w:rPr>
        <w:rFonts w:hint="default" w:ascii="Wingdings" w:hAnsi="Wingdings"/>
      </w:rPr>
    </w:lvl>
  </w:abstractNum>
  <w:abstractNum w:abstractNumId="17">
    <w:nsid w:val="44C50F90"/>
    <w:multiLevelType w:val="multilevel"/>
    <w:tmpl w:val="44C50F90"/>
    <w:lvl w:ilvl="0" w:tentative="0">
      <w:start w:val="1"/>
      <w:numFmt w:val="lowerLetter"/>
      <w:pStyle w:val="180"/>
      <w:lvlText w:val="%1)"/>
      <w:lvlJc w:val="left"/>
      <w:pPr>
        <w:tabs>
          <w:tab w:val="left" w:pos="851"/>
        </w:tabs>
        <w:ind w:left="851" w:hanging="426"/>
      </w:pPr>
      <w:rPr>
        <w:rFonts w:hint="default" w:ascii="宋体" w:hAnsi="Times New Roman" w:eastAsia="宋体"/>
        <w:color w:val="auto"/>
        <w:sz w:val="21"/>
      </w:rPr>
    </w:lvl>
    <w:lvl w:ilvl="1" w:tentative="0">
      <w:start w:val="1"/>
      <w:numFmt w:val="decimal"/>
      <w:pStyle w:val="115"/>
      <w:lvlText w:val="%2)"/>
      <w:lvlJc w:val="left"/>
      <w:pPr>
        <w:tabs>
          <w:tab w:val="left" w:pos="1276"/>
        </w:tabs>
        <w:ind w:left="1276" w:hanging="425"/>
      </w:pPr>
      <w:rPr>
        <w:rFonts w:hint="eastAsia" w:ascii="宋体" w:hAnsi="Times New Roman" w:eastAsia="宋体"/>
        <w:sz w:val="21"/>
      </w:rPr>
    </w:lvl>
    <w:lvl w:ilvl="2" w:tentative="0">
      <w:start w:val="1"/>
      <w:numFmt w:val="decimal"/>
      <w:pStyle w:val="123"/>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8">
    <w:nsid w:val="48802D1C"/>
    <w:multiLevelType w:val="multilevel"/>
    <w:tmpl w:val="48802D1C"/>
    <w:lvl w:ilvl="0" w:tentative="0">
      <w:start w:val="1"/>
      <w:numFmt w:val="upperLetter"/>
      <w:pStyle w:val="204"/>
      <w:lvlText w:val="%1"/>
      <w:lvlJc w:val="left"/>
      <w:pPr>
        <w:ind w:left="420" w:hanging="420"/>
      </w:pPr>
      <w:rPr>
        <w:rFonts w:hint="eastAsia"/>
      </w:rPr>
    </w:lvl>
    <w:lvl w:ilvl="1" w:tentative="0">
      <w:start w:val="1"/>
      <w:numFmt w:val="decimal"/>
      <w:pStyle w:val="89"/>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9">
    <w:nsid w:val="4B733A5F"/>
    <w:multiLevelType w:val="multilevel"/>
    <w:tmpl w:val="4B733A5F"/>
    <w:lvl w:ilvl="0" w:tentative="0">
      <w:start w:val="1"/>
      <w:numFmt w:val="decimal"/>
      <w:pStyle w:val="189"/>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0">
    <w:nsid w:val="4E5D0534"/>
    <w:multiLevelType w:val="multilevel"/>
    <w:tmpl w:val="4E5D0534"/>
    <w:lvl w:ilvl="0" w:tentative="0">
      <w:start w:val="1"/>
      <w:numFmt w:val="decimal"/>
      <w:pStyle w:val="122"/>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1">
    <w:nsid w:val="54632751"/>
    <w:multiLevelType w:val="multilevel"/>
    <w:tmpl w:val="54632751"/>
    <w:lvl w:ilvl="0" w:tentative="0">
      <w:start w:val="1"/>
      <w:numFmt w:val="none"/>
      <w:pStyle w:val="99"/>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2">
    <w:nsid w:val="557C2AF5"/>
    <w:multiLevelType w:val="multilevel"/>
    <w:tmpl w:val="557C2AF5"/>
    <w:lvl w:ilvl="0" w:tentative="0">
      <w:start w:val="1"/>
      <w:numFmt w:val="decimal"/>
      <w:pStyle w:val="120"/>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3">
    <w:nsid w:val="5603797C"/>
    <w:multiLevelType w:val="multilevel"/>
    <w:tmpl w:val="5603797C"/>
    <w:lvl w:ilvl="0" w:tentative="0">
      <w:start w:val="1"/>
      <w:numFmt w:val="upperLetter"/>
      <w:pStyle w:val="205"/>
      <w:suff w:val="space"/>
      <w:lvlText w:val="%1"/>
      <w:lvlJc w:val="left"/>
      <w:pPr>
        <w:ind w:left="425" w:hanging="425"/>
      </w:pPr>
      <w:rPr>
        <w:rFonts w:hint="eastAsia"/>
      </w:rPr>
    </w:lvl>
    <w:lvl w:ilvl="1" w:tentative="0">
      <w:start w:val="1"/>
      <w:numFmt w:val="decimal"/>
      <w:pStyle w:val="83"/>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4">
    <w:nsid w:val="564D2089"/>
    <w:multiLevelType w:val="multilevel"/>
    <w:tmpl w:val="564D2089"/>
    <w:lvl w:ilvl="0" w:tentative="0">
      <w:start w:val="1"/>
      <w:numFmt w:val="none"/>
      <w:pStyle w:val="117"/>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644622F9"/>
    <w:multiLevelType w:val="multilevel"/>
    <w:tmpl w:val="644622F9"/>
    <w:lvl w:ilvl="0" w:tentative="0">
      <w:start w:val="1"/>
      <w:numFmt w:val="upperRoman"/>
      <w:pStyle w:val="174"/>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6">
    <w:nsid w:val="646260FA"/>
    <w:multiLevelType w:val="multilevel"/>
    <w:tmpl w:val="646260FA"/>
    <w:lvl w:ilvl="0" w:tentative="0">
      <w:start w:val="1"/>
      <w:numFmt w:val="decimal"/>
      <w:pStyle w:val="118"/>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7">
    <w:nsid w:val="654A26C9"/>
    <w:multiLevelType w:val="multilevel"/>
    <w:tmpl w:val="654A26C9"/>
    <w:lvl w:ilvl="0" w:tentative="0">
      <w:start w:val="1"/>
      <w:numFmt w:val="none"/>
      <w:pStyle w:val="195"/>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8">
    <w:nsid w:val="657D3FBC"/>
    <w:multiLevelType w:val="multilevel"/>
    <w:tmpl w:val="657D3FBC"/>
    <w:lvl w:ilvl="0" w:tentative="0">
      <w:start w:val="1"/>
      <w:numFmt w:val="upperLetter"/>
      <w:pStyle w:val="82"/>
      <w:suff w:val="nothing"/>
      <w:lvlText w:val="附录%1"/>
      <w:lvlJc w:val="left"/>
      <w:pPr>
        <w:ind w:left="0" w:firstLine="0"/>
      </w:pPr>
      <w:rPr>
        <w:rFonts w:hint="eastAsia"/>
        <w:spacing w:val="100"/>
      </w:rPr>
    </w:lvl>
    <w:lvl w:ilvl="1" w:tentative="0">
      <w:start w:val="1"/>
      <w:numFmt w:val="decimal"/>
      <w:pStyle w:val="84"/>
      <w:suff w:val="nothing"/>
      <w:lvlText w:val="%1.%2　"/>
      <w:lvlJc w:val="left"/>
      <w:pPr>
        <w:ind w:left="0" w:firstLine="0"/>
      </w:pPr>
      <w:rPr>
        <w:rFonts w:hint="eastAsia" w:ascii="黑体" w:eastAsia="黑体"/>
        <w:b w:val="0"/>
        <w:i w:val="0"/>
        <w:sz w:val="21"/>
      </w:rPr>
    </w:lvl>
    <w:lvl w:ilvl="2" w:tentative="0">
      <w:start w:val="1"/>
      <w:numFmt w:val="decimal"/>
      <w:pStyle w:val="85"/>
      <w:suff w:val="nothing"/>
      <w:lvlText w:val="%1.%2.%3　"/>
      <w:lvlJc w:val="left"/>
      <w:pPr>
        <w:ind w:left="0" w:firstLine="0"/>
      </w:pPr>
      <w:rPr>
        <w:rFonts w:hint="eastAsia" w:ascii="黑体" w:eastAsia="黑体"/>
        <w:b w:val="0"/>
        <w:i w:val="0"/>
        <w:sz w:val="21"/>
      </w:rPr>
    </w:lvl>
    <w:lvl w:ilvl="3" w:tentative="0">
      <w:start w:val="1"/>
      <w:numFmt w:val="decimal"/>
      <w:pStyle w:val="87"/>
      <w:suff w:val="nothing"/>
      <w:lvlText w:val="%1.%2.%3.%4　"/>
      <w:lvlJc w:val="left"/>
      <w:pPr>
        <w:ind w:left="0" w:firstLine="0"/>
      </w:pPr>
      <w:rPr>
        <w:rFonts w:hint="eastAsia" w:ascii="黑体" w:eastAsia="黑体"/>
        <w:b w:val="0"/>
        <w:i w:val="0"/>
        <w:sz w:val="21"/>
      </w:rPr>
    </w:lvl>
    <w:lvl w:ilvl="4" w:tentative="0">
      <w:start w:val="1"/>
      <w:numFmt w:val="decimal"/>
      <w:pStyle w:val="88"/>
      <w:suff w:val="nothing"/>
      <w:lvlText w:val="%1.%2.%3.%4.%5　"/>
      <w:lvlJc w:val="left"/>
      <w:pPr>
        <w:ind w:left="0" w:firstLine="0"/>
      </w:pPr>
      <w:rPr>
        <w:rFonts w:hint="eastAsia" w:ascii="黑体" w:eastAsia="黑体"/>
        <w:b w:val="0"/>
        <w:i w:val="0"/>
        <w:sz w:val="21"/>
      </w:rPr>
    </w:lvl>
    <w:lvl w:ilvl="5" w:tentative="0">
      <w:start w:val="1"/>
      <w:numFmt w:val="decimal"/>
      <w:pStyle w:val="90"/>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9">
    <w:nsid w:val="69506ABF"/>
    <w:multiLevelType w:val="multilevel"/>
    <w:tmpl w:val="69506ABF"/>
    <w:lvl w:ilvl="0" w:tentative="0">
      <w:start w:val="1"/>
      <w:numFmt w:val="bullet"/>
      <w:pStyle w:val="194"/>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0">
    <w:nsid w:val="6CA41985"/>
    <w:multiLevelType w:val="multilevel"/>
    <w:tmpl w:val="6CA41985"/>
    <w:lvl w:ilvl="0" w:tentative="0">
      <w:start w:val="1"/>
      <w:numFmt w:val="decimal"/>
      <w:pStyle w:val="103"/>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6CE42AC1"/>
    <w:multiLevelType w:val="multilevel"/>
    <w:tmpl w:val="6CE42AC1"/>
    <w:lvl w:ilvl="0" w:tentative="0">
      <w:start w:val="1"/>
      <w:numFmt w:val="lowerLetter"/>
      <w:pStyle w:val="179"/>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6CEA2025"/>
    <w:multiLevelType w:val="multilevel"/>
    <w:tmpl w:val="6CEA2025"/>
    <w:lvl w:ilvl="0" w:tentative="0">
      <w:start w:val="1"/>
      <w:numFmt w:val="none"/>
      <w:pStyle w:val="158"/>
      <w:suff w:val="nothing"/>
      <w:lvlText w:val="%1"/>
      <w:lvlJc w:val="left"/>
      <w:pPr>
        <w:ind w:left="0" w:firstLine="0"/>
      </w:pPr>
      <w:rPr>
        <w:rFonts w:hint="eastAsia"/>
      </w:rPr>
    </w:lvl>
    <w:lvl w:ilvl="1" w:tentative="0">
      <w:start w:val="1"/>
      <w:numFmt w:val="decimal"/>
      <w:pStyle w:val="110"/>
      <w:suff w:val="nothing"/>
      <w:lvlText w:val="%1%2　"/>
      <w:lvlJc w:val="left"/>
      <w:pPr>
        <w:ind w:left="0" w:firstLine="0"/>
      </w:pPr>
      <w:rPr>
        <w:rFonts w:hint="eastAsia" w:ascii="黑体" w:eastAsia="黑体"/>
        <w:b w:val="0"/>
        <w:i w:val="0"/>
        <w:sz w:val="21"/>
      </w:rPr>
    </w:lvl>
    <w:lvl w:ilvl="2" w:tentative="0">
      <w:start w:val="1"/>
      <w:numFmt w:val="decimal"/>
      <w:pStyle w:val="111"/>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71"/>
      <w:suff w:val="nothing"/>
      <w:lvlText w:val="%1%2.%3.%4　"/>
      <w:lvlJc w:val="left"/>
      <w:pPr>
        <w:ind w:left="0" w:firstLine="0"/>
      </w:pPr>
      <w:rPr>
        <w:rFonts w:hint="eastAsia" w:ascii="黑体" w:eastAsia="黑体"/>
        <w:b w:val="0"/>
        <w:i w:val="0"/>
        <w:sz w:val="21"/>
      </w:rPr>
    </w:lvl>
    <w:lvl w:ilvl="4" w:tentative="0">
      <w:start w:val="1"/>
      <w:numFmt w:val="decimal"/>
      <w:pStyle w:val="100"/>
      <w:suff w:val="nothing"/>
      <w:lvlText w:val="%1%2.%3.%4.%5　"/>
      <w:lvlJc w:val="left"/>
      <w:pPr>
        <w:ind w:left="0" w:firstLine="0"/>
      </w:pPr>
      <w:rPr>
        <w:rFonts w:hint="eastAsia" w:ascii="黑体" w:eastAsia="黑体"/>
        <w:b w:val="0"/>
        <w:i w:val="0"/>
        <w:sz w:val="21"/>
      </w:rPr>
    </w:lvl>
    <w:lvl w:ilvl="5" w:tentative="0">
      <w:start w:val="1"/>
      <w:numFmt w:val="decimal"/>
      <w:pStyle w:val="104"/>
      <w:suff w:val="nothing"/>
      <w:lvlText w:val="%1%2.%3.%4.%5.%6　"/>
      <w:lvlJc w:val="left"/>
      <w:pPr>
        <w:ind w:left="0" w:firstLine="0"/>
      </w:pPr>
      <w:rPr>
        <w:rFonts w:hint="eastAsia" w:ascii="黑体" w:eastAsia="黑体"/>
        <w:b w:val="0"/>
        <w:i w:val="0"/>
        <w:sz w:val="21"/>
      </w:rPr>
    </w:lvl>
    <w:lvl w:ilvl="6" w:tentative="0">
      <w:start w:val="1"/>
      <w:numFmt w:val="decimal"/>
      <w:pStyle w:val="109"/>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3">
    <w:nsid w:val="6DBF04F4"/>
    <w:multiLevelType w:val="multilevel"/>
    <w:tmpl w:val="6DBF04F4"/>
    <w:lvl w:ilvl="0" w:tentative="0">
      <w:start w:val="1"/>
      <w:numFmt w:val="none"/>
      <w:pStyle w:val="185"/>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4">
    <w:nsid w:val="6DF35F19"/>
    <w:multiLevelType w:val="multilevel"/>
    <w:tmpl w:val="6DF35F19"/>
    <w:lvl w:ilvl="0" w:tentative="0">
      <w:start w:val="1"/>
      <w:numFmt w:val="decimal"/>
      <w:pStyle w:val="121"/>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5">
    <w:nsid w:val="76933334"/>
    <w:multiLevelType w:val="multilevel"/>
    <w:tmpl w:val="76933334"/>
    <w:lvl w:ilvl="0" w:tentative="0">
      <w:start w:val="1"/>
      <w:numFmt w:val="none"/>
      <w:pStyle w:val="145"/>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32"/>
  </w:num>
  <w:num w:numId="3">
    <w:abstractNumId w:val="8"/>
  </w:num>
  <w:num w:numId="4">
    <w:abstractNumId w:val="28"/>
  </w:num>
  <w:num w:numId="5">
    <w:abstractNumId w:val="23"/>
  </w:num>
  <w:num w:numId="6">
    <w:abstractNumId w:val="18"/>
  </w:num>
  <w:num w:numId="7">
    <w:abstractNumId w:val="11"/>
  </w:num>
  <w:num w:numId="8">
    <w:abstractNumId w:val="6"/>
  </w:num>
  <w:num w:numId="9">
    <w:abstractNumId w:val="12"/>
  </w:num>
  <w:num w:numId="10">
    <w:abstractNumId w:val="21"/>
  </w:num>
  <w:num w:numId="11">
    <w:abstractNumId w:val="30"/>
  </w:num>
  <w:num w:numId="12">
    <w:abstractNumId w:val="15"/>
  </w:num>
  <w:num w:numId="13">
    <w:abstractNumId w:val="17"/>
  </w:num>
  <w:num w:numId="14">
    <w:abstractNumId w:val="10"/>
  </w:num>
  <w:num w:numId="15">
    <w:abstractNumId w:val="24"/>
  </w:num>
  <w:num w:numId="16">
    <w:abstractNumId w:val="26"/>
  </w:num>
  <w:num w:numId="17">
    <w:abstractNumId w:val="22"/>
  </w:num>
  <w:num w:numId="18">
    <w:abstractNumId w:val="34"/>
  </w:num>
  <w:num w:numId="19">
    <w:abstractNumId w:val="20"/>
  </w:num>
  <w:num w:numId="20">
    <w:abstractNumId w:val="2"/>
  </w:num>
  <w:num w:numId="21">
    <w:abstractNumId w:val="14"/>
  </w:num>
  <w:num w:numId="22">
    <w:abstractNumId w:val="35"/>
  </w:num>
  <w:num w:numId="23">
    <w:abstractNumId w:val="25"/>
  </w:num>
  <w:num w:numId="24">
    <w:abstractNumId w:val="9"/>
  </w:num>
  <w:num w:numId="25">
    <w:abstractNumId w:val="31"/>
  </w:num>
  <w:num w:numId="26">
    <w:abstractNumId w:val="33"/>
  </w:num>
  <w:num w:numId="27">
    <w:abstractNumId w:val="5"/>
  </w:num>
  <w:num w:numId="28">
    <w:abstractNumId w:val="7"/>
  </w:num>
  <w:num w:numId="29">
    <w:abstractNumId w:val="19"/>
  </w:num>
  <w:num w:numId="30">
    <w:abstractNumId w:val="29"/>
  </w:num>
  <w:num w:numId="31">
    <w:abstractNumId w:val="27"/>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num>
  <w:num w:numId="47">
    <w:abstractNumId w:val="0"/>
  </w:num>
  <w:num w:numId="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attachedTemplate r:id="rId1"/>
  <w:documentProtection w:edit="forms" w:enforcement="0"/>
  <w:defaultTabStop w:val="420"/>
  <w:evenAndOddHeaders w:val="1"/>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A94"/>
    <w:rsid w:val="0000040A"/>
    <w:rsid w:val="00000A94"/>
    <w:rsid w:val="00001972"/>
    <w:rsid w:val="00001D9A"/>
    <w:rsid w:val="00007B3A"/>
    <w:rsid w:val="000107E0"/>
    <w:rsid w:val="00011FDE"/>
    <w:rsid w:val="00012FFD"/>
    <w:rsid w:val="0001351C"/>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0255"/>
    <w:rsid w:val="0004249A"/>
    <w:rsid w:val="00043282"/>
    <w:rsid w:val="00044286"/>
    <w:rsid w:val="00047F28"/>
    <w:rsid w:val="000503AA"/>
    <w:rsid w:val="000506A1"/>
    <w:rsid w:val="000515DD"/>
    <w:rsid w:val="00051FDC"/>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643B"/>
    <w:rsid w:val="00077B64"/>
    <w:rsid w:val="00080A1C"/>
    <w:rsid w:val="00082317"/>
    <w:rsid w:val="00083D2C"/>
    <w:rsid w:val="00086AA1"/>
    <w:rsid w:val="00087A77"/>
    <w:rsid w:val="00090CA6"/>
    <w:rsid w:val="00092B8A"/>
    <w:rsid w:val="00092FB0"/>
    <w:rsid w:val="000934C5"/>
    <w:rsid w:val="00093D25"/>
    <w:rsid w:val="00093DAB"/>
    <w:rsid w:val="00094D73"/>
    <w:rsid w:val="000952E0"/>
    <w:rsid w:val="00096D63"/>
    <w:rsid w:val="000A0B60"/>
    <w:rsid w:val="000A0EB8"/>
    <w:rsid w:val="000A19FC"/>
    <w:rsid w:val="000A296B"/>
    <w:rsid w:val="000A7311"/>
    <w:rsid w:val="000B060F"/>
    <w:rsid w:val="000B1592"/>
    <w:rsid w:val="000B1FF2"/>
    <w:rsid w:val="000B38E3"/>
    <w:rsid w:val="000B3CDA"/>
    <w:rsid w:val="000B6A0B"/>
    <w:rsid w:val="000C0F6C"/>
    <w:rsid w:val="000C11DB"/>
    <w:rsid w:val="000C1492"/>
    <w:rsid w:val="000C2FBD"/>
    <w:rsid w:val="000C38B4"/>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1A94"/>
    <w:rsid w:val="000F4050"/>
    <w:rsid w:val="000F4AEA"/>
    <w:rsid w:val="000F67E9"/>
    <w:rsid w:val="0010291E"/>
    <w:rsid w:val="00104926"/>
    <w:rsid w:val="001105D7"/>
    <w:rsid w:val="00113B1E"/>
    <w:rsid w:val="0011711C"/>
    <w:rsid w:val="0011794B"/>
    <w:rsid w:val="00117A09"/>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A2D"/>
    <w:rsid w:val="00145D9D"/>
    <w:rsid w:val="00146388"/>
    <w:rsid w:val="001529E5"/>
    <w:rsid w:val="00152FB3"/>
    <w:rsid w:val="00153C7E"/>
    <w:rsid w:val="00156B25"/>
    <w:rsid w:val="00156E1A"/>
    <w:rsid w:val="00157894"/>
    <w:rsid w:val="00157B55"/>
    <w:rsid w:val="001642FA"/>
    <w:rsid w:val="001647D9"/>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5595"/>
    <w:rsid w:val="00187A0B"/>
    <w:rsid w:val="00190087"/>
    <w:rsid w:val="001913C4"/>
    <w:rsid w:val="0019348F"/>
    <w:rsid w:val="00193A07"/>
    <w:rsid w:val="00194C95"/>
    <w:rsid w:val="00195C34"/>
    <w:rsid w:val="00196EF5"/>
    <w:rsid w:val="001A1A53"/>
    <w:rsid w:val="001A234A"/>
    <w:rsid w:val="001A4716"/>
    <w:rsid w:val="001A4CF3"/>
    <w:rsid w:val="001A6696"/>
    <w:rsid w:val="001B06E8"/>
    <w:rsid w:val="001B5DA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6D53"/>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2D0A"/>
    <w:rsid w:val="002253A1"/>
    <w:rsid w:val="00225CF8"/>
    <w:rsid w:val="0022794E"/>
    <w:rsid w:val="00233D64"/>
    <w:rsid w:val="0023482A"/>
    <w:rsid w:val="0023489C"/>
    <w:rsid w:val="002359CB"/>
    <w:rsid w:val="00242A1F"/>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66B5"/>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2C2C"/>
    <w:rsid w:val="002A3AAB"/>
    <w:rsid w:val="002A4CEA"/>
    <w:rsid w:val="002A5977"/>
    <w:rsid w:val="002A5A13"/>
    <w:rsid w:val="002A757F"/>
    <w:rsid w:val="002A7F44"/>
    <w:rsid w:val="002B0C40"/>
    <w:rsid w:val="002B1966"/>
    <w:rsid w:val="002B4508"/>
    <w:rsid w:val="002B5779"/>
    <w:rsid w:val="002B7332"/>
    <w:rsid w:val="002B7F51"/>
    <w:rsid w:val="002C09E7"/>
    <w:rsid w:val="002C0A53"/>
    <w:rsid w:val="002C1978"/>
    <w:rsid w:val="002C1E06"/>
    <w:rsid w:val="002C3F07"/>
    <w:rsid w:val="002C5278"/>
    <w:rsid w:val="002C7EBB"/>
    <w:rsid w:val="002D06C1"/>
    <w:rsid w:val="002D42B5"/>
    <w:rsid w:val="002D4F1A"/>
    <w:rsid w:val="002D6EC6"/>
    <w:rsid w:val="002D79AC"/>
    <w:rsid w:val="002E039D"/>
    <w:rsid w:val="002E4D5A"/>
    <w:rsid w:val="002E6326"/>
    <w:rsid w:val="002F1D5C"/>
    <w:rsid w:val="002F30E0"/>
    <w:rsid w:val="002F35E4"/>
    <w:rsid w:val="002F3730"/>
    <w:rsid w:val="002F38E1"/>
    <w:rsid w:val="002F4CC7"/>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37FC8"/>
    <w:rsid w:val="0034194F"/>
    <w:rsid w:val="00344605"/>
    <w:rsid w:val="003474AA"/>
    <w:rsid w:val="00350D1D"/>
    <w:rsid w:val="003514AF"/>
    <w:rsid w:val="00352C83"/>
    <w:rsid w:val="00352F1A"/>
    <w:rsid w:val="0036107C"/>
    <w:rsid w:val="003615D2"/>
    <w:rsid w:val="0036429C"/>
    <w:rsid w:val="00364A53"/>
    <w:rsid w:val="003654CB"/>
    <w:rsid w:val="0036557C"/>
    <w:rsid w:val="00365AA9"/>
    <w:rsid w:val="00365F86"/>
    <w:rsid w:val="00365F87"/>
    <w:rsid w:val="00366E89"/>
    <w:rsid w:val="00367ECD"/>
    <w:rsid w:val="003705F4"/>
    <w:rsid w:val="00370D58"/>
    <w:rsid w:val="00371316"/>
    <w:rsid w:val="0037606F"/>
    <w:rsid w:val="00376713"/>
    <w:rsid w:val="00381815"/>
    <w:rsid w:val="003819AF"/>
    <w:rsid w:val="003820E9"/>
    <w:rsid w:val="00382DE7"/>
    <w:rsid w:val="00384FFC"/>
    <w:rsid w:val="003872FC"/>
    <w:rsid w:val="00387ADC"/>
    <w:rsid w:val="00390020"/>
    <w:rsid w:val="003903D6"/>
    <w:rsid w:val="00390EE6"/>
    <w:rsid w:val="0039118F"/>
    <w:rsid w:val="00392887"/>
    <w:rsid w:val="00392AD7"/>
    <w:rsid w:val="003938D9"/>
    <w:rsid w:val="00394376"/>
    <w:rsid w:val="003943FF"/>
    <w:rsid w:val="003974EB"/>
    <w:rsid w:val="00397CC5"/>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5A9C"/>
    <w:rsid w:val="003D6D61"/>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59AC"/>
    <w:rsid w:val="00407D39"/>
    <w:rsid w:val="0041477A"/>
    <w:rsid w:val="004167A3"/>
    <w:rsid w:val="00432DAA"/>
    <w:rsid w:val="00434305"/>
    <w:rsid w:val="00435DF7"/>
    <w:rsid w:val="0044083F"/>
    <w:rsid w:val="00441793"/>
    <w:rsid w:val="00441AE7"/>
    <w:rsid w:val="00445574"/>
    <w:rsid w:val="004467FB"/>
    <w:rsid w:val="00452D6B"/>
    <w:rsid w:val="0045439A"/>
    <w:rsid w:val="00454484"/>
    <w:rsid w:val="0045517B"/>
    <w:rsid w:val="004614F1"/>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18F"/>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6E2B"/>
    <w:rsid w:val="00587ADD"/>
    <w:rsid w:val="00593A49"/>
    <w:rsid w:val="00596160"/>
    <w:rsid w:val="005966E2"/>
    <w:rsid w:val="00597007"/>
    <w:rsid w:val="00597E46"/>
    <w:rsid w:val="005A0966"/>
    <w:rsid w:val="005A11B7"/>
    <w:rsid w:val="005A260B"/>
    <w:rsid w:val="005A4A1B"/>
    <w:rsid w:val="005A4B20"/>
    <w:rsid w:val="005A682D"/>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0F9E"/>
    <w:rsid w:val="005F284E"/>
    <w:rsid w:val="006015CE"/>
    <w:rsid w:val="00604784"/>
    <w:rsid w:val="00606419"/>
    <w:rsid w:val="00607D29"/>
    <w:rsid w:val="00612952"/>
    <w:rsid w:val="00614CC1"/>
    <w:rsid w:val="00615A9D"/>
    <w:rsid w:val="00617387"/>
    <w:rsid w:val="006205D6"/>
    <w:rsid w:val="006252D8"/>
    <w:rsid w:val="006259BC"/>
    <w:rsid w:val="0062636B"/>
    <w:rsid w:val="006315A6"/>
    <w:rsid w:val="00632182"/>
    <w:rsid w:val="00632AE0"/>
    <w:rsid w:val="00633977"/>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17C4"/>
    <w:rsid w:val="00672060"/>
    <w:rsid w:val="00672BFD"/>
    <w:rsid w:val="006770F4"/>
    <w:rsid w:val="00677A84"/>
    <w:rsid w:val="0068026D"/>
    <w:rsid w:val="00680A27"/>
    <w:rsid w:val="006816A4"/>
    <w:rsid w:val="006819B8"/>
    <w:rsid w:val="006840A6"/>
    <w:rsid w:val="006850CD"/>
    <w:rsid w:val="00685AAB"/>
    <w:rsid w:val="006A07AA"/>
    <w:rsid w:val="006A25E5"/>
    <w:rsid w:val="006A2B46"/>
    <w:rsid w:val="006A336D"/>
    <w:rsid w:val="006A37B9"/>
    <w:rsid w:val="006B2672"/>
    <w:rsid w:val="006B2D55"/>
    <w:rsid w:val="006B54BF"/>
    <w:rsid w:val="006B5F44"/>
    <w:rsid w:val="006B5F90"/>
    <w:rsid w:val="006B62E4"/>
    <w:rsid w:val="006C1BBA"/>
    <w:rsid w:val="006C2079"/>
    <w:rsid w:val="006C47E6"/>
    <w:rsid w:val="006C5A62"/>
    <w:rsid w:val="006C5D68"/>
    <w:rsid w:val="006C6976"/>
    <w:rsid w:val="006C6DD0"/>
    <w:rsid w:val="006D04EA"/>
    <w:rsid w:val="006D16C4"/>
    <w:rsid w:val="006D3E96"/>
    <w:rsid w:val="006D4515"/>
    <w:rsid w:val="006D4BB1"/>
    <w:rsid w:val="006D5065"/>
    <w:rsid w:val="006D6593"/>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3DE0"/>
    <w:rsid w:val="00765C43"/>
    <w:rsid w:val="00765EFB"/>
    <w:rsid w:val="007671CA"/>
    <w:rsid w:val="00767C61"/>
    <w:rsid w:val="0077008A"/>
    <w:rsid w:val="00773C1F"/>
    <w:rsid w:val="00774DA4"/>
    <w:rsid w:val="00776599"/>
    <w:rsid w:val="0078114B"/>
    <w:rsid w:val="00781DD2"/>
    <w:rsid w:val="00783ECF"/>
    <w:rsid w:val="0078413A"/>
    <w:rsid w:val="00792E77"/>
    <w:rsid w:val="00795883"/>
    <w:rsid w:val="007959E8"/>
    <w:rsid w:val="00795E9C"/>
    <w:rsid w:val="007A0521"/>
    <w:rsid w:val="007A2E12"/>
    <w:rsid w:val="007A3475"/>
    <w:rsid w:val="007A41C8"/>
    <w:rsid w:val="007A54CE"/>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2730C"/>
    <w:rsid w:val="00830621"/>
    <w:rsid w:val="0083348C"/>
    <w:rsid w:val="008373D3"/>
    <w:rsid w:val="00840617"/>
    <w:rsid w:val="00840F84"/>
    <w:rsid w:val="00842A47"/>
    <w:rsid w:val="00843C13"/>
    <w:rsid w:val="008454F8"/>
    <w:rsid w:val="00847172"/>
    <w:rsid w:val="0085173A"/>
    <w:rsid w:val="008603CE"/>
    <w:rsid w:val="008620FC"/>
    <w:rsid w:val="008627A5"/>
    <w:rsid w:val="00863E05"/>
    <w:rsid w:val="00865ACA"/>
    <w:rsid w:val="00865D28"/>
    <w:rsid w:val="00865F85"/>
    <w:rsid w:val="00867C10"/>
    <w:rsid w:val="00870439"/>
    <w:rsid w:val="00870DA1"/>
    <w:rsid w:val="0087435F"/>
    <w:rsid w:val="00883F93"/>
    <w:rsid w:val="00884DB3"/>
    <w:rsid w:val="00885A9D"/>
    <w:rsid w:val="008864F6"/>
    <w:rsid w:val="0088658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1CB8"/>
    <w:rsid w:val="008C219C"/>
    <w:rsid w:val="008C475E"/>
    <w:rsid w:val="008C619A"/>
    <w:rsid w:val="008D0CE8"/>
    <w:rsid w:val="008D2D1D"/>
    <w:rsid w:val="008D453D"/>
    <w:rsid w:val="008D53AD"/>
    <w:rsid w:val="008D562B"/>
    <w:rsid w:val="008D5733"/>
    <w:rsid w:val="008D622B"/>
    <w:rsid w:val="008D666C"/>
    <w:rsid w:val="008D712B"/>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35BD"/>
    <w:rsid w:val="009062E6"/>
    <w:rsid w:val="00906AF3"/>
    <w:rsid w:val="00911BE5"/>
    <w:rsid w:val="00913CA9"/>
    <w:rsid w:val="009145AE"/>
    <w:rsid w:val="009146CE"/>
    <w:rsid w:val="00914CA7"/>
    <w:rsid w:val="00915C3E"/>
    <w:rsid w:val="009161A8"/>
    <w:rsid w:val="00922EA6"/>
    <w:rsid w:val="009245AE"/>
    <w:rsid w:val="009245F5"/>
    <w:rsid w:val="009249EC"/>
    <w:rsid w:val="009273B3"/>
    <w:rsid w:val="009305B5"/>
    <w:rsid w:val="009378DD"/>
    <w:rsid w:val="009429D5"/>
    <w:rsid w:val="00942BF1"/>
    <w:rsid w:val="00945180"/>
    <w:rsid w:val="00945428"/>
    <w:rsid w:val="0094607B"/>
    <w:rsid w:val="00953604"/>
    <w:rsid w:val="0095496B"/>
    <w:rsid w:val="00956A79"/>
    <w:rsid w:val="00960F1E"/>
    <w:rsid w:val="009610DC"/>
    <w:rsid w:val="00961490"/>
    <w:rsid w:val="0096381A"/>
    <w:rsid w:val="00965E04"/>
    <w:rsid w:val="009674AD"/>
    <w:rsid w:val="00970CDC"/>
    <w:rsid w:val="00975727"/>
    <w:rsid w:val="00977010"/>
    <w:rsid w:val="00977D02"/>
    <w:rsid w:val="00977FF9"/>
    <w:rsid w:val="009809BB"/>
    <w:rsid w:val="0098364B"/>
    <w:rsid w:val="009903C2"/>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9F2E6D"/>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95D"/>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890"/>
    <w:rsid w:val="00AA1E45"/>
    <w:rsid w:val="00AA4286"/>
    <w:rsid w:val="00AA456B"/>
    <w:rsid w:val="00AA57F5"/>
    <w:rsid w:val="00AA672E"/>
    <w:rsid w:val="00AA6EC9"/>
    <w:rsid w:val="00AB1812"/>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D7593"/>
    <w:rsid w:val="00AE070A"/>
    <w:rsid w:val="00AE101C"/>
    <w:rsid w:val="00AE2A69"/>
    <w:rsid w:val="00AE37E5"/>
    <w:rsid w:val="00AE5EB4"/>
    <w:rsid w:val="00AF0C18"/>
    <w:rsid w:val="00AF0E79"/>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1EF2"/>
    <w:rsid w:val="00B62B58"/>
    <w:rsid w:val="00B65149"/>
    <w:rsid w:val="00B66567"/>
    <w:rsid w:val="00B66F52"/>
    <w:rsid w:val="00B66FE5"/>
    <w:rsid w:val="00B67581"/>
    <w:rsid w:val="00B72880"/>
    <w:rsid w:val="00B758BF"/>
    <w:rsid w:val="00B77EC8"/>
    <w:rsid w:val="00B827A6"/>
    <w:rsid w:val="00B831CE"/>
    <w:rsid w:val="00B853EB"/>
    <w:rsid w:val="00B86677"/>
    <w:rsid w:val="00B87131"/>
    <w:rsid w:val="00B91C30"/>
    <w:rsid w:val="00B92181"/>
    <w:rsid w:val="00B939B1"/>
    <w:rsid w:val="00B93DD3"/>
    <w:rsid w:val="00B96D40"/>
    <w:rsid w:val="00B97386"/>
    <w:rsid w:val="00BA1695"/>
    <w:rsid w:val="00BA263B"/>
    <w:rsid w:val="00BA42B2"/>
    <w:rsid w:val="00BA58D4"/>
    <w:rsid w:val="00BA5B9E"/>
    <w:rsid w:val="00BA7C9A"/>
    <w:rsid w:val="00BB3152"/>
    <w:rsid w:val="00BB5F8F"/>
    <w:rsid w:val="00BB657A"/>
    <w:rsid w:val="00BB6DED"/>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118"/>
    <w:rsid w:val="00C056B3"/>
    <w:rsid w:val="00C06626"/>
    <w:rsid w:val="00C103E5"/>
    <w:rsid w:val="00C13319"/>
    <w:rsid w:val="00C13EE9"/>
    <w:rsid w:val="00C21540"/>
    <w:rsid w:val="00C21906"/>
    <w:rsid w:val="00C21BFA"/>
    <w:rsid w:val="00C24C8D"/>
    <w:rsid w:val="00C25FE2"/>
    <w:rsid w:val="00C26B53"/>
    <w:rsid w:val="00C279B2"/>
    <w:rsid w:val="00C312C5"/>
    <w:rsid w:val="00C33E50"/>
    <w:rsid w:val="00C34C20"/>
    <w:rsid w:val="00C35A3E"/>
    <w:rsid w:val="00C42130"/>
    <w:rsid w:val="00C423A4"/>
    <w:rsid w:val="00C423E3"/>
    <w:rsid w:val="00C44BF5"/>
    <w:rsid w:val="00C46842"/>
    <w:rsid w:val="00C50A6B"/>
    <w:rsid w:val="00C521D6"/>
    <w:rsid w:val="00C55232"/>
    <w:rsid w:val="00C553A4"/>
    <w:rsid w:val="00C55A06"/>
    <w:rsid w:val="00C55D03"/>
    <w:rsid w:val="00C601BC"/>
    <w:rsid w:val="00C6329F"/>
    <w:rsid w:val="00C63340"/>
    <w:rsid w:val="00C643F9"/>
    <w:rsid w:val="00C64E95"/>
    <w:rsid w:val="00C71372"/>
    <w:rsid w:val="00C72410"/>
    <w:rsid w:val="00C7287F"/>
    <w:rsid w:val="00C74468"/>
    <w:rsid w:val="00C80CB8"/>
    <w:rsid w:val="00C819F8"/>
    <w:rsid w:val="00C8248C"/>
    <w:rsid w:val="00C84E33"/>
    <w:rsid w:val="00C86D6F"/>
    <w:rsid w:val="00C905FC"/>
    <w:rsid w:val="00C91C98"/>
    <w:rsid w:val="00C92D03"/>
    <w:rsid w:val="00C93105"/>
    <w:rsid w:val="00C9319C"/>
    <w:rsid w:val="00C9435D"/>
    <w:rsid w:val="00C94DF2"/>
    <w:rsid w:val="00C96741"/>
    <w:rsid w:val="00CA184C"/>
    <w:rsid w:val="00CA2D1B"/>
    <w:rsid w:val="00CA375D"/>
    <w:rsid w:val="00CA4561"/>
    <w:rsid w:val="00CA662A"/>
    <w:rsid w:val="00CA77E8"/>
    <w:rsid w:val="00CA7AFD"/>
    <w:rsid w:val="00CA7C3C"/>
    <w:rsid w:val="00CB0189"/>
    <w:rsid w:val="00CB0BA2"/>
    <w:rsid w:val="00CB1A42"/>
    <w:rsid w:val="00CB1B0C"/>
    <w:rsid w:val="00CB2C0B"/>
    <w:rsid w:val="00CB517D"/>
    <w:rsid w:val="00CB5EAC"/>
    <w:rsid w:val="00CC038D"/>
    <w:rsid w:val="00CC08DB"/>
    <w:rsid w:val="00CC39FF"/>
    <w:rsid w:val="00CC3C2F"/>
    <w:rsid w:val="00CC4AC8"/>
    <w:rsid w:val="00CC5233"/>
    <w:rsid w:val="00CC5DE6"/>
    <w:rsid w:val="00CC6E4E"/>
    <w:rsid w:val="00CC6FE8"/>
    <w:rsid w:val="00CC7202"/>
    <w:rsid w:val="00CD0C02"/>
    <w:rsid w:val="00CD2808"/>
    <w:rsid w:val="00CD28BF"/>
    <w:rsid w:val="00CD4092"/>
    <w:rsid w:val="00CD4A20"/>
    <w:rsid w:val="00CD50A1"/>
    <w:rsid w:val="00CD519E"/>
    <w:rsid w:val="00CE0C4F"/>
    <w:rsid w:val="00CE189A"/>
    <w:rsid w:val="00CE2871"/>
    <w:rsid w:val="00CE30EA"/>
    <w:rsid w:val="00CF048A"/>
    <w:rsid w:val="00CF155A"/>
    <w:rsid w:val="00CF2947"/>
    <w:rsid w:val="00CF686F"/>
    <w:rsid w:val="00CF6E60"/>
    <w:rsid w:val="00CF7BCA"/>
    <w:rsid w:val="00D001D9"/>
    <w:rsid w:val="00D008FD"/>
    <w:rsid w:val="00D02A54"/>
    <w:rsid w:val="00D0321C"/>
    <w:rsid w:val="00D035EC"/>
    <w:rsid w:val="00D05F00"/>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4753E"/>
    <w:rsid w:val="00D51BF3"/>
    <w:rsid w:val="00D52976"/>
    <w:rsid w:val="00D66846"/>
    <w:rsid w:val="00D675FB"/>
    <w:rsid w:val="00D67C6C"/>
    <w:rsid w:val="00D71F25"/>
    <w:rsid w:val="00D72A9C"/>
    <w:rsid w:val="00D77031"/>
    <w:rsid w:val="00D83EE0"/>
    <w:rsid w:val="00D84941"/>
    <w:rsid w:val="00D84FA1"/>
    <w:rsid w:val="00D851F0"/>
    <w:rsid w:val="00D86012"/>
    <w:rsid w:val="00D867A8"/>
    <w:rsid w:val="00D86DB7"/>
    <w:rsid w:val="00D87BF5"/>
    <w:rsid w:val="00D90721"/>
    <w:rsid w:val="00D926D0"/>
    <w:rsid w:val="00D93030"/>
    <w:rsid w:val="00D950E1"/>
    <w:rsid w:val="00D952A6"/>
    <w:rsid w:val="00D964B0"/>
    <w:rsid w:val="00D97F99"/>
    <w:rsid w:val="00DA1E08"/>
    <w:rsid w:val="00DA24F8"/>
    <w:rsid w:val="00DA28E8"/>
    <w:rsid w:val="00DA38D3"/>
    <w:rsid w:val="00DA3932"/>
    <w:rsid w:val="00DA3AFC"/>
    <w:rsid w:val="00DA3B96"/>
    <w:rsid w:val="00DA64F8"/>
    <w:rsid w:val="00DA6C15"/>
    <w:rsid w:val="00DB0258"/>
    <w:rsid w:val="00DB08AD"/>
    <w:rsid w:val="00DB38EE"/>
    <w:rsid w:val="00DB498B"/>
    <w:rsid w:val="00DB66CA"/>
    <w:rsid w:val="00DB6BCA"/>
    <w:rsid w:val="00DB6F54"/>
    <w:rsid w:val="00DB73F7"/>
    <w:rsid w:val="00DC0321"/>
    <w:rsid w:val="00DC224D"/>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5526"/>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371FE"/>
    <w:rsid w:val="00E44A83"/>
    <w:rsid w:val="00E502C1"/>
    <w:rsid w:val="00E502DD"/>
    <w:rsid w:val="00E50D3A"/>
    <w:rsid w:val="00E51387"/>
    <w:rsid w:val="00E51E68"/>
    <w:rsid w:val="00E52EFD"/>
    <w:rsid w:val="00E5408A"/>
    <w:rsid w:val="00E56800"/>
    <w:rsid w:val="00E60C63"/>
    <w:rsid w:val="00E62FF9"/>
    <w:rsid w:val="00E635D1"/>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97DD0"/>
    <w:rsid w:val="00EA58D1"/>
    <w:rsid w:val="00EA61BC"/>
    <w:rsid w:val="00EA681A"/>
    <w:rsid w:val="00EA735B"/>
    <w:rsid w:val="00EB1E69"/>
    <w:rsid w:val="00EB2086"/>
    <w:rsid w:val="00EB31ED"/>
    <w:rsid w:val="00EB5EDF"/>
    <w:rsid w:val="00EB60FE"/>
    <w:rsid w:val="00EB74DB"/>
    <w:rsid w:val="00EC5359"/>
    <w:rsid w:val="00EC562A"/>
    <w:rsid w:val="00ED067A"/>
    <w:rsid w:val="00ED1D20"/>
    <w:rsid w:val="00ED1F2D"/>
    <w:rsid w:val="00ED2114"/>
    <w:rsid w:val="00ED2B50"/>
    <w:rsid w:val="00EE0350"/>
    <w:rsid w:val="00EE0719"/>
    <w:rsid w:val="00EE0E80"/>
    <w:rsid w:val="00EE613F"/>
    <w:rsid w:val="00EE7295"/>
    <w:rsid w:val="00EE7869"/>
    <w:rsid w:val="00EF054A"/>
    <w:rsid w:val="00EF3235"/>
    <w:rsid w:val="00EF4AF7"/>
    <w:rsid w:val="00EF7950"/>
    <w:rsid w:val="00EF7E72"/>
    <w:rsid w:val="00F06D37"/>
    <w:rsid w:val="00F07B9D"/>
    <w:rsid w:val="00F11586"/>
    <w:rsid w:val="00F1183B"/>
    <w:rsid w:val="00F11C9F"/>
    <w:rsid w:val="00F12263"/>
    <w:rsid w:val="00F12C19"/>
    <w:rsid w:val="00F1409D"/>
    <w:rsid w:val="00F14214"/>
    <w:rsid w:val="00F157A9"/>
    <w:rsid w:val="00F16F00"/>
    <w:rsid w:val="00F2347A"/>
    <w:rsid w:val="00F25BB6"/>
    <w:rsid w:val="00F26B7E"/>
    <w:rsid w:val="00F27A3B"/>
    <w:rsid w:val="00F32F5D"/>
    <w:rsid w:val="00F331C0"/>
    <w:rsid w:val="00F33817"/>
    <w:rsid w:val="00F420D5"/>
    <w:rsid w:val="00F451EA"/>
    <w:rsid w:val="00F45447"/>
    <w:rsid w:val="00F456C6"/>
    <w:rsid w:val="00F4577B"/>
    <w:rsid w:val="00F46496"/>
    <w:rsid w:val="00F474D0"/>
    <w:rsid w:val="00F50179"/>
    <w:rsid w:val="00F515EE"/>
    <w:rsid w:val="00F56511"/>
    <w:rsid w:val="00F57028"/>
    <w:rsid w:val="00F6194E"/>
    <w:rsid w:val="00F623AC"/>
    <w:rsid w:val="00F6412A"/>
    <w:rsid w:val="00F65893"/>
    <w:rsid w:val="00F66A4A"/>
    <w:rsid w:val="00F71E22"/>
    <w:rsid w:val="00F72142"/>
    <w:rsid w:val="00F72AE7"/>
    <w:rsid w:val="00F750AD"/>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1D7"/>
    <w:rsid w:val="00FD7299"/>
    <w:rsid w:val="00FE1FBE"/>
    <w:rsid w:val="00FE3901"/>
    <w:rsid w:val="00FE39D3"/>
    <w:rsid w:val="00FE4BCE"/>
    <w:rsid w:val="00FE54AE"/>
    <w:rsid w:val="00FE576A"/>
    <w:rsid w:val="00FE7E79"/>
    <w:rsid w:val="00FF3E7D"/>
    <w:rsid w:val="00FF5B99"/>
    <w:rsid w:val="00FF730C"/>
    <w:rsid w:val="00FF73F4"/>
    <w:rsid w:val="00FF7CE4"/>
    <w:rsid w:val="00FF7E39"/>
    <w:rsid w:val="010B405F"/>
    <w:rsid w:val="012D66CB"/>
    <w:rsid w:val="014E52CA"/>
    <w:rsid w:val="01572A4F"/>
    <w:rsid w:val="015C2B0C"/>
    <w:rsid w:val="018F6A3E"/>
    <w:rsid w:val="019422A6"/>
    <w:rsid w:val="01A75AA3"/>
    <w:rsid w:val="01BD5316"/>
    <w:rsid w:val="01CE1437"/>
    <w:rsid w:val="01E44FDB"/>
    <w:rsid w:val="01F14DFB"/>
    <w:rsid w:val="02111B48"/>
    <w:rsid w:val="02225B04"/>
    <w:rsid w:val="02595D45"/>
    <w:rsid w:val="02B41BBD"/>
    <w:rsid w:val="02CE479E"/>
    <w:rsid w:val="03035935"/>
    <w:rsid w:val="0316321C"/>
    <w:rsid w:val="037C7496"/>
    <w:rsid w:val="03931A13"/>
    <w:rsid w:val="03C9277C"/>
    <w:rsid w:val="04117BDE"/>
    <w:rsid w:val="0431729C"/>
    <w:rsid w:val="043D6C25"/>
    <w:rsid w:val="04830120"/>
    <w:rsid w:val="049D12CA"/>
    <w:rsid w:val="04F03C97"/>
    <w:rsid w:val="05542478"/>
    <w:rsid w:val="05BF1910"/>
    <w:rsid w:val="05D45367"/>
    <w:rsid w:val="05ED6429"/>
    <w:rsid w:val="06361B7E"/>
    <w:rsid w:val="063B3638"/>
    <w:rsid w:val="06415AE6"/>
    <w:rsid w:val="06DF5D71"/>
    <w:rsid w:val="070361EF"/>
    <w:rsid w:val="07047ECE"/>
    <w:rsid w:val="071C5217"/>
    <w:rsid w:val="073F0F06"/>
    <w:rsid w:val="07736C7B"/>
    <w:rsid w:val="078B414B"/>
    <w:rsid w:val="07AF7432"/>
    <w:rsid w:val="07BA5365"/>
    <w:rsid w:val="08E12275"/>
    <w:rsid w:val="09067F2D"/>
    <w:rsid w:val="090E293E"/>
    <w:rsid w:val="09137F54"/>
    <w:rsid w:val="09723479"/>
    <w:rsid w:val="09D05E45"/>
    <w:rsid w:val="09D122E9"/>
    <w:rsid w:val="09ED2E9B"/>
    <w:rsid w:val="0A054B85"/>
    <w:rsid w:val="0A14138D"/>
    <w:rsid w:val="0A222B45"/>
    <w:rsid w:val="0A382368"/>
    <w:rsid w:val="0A4725AB"/>
    <w:rsid w:val="0A5627EE"/>
    <w:rsid w:val="0AA77D83"/>
    <w:rsid w:val="0AC41E4E"/>
    <w:rsid w:val="0ACC485F"/>
    <w:rsid w:val="0AFF4C34"/>
    <w:rsid w:val="0B24118F"/>
    <w:rsid w:val="0B6727D9"/>
    <w:rsid w:val="0B6E1DBA"/>
    <w:rsid w:val="0B7A42BB"/>
    <w:rsid w:val="0B7E024F"/>
    <w:rsid w:val="0B860EB1"/>
    <w:rsid w:val="0B866A2E"/>
    <w:rsid w:val="0B892FD1"/>
    <w:rsid w:val="0BAD643E"/>
    <w:rsid w:val="0BB0293F"/>
    <w:rsid w:val="0BC8771C"/>
    <w:rsid w:val="0BCF0AAA"/>
    <w:rsid w:val="0BD065D0"/>
    <w:rsid w:val="0BE315FF"/>
    <w:rsid w:val="0C197F77"/>
    <w:rsid w:val="0C4031AA"/>
    <w:rsid w:val="0C741652"/>
    <w:rsid w:val="0C970E9C"/>
    <w:rsid w:val="0C991E9F"/>
    <w:rsid w:val="0C9B08D2"/>
    <w:rsid w:val="0CF54541"/>
    <w:rsid w:val="0D091D9A"/>
    <w:rsid w:val="0D171E03"/>
    <w:rsid w:val="0D8853B5"/>
    <w:rsid w:val="0DB7426B"/>
    <w:rsid w:val="0E230B2E"/>
    <w:rsid w:val="0E3177FA"/>
    <w:rsid w:val="0E3E1F17"/>
    <w:rsid w:val="0E46674C"/>
    <w:rsid w:val="0E5057A7"/>
    <w:rsid w:val="0E815205"/>
    <w:rsid w:val="0E8A0CB9"/>
    <w:rsid w:val="0EAB2447"/>
    <w:rsid w:val="0EAF071F"/>
    <w:rsid w:val="0F0C5B71"/>
    <w:rsid w:val="0F1C1554"/>
    <w:rsid w:val="0F29227F"/>
    <w:rsid w:val="0F452E31"/>
    <w:rsid w:val="0F5D63CD"/>
    <w:rsid w:val="0F76748F"/>
    <w:rsid w:val="0F976A21"/>
    <w:rsid w:val="0FB57FB7"/>
    <w:rsid w:val="0FBA55CD"/>
    <w:rsid w:val="10022AD1"/>
    <w:rsid w:val="100827DD"/>
    <w:rsid w:val="10401F77"/>
    <w:rsid w:val="10474530"/>
    <w:rsid w:val="104E486C"/>
    <w:rsid w:val="107240FA"/>
    <w:rsid w:val="107D43E9"/>
    <w:rsid w:val="10993435"/>
    <w:rsid w:val="109D0CD3"/>
    <w:rsid w:val="10E03F78"/>
    <w:rsid w:val="11020FDA"/>
    <w:rsid w:val="114A5FF4"/>
    <w:rsid w:val="117C5DB9"/>
    <w:rsid w:val="117F3EEE"/>
    <w:rsid w:val="118E0AC0"/>
    <w:rsid w:val="11D719F0"/>
    <w:rsid w:val="11DA3D05"/>
    <w:rsid w:val="11F528ED"/>
    <w:rsid w:val="125B2945"/>
    <w:rsid w:val="126275A8"/>
    <w:rsid w:val="126F6B43"/>
    <w:rsid w:val="12816876"/>
    <w:rsid w:val="12EC0194"/>
    <w:rsid w:val="12EF37E0"/>
    <w:rsid w:val="13053004"/>
    <w:rsid w:val="13076D7C"/>
    <w:rsid w:val="135F0966"/>
    <w:rsid w:val="136917E4"/>
    <w:rsid w:val="13DF5603"/>
    <w:rsid w:val="13F6294C"/>
    <w:rsid w:val="14060FB6"/>
    <w:rsid w:val="143F0797"/>
    <w:rsid w:val="14641FAC"/>
    <w:rsid w:val="148B7538"/>
    <w:rsid w:val="14A27593"/>
    <w:rsid w:val="14AD3953"/>
    <w:rsid w:val="14D26F15"/>
    <w:rsid w:val="14E8498B"/>
    <w:rsid w:val="14FB56DC"/>
    <w:rsid w:val="151632A6"/>
    <w:rsid w:val="155347C7"/>
    <w:rsid w:val="15594585"/>
    <w:rsid w:val="158A3C94"/>
    <w:rsid w:val="15CE3B81"/>
    <w:rsid w:val="161C2B3E"/>
    <w:rsid w:val="162D4D4B"/>
    <w:rsid w:val="165A5414"/>
    <w:rsid w:val="1666200B"/>
    <w:rsid w:val="16871515"/>
    <w:rsid w:val="16DF3B6C"/>
    <w:rsid w:val="16EF0D5E"/>
    <w:rsid w:val="170B2BB3"/>
    <w:rsid w:val="17E70F2A"/>
    <w:rsid w:val="18055854"/>
    <w:rsid w:val="1807337A"/>
    <w:rsid w:val="18211500"/>
    <w:rsid w:val="183D3240"/>
    <w:rsid w:val="1840063A"/>
    <w:rsid w:val="189F1804"/>
    <w:rsid w:val="18A175BE"/>
    <w:rsid w:val="18B352B0"/>
    <w:rsid w:val="18FA2EDF"/>
    <w:rsid w:val="190B5C3D"/>
    <w:rsid w:val="19706CFD"/>
    <w:rsid w:val="19B05B47"/>
    <w:rsid w:val="19B25567"/>
    <w:rsid w:val="19E5593D"/>
    <w:rsid w:val="19F42B12"/>
    <w:rsid w:val="1A200723"/>
    <w:rsid w:val="1A2E4BEE"/>
    <w:rsid w:val="1AE96D67"/>
    <w:rsid w:val="1AFF658A"/>
    <w:rsid w:val="1B197FA5"/>
    <w:rsid w:val="1B667AE4"/>
    <w:rsid w:val="1B796A95"/>
    <w:rsid w:val="1BB14CCE"/>
    <w:rsid w:val="1BC17330"/>
    <w:rsid w:val="1BF14125"/>
    <w:rsid w:val="1C16002F"/>
    <w:rsid w:val="1C33377A"/>
    <w:rsid w:val="1CAB5AB4"/>
    <w:rsid w:val="1CC96E50"/>
    <w:rsid w:val="1CEC0633"/>
    <w:rsid w:val="1CED31DA"/>
    <w:rsid w:val="1D035D3E"/>
    <w:rsid w:val="1D21161E"/>
    <w:rsid w:val="1D5635D7"/>
    <w:rsid w:val="1D951428"/>
    <w:rsid w:val="1D9D1D87"/>
    <w:rsid w:val="1DE1641B"/>
    <w:rsid w:val="1DFE0D7B"/>
    <w:rsid w:val="1E516C7B"/>
    <w:rsid w:val="1E6257AE"/>
    <w:rsid w:val="1ED8781E"/>
    <w:rsid w:val="1F38206B"/>
    <w:rsid w:val="1F477A23"/>
    <w:rsid w:val="1F504D65"/>
    <w:rsid w:val="1F6B2440"/>
    <w:rsid w:val="1F6F2221"/>
    <w:rsid w:val="1FA45952"/>
    <w:rsid w:val="1FF73CD4"/>
    <w:rsid w:val="1FFC753C"/>
    <w:rsid w:val="205F117B"/>
    <w:rsid w:val="20847C5E"/>
    <w:rsid w:val="208C266E"/>
    <w:rsid w:val="20D34C23"/>
    <w:rsid w:val="20FF1092"/>
    <w:rsid w:val="210C1A01"/>
    <w:rsid w:val="21132D8F"/>
    <w:rsid w:val="211D18C2"/>
    <w:rsid w:val="215869F4"/>
    <w:rsid w:val="218477E9"/>
    <w:rsid w:val="21B04A82"/>
    <w:rsid w:val="21DA38AD"/>
    <w:rsid w:val="21F726B1"/>
    <w:rsid w:val="2201708C"/>
    <w:rsid w:val="221B63A0"/>
    <w:rsid w:val="22235254"/>
    <w:rsid w:val="222F59A7"/>
    <w:rsid w:val="22511DC1"/>
    <w:rsid w:val="225C2514"/>
    <w:rsid w:val="227D2BB6"/>
    <w:rsid w:val="228827DA"/>
    <w:rsid w:val="22E26EBD"/>
    <w:rsid w:val="22E9024C"/>
    <w:rsid w:val="23362D65"/>
    <w:rsid w:val="23395336"/>
    <w:rsid w:val="2369313B"/>
    <w:rsid w:val="23734476"/>
    <w:rsid w:val="23944E76"/>
    <w:rsid w:val="23A777BF"/>
    <w:rsid w:val="23BA50BC"/>
    <w:rsid w:val="23D83E1C"/>
    <w:rsid w:val="23F01166"/>
    <w:rsid w:val="23F21382"/>
    <w:rsid w:val="24163E7C"/>
    <w:rsid w:val="243B6A76"/>
    <w:rsid w:val="246851A0"/>
    <w:rsid w:val="24A1769E"/>
    <w:rsid w:val="24C00442"/>
    <w:rsid w:val="24CD76F9"/>
    <w:rsid w:val="24CF6FCD"/>
    <w:rsid w:val="24EF58C2"/>
    <w:rsid w:val="24FE5B05"/>
    <w:rsid w:val="2510321E"/>
    <w:rsid w:val="25313225"/>
    <w:rsid w:val="25601336"/>
    <w:rsid w:val="25627E42"/>
    <w:rsid w:val="25706A02"/>
    <w:rsid w:val="25733DFD"/>
    <w:rsid w:val="25781413"/>
    <w:rsid w:val="258B29CB"/>
    <w:rsid w:val="25A86641"/>
    <w:rsid w:val="25B508B9"/>
    <w:rsid w:val="25D21167"/>
    <w:rsid w:val="25FC5978"/>
    <w:rsid w:val="26013AFE"/>
    <w:rsid w:val="26061115"/>
    <w:rsid w:val="2624159B"/>
    <w:rsid w:val="264439EB"/>
    <w:rsid w:val="26753F94"/>
    <w:rsid w:val="267C3185"/>
    <w:rsid w:val="269C55D5"/>
    <w:rsid w:val="26A83F7A"/>
    <w:rsid w:val="26C9120A"/>
    <w:rsid w:val="26D44D6F"/>
    <w:rsid w:val="27434D91"/>
    <w:rsid w:val="274F43F6"/>
    <w:rsid w:val="2778394C"/>
    <w:rsid w:val="27985D9D"/>
    <w:rsid w:val="27A43A84"/>
    <w:rsid w:val="27B44F06"/>
    <w:rsid w:val="27DF1C1D"/>
    <w:rsid w:val="27EB05C2"/>
    <w:rsid w:val="27EE00B2"/>
    <w:rsid w:val="28096C9A"/>
    <w:rsid w:val="281713B7"/>
    <w:rsid w:val="28247630"/>
    <w:rsid w:val="283F446A"/>
    <w:rsid w:val="28757E8C"/>
    <w:rsid w:val="28A16ED3"/>
    <w:rsid w:val="28B22E8E"/>
    <w:rsid w:val="28D34D99"/>
    <w:rsid w:val="28E05C4D"/>
    <w:rsid w:val="28F73F06"/>
    <w:rsid w:val="290F208E"/>
    <w:rsid w:val="292C0E92"/>
    <w:rsid w:val="29310257"/>
    <w:rsid w:val="29606D8E"/>
    <w:rsid w:val="29A613B4"/>
    <w:rsid w:val="29B64C00"/>
    <w:rsid w:val="2A3B6C95"/>
    <w:rsid w:val="2A5C1303"/>
    <w:rsid w:val="2A64465C"/>
    <w:rsid w:val="2A7725E1"/>
    <w:rsid w:val="2AAA4765"/>
    <w:rsid w:val="2AAF0849"/>
    <w:rsid w:val="2AB83D71"/>
    <w:rsid w:val="2ADA66CC"/>
    <w:rsid w:val="2ADF07C0"/>
    <w:rsid w:val="2B124871"/>
    <w:rsid w:val="2B674CE4"/>
    <w:rsid w:val="2B6A3EF4"/>
    <w:rsid w:val="2B7B3A0B"/>
    <w:rsid w:val="2B7B7EAF"/>
    <w:rsid w:val="2B822FEC"/>
    <w:rsid w:val="2BA07916"/>
    <w:rsid w:val="2BD575BF"/>
    <w:rsid w:val="2BE84D34"/>
    <w:rsid w:val="2C013B28"/>
    <w:rsid w:val="2C3167C0"/>
    <w:rsid w:val="2CCD473A"/>
    <w:rsid w:val="2CF577ED"/>
    <w:rsid w:val="2D5B1D46"/>
    <w:rsid w:val="2D6A3D37"/>
    <w:rsid w:val="2D6C3F53"/>
    <w:rsid w:val="2D853CD4"/>
    <w:rsid w:val="2DA21F75"/>
    <w:rsid w:val="2DA44808"/>
    <w:rsid w:val="2DB72CF5"/>
    <w:rsid w:val="2DF06932"/>
    <w:rsid w:val="2E183793"/>
    <w:rsid w:val="2E580034"/>
    <w:rsid w:val="2E6B5FB9"/>
    <w:rsid w:val="2E6D7F83"/>
    <w:rsid w:val="2EBA0CEE"/>
    <w:rsid w:val="2EC21951"/>
    <w:rsid w:val="2ED973C6"/>
    <w:rsid w:val="2EF51D26"/>
    <w:rsid w:val="2F154177"/>
    <w:rsid w:val="2F343D7B"/>
    <w:rsid w:val="2F4245AA"/>
    <w:rsid w:val="2F432A92"/>
    <w:rsid w:val="2F851524"/>
    <w:rsid w:val="2FE758B8"/>
    <w:rsid w:val="305807BF"/>
    <w:rsid w:val="305F38FB"/>
    <w:rsid w:val="3082214D"/>
    <w:rsid w:val="30907F59"/>
    <w:rsid w:val="30F027A5"/>
    <w:rsid w:val="31BB096A"/>
    <w:rsid w:val="32112BC9"/>
    <w:rsid w:val="32222B0A"/>
    <w:rsid w:val="322E7A29"/>
    <w:rsid w:val="323246A8"/>
    <w:rsid w:val="32650F71"/>
    <w:rsid w:val="326E6078"/>
    <w:rsid w:val="328A5CFA"/>
    <w:rsid w:val="329E3FCC"/>
    <w:rsid w:val="32B02D54"/>
    <w:rsid w:val="32BC5D8A"/>
    <w:rsid w:val="32F6606D"/>
    <w:rsid w:val="338418CB"/>
    <w:rsid w:val="33865643"/>
    <w:rsid w:val="338C73BD"/>
    <w:rsid w:val="33945FB2"/>
    <w:rsid w:val="33B84E83"/>
    <w:rsid w:val="33C83B71"/>
    <w:rsid w:val="34180991"/>
    <w:rsid w:val="341F21B6"/>
    <w:rsid w:val="342A06C4"/>
    <w:rsid w:val="34B32468"/>
    <w:rsid w:val="35131158"/>
    <w:rsid w:val="354237EC"/>
    <w:rsid w:val="35652262"/>
    <w:rsid w:val="35753BC1"/>
    <w:rsid w:val="359A7184"/>
    <w:rsid w:val="35B446E9"/>
    <w:rsid w:val="35F745D6"/>
    <w:rsid w:val="363C648D"/>
    <w:rsid w:val="3645009B"/>
    <w:rsid w:val="365555C4"/>
    <w:rsid w:val="367479D5"/>
    <w:rsid w:val="36A13BA3"/>
    <w:rsid w:val="36B335DA"/>
    <w:rsid w:val="36BE1B1A"/>
    <w:rsid w:val="36CA3435"/>
    <w:rsid w:val="36E0150E"/>
    <w:rsid w:val="37377380"/>
    <w:rsid w:val="37411FAD"/>
    <w:rsid w:val="37494679"/>
    <w:rsid w:val="375241BA"/>
    <w:rsid w:val="376B702A"/>
    <w:rsid w:val="379D1E63"/>
    <w:rsid w:val="37B564F7"/>
    <w:rsid w:val="37C93D50"/>
    <w:rsid w:val="37CC7D84"/>
    <w:rsid w:val="38206066"/>
    <w:rsid w:val="388A1D3C"/>
    <w:rsid w:val="388C54AA"/>
    <w:rsid w:val="38A87E0A"/>
    <w:rsid w:val="38FF3BAA"/>
    <w:rsid w:val="39534219"/>
    <w:rsid w:val="396B5955"/>
    <w:rsid w:val="398E5251"/>
    <w:rsid w:val="39A32297"/>
    <w:rsid w:val="3A0B5647"/>
    <w:rsid w:val="3A3758E9"/>
    <w:rsid w:val="3A7060D1"/>
    <w:rsid w:val="3AA34D2C"/>
    <w:rsid w:val="3AA45CE9"/>
    <w:rsid w:val="3AD44EE6"/>
    <w:rsid w:val="3AD52BE7"/>
    <w:rsid w:val="3AE113B1"/>
    <w:rsid w:val="3B01529A"/>
    <w:rsid w:val="3B095B90"/>
    <w:rsid w:val="3B253993"/>
    <w:rsid w:val="3B2C4D22"/>
    <w:rsid w:val="3B530501"/>
    <w:rsid w:val="3BB81D6B"/>
    <w:rsid w:val="3BDA652C"/>
    <w:rsid w:val="3BF67544"/>
    <w:rsid w:val="3C0349CE"/>
    <w:rsid w:val="3C5502A8"/>
    <w:rsid w:val="3CA07775"/>
    <w:rsid w:val="3CD94A35"/>
    <w:rsid w:val="3CE82ECA"/>
    <w:rsid w:val="3CEC0482"/>
    <w:rsid w:val="3D8B21D4"/>
    <w:rsid w:val="3DA9265A"/>
    <w:rsid w:val="3DAC5CA6"/>
    <w:rsid w:val="3DCC3870"/>
    <w:rsid w:val="3DF37D79"/>
    <w:rsid w:val="3E0A58A4"/>
    <w:rsid w:val="3E115BEF"/>
    <w:rsid w:val="3EA717B2"/>
    <w:rsid w:val="3EAB41B0"/>
    <w:rsid w:val="3EF913BF"/>
    <w:rsid w:val="3F1B1335"/>
    <w:rsid w:val="3F1E4982"/>
    <w:rsid w:val="3F3109A9"/>
    <w:rsid w:val="3F514152"/>
    <w:rsid w:val="3F631903"/>
    <w:rsid w:val="3F80563C"/>
    <w:rsid w:val="3FBD419A"/>
    <w:rsid w:val="3FC94312"/>
    <w:rsid w:val="3FD75659"/>
    <w:rsid w:val="400745A3"/>
    <w:rsid w:val="403C77B5"/>
    <w:rsid w:val="407F76A2"/>
    <w:rsid w:val="408D0011"/>
    <w:rsid w:val="409475F1"/>
    <w:rsid w:val="409C410E"/>
    <w:rsid w:val="40B732E0"/>
    <w:rsid w:val="40CD665F"/>
    <w:rsid w:val="40D7128C"/>
    <w:rsid w:val="41094497"/>
    <w:rsid w:val="410A340F"/>
    <w:rsid w:val="41166258"/>
    <w:rsid w:val="411F7702"/>
    <w:rsid w:val="41594065"/>
    <w:rsid w:val="4177481D"/>
    <w:rsid w:val="41D61543"/>
    <w:rsid w:val="41FB36A0"/>
    <w:rsid w:val="42576B28"/>
    <w:rsid w:val="42750D5C"/>
    <w:rsid w:val="427C658F"/>
    <w:rsid w:val="42BA48E4"/>
    <w:rsid w:val="43115F55"/>
    <w:rsid w:val="431B5DA8"/>
    <w:rsid w:val="432664FB"/>
    <w:rsid w:val="43650DD1"/>
    <w:rsid w:val="43760954"/>
    <w:rsid w:val="438751EB"/>
    <w:rsid w:val="43A062AD"/>
    <w:rsid w:val="43A35D9D"/>
    <w:rsid w:val="43D321DE"/>
    <w:rsid w:val="43E334E8"/>
    <w:rsid w:val="43EE7018"/>
    <w:rsid w:val="43F62371"/>
    <w:rsid w:val="43F94C24"/>
    <w:rsid w:val="442D71B8"/>
    <w:rsid w:val="448C6831"/>
    <w:rsid w:val="44D77AAC"/>
    <w:rsid w:val="44EE4DF6"/>
    <w:rsid w:val="4517434D"/>
    <w:rsid w:val="451839DC"/>
    <w:rsid w:val="451E30B0"/>
    <w:rsid w:val="45322F35"/>
    <w:rsid w:val="455B692F"/>
    <w:rsid w:val="459040FF"/>
    <w:rsid w:val="46032B23"/>
    <w:rsid w:val="461B0566"/>
    <w:rsid w:val="46272E41"/>
    <w:rsid w:val="462C5BD6"/>
    <w:rsid w:val="462F3918"/>
    <w:rsid w:val="4631143E"/>
    <w:rsid w:val="464D1C38"/>
    <w:rsid w:val="46582E6F"/>
    <w:rsid w:val="465B295F"/>
    <w:rsid w:val="465E03FD"/>
    <w:rsid w:val="46780E1B"/>
    <w:rsid w:val="4690085B"/>
    <w:rsid w:val="470B7EE1"/>
    <w:rsid w:val="471813D2"/>
    <w:rsid w:val="472B0583"/>
    <w:rsid w:val="4736413E"/>
    <w:rsid w:val="47490A0A"/>
    <w:rsid w:val="47501D98"/>
    <w:rsid w:val="47630090"/>
    <w:rsid w:val="477C0DDF"/>
    <w:rsid w:val="47D66741"/>
    <w:rsid w:val="47F15329"/>
    <w:rsid w:val="47FE1767"/>
    <w:rsid w:val="481334F1"/>
    <w:rsid w:val="4842009D"/>
    <w:rsid w:val="489363E0"/>
    <w:rsid w:val="48AA4103"/>
    <w:rsid w:val="48C72C3A"/>
    <w:rsid w:val="48F64B00"/>
    <w:rsid w:val="48FB5D34"/>
    <w:rsid w:val="49137521"/>
    <w:rsid w:val="491648AC"/>
    <w:rsid w:val="495711BC"/>
    <w:rsid w:val="49695393"/>
    <w:rsid w:val="49883A6B"/>
    <w:rsid w:val="499537F9"/>
    <w:rsid w:val="49EA64D4"/>
    <w:rsid w:val="49F25388"/>
    <w:rsid w:val="49FC66BD"/>
    <w:rsid w:val="4A003601"/>
    <w:rsid w:val="4A4200BE"/>
    <w:rsid w:val="4A421E6C"/>
    <w:rsid w:val="4A442773"/>
    <w:rsid w:val="4A772DC3"/>
    <w:rsid w:val="4AC56F73"/>
    <w:rsid w:val="4AD018E1"/>
    <w:rsid w:val="4B054C48"/>
    <w:rsid w:val="4B2257F9"/>
    <w:rsid w:val="4B3751F4"/>
    <w:rsid w:val="4B386DCB"/>
    <w:rsid w:val="4B420135"/>
    <w:rsid w:val="4B4340EE"/>
    <w:rsid w:val="4B785AE6"/>
    <w:rsid w:val="4C325F10"/>
    <w:rsid w:val="4C8A5D4C"/>
    <w:rsid w:val="4CA706AC"/>
    <w:rsid w:val="4CFD207A"/>
    <w:rsid w:val="4D2B4E39"/>
    <w:rsid w:val="4D333CEE"/>
    <w:rsid w:val="4D381304"/>
    <w:rsid w:val="4D3A32CE"/>
    <w:rsid w:val="4D405F8C"/>
    <w:rsid w:val="4D4C6067"/>
    <w:rsid w:val="4D5A4317"/>
    <w:rsid w:val="4DCA28A4"/>
    <w:rsid w:val="4E015B9A"/>
    <w:rsid w:val="4E067654"/>
    <w:rsid w:val="4E1F4272"/>
    <w:rsid w:val="4E5452B0"/>
    <w:rsid w:val="4E766588"/>
    <w:rsid w:val="4E7B594C"/>
    <w:rsid w:val="4EED611E"/>
    <w:rsid w:val="4EFB0E26"/>
    <w:rsid w:val="4F3F42FF"/>
    <w:rsid w:val="4F506DD9"/>
    <w:rsid w:val="4FD23C92"/>
    <w:rsid w:val="4FD35314"/>
    <w:rsid w:val="50083468"/>
    <w:rsid w:val="500B0F52"/>
    <w:rsid w:val="5080549C"/>
    <w:rsid w:val="508A1B0A"/>
    <w:rsid w:val="50D0036F"/>
    <w:rsid w:val="50D05DE2"/>
    <w:rsid w:val="50D46B08"/>
    <w:rsid w:val="50D751B8"/>
    <w:rsid w:val="50E1317B"/>
    <w:rsid w:val="51634246"/>
    <w:rsid w:val="517D19DC"/>
    <w:rsid w:val="5185598A"/>
    <w:rsid w:val="51B150C3"/>
    <w:rsid w:val="51E101BC"/>
    <w:rsid w:val="51EB103B"/>
    <w:rsid w:val="51EE0412"/>
    <w:rsid w:val="52097713"/>
    <w:rsid w:val="522105B9"/>
    <w:rsid w:val="523C3645"/>
    <w:rsid w:val="52C06024"/>
    <w:rsid w:val="52CF44B9"/>
    <w:rsid w:val="53502766"/>
    <w:rsid w:val="538410FE"/>
    <w:rsid w:val="53A77A4C"/>
    <w:rsid w:val="53B10062"/>
    <w:rsid w:val="546A2608"/>
    <w:rsid w:val="547E7F44"/>
    <w:rsid w:val="54BC3D11"/>
    <w:rsid w:val="54BC4B87"/>
    <w:rsid w:val="552A59D6"/>
    <w:rsid w:val="555E1B24"/>
    <w:rsid w:val="557A1216"/>
    <w:rsid w:val="55AC7255"/>
    <w:rsid w:val="55CF47D0"/>
    <w:rsid w:val="55D83684"/>
    <w:rsid w:val="55F14746"/>
    <w:rsid w:val="56270168"/>
    <w:rsid w:val="56273EA0"/>
    <w:rsid w:val="564101F4"/>
    <w:rsid w:val="567F61F6"/>
    <w:rsid w:val="56B04601"/>
    <w:rsid w:val="56BE2936"/>
    <w:rsid w:val="574E2EA0"/>
    <w:rsid w:val="5756732B"/>
    <w:rsid w:val="57917F8F"/>
    <w:rsid w:val="579F4448"/>
    <w:rsid w:val="57A1700A"/>
    <w:rsid w:val="57BE75B5"/>
    <w:rsid w:val="57D91936"/>
    <w:rsid w:val="57DF4C8F"/>
    <w:rsid w:val="57FB365A"/>
    <w:rsid w:val="58117322"/>
    <w:rsid w:val="583D6F17"/>
    <w:rsid w:val="585A65D3"/>
    <w:rsid w:val="58B06B3A"/>
    <w:rsid w:val="58EA204C"/>
    <w:rsid w:val="59282B75"/>
    <w:rsid w:val="59422AFC"/>
    <w:rsid w:val="59BD32BD"/>
    <w:rsid w:val="59C83A10"/>
    <w:rsid w:val="59D6612D"/>
    <w:rsid w:val="59E82642"/>
    <w:rsid w:val="5A5A6D5E"/>
    <w:rsid w:val="5A9B2ED2"/>
    <w:rsid w:val="5AB50438"/>
    <w:rsid w:val="5B417F1E"/>
    <w:rsid w:val="5B494CB2"/>
    <w:rsid w:val="5B835E40"/>
    <w:rsid w:val="5BA33638"/>
    <w:rsid w:val="5BE30FD5"/>
    <w:rsid w:val="5BE34B53"/>
    <w:rsid w:val="5C1D6295"/>
    <w:rsid w:val="5C7E7FA7"/>
    <w:rsid w:val="5C8E7193"/>
    <w:rsid w:val="5C9C4B37"/>
    <w:rsid w:val="5CA53E33"/>
    <w:rsid w:val="5CB70498"/>
    <w:rsid w:val="5CB85FBE"/>
    <w:rsid w:val="5D323FC2"/>
    <w:rsid w:val="5D325065"/>
    <w:rsid w:val="5D417D61"/>
    <w:rsid w:val="5D431D2B"/>
    <w:rsid w:val="5D437F7D"/>
    <w:rsid w:val="5D5F1AAD"/>
    <w:rsid w:val="5D6F40BF"/>
    <w:rsid w:val="5D8D11F8"/>
    <w:rsid w:val="5D9A3915"/>
    <w:rsid w:val="5DCF13B5"/>
    <w:rsid w:val="5DEF5A0F"/>
    <w:rsid w:val="5DF43025"/>
    <w:rsid w:val="5E06344E"/>
    <w:rsid w:val="5E214A20"/>
    <w:rsid w:val="5E371164"/>
    <w:rsid w:val="5E420235"/>
    <w:rsid w:val="5E7A5C21"/>
    <w:rsid w:val="5F177F69"/>
    <w:rsid w:val="5F322057"/>
    <w:rsid w:val="5F950838"/>
    <w:rsid w:val="5FFBB147"/>
    <w:rsid w:val="60114363"/>
    <w:rsid w:val="60142F31"/>
    <w:rsid w:val="60363DC9"/>
    <w:rsid w:val="604757E5"/>
    <w:rsid w:val="605C4EB2"/>
    <w:rsid w:val="607246D5"/>
    <w:rsid w:val="60B847DE"/>
    <w:rsid w:val="60D61108"/>
    <w:rsid w:val="60D91D32"/>
    <w:rsid w:val="60E455D3"/>
    <w:rsid w:val="60F35816"/>
    <w:rsid w:val="610C0686"/>
    <w:rsid w:val="61461DEA"/>
    <w:rsid w:val="6151078F"/>
    <w:rsid w:val="61C80285"/>
    <w:rsid w:val="61F21F72"/>
    <w:rsid w:val="6211064A"/>
    <w:rsid w:val="62344338"/>
    <w:rsid w:val="62361E5F"/>
    <w:rsid w:val="62481B92"/>
    <w:rsid w:val="624A590A"/>
    <w:rsid w:val="62740BD9"/>
    <w:rsid w:val="62AF7E63"/>
    <w:rsid w:val="62B66AFB"/>
    <w:rsid w:val="62BF00A6"/>
    <w:rsid w:val="62C03E1E"/>
    <w:rsid w:val="62C05BCC"/>
    <w:rsid w:val="62C13359"/>
    <w:rsid w:val="62DE6052"/>
    <w:rsid w:val="63181564"/>
    <w:rsid w:val="633F2657"/>
    <w:rsid w:val="634405AB"/>
    <w:rsid w:val="635D7359"/>
    <w:rsid w:val="636D0572"/>
    <w:rsid w:val="637B7EC4"/>
    <w:rsid w:val="638D1D07"/>
    <w:rsid w:val="6390559E"/>
    <w:rsid w:val="63AD43A2"/>
    <w:rsid w:val="63B05C41"/>
    <w:rsid w:val="63D25BB7"/>
    <w:rsid w:val="63F630ED"/>
    <w:rsid w:val="64061D04"/>
    <w:rsid w:val="64354398"/>
    <w:rsid w:val="64412D3D"/>
    <w:rsid w:val="64A01811"/>
    <w:rsid w:val="655F791E"/>
    <w:rsid w:val="658C7FE7"/>
    <w:rsid w:val="65AB2B63"/>
    <w:rsid w:val="65DD0843"/>
    <w:rsid w:val="662171E5"/>
    <w:rsid w:val="66383CCB"/>
    <w:rsid w:val="663A295D"/>
    <w:rsid w:val="66664CDC"/>
    <w:rsid w:val="66833D08"/>
    <w:rsid w:val="668D4017"/>
    <w:rsid w:val="66AF21DF"/>
    <w:rsid w:val="66C17C5E"/>
    <w:rsid w:val="66C35C8B"/>
    <w:rsid w:val="67012BCF"/>
    <w:rsid w:val="673A69EA"/>
    <w:rsid w:val="674B6C80"/>
    <w:rsid w:val="67582877"/>
    <w:rsid w:val="67646989"/>
    <w:rsid w:val="677B7778"/>
    <w:rsid w:val="679A69EC"/>
    <w:rsid w:val="67A96C2F"/>
    <w:rsid w:val="67F51E74"/>
    <w:rsid w:val="67F87BB6"/>
    <w:rsid w:val="68751207"/>
    <w:rsid w:val="689478DF"/>
    <w:rsid w:val="68B363AD"/>
    <w:rsid w:val="692E4B5B"/>
    <w:rsid w:val="694035C3"/>
    <w:rsid w:val="694806C9"/>
    <w:rsid w:val="696F20FA"/>
    <w:rsid w:val="69846869"/>
    <w:rsid w:val="69E403F2"/>
    <w:rsid w:val="6A771266"/>
    <w:rsid w:val="6AB26742"/>
    <w:rsid w:val="6AC87F19"/>
    <w:rsid w:val="6AD40F1A"/>
    <w:rsid w:val="6AD526E1"/>
    <w:rsid w:val="6AEA36AD"/>
    <w:rsid w:val="6AF428B7"/>
    <w:rsid w:val="6AF705F9"/>
    <w:rsid w:val="6B1940CB"/>
    <w:rsid w:val="6B4C44A1"/>
    <w:rsid w:val="6B5F5357"/>
    <w:rsid w:val="6B746569"/>
    <w:rsid w:val="6B750650"/>
    <w:rsid w:val="6B824366"/>
    <w:rsid w:val="6BA22313"/>
    <w:rsid w:val="6BA3608B"/>
    <w:rsid w:val="6BA50055"/>
    <w:rsid w:val="6BC65470"/>
    <w:rsid w:val="6BD526E8"/>
    <w:rsid w:val="6BE0108D"/>
    <w:rsid w:val="6C404060"/>
    <w:rsid w:val="6C515AE7"/>
    <w:rsid w:val="6C5A5CA5"/>
    <w:rsid w:val="6C9D1138"/>
    <w:rsid w:val="6CA631E6"/>
    <w:rsid w:val="6D215E54"/>
    <w:rsid w:val="6D2A0812"/>
    <w:rsid w:val="6D4B0788"/>
    <w:rsid w:val="6D5B09CB"/>
    <w:rsid w:val="6D656BCE"/>
    <w:rsid w:val="6D940381"/>
    <w:rsid w:val="6DA700B4"/>
    <w:rsid w:val="6DCC7B1B"/>
    <w:rsid w:val="6DE035C6"/>
    <w:rsid w:val="6DE80417"/>
    <w:rsid w:val="6E753D0F"/>
    <w:rsid w:val="6E873A42"/>
    <w:rsid w:val="6EB63CED"/>
    <w:rsid w:val="6EB760D5"/>
    <w:rsid w:val="6F4638FD"/>
    <w:rsid w:val="6F5E79F6"/>
    <w:rsid w:val="6F642127"/>
    <w:rsid w:val="6F7C731F"/>
    <w:rsid w:val="6F7E6BF3"/>
    <w:rsid w:val="6F8C72DF"/>
    <w:rsid w:val="6FB5227F"/>
    <w:rsid w:val="70117A67"/>
    <w:rsid w:val="702C69F7"/>
    <w:rsid w:val="703674CE"/>
    <w:rsid w:val="70480FAF"/>
    <w:rsid w:val="70497201"/>
    <w:rsid w:val="70680B95"/>
    <w:rsid w:val="70697A93"/>
    <w:rsid w:val="70C268FE"/>
    <w:rsid w:val="71163AB4"/>
    <w:rsid w:val="712A7C2F"/>
    <w:rsid w:val="71B2527A"/>
    <w:rsid w:val="71CD79BE"/>
    <w:rsid w:val="71D15D2B"/>
    <w:rsid w:val="71E76CD1"/>
    <w:rsid w:val="720A32F3"/>
    <w:rsid w:val="72141A90"/>
    <w:rsid w:val="721B4BCD"/>
    <w:rsid w:val="72227D09"/>
    <w:rsid w:val="727367B7"/>
    <w:rsid w:val="72D82ABE"/>
    <w:rsid w:val="72DC25AE"/>
    <w:rsid w:val="72E357D0"/>
    <w:rsid w:val="72FF629D"/>
    <w:rsid w:val="736E7208"/>
    <w:rsid w:val="73BB61C1"/>
    <w:rsid w:val="73D70FC8"/>
    <w:rsid w:val="73E86D31"/>
    <w:rsid w:val="740C0C71"/>
    <w:rsid w:val="742064CB"/>
    <w:rsid w:val="742D6E39"/>
    <w:rsid w:val="742F2BB2"/>
    <w:rsid w:val="74406068"/>
    <w:rsid w:val="74687E72"/>
    <w:rsid w:val="746C7962"/>
    <w:rsid w:val="747D391D"/>
    <w:rsid w:val="748C2417"/>
    <w:rsid w:val="74A92964"/>
    <w:rsid w:val="750D2EF3"/>
    <w:rsid w:val="75363ACC"/>
    <w:rsid w:val="753B10E2"/>
    <w:rsid w:val="753E571C"/>
    <w:rsid w:val="756724AC"/>
    <w:rsid w:val="75857428"/>
    <w:rsid w:val="759F5B15"/>
    <w:rsid w:val="75A03D67"/>
    <w:rsid w:val="75AC5C2D"/>
    <w:rsid w:val="75C37A55"/>
    <w:rsid w:val="761D362F"/>
    <w:rsid w:val="76373F9F"/>
    <w:rsid w:val="764A782F"/>
    <w:rsid w:val="766905FD"/>
    <w:rsid w:val="766F3BD1"/>
    <w:rsid w:val="7691545E"/>
    <w:rsid w:val="76B92C06"/>
    <w:rsid w:val="76D57A40"/>
    <w:rsid w:val="76F105F2"/>
    <w:rsid w:val="770A2EEB"/>
    <w:rsid w:val="770B3462"/>
    <w:rsid w:val="771A6196"/>
    <w:rsid w:val="773C26D4"/>
    <w:rsid w:val="774E77F3"/>
    <w:rsid w:val="77860D3A"/>
    <w:rsid w:val="77B07B65"/>
    <w:rsid w:val="77EB6DF0"/>
    <w:rsid w:val="77FE4D75"/>
    <w:rsid w:val="781F11A1"/>
    <w:rsid w:val="783F0EE9"/>
    <w:rsid w:val="785746AF"/>
    <w:rsid w:val="7890724B"/>
    <w:rsid w:val="78C245F1"/>
    <w:rsid w:val="78F16688"/>
    <w:rsid w:val="78F93805"/>
    <w:rsid w:val="78FB0617"/>
    <w:rsid w:val="7932091D"/>
    <w:rsid w:val="79516E96"/>
    <w:rsid w:val="7976171C"/>
    <w:rsid w:val="79B778D1"/>
    <w:rsid w:val="79F8380A"/>
    <w:rsid w:val="7A0B19CB"/>
    <w:rsid w:val="7A1F7224"/>
    <w:rsid w:val="7A2B7977"/>
    <w:rsid w:val="7A3251AA"/>
    <w:rsid w:val="7A344A7E"/>
    <w:rsid w:val="7A61345E"/>
    <w:rsid w:val="7A6D7F90"/>
    <w:rsid w:val="7AA64449"/>
    <w:rsid w:val="7ACF29F8"/>
    <w:rsid w:val="7B02692A"/>
    <w:rsid w:val="7B0501C8"/>
    <w:rsid w:val="7B3D1039"/>
    <w:rsid w:val="7B4A0E23"/>
    <w:rsid w:val="7BB223DA"/>
    <w:rsid w:val="7BD76009"/>
    <w:rsid w:val="7C122B9D"/>
    <w:rsid w:val="7C345209"/>
    <w:rsid w:val="7C417926"/>
    <w:rsid w:val="7CE00EED"/>
    <w:rsid w:val="7CE04A49"/>
    <w:rsid w:val="7CEE37A1"/>
    <w:rsid w:val="7D253442"/>
    <w:rsid w:val="7D4E40A8"/>
    <w:rsid w:val="7D747887"/>
    <w:rsid w:val="7DCC76C3"/>
    <w:rsid w:val="7DD00F61"/>
    <w:rsid w:val="7DF52776"/>
    <w:rsid w:val="7DFD787D"/>
    <w:rsid w:val="7E1D1CCD"/>
    <w:rsid w:val="7E5F22E5"/>
    <w:rsid w:val="7E6E2528"/>
    <w:rsid w:val="7EC6242E"/>
    <w:rsid w:val="7F0D3AEF"/>
    <w:rsid w:val="7F2C0419"/>
    <w:rsid w:val="7F5636E8"/>
    <w:rsid w:val="7F9B6E3D"/>
    <w:rsid w:val="7FD0349B"/>
    <w:rsid w:val="7FF703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4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2"/>
    <w:qFormat/>
    <w:uiPriority w:val="0"/>
    <w:pPr>
      <w:keepNext/>
      <w:keepLines/>
      <w:spacing w:before="260" w:after="260" w:line="416" w:lineRule="auto"/>
      <w:outlineLvl w:val="2"/>
    </w:pPr>
    <w:rPr>
      <w:b/>
      <w:bCs/>
      <w:sz w:val="32"/>
      <w:szCs w:val="32"/>
    </w:rPr>
  </w:style>
  <w:style w:type="paragraph" w:styleId="5">
    <w:name w:val="heading 4"/>
    <w:basedOn w:val="1"/>
    <w:next w:val="1"/>
    <w:link w:val="43"/>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4"/>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5"/>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6"/>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7"/>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8"/>
    <w:qFormat/>
    <w:uiPriority w:val="0"/>
    <w:pPr>
      <w:keepNext/>
      <w:keepLines/>
      <w:adjustRightInd/>
      <w:spacing w:before="240" w:after="64" w:line="320" w:lineRule="auto"/>
      <w:outlineLvl w:val="8"/>
    </w:pPr>
    <w:rPr>
      <w:rFonts w:ascii="Arial" w:hAnsi="Arial" w:eastAsia="黑体"/>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7"/>
    <w:semiHidden/>
    <w:unhideWhenUsed/>
    <w:qFormat/>
    <w:uiPriority w:val="99"/>
    <w:pPr>
      <w:jc w:val="left"/>
    </w:pPr>
  </w:style>
  <w:style w:type="paragraph" w:styleId="14">
    <w:name w:val="Body Text"/>
    <w:basedOn w:val="1"/>
    <w:link w:val="92"/>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51"/>
    <w:semiHidden/>
    <w:unhideWhenUsed/>
    <w:qFormat/>
    <w:uiPriority w:val="99"/>
    <w:rPr>
      <w:sz w:val="18"/>
      <w:szCs w:val="18"/>
    </w:rPr>
  </w:style>
  <w:style w:type="paragraph" w:styleId="18">
    <w:name w:val="footer"/>
    <w:basedOn w:val="1"/>
    <w:link w:val="50"/>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9"/>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5"/>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27">
    <w:name w:val="Normal (Web)"/>
    <w:basedOn w:val="1"/>
    <w:semiHidden/>
    <w:unhideWhenUsed/>
    <w:qFormat/>
    <w:uiPriority w:val="99"/>
    <w:rPr>
      <w:sz w:val="24"/>
    </w:rPr>
  </w:style>
  <w:style w:type="paragraph" w:styleId="28">
    <w:name w:val="Title"/>
    <w:basedOn w:val="1"/>
    <w:link w:val="54"/>
    <w:qFormat/>
    <w:uiPriority w:val="0"/>
    <w:pPr>
      <w:spacing w:before="240" w:after="60"/>
      <w:jc w:val="center"/>
      <w:outlineLvl w:val="0"/>
    </w:pPr>
    <w:rPr>
      <w:rFonts w:ascii="Arial" w:hAnsi="Arial" w:cs="Arial"/>
      <w:b/>
      <w:bCs/>
      <w:sz w:val="32"/>
      <w:szCs w:val="32"/>
    </w:rPr>
  </w:style>
  <w:style w:type="paragraph" w:styleId="29">
    <w:name w:val="annotation subject"/>
    <w:basedOn w:val="13"/>
    <w:next w:val="13"/>
    <w:link w:val="238"/>
    <w:semiHidden/>
    <w:unhideWhenUsed/>
    <w:qFormat/>
    <w:uiPriority w:val="99"/>
    <w:rPr>
      <w:b/>
      <w:bCs/>
    </w:rPr>
  </w:style>
  <w:style w:type="table" w:styleId="31">
    <w:name w:val="Table Grid"/>
    <w:basedOn w:val="3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22"/>
    <w:rPr>
      <w:b/>
      <w:bCs/>
    </w:rPr>
  </w:style>
  <w:style w:type="character" w:styleId="34">
    <w:name w:val="page number"/>
    <w:qFormat/>
    <w:uiPriority w:val="0"/>
    <w:rPr>
      <w:rFonts w:ascii="宋体" w:hAnsi="Times New Roman" w:eastAsia="宋体"/>
      <w:sz w:val="18"/>
    </w:rPr>
  </w:style>
  <w:style w:type="character" w:styleId="35">
    <w:name w:val="Emphasis"/>
    <w:qFormat/>
    <w:uiPriority w:val="20"/>
    <w:rPr>
      <w:i/>
      <w:iCs/>
    </w:rPr>
  </w:style>
  <w:style w:type="character" w:styleId="36">
    <w:name w:val="Hyperlink"/>
    <w:qFormat/>
    <w:uiPriority w:val="99"/>
    <w:rPr>
      <w:rFonts w:ascii="宋体" w:hAnsi="Times New Roman" w:eastAsia="宋体"/>
      <w:color w:val="auto"/>
      <w:spacing w:val="0"/>
      <w:w w:val="100"/>
      <w:position w:val="0"/>
      <w:sz w:val="21"/>
      <w:u w:val="none"/>
      <w:vertAlign w:val="baseline"/>
    </w:rPr>
  </w:style>
  <w:style w:type="character" w:styleId="37">
    <w:name w:val="HTML Code"/>
    <w:basedOn w:val="32"/>
    <w:semiHidden/>
    <w:unhideWhenUsed/>
    <w:qFormat/>
    <w:uiPriority w:val="99"/>
    <w:rPr>
      <w:rFonts w:ascii="Courier New" w:hAnsi="Courier New"/>
      <w:sz w:val="20"/>
    </w:rPr>
  </w:style>
  <w:style w:type="character" w:styleId="38">
    <w:name w:val="annotation reference"/>
    <w:basedOn w:val="32"/>
    <w:semiHidden/>
    <w:unhideWhenUsed/>
    <w:qFormat/>
    <w:uiPriority w:val="99"/>
    <w:rPr>
      <w:sz w:val="21"/>
      <w:szCs w:val="21"/>
    </w:rPr>
  </w:style>
  <w:style w:type="character" w:styleId="39">
    <w:name w:val="footnote reference"/>
    <w:semiHidden/>
    <w:qFormat/>
    <w:uiPriority w:val="0"/>
    <w:rPr>
      <w:rFonts w:ascii="宋体" w:hAnsi="宋体" w:eastAsia="宋体" w:cs="Times New Roman"/>
      <w:spacing w:val="0"/>
      <w:sz w:val="18"/>
      <w:vertAlign w:val="superscript"/>
    </w:rPr>
  </w:style>
  <w:style w:type="character" w:customStyle="1" w:styleId="40">
    <w:name w:val="标题 1 字符"/>
    <w:link w:val="2"/>
    <w:qFormat/>
    <w:uiPriority w:val="0"/>
    <w:rPr>
      <w:rFonts w:ascii="Times New Roman" w:hAnsi="Times New Roman" w:eastAsia="宋体" w:cs="Times New Roman"/>
      <w:b/>
      <w:bCs/>
      <w:kern w:val="44"/>
      <w:sz w:val="44"/>
      <w:szCs w:val="44"/>
    </w:rPr>
  </w:style>
  <w:style w:type="character" w:customStyle="1" w:styleId="41">
    <w:name w:val="标题 2 字符"/>
    <w:link w:val="3"/>
    <w:qFormat/>
    <w:uiPriority w:val="0"/>
    <w:rPr>
      <w:rFonts w:ascii="Arial" w:hAnsi="Arial" w:eastAsia="黑体" w:cs="Times New Roman"/>
      <w:b/>
      <w:bCs/>
      <w:sz w:val="32"/>
      <w:szCs w:val="32"/>
    </w:rPr>
  </w:style>
  <w:style w:type="character" w:customStyle="1" w:styleId="42">
    <w:name w:val="标题 3 字符"/>
    <w:link w:val="4"/>
    <w:qFormat/>
    <w:uiPriority w:val="0"/>
    <w:rPr>
      <w:rFonts w:ascii="Times New Roman" w:hAnsi="Times New Roman" w:eastAsia="宋体" w:cs="Times New Roman"/>
      <w:b/>
      <w:bCs/>
      <w:sz w:val="32"/>
      <w:szCs w:val="32"/>
    </w:rPr>
  </w:style>
  <w:style w:type="character" w:customStyle="1" w:styleId="43">
    <w:name w:val="标题 4 字符"/>
    <w:link w:val="5"/>
    <w:qFormat/>
    <w:uiPriority w:val="0"/>
    <w:rPr>
      <w:rFonts w:ascii="Arial" w:hAnsi="Arial" w:eastAsia="黑体" w:cs="Times New Roman"/>
      <w:b/>
      <w:bCs/>
      <w:sz w:val="28"/>
      <w:szCs w:val="28"/>
    </w:rPr>
  </w:style>
  <w:style w:type="character" w:customStyle="1" w:styleId="44">
    <w:name w:val="标题 5 字符"/>
    <w:link w:val="6"/>
    <w:qFormat/>
    <w:uiPriority w:val="0"/>
    <w:rPr>
      <w:rFonts w:ascii="Times New Roman" w:hAnsi="Times New Roman" w:eastAsia="宋体" w:cs="Times New Roman"/>
      <w:b/>
      <w:bCs/>
      <w:sz w:val="28"/>
      <w:szCs w:val="28"/>
    </w:rPr>
  </w:style>
  <w:style w:type="character" w:customStyle="1" w:styleId="45">
    <w:name w:val="标题 6 字符"/>
    <w:link w:val="7"/>
    <w:qFormat/>
    <w:uiPriority w:val="0"/>
    <w:rPr>
      <w:rFonts w:ascii="Arial" w:hAnsi="Arial" w:eastAsia="黑体" w:cs="Times New Roman"/>
      <w:b/>
      <w:bCs/>
      <w:sz w:val="24"/>
      <w:szCs w:val="24"/>
    </w:rPr>
  </w:style>
  <w:style w:type="character" w:customStyle="1" w:styleId="46">
    <w:name w:val="标题 7 字符"/>
    <w:link w:val="8"/>
    <w:qFormat/>
    <w:uiPriority w:val="0"/>
    <w:rPr>
      <w:rFonts w:ascii="Times New Roman" w:hAnsi="Times New Roman" w:eastAsia="宋体" w:cs="Times New Roman"/>
      <w:b/>
      <w:bCs/>
      <w:sz w:val="24"/>
      <w:szCs w:val="24"/>
    </w:rPr>
  </w:style>
  <w:style w:type="character" w:customStyle="1" w:styleId="47">
    <w:name w:val="标题 8 字符"/>
    <w:link w:val="9"/>
    <w:qFormat/>
    <w:uiPriority w:val="0"/>
    <w:rPr>
      <w:rFonts w:ascii="Arial" w:hAnsi="Arial" w:eastAsia="黑体" w:cs="Times New Roman"/>
      <w:sz w:val="24"/>
      <w:szCs w:val="24"/>
    </w:rPr>
  </w:style>
  <w:style w:type="character" w:customStyle="1" w:styleId="48">
    <w:name w:val="标题 9 字符"/>
    <w:link w:val="10"/>
    <w:qFormat/>
    <w:uiPriority w:val="0"/>
    <w:rPr>
      <w:rFonts w:ascii="Arial" w:hAnsi="Arial" w:eastAsia="黑体" w:cs="Times New Roman"/>
      <w:szCs w:val="21"/>
    </w:rPr>
  </w:style>
  <w:style w:type="character" w:customStyle="1" w:styleId="49">
    <w:name w:val="页眉 字符"/>
    <w:link w:val="19"/>
    <w:qFormat/>
    <w:uiPriority w:val="99"/>
    <w:rPr>
      <w:rFonts w:ascii="Times New Roman" w:hAnsi="Times New Roman" w:eastAsia="宋体" w:cs="Times New Roman"/>
      <w:sz w:val="18"/>
      <w:szCs w:val="18"/>
    </w:rPr>
  </w:style>
  <w:style w:type="character" w:customStyle="1" w:styleId="50">
    <w:name w:val="页脚 字符"/>
    <w:link w:val="18"/>
    <w:qFormat/>
    <w:uiPriority w:val="99"/>
    <w:rPr>
      <w:rFonts w:ascii="宋体" w:hAnsi="Times New Roman" w:eastAsia="宋体" w:cs="Times New Roman"/>
      <w:sz w:val="18"/>
      <w:szCs w:val="18"/>
    </w:rPr>
  </w:style>
  <w:style w:type="character" w:customStyle="1" w:styleId="51">
    <w:name w:val="批注框文本 字符"/>
    <w:link w:val="17"/>
    <w:semiHidden/>
    <w:qFormat/>
    <w:uiPriority w:val="99"/>
    <w:rPr>
      <w:sz w:val="18"/>
      <w:szCs w:val="18"/>
    </w:rPr>
  </w:style>
  <w:style w:type="paragraph" w:styleId="52">
    <w:name w:val="Quote"/>
    <w:basedOn w:val="1"/>
    <w:next w:val="1"/>
    <w:link w:val="53"/>
    <w:qFormat/>
    <w:uiPriority w:val="29"/>
    <w:rPr>
      <w:i/>
      <w:iCs/>
      <w:color w:val="000000"/>
    </w:rPr>
  </w:style>
  <w:style w:type="character" w:customStyle="1" w:styleId="53">
    <w:name w:val="引用 字符"/>
    <w:link w:val="52"/>
    <w:qFormat/>
    <w:uiPriority w:val="29"/>
    <w:rPr>
      <w:i/>
      <w:iCs/>
      <w:color w:val="000000"/>
    </w:rPr>
  </w:style>
  <w:style w:type="character" w:customStyle="1" w:styleId="54">
    <w:name w:val="标题 字符"/>
    <w:link w:val="28"/>
    <w:qFormat/>
    <w:uiPriority w:val="0"/>
    <w:rPr>
      <w:rFonts w:ascii="Arial" w:hAnsi="Arial" w:eastAsia="宋体" w:cs="Arial"/>
      <w:b/>
      <w:bCs/>
      <w:sz w:val="32"/>
      <w:szCs w:val="32"/>
    </w:rPr>
  </w:style>
  <w:style w:type="paragraph" w:customStyle="1" w:styleId="55">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6">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7">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8">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9">
    <w:name w:val="标准书眉一"/>
    <w:qFormat/>
    <w:uiPriority w:val="0"/>
    <w:pPr>
      <w:jc w:val="both"/>
    </w:pPr>
    <w:rPr>
      <w:rFonts w:ascii="Times New Roman" w:hAnsi="Times New Roman" w:eastAsia="宋体" w:cs="Times New Roman"/>
      <w:lang w:val="en-US" w:eastAsia="zh-CN" w:bidi="ar-SA"/>
    </w:rPr>
  </w:style>
  <w:style w:type="paragraph" w:customStyle="1" w:styleId="60">
    <w:name w:val="标准文件_ICS"/>
    <w:basedOn w:val="1"/>
    <w:qFormat/>
    <w:uiPriority w:val="0"/>
    <w:pPr>
      <w:spacing w:line="0" w:lineRule="atLeast"/>
    </w:pPr>
    <w:rPr>
      <w:rFonts w:ascii="黑体" w:hAnsi="宋体" w:eastAsia="黑体"/>
    </w:rPr>
  </w:style>
  <w:style w:type="paragraph" w:customStyle="1" w:styleId="61">
    <w:name w:val="标准文件_标准正文"/>
    <w:basedOn w:val="1"/>
    <w:next w:val="62"/>
    <w:qFormat/>
    <w:uiPriority w:val="0"/>
    <w:pPr>
      <w:snapToGrid w:val="0"/>
      <w:ind w:firstLine="200" w:firstLineChars="200"/>
    </w:pPr>
    <w:rPr>
      <w:kern w:val="0"/>
    </w:rPr>
  </w:style>
  <w:style w:type="paragraph" w:customStyle="1" w:styleId="62">
    <w:name w:val="标准文件_段"/>
    <w:link w:val="190"/>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3">
    <w:name w:val="标准文件_版本"/>
    <w:basedOn w:val="61"/>
    <w:qFormat/>
    <w:uiPriority w:val="0"/>
    <w:pPr>
      <w:adjustRightInd/>
      <w:snapToGrid/>
      <w:ind w:firstLine="0" w:firstLineChars="0"/>
    </w:pPr>
    <w:rPr>
      <w:rFonts w:ascii="宋体" w:hAnsi="宋体"/>
      <w:kern w:val="2"/>
    </w:rPr>
  </w:style>
  <w:style w:type="paragraph" w:customStyle="1" w:styleId="64">
    <w:name w:val="标准文件_标准部门"/>
    <w:basedOn w:val="1"/>
    <w:qFormat/>
    <w:uiPriority w:val="0"/>
    <w:pPr>
      <w:jc w:val="center"/>
    </w:pPr>
    <w:rPr>
      <w:rFonts w:ascii="黑体" w:eastAsia="黑体"/>
      <w:kern w:val="0"/>
      <w:sz w:val="44"/>
    </w:rPr>
  </w:style>
  <w:style w:type="paragraph" w:customStyle="1" w:styleId="65">
    <w:name w:val="标准文件_标准代替"/>
    <w:basedOn w:val="1"/>
    <w:next w:val="1"/>
    <w:qFormat/>
    <w:uiPriority w:val="0"/>
    <w:pPr>
      <w:spacing w:line="310" w:lineRule="exact"/>
      <w:jc w:val="right"/>
    </w:pPr>
    <w:rPr>
      <w:rFonts w:ascii="宋体" w:hAnsi="宋体"/>
      <w:kern w:val="0"/>
    </w:rPr>
  </w:style>
  <w:style w:type="paragraph" w:customStyle="1" w:styleId="66">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7">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8">
    <w:name w:val="标准文件_页眉偶数页"/>
    <w:basedOn w:val="67"/>
    <w:next w:val="1"/>
    <w:qFormat/>
    <w:uiPriority w:val="0"/>
    <w:pPr>
      <w:jc w:val="left"/>
    </w:pPr>
  </w:style>
  <w:style w:type="paragraph" w:customStyle="1" w:styleId="69">
    <w:name w:val="标准文件_参考文献标题"/>
    <w:basedOn w:val="1"/>
    <w:next w:val="1"/>
    <w:qFormat/>
    <w:uiPriority w:val="0"/>
    <w:pPr>
      <w:widowControl/>
      <w:shd w:val="clear" w:color="FFFFFF" w:fill="FFFFFF"/>
      <w:adjustRightInd/>
      <w:spacing w:before="40" w:beforeLines="40" w:after="50" w:afterLines="50" w:line="240" w:lineRule="auto"/>
      <w:jc w:val="center"/>
      <w:outlineLvl w:val="0"/>
    </w:pPr>
    <w:rPr>
      <w:rFonts w:ascii="黑体" w:eastAsia="黑体"/>
      <w:kern w:val="0"/>
    </w:rPr>
  </w:style>
  <w:style w:type="paragraph" w:customStyle="1" w:styleId="70">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71">
    <w:name w:val="标准文件_二级条标题"/>
    <w:next w:val="62"/>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2">
    <w:name w:val="标准文件_发布"/>
    <w:qFormat/>
    <w:uiPriority w:val="0"/>
    <w:rPr>
      <w:rFonts w:ascii="黑体" w:eastAsia="黑体"/>
      <w:spacing w:val="0"/>
      <w:w w:val="100"/>
      <w:position w:val="3"/>
      <w:sz w:val="28"/>
    </w:rPr>
  </w:style>
  <w:style w:type="paragraph" w:customStyle="1" w:styleId="73">
    <w:name w:val="标准文件_方框数字列项"/>
    <w:basedOn w:val="62"/>
    <w:qFormat/>
    <w:uiPriority w:val="0"/>
    <w:pPr>
      <w:numPr>
        <w:ilvl w:val="0"/>
        <w:numId w:val="3"/>
      </w:numPr>
      <w:ind w:firstLine="0" w:firstLineChars="0"/>
    </w:pPr>
  </w:style>
  <w:style w:type="paragraph" w:customStyle="1" w:styleId="74">
    <w:name w:val="标准文件_封面标准编号"/>
    <w:basedOn w:val="1"/>
    <w:next w:val="65"/>
    <w:qFormat/>
    <w:uiPriority w:val="0"/>
    <w:pPr>
      <w:spacing w:line="310" w:lineRule="exact"/>
      <w:jc w:val="right"/>
    </w:pPr>
    <w:rPr>
      <w:rFonts w:ascii="黑体" w:eastAsia="黑体"/>
      <w:kern w:val="0"/>
      <w:sz w:val="28"/>
    </w:rPr>
  </w:style>
  <w:style w:type="paragraph" w:customStyle="1" w:styleId="75">
    <w:name w:val="标准文件_封面标准分类号"/>
    <w:basedOn w:val="1"/>
    <w:qFormat/>
    <w:uiPriority w:val="0"/>
    <w:rPr>
      <w:rFonts w:ascii="黑体" w:eastAsia="黑体"/>
      <w:b/>
      <w:kern w:val="0"/>
      <w:sz w:val="28"/>
    </w:rPr>
  </w:style>
  <w:style w:type="paragraph" w:customStyle="1" w:styleId="76">
    <w:name w:val="标准文件_封面标准名称"/>
    <w:basedOn w:val="1"/>
    <w:qFormat/>
    <w:uiPriority w:val="0"/>
    <w:pPr>
      <w:spacing w:line="240" w:lineRule="auto"/>
      <w:jc w:val="center"/>
    </w:pPr>
    <w:rPr>
      <w:rFonts w:ascii="黑体" w:eastAsia="黑体"/>
      <w:kern w:val="0"/>
      <w:sz w:val="52"/>
    </w:rPr>
  </w:style>
  <w:style w:type="paragraph" w:customStyle="1" w:styleId="77">
    <w:name w:val="标准文件_封面标准英文名称"/>
    <w:basedOn w:val="1"/>
    <w:qFormat/>
    <w:uiPriority w:val="0"/>
    <w:pPr>
      <w:spacing w:line="240" w:lineRule="auto"/>
      <w:jc w:val="center"/>
    </w:pPr>
    <w:rPr>
      <w:rFonts w:ascii="黑体" w:eastAsia="黑体"/>
      <w:b/>
      <w:sz w:val="28"/>
    </w:rPr>
  </w:style>
  <w:style w:type="paragraph" w:customStyle="1" w:styleId="78">
    <w:name w:val="标准文件_封面发布日期"/>
    <w:basedOn w:val="1"/>
    <w:qFormat/>
    <w:uiPriority w:val="0"/>
    <w:pPr>
      <w:spacing w:line="310" w:lineRule="exact"/>
    </w:pPr>
    <w:rPr>
      <w:rFonts w:ascii="黑体" w:eastAsia="黑体"/>
      <w:kern w:val="0"/>
      <w:sz w:val="28"/>
    </w:rPr>
  </w:style>
  <w:style w:type="paragraph" w:customStyle="1" w:styleId="79">
    <w:name w:val="标准文件_封面密级"/>
    <w:basedOn w:val="1"/>
    <w:qFormat/>
    <w:uiPriority w:val="0"/>
    <w:rPr>
      <w:rFonts w:eastAsia="黑体"/>
      <w:sz w:val="32"/>
    </w:rPr>
  </w:style>
  <w:style w:type="paragraph" w:customStyle="1" w:styleId="80">
    <w:name w:val="标准文件_封面实施日期"/>
    <w:basedOn w:val="1"/>
    <w:qFormat/>
    <w:uiPriority w:val="0"/>
    <w:pPr>
      <w:spacing w:line="310" w:lineRule="exact"/>
      <w:jc w:val="right"/>
    </w:pPr>
    <w:rPr>
      <w:rFonts w:ascii="黑体" w:eastAsia="黑体"/>
      <w:sz w:val="28"/>
    </w:rPr>
  </w:style>
  <w:style w:type="paragraph" w:customStyle="1" w:styleId="81">
    <w:name w:val="标准文件_封面抬头"/>
    <w:basedOn w:val="62"/>
    <w:qFormat/>
    <w:uiPriority w:val="0"/>
    <w:pPr>
      <w:adjustRightInd w:val="0"/>
      <w:spacing w:line="800" w:lineRule="exact"/>
      <w:ind w:firstLine="0" w:firstLineChars="0"/>
      <w:jc w:val="distribute"/>
    </w:pPr>
    <w:rPr>
      <w:rFonts w:ascii="黑体" w:eastAsia="黑体"/>
      <w:b/>
      <w:sz w:val="64"/>
    </w:rPr>
  </w:style>
  <w:style w:type="paragraph" w:customStyle="1" w:styleId="82">
    <w:name w:val="标准文件_附录标识"/>
    <w:next w:val="62"/>
    <w:qFormat/>
    <w:uiPriority w:val="0"/>
    <w:pPr>
      <w:numPr>
        <w:ilvl w:val="0"/>
        <w:numId w:val="4"/>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83">
    <w:name w:val="标准文件_附录表标题"/>
    <w:next w:val="62"/>
    <w:qFormat/>
    <w:uiPriority w:val="0"/>
    <w:pPr>
      <w:numPr>
        <w:ilvl w:val="1"/>
        <w:numId w:val="5"/>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84">
    <w:name w:val="标准文件_附录一级条标题"/>
    <w:next w:val="62"/>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5">
    <w:name w:val="标准文件_附录二级条标题"/>
    <w:basedOn w:val="84"/>
    <w:next w:val="62"/>
    <w:qFormat/>
    <w:uiPriority w:val="0"/>
    <w:pPr>
      <w:widowControl/>
      <w:numPr>
        <w:ilvl w:val="2"/>
      </w:numPr>
      <w:wordWrap w:val="0"/>
      <w:overflowPunct w:val="0"/>
      <w:autoSpaceDE w:val="0"/>
      <w:autoSpaceDN w:val="0"/>
      <w:textAlignment w:val="baseline"/>
      <w:outlineLvl w:val="3"/>
    </w:pPr>
  </w:style>
  <w:style w:type="paragraph" w:customStyle="1" w:styleId="86">
    <w:name w:val="标准文件_附录公式"/>
    <w:basedOn w:val="61"/>
    <w:next w:val="61"/>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7">
    <w:name w:val="标准文件_附录三级条标题"/>
    <w:next w:val="62"/>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8">
    <w:name w:val="标准文件_附录四级条标题"/>
    <w:next w:val="62"/>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9">
    <w:name w:val="标准文件_附录图标题"/>
    <w:next w:val="62"/>
    <w:qFormat/>
    <w:uiPriority w:val="0"/>
    <w:pPr>
      <w:numPr>
        <w:ilvl w:val="1"/>
        <w:numId w:val="6"/>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90">
    <w:name w:val="标准文件_附录五级条标题"/>
    <w:next w:val="62"/>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1">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2">
    <w:name w:val="正文文本 字符"/>
    <w:link w:val="14"/>
    <w:qFormat/>
    <w:uiPriority w:val="0"/>
    <w:rPr>
      <w:rFonts w:ascii="Times New Roman" w:hAnsi="Times New Roman" w:eastAsia="宋体" w:cs="Times New Roman"/>
      <w:szCs w:val="20"/>
    </w:rPr>
  </w:style>
  <w:style w:type="paragraph" w:customStyle="1" w:styleId="93">
    <w:name w:val="标准文件_附录章标题"/>
    <w:next w:val="62"/>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4">
    <w:name w:val="标准文件_公式后的破折号"/>
    <w:basedOn w:val="62"/>
    <w:next w:val="62"/>
    <w:qFormat/>
    <w:uiPriority w:val="0"/>
    <w:pPr>
      <w:ind w:left="488" w:leftChars="200" w:hanging="289" w:hangingChars="290"/>
    </w:pPr>
  </w:style>
  <w:style w:type="paragraph" w:customStyle="1" w:styleId="95">
    <w:name w:val="标准文件_前言、引言标题"/>
    <w:next w:val="1"/>
    <w:qFormat/>
    <w:uiPriority w:val="0"/>
    <w:pPr>
      <w:numPr>
        <w:ilvl w:val="0"/>
        <w:numId w:val="8"/>
      </w:numPr>
      <w:shd w:val="clear" w:color="FFFFFF" w:fill="FFFFFF"/>
      <w:spacing w:after="150" w:afterLines="150"/>
      <w:ind w:left="0" w:firstLine="0"/>
      <w:jc w:val="center"/>
      <w:outlineLvl w:val="0"/>
    </w:pPr>
    <w:rPr>
      <w:rFonts w:ascii="黑体" w:hAnsi="Times New Roman" w:eastAsia="黑体" w:cs="Times New Roman"/>
      <w:sz w:val="32"/>
      <w:lang w:val="en-US" w:eastAsia="zh-CN" w:bidi="ar-SA"/>
    </w:rPr>
  </w:style>
  <w:style w:type="paragraph" w:customStyle="1" w:styleId="96">
    <w:name w:val="标准文件_目次、标准名称标题"/>
    <w:basedOn w:val="95"/>
    <w:next w:val="62"/>
    <w:qFormat/>
    <w:uiPriority w:val="0"/>
    <w:pPr>
      <w:spacing w:line="460" w:lineRule="exact"/>
    </w:pPr>
  </w:style>
  <w:style w:type="paragraph" w:customStyle="1" w:styleId="97">
    <w:name w:val="标准文件_目录标题"/>
    <w:basedOn w:val="1"/>
    <w:qFormat/>
    <w:uiPriority w:val="0"/>
    <w:pPr>
      <w:spacing w:after="150" w:afterLines="150" w:line="240" w:lineRule="auto"/>
      <w:jc w:val="center"/>
    </w:pPr>
    <w:rPr>
      <w:rFonts w:ascii="黑体" w:eastAsia="黑体"/>
      <w:sz w:val="32"/>
    </w:rPr>
  </w:style>
  <w:style w:type="paragraph" w:customStyle="1" w:styleId="98">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9">
    <w:name w:val="标准文件_破折号列项（二级）"/>
    <w:basedOn w:val="98"/>
    <w:qFormat/>
    <w:uiPriority w:val="0"/>
    <w:pPr>
      <w:numPr>
        <w:numId w:val="10"/>
      </w:numPr>
      <w:ind w:left="0" w:firstLine="200"/>
    </w:pPr>
  </w:style>
  <w:style w:type="paragraph" w:customStyle="1" w:styleId="100">
    <w:name w:val="标准文件_三级条标题"/>
    <w:basedOn w:val="71"/>
    <w:next w:val="62"/>
    <w:qFormat/>
    <w:uiPriority w:val="0"/>
    <w:pPr>
      <w:widowControl/>
      <w:numPr>
        <w:ilvl w:val="4"/>
      </w:numPr>
      <w:outlineLvl w:val="3"/>
    </w:pPr>
  </w:style>
  <w:style w:type="character" w:customStyle="1" w:styleId="101">
    <w:name w:val="不明显参考1"/>
    <w:qFormat/>
    <w:uiPriority w:val="31"/>
    <w:rPr>
      <w:smallCaps/>
      <w:color w:val="C0504D"/>
      <w:u w:val="single"/>
    </w:rPr>
  </w:style>
  <w:style w:type="paragraph" w:customStyle="1" w:styleId="102">
    <w:name w:val="标准文件_示例后续"/>
    <w:basedOn w:val="1"/>
    <w:qFormat/>
    <w:uiPriority w:val="0"/>
    <w:pPr>
      <w:adjustRightInd/>
      <w:spacing w:line="240" w:lineRule="auto"/>
      <w:ind w:firstLine="200" w:firstLineChars="200"/>
    </w:pPr>
    <w:rPr>
      <w:sz w:val="18"/>
      <w:szCs w:val="24"/>
    </w:rPr>
  </w:style>
  <w:style w:type="paragraph" w:customStyle="1" w:styleId="103">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4">
    <w:name w:val="标准文件_四级条标题"/>
    <w:next w:val="62"/>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5">
    <w:name w:val="脚注文本 字符"/>
    <w:link w:val="22"/>
    <w:semiHidden/>
    <w:qFormat/>
    <w:uiPriority w:val="0"/>
    <w:rPr>
      <w:rFonts w:ascii="宋体" w:hAnsi="Times New Roman" w:eastAsia="宋体" w:cs="Times New Roman"/>
      <w:sz w:val="18"/>
      <w:szCs w:val="18"/>
    </w:rPr>
  </w:style>
  <w:style w:type="paragraph" w:customStyle="1" w:styleId="106">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7">
    <w:name w:val="标准文件_图表脚注"/>
    <w:basedOn w:val="1"/>
    <w:next w:val="62"/>
    <w:qFormat/>
    <w:uiPriority w:val="0"/>
    <w:pPr>
      <w:numPr>
        <w:ilvl w:val="0"/>
        <w:numId w:val="12"/>
      </w:numPr>
      <w:spacing w:line="240" w:lineRule="auto"/>
      <w:jc w:val="left"/>
    </w:pPr>
    <w:rPr>
      <w:rFonts w:ascii="宋体" w:hAnsi="宋体"/>
      <w:sz w:val="18"/>
    </w:rPr>
  </w:style>
  <w:style w:type="character" w:customStyle="1" w:styleId="108">
    <w:name w:val="标准文件_图表脚注内容"/>
    <w:qFormat/>
    <w:uiPriority w:val="0"/>
    <w:rPr>
      <w:rFonts w:ascii="宋体" w:hAnsi="宋体" w:eastAsia="宋体" w:cs="Times New Roman"/>
      <w:spacing w:val="0"/>
      <w:sz w:val="18"/>
      <w:vertAlign w:val="superscript"/>
    </w:rPr>
  </w:style>
  <w:style w:type="paragraph" w:customStyle="1" w:styleId="109">
    <w:name w:val="标准文件_五级条标题"/>
    <w:next w:val="62"/>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10">
    <w:name w:val="标准文件_章标题"/>
    <w:next w:val="62"/>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11">
    <w:name w:val="标准文件_一级条标题"/>
    <w:basedOn w:val="110"/>
    <w:next w:val="62"/>
    <w:qFormat/>
    <w:uiPriority w:val="0"/>
    <w:pPr>
      <w:numPr>
        <w:ilvl w:val="2"/>
      </w:numPr>
      <w:spacing w:before="50" w:beforeLines="50" w:after="50" w:afterLines="50"/>
      <w:outlineLvl w:val="1"/>
    </w:pPr>
  </w:style>
  <w:style w:type="paragraph" w:customStyle="1" w:styleId="112">
    <w:name w:val="标准文件_一致程度"/>
    <w:basedOn w:val="1"/>
    <w:qFormat/>
    <w:uiPriority w:val="0"/>
    <w:pPr>
      <w:spacing w:line="440" w:lineRule="exact"/>
      <w:jc w:val="center"/>
    </w:pPr>
    <w:rPr>
      <w:sz w:val="28"/>
    </w:rPr>
  </w:style>
  <w:style w:type="paragraph" w:customStyle="1" w:styleId="113">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4">
    <w:name w:val="标准文件_英文图表脚注"/>
    <w:basedOn w:val="61"/>
    <w:qFormat/>
    <w:uiPriority w:val="0"/>
    <w:pPr>
      <w:widowControl/>
      <w:adjustRightInd/>
      <w:snapToGrid/>
      <w:spacing w:line="240" w:lineRule="auto"/>
      <w:ind w:left="79" w:hanging="79" w:hangingChars="80"/>
    </w:pPr>
    <w:rPr>
      <w:rFonts w:ascii="宋体" w:hAnsi="宋体"/>
    </w:rPr>
  </w:style>
  <w:style w:type="paragraph" w:customStyle="1" w:styleId="115">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6">
    <w:name w:val="标准文件_英文注："/>
    <w:basedOn w:val="1"/>
    <w:next w:val="62"/>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7">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8">
    <w:name w:val="标准文件_正文表标题"/>
    <w:next w:val="62"/>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公式"/>
    <w:basedOn w:val="1"/>
    <w:next w:val="61"/>
    <w:qFormat/>
    <w:uiPriority w:val="0"/>
    <w:pPr>
      <w:tabs>
        <w:tab w:val="center" w:pos="4678"/>
        <w:tab w:val="right" w:leader="middleDot" w:pos="9356"/>
      </w:tabs>
      <w:spacing w:line="240" w:lineRule="auto"/>
    </w:pPr>
    <w:rPr>
      <w:rFonts w:ascii="宋体" w:hAnsi="宋体"/>
    </w:rPr>
  </w:style>
  <w:style w:type="paragraph" w:customStyle="1" w:styleId="120">
    <w:name w:val="标准文件_正文图标题"/>
    <w:next w:val="62"/>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21">
    <w:name w:val="标准文件_正文英文表标题"/>
    <w:next w:val="62"/>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2">
    <w:name w:val="标准文件_正文英文图标题"/>
    <w:next w:val="62"/>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3">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24">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5">
    <w:name w:val="发布部门"/>
    <w:next w:val="62"/>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6">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7">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8">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9">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30">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31">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2">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3">
    <w:name w:val="封面正文"/>
    <w:qFormat/>
    <w:uiPriority w:val="0"/>
    <w:pPr>
      <w:jc w:val="both"/>
    </w:pPr>
    <w:rPr>
      <w:rFonts w:ascii="Times New Roman" w:hAnsi="Times New Roman" w:eastAsia="宋体" w:cs="Times New Roman"/>
      <w:lang w:val="en-US" w:eastAsia="zh-CN" w:bidi="ar-SA"/>
    </w:rPr>
  </w:style>
  <w:style w:type="paragraph" w:customStyle="1" w:styleId="134">
    <w:name w:val="附录二级无标题条"/>
    <w:basedOn w:val="1"/>
    <w:next w:val="62"/>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5">
    <w:name w:val="附录三级无标题条"/>
    <w:basedOn w:val="134"/>
    <w:next w:val="62"/>
    <w:qFormat/>
    <w:uiPriority w:val="0"/>
    <w:pPr>
      <w:outlineLvl w:val="4"/>
    </w:pPr>
  </w:style>
  <w:style w:type="paragraph" w:customStyle="1" w:styleId="136">
    <w:name w:val="附录四级无标题条"/>
    <w:basedOn w:val="135"/>
    <w:next w:val="62"/>
    <w:qFormat/>
    <w:uiPriority w:val="0"/>
    <w:pPr>
      <w:outlineLvl w:val="5"/>
    </w:pPr>
  </w:style>
  <w:style w:type="paragraph" w:customStyle="1" w:styleId="137">
    <w:name w:val="附录图"/>
    <w:next w:val="62"/>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8">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9">
    <w:name w:val="附录五级无标题条"/>
    <w:basedOn w:val="136"/>
    <w:next w:val="62"/>
    <w:qFormat/>
    <w:uiPriority w:val="0"/>
    <w:pPr>
      <w:outlineLvl w:val="6"/>
    </w:pPr>
  </w:style>
  <w:style w:type="paragraph" w:customStyle="1" w:styleId="140">
    <w:name w:val="附录性质"/>
    <w:basedOn w:val="1"/>
    <w:qFormat/>
    <w:uiPriority w:val="0"/>
    <w:pPr>
      <w:widowControl/>
      <w:adjustRightInd/>
      <w:jc w:val="center"/>
    </w:pPr>
    <w:rPr>
      <w:rFonts w:ascii="黑体" w:eastAsia="黑体"/>
    </w:rPr>
  </w:style>
  <w:style w:type="paragraph" w:customStyle="1" w:styleId="141">
    <w:name w:val="附录一级无标题条"/>
    <w:basedOn w:val="93"/>
    <w:next w:val="62"/>
    <w:qFormat/>
    <w:uiPriority w:val="0"/>
    <w:pPr>
      <w:autoSpaceDN w:val="0"/>
      <w:outlineLvl w:val="2"/>
    </w:pPr>
    <w:rPr>
      <w:rFonts w:ascii="宋体" w:hAnsi="宋体" w:eastAsia="宋体"/>
    </w:rPr>
  </w:style>
  <w:style w:type="character" w:customStyle="1" w:styleId="142">
    <w:name w:val="个人答复风格"/>
    <w:qFormat/>
    <w:uiPriority w:val="0"/>
    <w:rPr>
      <w:rFonts w:ascii="Arial" w:hAnsi="Arial" w:eastAsia="宋体" w:cs="Arial"/>
      <w:color w:val="auto"/>
      <w:spacing w:val="0"/>
      <w:sz w:val="20"/>
    </w:rPr>
  </w:style>
  <w:style w:type="character" w:customStyle="1" w:styleId="143">
    <w:name w:val="个人撰写风格"/>
    <w:qFormat/>
    <w:uiPriority w:val="0"/>
    <w:rPr>
      <w:rFonts w:ascii="Arial" w:hAnsi="Arial" w:eastAsia="宋体" w:cs="Arial"/>
      <w:color w:val="auto"/>
      <w:spacing w:val="0"/>
      <w:sz w:val="20"/>
    </w:rPr>
  </w:style>
  <w:style w:type="paragraph" w:customStyle="1" w:styleId="144">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5">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6">
    <w:name w:val="列项·"/>
    <w:basedOn w:val="62"/>
    <w:qFormat/>
    <w:uiPriority w:val="0"/>
    <w:pPr>
      <w:tabs>
        <w:tab w:val="left" w:pos="840"/>
      </w:tabs>
    </w:pPr>
  </w:style>
  <w:style w:type="paragraph" w:customStyle="1" w:styleId="147">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8">
    <w:name w:val="目录 21"/>
    <w:basedOn w:val="1"/>
    <w:next w:val="1"/>
    <w:semiHidden/>
    <w:qFormat/>
    <w:uiPriority w:val="0"/>
    <w:pPr>
      <w:adjustRightInd/>
      <w:spacing w:line="240" w:lineRule="auto"/>
      <w:jc w:val="left"/>
    </w:pPr>
    <w:rPr>
      <w:bCs/>
      <w:iCs/>
    </w:rPr>
  </w:style>
  <w:style w:type="paragraph" w:customStyle="1" w:styleId="149">
    <w:name w:val="目录 31"/>
    <w:basedOn w:val="1"/>
    <w:next w:val="1"/>
    <w:semiHidden/>
    <w:qFormat/>
    <w:uiPriority w:val="0"/>
    <w:pPr>
      <w:spacing w:line="240" w:lineRule="auto"/>
    </w:pPr>
    <w:rPr>
      <w:rFonts w:ascii="宋体" w:hAnsi="宋体"/>
      <w:iCs/>
    </w:rPr>
  </w:style>
  <w:style w:type="paragraph" w:customStyle="1" w:styleId="150">
    <w:name w:val="目录 41"/>
    <w:basedOn w:val="1"/>
    <w:next w:val="1"/>
    <w:semiHidden/>
    <w:qFormat/>
    <w:uiPriority w:val="0"/>
    <w:pPr>
      <w:adjustRightInd/>
      <w:spacing w:line="240" w:lineRule="auto"/>
      <w:jc w:val="left"/>
    </w:pPr>
  </w:style>
  <w:style w:type="paragraph" w:customStyle="1" w:styleId="151">
    <w:name w:val="目录 51"/>
    <w:basedOn w:val="1"/>
    <w:next w:val="1"/>
    <w:semiHidden/>
    <w:qFormat/>
    <w:uiPriority w:val="0"/>
    <w:pPr>
      <w:spacing w:line="240" w:lineRule="auto"/>
    </w:pPr>
    <w:rPr>
      <w:rFonts w:ascii="宋体" w:hAnsi="宋体"/>
    </w:rPr>
  </w:style>
  <w:style w:type="paragraph" w:customStyle="1" w:styleId="152">
    <w:name w:val="目录 61"/>
    <w:basedOn w:val="1"/>
    <w:next w:val="1"/>
    <w:semiHidden/>
    <w:qFormat/>
    <w:uiPriority w:val="0"/>
    <w:pPr>
      <w:adjustRightInd/>
      <w:spacing w:line="240" w:lineRule="auto"/>
      <w:jc w:val="left"/>
    </w:pPr>
  </w:style>
  <w:style w:type="paragraph" w:customStyle="1" w:styleId="153">
    <w:name w:val="目录 71"/>
    <w:basedOn w:val="152"/>
    <w:semiHidden/>
    <w:qFormat/>
    <w:uiPriority w:val="0"/>
    <w:pPr>
      <w:ind w:left="1260"/>
    </w:pPr>
  </w:style>
  <w:style w:type="paragraph" w:customStyle="1" w:styleId="154">
    <w:name w:val="目录 81"/>
    <w:basedOn w:val="153"/>
    <w:semiHidden/>
    <w:qFormat/>
    <w:uiPriority w:val="0"/>
    <w:pPr>
      <w:ind w:left="1470"/>
    </w:pPr>
  </w:style>
  <w:style w:type="paragraph" w:customStyle="1" w:styleId="155">
    <w:name w:val="目录 91"/>
    <w:basedOn w:val="154"/>
    <w:semiHidden/>
    <w:qFormat/>
    <w:uiPriority w:val="0"/>
    <w:pPr>
      <w:ind w:left="1680"/>
    </w:pPr>
  </w:style>
  <w:style w:type="paragraph" w:customStyle="1" w:styleId="156">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7">
    <w:name w:val="其他发布部门"/>
    <w:basedOn w:val="125"/>
    <w:qFormat/>
    <w:uiPriority w:val="0"/>
    <w:pPr>
      <w:framePr w:wrap="around"/>
      <w:spacing w:line="0" w:lineRule="atLeast"/>
    </w:pPr>
    <w:rPr>
      <w:rFonts w:ascii="黑体" w:eastAsia="黑体"/>
      <w:b w:val="0"/>
    </w:rPr>
  </w:style>
  <w:style w:type="paragraph" w:customStyle="1" w:styleId="158">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9">
    <w:name w:val="三级无标题条"/>
    <w:basedOn w:val="1"/>
    <w:qFormat/>
    <w:uiPriority w:val="0"/>
    <w:pPr>
      <w:numPr>
        <w:ilvl w:val="4"/>
        <w:numId w:val="20"/>
      </w:numPr>
      <w:adjustRightInd/>
      <w:spacing w:line="240" w:lineRule="auto"/>
    </w:pPr>
    <w:rPr>
      <w:rFonts w:ascii="宋体" w:hAnsi="宋体"/>
      <w:szCs w:val="24"/>
    </w:rPr>
  </w:style>
  <w:style w:type="paragraph" w:customStyle="1" w:styleId="160">
    <w:name w:val="实施日期"/>
    <w:basedOn w:val="126"/>
    <w:qFormat/>
    <w:uiPriority w:val="0"/>
    <w:pPr>
      <w:framePr w:hSpace="0" w:wrap="around" w:xAlign="right"/>
      <w:jc w:val="right"/>
    </w:pPr>
  </w:style>
  <w:style w:type="paragraph" w:customStyle="1" w:styleId="161">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2">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3">
    <w:name w:val="无标题条"/>
    <w:next w:val="62"/>
    <w:qFormat/>
    <w:uiPriority w:val="0"/>
    <w:pPr>
      <w:jc w:val="both"/>
    </w:pPr>
    <w:rPr>
      <w:rFonts w:ascii="宋体" w:hAnsi="宋体" w:eastAsia="宋体" w:cs="Times New Roman"/>
      <w:sz w:val="21"/>
      <w:lang w:val="en-US" w:eastAsia="zh-CN" w:bidi="ar-SA"/>
    </w:rPr>
  </w:style>
  <w:style w:type="paragraph" w:customStyle="1" w:styleId="164">
    <w:name w:val="五级无标题条"/>
    <w:basedOn w:val="1"/>
    <w:qFormat/>
    <w:uiPriority w:val="0"/>
    <w:pPr>
      <w:numPr>
        <w:ilvl w:val="6"/>
        <w:numId w:val="20"/>
      </w:numPr>
      <w:adjustRightInd/>
    </w:pPr>
    <w:rPr>
      <w:szCs w:val="24"/>
    </w:rPr>
  </w:style>
  <w:style w:type="paragraph" w:customStyle="1" w:styleId="165">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6">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7">
    <w:name w:val="注×:后续"/>
    <w:basedOn w:val="166"/>
    <w:qFormat/>
    <w:uiPriority w:val="0"/>
    <w:pPr>
      <w:ind w:left="1406" w:leftChars="0" w:hanging="499" w:firstLineChars="0"/>
    </w:pPr>
  </w:style>
  <w:style w:type="paragraph" w:customStyle="1" w:styleId="168">
    <w:name w:val="标准文件_一级无标题"/>
    <w:basedOn w:val="111"/>
    <w:qFormat/>
    <w:uiPriority w:val="0"/>
    <w:pPr>
      <w:spacing w:before="0" w:beforeLines="0" w:after="0" w:afterLines="0"/>
      <w:outlineLvl w:val="9"/>
    </w:pPr>
    <w:rPr>
      <w:rFonts w:ascii="宋体" w:eastAsia="宋体"/>
    </w:rPr>
  </w:style>
  <w:style w:type="paragraph" w:customStyle="1" w:styleId="169">
    <w:name w:val="标准文件_五级无标题"/>
    <w:basedOn w:val="109"/>
    <w:qFormat/>
    <w:uiPriority w:val="0"/>
    <w:pPr>
      <w:spacing w:before="0" w:beforeLines="0" w:after="0" w:afterLines="0"/>
      <w:outlineLvl w:val="9"/>
    </w:pPr>
    <w:rPr>
      <w:rFonts w:ascii="宋体" w:eastAsia="宋体"/>
    </w:rPr>
  </w:style>
  <w:style w:type="paragraph" w:customStyle="1" w:styleId="170">
    <w:name w:val="标准文件_三级无标题"/>
    <w:basedOn w:val="100"/>
    <w:qFormat/>
    <w:uiPriority w:val="0"/>
    <w:pPr>
      <w:spacing w:before="0" w:beforeLines="0" w:after="0" w:afterLines="0"/>
      <w:outlineLvl w:val="9"/>
    </w:pPr>
    <w:rPr>
      <w:rFonts w:ascii="宋体" w:eastAsia="宋体"/>
    </w:rPr>
  </w:style>
  <w:style w:type="paragraph" w:customStyle="1" w:styleId="171">
    <w:name w:val="标准文件_二级无标题"/>
    <w:basedOn w:val="71"/>
    <w:qFormat/>
    <w:uiPriority w:val="0"/>
    <w:pPr>
      <w:spacing w:before="0" w:beforeLines="0" w:after="0" w:afterLines="0"/>
      <w:outlineLvl w:val="9"/>
    </w:pPr>
    <w:rPr>
      <w:rFonts w:ascii="宋体" w:eastAsia="宋体"/>
    </w:rPr>
  </w:style>
  <w:style w:type="paragraph" w:customStyle="1" w:styleId="172">
    <w:name w:val="标准_四级无标题"/>
    <w:basedOn w:val="104"/>
    <w:next w:val="62"/>
    <w:qFormat/>
    <w:uiPriority w:val="0"/>
    <w:rPr>
      <w:rFonts w:eastAsia="宋体"/>
    </w:rPr>
  </w:style>
  <w:style w:type="paragraph" w:customStyle="1" w:styleId="173">
    <w:name w:val="标准文件_四级无标题"/>
    <w:basedOn w:val="104"/>
    <w:qFormat/>
    <w:uiPriority w:val="0"/>
    <w:pPr>
      <w:spacing w:before="0" w:beforeLines="0" w:after="0" w:afterLines="0"/>
      <w:outlineLvl w:val="9"/>
    </w:pPr>
    <w:rPr>
      <w:rFonts w:ascii="宋体" w:hAnsi="黑体" w:eastAsia="宋体"/>
      <w:szCs w:val="52"/>
    </w:rPr>
  </w:style>
  <w:style w:type="paragraph" w:customStyle="1" w:styleId="174">
    <w:name w:val="标准文件_大写罗马数字编号列项"/>
    <w:basedOn w:val="62"/>
    <w:qFormat/>
    <w:uiPriority w:val="0"/>
    <w:pPr>
      <w:numPr>
        <w:ilvl w:val="0"/>
        <w:numId w:val="23"/>
      </w:numPr>
      <w:ind w:firstLine="0" w:firstLineChars="0"/>
    </w:pPr>
    <w:rPr>
      <w:rFonts w:ascii="Times New Roman" w:cs="Arial"/>
      <w:szCs w:val="28"/>
    </w:rPr>
  </w:style>
  <w:style w:type="paragraph" w:customStyle="1" w:styleId="175">
    <w:name w:val="标准文件_小写罗马数字编号列项"/>
    <w:basedOn w:val="62"/>
    <w:qFormat/>
    <w:uiPriority w:val="0"/>
    <w:pPr>
      <w:numPr>
        <w:ilvl w:val="0"/>
        <w:numId w:val="24"/>
      </w:numPr>
      <w:ind w:firstLine="0" w:firstLineChars="0"/>
    </w:pPr>
    <w:rPr>
      <w:rFonts w:cs="Arial"/>
      <w:szCs w:val="28"/>
    </w:rPr>
  </w:style>
  <w:style w:type="paragraph" w:customStyle="1" w:styleId="176">
    <w:name w:val="标准文件_附录标题"/>
    <w:basedOn w:val="82"/>
    <w:qFormat/>
    <w:uiPriority w:val="0"/>
    <w:pPr>
      <w:numPr>
        <w:numId w:val="0"/>
      </w:numPr>
      <w:spacing w:after="280"/>
      <w:outlineLvl w:val="9"/>
    </w:pPr>
  </w:style>
  <w:style w:type="paragraph" w:customStyle="1" w:styleId="177">
    <w:name w:val="标准文件_二级项"/>
    <w:qFormat/>
    <w:uiPriority w:val="0"/>
    <w:rPr>
      <w:rFonts w:ascii="宋体" w:hAnsi="Times New Roman" w:eastAsia="宋体" w:cs="Times New Roman"/>
      <w:sz w:val="21"/>
      <w:lang w:val="en-US" w:eastAsia="zh-CN" w:bidi="ar-SA"/>
    </w:rPr>
  </w:style>
  <w:style w:type="paragraph" w:customStyle="1" w:styleId="178">
    <w:name w:val="标准文件_三级项"/>
    <w:basedOn w:val="1"/>
    <w:qFormat/>
    <w:uiPriority w:val="0"/>
    <w:pPr>
      <w:numPr>
        <w:ilvl w:val="2"/>
        <w:numId w:val="21"/>
      </w:numPr>
      <w:spacing w:line="536870612" w:lineRule="auto"/>
    </w:pPr>
    <w:rPr>
      <w:rFonts w:ascii="Times New Roman" w:hAnsi="Times New Roman"/>
    </w:rPr>
  </w:style>
  <w:style w:type="paragraph" w:customStyle="1" w:styleId="179">
    <w:name w:val="图表脚注说明"/>
    <w:basedOn w:val="1"/>
    <w:next w:val="62"/>
    <w:qFormat/>
    <w:uiPriority w:val="0"/>
    <w:pPr>
      <w:numPr>
        <w:ilvl w:val="0"/>
        <w:numId w:val="25"/>
      </w:numPr>
      <w:adjustRightInd/>
      <w:spacing w:line="240" w:lineRule="auto"/>
      <w:ind w:left="783"/>
    </w:pPr>
    <w:rPr>
      <w:rFonts w:ascii="宋体" w:hAnsi="Times New Roman"/>
      <w:sz w:val="18"/>
      <w:szCs w:val="18"/>
    </w:rPr>
  </w:style>
  <w:style w:type="paragraph" w:customStyle="1" w:styleId="180">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81">
    <w:name w:val="标准文件_索引字母"/>
    <w:next w:val="62"/>
    <w:qFormat/>
    <w:uiPriority w:val="0"/>
    <w:pPr>
      <w:jc w:val="center"/>
    </w:pPr>
    <w:rPr>
      <w:rFonts w:ascii="宋体" w:hAnsi="宋体" w:eastAsia="Times New Roman" w:cs="Times New Roman"/>
      <w:b/>
      <w:kern w:val="2"/>
      <w:sz w:val="21"/>
      <w:lang w:val="en-US" w:eastAsia="zh-CN" w:bidi="ar-SA"/>
    </w:rPr>
  </w:style>
  <w:style w:type="paragraph" w:customStyle="1" w:styleId="182">
    <w:name w:val="标准文件_附录前"/>
    <w:next w:val="62"/>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3">
    <w:name w:val="标准文件_正文标准名称"/>
    <w:qFormat/>
    <w:uiPriority w:val="0"/>
    <w:pPr>
      <w:spacing w:after="640" w:line="400" w:lineRule="exact"/>
      <w:jc w:val="center"/>
    </w:pPr>
    <w:rPr>
      <w:rFonts w:ascii="黑体" w:hAnsi="黑体" w:eastAsia="黑体" w:cs="Times New Roman"/>
      <w:kern w:val="2"/>
      <w:sz w:val="32"/>
      <w:szCs w:val="32"/>
      <w:lang w:val="en-US" w:eastAsia="zh-CN" w:bidi="ar-SA"/>
    </w:rPr>
  </w:style>
  <w:style w:type="paragraph" w:customStyle="1" w:styleId="184">
    <w:name w:val="标准文件_表格"/>
    <w:basedOn w:val="62"/>
    <w:qFormat/>
    <w:uiPriority w:val="0"/>
    <w:pPr>
      <w:ind w:firstLine="0" w:firstLineChars="0"/>
      <w:jc w:val="center"/>
    </w:pPr>
    <w:rPr>
      <w:sz w:val="18"/>
    </w:rPr>
  </w:style>
  <w:style w:type="paragraph" w:customStyle="1" w:styleId="185">
    <w:name w:val="标准文件_注："/>
    <w:next w:val="62"/>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6">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7">
    <w:name w:val="标准文件_示例："/>
    <w:next w:val="188"/>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8">
    <w:name w:val="标准文件_示例内容"/>
    <w:basedOn w:val="62"/>
    <w:qFormat/>
    <w:uiPriority w:val="0"/>
    <w:pPr>
      <w:ind w:firstLine="420"/>
    </w:pPr>
    <w:rPr>
      <w:sz w:val="18"/>
    </w:rPr>
  </w:style>
  <w:style w:type="paragraph" w:customStyle="1" w:styleId="189">
    <w:name w:val="标准文件_示例×："/>
    <w:basedOn w:val="1"/>
    <w:next w:val="188"/>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90">
    <w:name w:val="标准文件_段 Char"/>
    <w:link w:val="62"/>
    <w:qFormat/>
    <w:uiPriority w:val="0"/>
    <w:rPr>
      <w:rFonts w:ascii="宋体" w:hAnsi="Times New Roman"/>
      <w:sz w:val="21"/>
    </w:rPr>
  </w:style>
  <w:style w:type="paragraph" w:customStyle="1" w:styleId="191">
    <w:name w:val="标准文件_表格续"/>
    <w:basedOn w:val="62"/>
    <w:next w:val="62"/>
    <w:qFormat/>
    <w:uiPriority w:val="0"/>
    <w:pPr>
      <w:jc w:val="center"/>
    </w:pPr>
    <w:rPr>
      <w:rFonts w:ascii="黑体" w:hAnsi="黑体" w:eastAsia="黑体"/>
    </w:rPr>
  </w:style>
  <w:style w:type="character" w:styleId="192">
    <w:name w:val="Placeholder Text"/>
    <w:basedOn w:val="32"/>
    <w:semiHidden/>
    <w:qFormat/>
    <w:uiPriority w:val="99"/>
    <w:rPr>
      <w:color w:val="808080"/>
    </w:rPr>
  </w:style>
  <w:style w:type="paragraph" w:customStyle="1" w:styleId="193">
    <w:name w:val="标准文件_二级项2"/>
    <w:basedOn w:val="62"/>
    <w:qFormat/>
    <w:uiPriority w:val="0"/>
    <w:pPr>
      <w:numPr>
        <w:ilvl w:val="1"/>
        <w:numId w:val="21"/>
      </w:numPr>
      <w:ind w:left="1271" w:hanging="420" w:firstLineChars="0"/>
    </w:pPr>
  </w:style>
  <w:style w:type="paragraph" w:customStyle="1" w:styleId="194">
    <w:name w:val="标准文件_三级项2"/>
    <w:basedOn w:val="62"/>
    <w:qFormat/>
    <w:uiPriority w:val="0"/>
    <w:pPr>
      <w:numPr>
        <w:ilvl w:val="0"/>
        <w:numId w:val="30"/>
      </w:numPr>
      <w:spacing w:line="300" w:lineRule="exact"/>
      <w:ind w:left="1276" w:hanging="425" w:firstLineChars="0"/>
    </w:pPr>
    <w:rPr>
      <w:rFonts w:ascii="Times New Roman"/>
    </w:rPr>
  </w:style>
  <w:style w:type="paragraph" w:customStyle="1" w:styleId="195">
    <w:name w:val="标准文件_一级项2"/>
    <w:basedOn w:val="62"/>
    <w:qFormat/>
    <w:uiPriority w:val="0"/>
    <w:pPr>
      <w:numPr>
        <w:ilvl w:val="0"/>
        <w:numId w:val="31"/>
      </w:numPr>
      <w:spacing w:line="300" w:lineRule="exact"/>
      <w:ind w:left="1271" w:hanging="420" w:firstLineChars="0"/>
    </w:pPr>
    <w:rPr>
      <w:rFonts w:ascii="Times New Roman"/>
    </w:rPr>
  </w:style>
  <w:style w:type="paragraph" w:customStyle="1" w:styleId="196">
    <w:name w:val="标准文件_提示"/>
    <w:basedOn w:val="62"/>
    <w:next w:val="62"/>
    <w:qFormat/>
    <w:uiPriority w:val="0"/>
    <w:pPr>
      <w:ind w:firstLine="420"/>
    </w:pPr>
    <w:rPr>
      <w:rFonts w:ascii="黑体" w:eastAsia="黑体"/>
    </w:rPr>
  </w:style>
  <w:style w:type="character" w:customStyle="1" w:styleId="197">
    <w:name w:val="标准文件_来源"/>
    <w:basedOn w:val="32"/>
    <w:qFormat/>
    <w:uiPriority w:val="1"/>
    <w:rPr>
      <w:rFonts w:eastAsia="宋体"/>
      <w:sz w:val="21"/>
    </w:rPr>
  </w:style>
  <w:style w:type="paragraph" w:customStyle="1" w:styleId="198">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9">
    <w:name w:val="其他发布日期"/>
    <w:basedOn w:val="126"/>
    <w:qFormat/>
    <w:uiPriority w:val="0"/>
    <w:pPr>
      <w:framePr w:w="3997" w:h="471" w:hRule="exact" w:hSpace="0" w:vSpace="181" w:wrap="around" w:vAnchor="page" w:hAnchor="page" w:x="1419" w:y="14097"/>
    </w:pPr>
  </w:style>
  <w:style w:type="paragraph" w:customStyle="1" w:styleId="200">
    <w:name w:val="其他实施日期"/>
    <w:basedOn w:val="160"/>
    <w:qFormat/>
    <w:uiPriority w:val="0"/>
    <w:pPr>
      <w:framePr w:w="3997" w:h="471" w:hRule="exact" w:vSpace="181" w:wrap="around" w:vAnchor="page" w:hAnchor="page" w:x="7089" w:y="14097"/>
    </w:pPr>
  </w:style>
  <w:style w:type="paragraph" w:customStyle="1" w:styleId="201">
    <w:name w:val="标准文件_文件编号"/>
    <w:basedOn w:val="62"/>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202">
    <w:name w:val="标准文件_替换文件编号"/>
    <w:basedOn w:val="201"/>
    <w:qFormat/>
    <w:uiPriority w:val="0"/>
    <w:pPr>
      <w:framePr w:wrap="around"/>
      <w:spacing w:before="57"/>
    </w:pPr>
    <w:rPr>
      <w:sz w:val="21"/>
    </w:rPr>
  </w:style>
  <w:style w:type="paragraph" w:customStyle="1" w:styleId="203">
    <w:name w:val="标准文件_文件名称"/>
    <w:basedOn w:val="62"/>
    <w:next w:val="62"/>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04">
    <w:name w:val="标准文件_附录图标号"/>
    <w:basedOn w:val="62"/>
    <w:next w:val="62"/>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5">
    <w:name w:val="标准文件_附录表标号"/>
    <w:basedOn w:val="62"/>
    <w:next w:val="62"/>
    <w:qFormat/>
    <w:uiPriority w:val="0"/>
    <w:pPr>
      <w:numPr>
        <w:ilvl w:val="0"/>
        <w:numId w:val="5"/>
      </w:numPr>
      <w:spacing w:line="14" w:lineRule="exact"/>
      <w:ind w:firstLine="0" w:firstLineChars="0"/>
      <w:jc w:val="center"/>
    </w:pPr>
    <w:rPr>
      <w:rFonts w:eastAsia="黑体"/>
      <w:vanish/>
      <w:sz w:val="2"/>
    </w:rPr>
  </w:style>
  <w:style w:type="paragraph" w:customStyle="1" w:styleId="206">
    <w:name w:val="标准文件_引言一级条标题"/>
    <w:basedOn w:val="62"/>
    <w:next w:val="62"/>
    <w:qFormat/>
    <w:uiPriority w:val="0"/>
    <w:pPr>
      <w:numPr>
        <w:ilvl w:val="1"/>
        <w:numId w:val="8"/>
      </w:numPr>
      <w:spacing w:before="50" w:beforeLines="50" w:after="50" w:afterLines="50"/>
      <w:ind w:firstLineChars="0"/>
    </w:pPr>
    <w:rPr>
      <w:rFonts w:ascii="黑体" w:eastAsia="黑体"/>
    </w:rPr>
  </w:style>
  <w:style w:type="paragraph" w:customStyle="1" w:styleId="207">
    <w:name w:val="标准文件_引言二级条标题"/>
    <w:basedOn w:val="62"/>
    <w:next w:val="62"/>
    <w:qFormat/>
    <w:uiPriority w:val="0"/>
    <w:pPr>
      <w:numPr>
        <w:ilvl w:val="2"/>
        <w:numId w:val="8"/>
      </w:numPr>
      <w:spacing w:before="50" w:beforeLines="50" w:after="50" w:afterLines="50"/>
      <w:ind w:firstLineChars="0"/>
    </w:pPr>
    <w:rPr>
      <w:rFonts w:ascii="黑体" w:eastAsia="黑体"/>
    </w:rPr>
  </w:style>
  <w:style w:type="paragraph" w:customStyle="1" w:styleId="208">
    <w:name w:val="标准文件_引言三级条标题"/>
    <w:basedOn w:val="62"/>
    <w:next w:val="62"/>
    <w:qFormat/>
    <w:uiPriority w:val="0"/>
    <w:pPr>
      <w:numPr>
        <w:ilvl w:val="3"/>
        <w:numId w:val="8"/>
      </w:numPr>
      <w:spacing w:before="50" w:beforeLines="50" w:after="50" w:afterLines="50"/>
      <w:ind w:firstLineChars="0"/>
    </w:pPr>
    <w:rPr>
      <w:rFonts w:ascii="黑体" w:eastAsia="黑体"/>
    </w:rPr>
  </w:style>
  <w:style w:type="paragraph" w:customStyle="1" w:styleId="209">
    <w:name w:val="标准文件_引言四级条标题"/>
    <w:basedOn w:val="62"/>
    <w:next w:val="62"/>
    <w:qFormat/>
    <w:uiPriority w:val="0"/>
    <w:pPr>
      <w:numPr>
        <w:ilvl w:val="4"/>
        <w:numId w:val="8"/>
      </w:numPr>
      <w:spacing w:before="50" w:beforeLines="50" w:after="50" w:afterLines="50"/>
      <w:ind w:firstLineChars="0"/>
    </w:pPr>
    <w:rPr>
      <w:rFonts w:ascii="黑体" w:eastAsia="黑体"/>
    </w:rPr>
  </w:style>
  <w:style w:type="paragraph" w:customStyle="1" w:styleId="210">
    <w:name w:val="标准文件_引言五级条标题"/>
    <w:basedOn w:val="62"/>
    <w:next w:val="62"/>
    <w:qFormat/>
    <w:uiPriority w:val="0"/>
    <w:pPr>
      <w:numPr>
        <w:ilvl w:val="5"/>
        <w:numId w:val="8"/>
      </w:numPr>
      <w:spacing w:before="50" w:beforeLines="50" w:after="50" w:afterLines="50"/>
      <w:ind w:firstLineChars="0"/>
    </w:pPr>
    <w:rPr>
      <w:rFonts w:ascii="黑体" w:eastAsia="黑体"/>
    </w:rPr>
  </w:style>
  <w:style w:type="paragraph" w:customStyle="1" w:styleId="211">
    <w:name w:val="标准文件_注后"/>
    <w:basedOn w:val="62"/>
    <w:qFormat/>
    <w:uiPriority w:val="0"/>
    <w:pPr>
      <w:ind w:left="811" w:firstLine="0" w:firstLineChars="0"/>
    </w:pPr>
    <w:rPr>
      <w:sz w:val="18"/>
    </w:rPr>
  </w:style>
  <w:style w:type="paragraph" w:customStyle="1" w:styleId="212">
    <w:name w:val="标准文件_注X后"/>
    <w:basedOn w:val="62"/>
    <w:qFormat/>
    <w:uiPriority w:val="0"/>
    <w:pPr>
      <w:ind w:left="811" w:firstLine="0" w:firstLineChars="0"/>
    </w:pPr>
    <w:rPr>
      <w:sz w:val="18"/>
    </w:rPr>
  </w:style>
  <w:style w:type="paragraph" w:customStyle="1" w:styleId="213">
    <w:name w:val="标准文件_示例后"/>
    <w:basedOn w:val="62"/>
    <w:qFormat/>
    <w:uiPriority w:val="0"/>
    <w:pPr>
      <w:ind w:left="964" w:firstLine="0" w:firstLineChars="0"/>
    </w:pPr>
    <w:rPr>
      <w:sz w:val="18"/>
    </w:rPr>
  </w:style>
  <w:style w:type="paragraph" w:customStyle="1" w:styleId="214">
    <w:name w:val="标准文件_示例X后"/>
    <w:basedOn w:val="62"/>
    <w:link w:val="215"/>
    <w:qFormat/>
    <w:uiPriority w:val="0"/>
    <w:pPr>
      <w:ind w:left="1049" w:firstLine="0" w:firstLineChars="0"/>
    </w:pPr>
    <w:rPr>
      <w:sz w:val="18"/>
    </w:rPr>
  </w:style>
  <w:style w:type="character" w:customStyle="1" w:styleId="215">
    <w:name w:val="标准文件_示例X后 字符"/>
    <w:basedOn w:val="190"/>
    <w:link w:val="214"/>
    <w:qFormat/>
    <w:uiPriority w:val="0"/>
    <w:rPr>
      <w:rFonts w:ascii="宋体" w:hAnsi="Times New Roman"/>
      <w:sz w:val="18"/>
    </w:rPr>
  </w:style>
  <w:style w:type="paragraph" w:customStyle="1" w:styleId="216">
    <w:name w:val="标准文件_索引项"/>
    <w:basedOn w:val="62"/>
    <w:next w:val="62"/>
    <w:qFormat/>
    <w:uiPriority w:val="0"/>
    <w:pPr>
      <w:tabs>
        <w:tab w:val="right" w:leader="dot" w:pos="9356"/>
      </w:tabs>
      <w:ind w:left="210" w:hanging="210" w:firstLineChars="0"/>
      <w:jc w:val="left"/>
    </w:pPr>
  </w:style>
  <w:style w:type="paragraph" w:customStyle="1" w:styleId="217">
    <w:name w:val="标准文件_附录一级无标题"/>
    <w:basedOn w:val="84"/>
    <w:qFormat/>
    <w:uiPriority w:val="0"/>
    <w:pPr>
      <w:spacing w:before="0" w:beforeLines="0" w:after="0" w:afterLines="0" w:line="276" w:lineRule="auto"/>
      <w:outlineLvl w:val="9"/>
    </w:pPr>
    <w:rPr>
      <w:rFonts w:ascii="宋体" w:eastAsia="宋体"/>
    </w:rPr>
  </w:style>
  <w:style w:type="paragraph" w:customStyle="1" w:styleId="218">
    <w:name w:val="标准文件_附录二级无标题"/>
    <w:basedOn w:val="85"/>
    <w:qFormat/>
    <w:uiPriority w:val="0"/>
    <w:pPr>
      <w:spacing w:before="0" w:beforeLines="0" w:after="0" w:afterLines="0" w:line="276" w:lineRule="auto"/>
      <w:outlineLvl w:val="9"/>
    </w:pPr>
    <w:rPr>
      <w:rFonts w:ascii="宋体" w:eastAsia="宋体"/>
    </w:rPr>
  </w:style>
  <w:style w:type="paragraph" w:customStyle="1" w:styleId="219">
    <w:name w:val="标准文件_附录三级无标题"/>
    <w:basedOn w:val="87"/>
    <w:qFormat/>
    <w:uiPriority w:val="0"/>
    <w:pPr>
      <w:spacing w:before="0" w:beforeLines="0" w:after="0" w:afterLines="0" w:line="276" w:lineRule="auto"/>
      <w:outlineLvl w:val="9"/>
    </w:pPr>
    <w:rPr>
      <w:rFonts w:ascii="宋体" w:eastAsia="宋体"/>
    </w:rPr>
  </w:style>
  <w:style w:type="paragraph" w:customStyle="1" w:styleId="220">
    <w:name w:val="标准文件_附录四级无标题"/>
    <w:basedOn w:val="88"/>
    <w:qFormat/>
    <w:uiPriority w:val="0"/>
    <w:pPr>
      <w:spacing w:before="0" w:beforeLines="0" w:after="0" w:afterLines="0" w:line="276" w:lineRule="auto"/>
      <w:outlineLvl w:val="9"/>
    </w:pPr>
    <w:rPr>
      <w:rFonts w:ascii="宋体" w:eastAsia="宋体"/>
    </w:rPr>
  </w:style>
  <w:style w:type="paragraph" w:customStyle="1" w:styleId="221">
    <w:name w:val="标准文件_附录五级无标题"/>
    <w:basedOn w:val="90"/>
    <w:qFormat/>
    <w:uiPriority w:val="0"/>
    <w:pPr>
      <w:spacing w:before="0" w:beforeLines="0" w:after="0" w:afterLines="0" w:line="276" w:lineRule="auto"/>
      <w:outlineLvl w:val="9"/>
    </w:pPr>
    <w:rPr>
      <w:rFonts w:ascii="宋体" w:eastAsia="宋体"/>
    </w:rPr>
  </w:style>
  <w:style w:type="paragraph" w:customStyle="1" w:styleId="222">
    <w:name w:val="标准文件_引言一级无标题"/>
    <w:basedOn w:val="206"/>
    <w:next w:val="62"/>
    <w:qFormat/>
    <w:uiPriority w:val="0"/>
    <w:pPr>
      <w:spacing w:before="0" w:beforeLines="0" w:after="0" w:afterLines="0" w:line="276" w:lineRule="auto"/>
    </w:pPr>
    <w:rPr>
      <w:rFonts w:ascii="宋体" w:eastAsia="宋体"/>
    </w:rPr>
  </w:style>
  <w:style w:type="paragraph" w:customStyle="1" w:styleId="223">
    <w:name w:val="标准文件_引言二级无标题"/>
    <w:basedOn w:val="207"/>
    <w:next w:val="62"/>
    <w:qFormat/>
    <w:uiPriority w:val="0"/>
    <w:pPr>
      <w:spacing w:before="0" w:beforeLines="0" w:after="0" w:afterLines="0" w:line="276" w:lineRule="auto"/>
    </w:pPr>
    <w:rPr>
      <w:rFonts w:ascii="宋体" w:eastAsia="宋体"/>
    </w:rPr>
  </w:style>
  <w:style w:type="paragraph" w:customStyle="1" w:styleId="224">
    <w:name w:val="标准文件_引言三级无标题"/>
    <w:basedOn w:val="208"/>
    <w:next w:val="62"/>
    <w:qFormat/>
    <w:uiPriority w:val="0"/>
    <w:pPr>
      <w:spacing w:before="0" w:beforeLines="0" w:after="0" w:afterLines="0" w:line="276" w:lineRule="auto"/>
    </w:pPr>
    <w:rPr>
      <w:rFonts w:ascii="宋体" w:eastAsia="宋体"/>
    </w:rPr>
  </w:style>
  <w:style w:type="paragraph" w:customStyle="1" w:styleId="225">
    <w:name w:val="标准文件_引言四级无标题"/>
    <w:basedOn w:val="209"/>
    <w:next w:val="62"/>
    <w:qFormat/>
    <w:uiPriority w:val="0"/>
    <w:pPr>
      <w:spacing w:before="0" w:beforeLines="0" w:after="0" w:afterLines="0" w:line="276" w:lineRule="auto"/>
    </w:pPr>
    <w:rPr>
      <w:rFonts w:ascii="宋体" w:eastAsia="宋体"/>
    </w:rPr>
  </w:style>
  <w:style w:type="paragraph" w:customStyle="1" w:styleId="226">
    <w:name w:val="标准文件_引言五级无标题"/>
    <w:basedOn w:val="210"/>
    <w:next w:val="62"/>
    <w:qFormat/>
    <w:uiPriority w:val="0"/>
    <w:pPr>
      <w:spacing w:before="0" w:beforeLines="0" w:after="0" w:afterLines="0" w:line="276" w:lineRule="auto"/>
    </w:pPr>
    <w:rPr>
      <w:rFonts w:ascii="宋体" w:eastAsia="宋体"/>
    </w:rPr>
  </w:style>
  <w:style w:type="paragraph" w:customStyle="1" w:styleId="227">
    <w:name w:val="标准文件_索引标题"/>
    <w:basedOn w:val="69"/>
    <w:next w:val="62"/>
    <w:qFormat/>
    <w:uiPriority w:val="0"/>
    <w:rPr>
      <w:rFonts w:hAnsi="黑体"/>
    </w:rPr>
  </w:style>
  <w:style w:type="paragraph" w:customStyle="1" w:styleId="228">
    <w:name w:val="标准文件_脚注内容"/>
    <w:basedOn w:val="62"/>
    <w:qFormat/>
    <w:uiPriority w:val="0"/>
    <w:pPr>
      <w:ind w:left="400" w:leftChars="200" w:hanging="200" w:hangingChars="200"/>
    </w:pPr>
    <w:rPr>
      <w:sz w:val="15"/>
    </w:rPr>
  </w:style>
  <w:style w:type="paragraph" w:customStyle="1" w:styleId="229">
    <w:name w:val="标准文件_术语条一"/>
    <w:basedOn w:val="168"/>
    <w:next w:val="62"/>
    <w:qFormat/>
    <w:uiPriority w:val="0"/>
  </w:style>
  <w:style w:type="paragraph" w:customStyle="1" w:styleId="230">
    <w:name w:val="标准文件_术语条二"/>
    <w:basedOn w:val="171"/>
    <w:next w:val="62"/>
    <w:qFormat/>
    <w:uiPriority w:val="0"/>
  </w:style>
  <w:style w:type="paragraph" w:customStyle="1" w:styleId="231">
    <w:name w:val="标准文件_术语条三"/>
    <w:basedOn w:val="170"/>
    <w:next w:val="62"/>
    <w:qFormat/>
    <w:uiPriority w:val="0"/>
  </w:style>
  <w:style w:type="paragraph" w:customStyle="1" w:styleId="232">
    <w:name w:val="标准文件_术语条四"/>
    <w:basedOn w:val="173"/>
    <w:next w:val="62"/>
    <w:qFormat/>
    <w:uiPriority w:val="0"/>
  </w:style>
  <w:style w:type="paragraph" w:customStyle="1" w:styleId="233">
    <w:name w:val="标准文件_术语条五"/>
    <w:basedOn w:val="169"/>
    <w:next w:val="62"/>
    <w:qFormat/>
    <w:uiPriority w:val="0"/>
  </w:style>
  <w:style w:type="paragraph" w:customStyle="1" w:styleId="23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5">
    <w:name w:val="发布"/>
    <w:basedOn w:val="32"/>
    <w:qFormat/>
    <w:uiPriority w:val="0"/>
    <w:rPr>
      <w:rFonts w:ascii="黑体" w:eastAsia="黑体"/>
      <w:spacing w:val="85"/>
      <w:w w:val="100"/>
      <w:position w:val="3"/>
      <w:sz w:val="28"/>
      <w:szCs w:val="28"/>
    </w:rPr>
  </w:style>
  <w:style w:type="table" w:customStyle="1" w:styleId="236">
    <w:name w:val="网格型1"/>
    <w:basedOn w:val="30"/>
    <w:qFormat/>
    <w:uiPriority w:val="99"/>
    <w:rPr>
      <w:rFonts w:ascii="宋体" w:hAns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237">
    <w:name w:val="批注文字 字符"/>
    <w:basedOn w:val="32"/>
    <w:link w:val="13"/>
    <w:semiHidden/>
    <w:qFormat/>
    <w:uiPriority w:val="99"/>
    <w:rPr>
      <w:rFonts w:ascii="Calibri" w:hAnsi="Calibri"/>
      <w:kern w:val="2"/>
      <w:sz w:val="21"/>
      <w:szCs w:val="21"/>
    </w:rPr>
  </w:style>
  <w:style w:type="character" w:customStyle="1" w:styleId="238">
    <w:name w:val="批注主题 字符"/>
    <w:basedOn w:val="237"/>
    <w:link w:val="29"/>
    <w:semiHidden/>
    <w:qFormat/>
    <w:uiPriority w:val="99"/>
    <w:rPr>
      <w:rFonts w:ascii="Calibri" w:hAnsi="Calibri"/>
      <w:b/>
      <w:bCs/>
      <w:kern w:val="2"/>
      <w:sz w:val="21"/>
      <w:szCs w:val="21"/>
    </w:rPr>
  </w:style>
  <w:style w:type="paragraph" w:customStyle="1" w:styleId="239">
    <w:name w:val="Revision"/>
    <w:hidden/>
    <w:unhideWhenUsed/>
    <w:qFormat/>
    <w:uiPriority w:val="99"/>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glossaryDocument" Target="glossary/document.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3.jpe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chenhao/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E051CDF2BE54DE6910978A71523488B"/>
        <w:style w:val=""/>
        <w:category>
          <w:name w:val="常规"/>
          <w:gallery w:val="placeholder"/>
        </w:category>
        <w:types>
          <w:type w:val="bbPlcHdr"/>
        </w:types>
        <w:behaviors>
          <w:behavior w:val="content"/>
        </w:behaviors>
        <w:description w:val=""/>
        <w:guid w:val="{E4E6ACE5-97E0-4D24-8F37-3E97C030BB84}"/>
      </w:docPartPr>
      <w:docPartBody>
        <w:p w14:paraId="7EC5DBBD">
          <w:pPr>
            <w:pStyle w:val="5"/>
            <w:rPr>
              <w:rFonts w:hint="eastAsia"/>
            </w:rPr>
          </w:pPr>
          <w:r>
            <w:rPr>
              <w:rStyle w:val="4"/>
              <w:rFonts w:hint="eastAsia"/>
            </w:rPr>
            <w:t>单击或点击此处输入文字。</w:t>
          </w:r>
        </w:p>
      </w:docPartBody>
    </w:docPart>
    <w:docPart>
      <w:docPartPr>
        <w:name w:val="B2B94AB5FF36453AAC934CA3EC55FCD0"/>
        <w:style w:val=""/>
        <w:category>
          <w:name w:val="常规"/>
          <w:gallery w:val="placeholder"/>
        </w:category>
        <w:types>
          <w:type w:val="bbPlcHdr"/>
        </w:types>
        <w:behaviors>
          <w:behavior w:val="content"/>
        </w:behaviors>
        <w:description w:val=""/>
        <w:guid w:val="{428FBC25-2C0C-4117-93F9-7935CC89FF49}"/>
      </w:docPartPr>
      <w:docPartBody>
        <w:p w14:paraId="73A8C496">
          <w:pPr>
            <w:pStyle w:val="6"/>
            <w:rPr>
              <w:rFonts w:hint="eastAsia"/>
            </w:rPr>
          </w:pPr>
          <w:r>
            <w:rPr>
              <w:rStyle w:val="4"/>
              <w:rFonts w:hint="eastAsia"/>
            </w:rPr>
            <w:t>选择一项。</w:t>
          </w:r>
        </w:p>
      </w:docPartBody>
    </w:docPart>
    <w:docPart>
      <w:docPartPr>
        <w:name w:val="C398F88C426D48A9A51BA631F171828A"/>
        <w:style w:val=""/>
        <w:category>
          <w:name w:val="常规"/>
          <w:gallery w:val="placeholder"/>
        </w:category>
        <w:types>
          <w:type w:val="bbPlcHdr"/>
        </w:types>
        <w:behaviors>
          <w:behavior w:val="content"/>
        </w:behaviors>
        <w:description w:val=""/>
        <w:guid w:val="{57CC8564-7A38-480E-8444-663531E7E02B}"/>
      </w:docPartPr>
      <w:docPartBody>
        <w:p w14:paraId="257AF627">
          <w:pPr>
            <w:pStyle w:val="7"/>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w:altName w:val="国标仿宋"/>
    <w:panose1 w:val="00000000000000000000"/>
    <w:charset w:val="86"/>
    <w:family w:val="auto"/>
    <w:pitch w:val="default"/>
    <w:sig w:usb0="00000000" w:usb1="00000000" w:usb2="00000000" w:usb3="00000000" w:csb0="00000000" w:csb1="00000000"/>
  </w:font>
  <w:font w:name="等线">
    <w:altName w:val="汉仪力量黑简"/>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87D"/>
    <w:rsid w:val="0002673E"/>
    <w:rsid w:val="00077B30"/>
    <w:rsid w:val="00156389"/>
    <w:rsid w:val="001D7117"/>
    <w:rsid w:val="002F5C0F"/>
    <w:rsid w:val="003864DA"/>
    <w:rsid w:val="003C79FD"/>
    <w:rsid w:val="003E1DA4"/>
    <w:rsid w:val="004315E7"/>
    <w:rsid w:val="004B03FB"/>
    <w:rsid w:val="00556B5A"/>
    <w:rsid w:val="0067657D"/>
    <w:rsid w:val="006A7546"/>
    <w:rsid w:val="00700617"/>
    <w:rsid w:val="00792E77"/>
    <w:rsid w:val="007C4BE6"/>
    <w:rsid w:val="007E2491"/>
    <w:rsid w:val="008956A8"/>
    <w:rsid w:val="009476AA"/>
    <w:rsid w:val="009850F4"/>
    <w:rsid w:val="009F29C4"/>
    <w:rsid w:val="00A50E76"/>
    <w:rsid w:val="00AB40D7"/>
    <w:rsid w:val="00B5087D"/>
    <w:rsid w:val="00B96601"/>
    <w:rsid w:val="00C42249"/>
    <w:rsid w:val="00C56900"/>
    <w:rsid w:val="00CF7472"/>
    <w:rsid w:val="00D236FB"/>
    <w:rsid w:val="00D92FD3"/>
    <w:rsid w:val="00E008D8"/>
    <w:rsid w:val="00E662F8"/>
    <w:rsid w:val="00EB5FB0"/>
    <w:rsid w:val="00EF2293"/>
    <w:rsid w:val="00FC3D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4E051CDF2BE54DE6910978A71523488B"/>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B2B94AB5FF36453AAC934CA3EC55FCD0"/>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C398F88C426D48A9A51BA631F171828A"/>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870ADD-C55D-42C8-A0BC-A10A6D5A046B}">
  <ds:schemaRefs/>
</ds:datastoreItem>
</file>

<file path=docProps/app.xml><?xml version="1.0" encoding="utf-8"?>
<Properties xmlns="http://schemas.openxmlformats.org/officeDocument/2006/extended-properties" xmlns:vt="http://schemas.openxmlformats.org/officeDocument/2006/docPropsVTypes">
  <Template>团体标准</Template>
  <Company>PCMI</Company>
  <Pages>15</Pages>
  <Words>5761</Words>
  <Characters>7375</Characters>
  <Lines>295</Lines>
  <Paragraphs>375</Paragraphs>
  <TotalTime>0</TotalTime>
  <ScaleCrop>false</ScaleCrop>
  <LinksUpToDate>false</LinksUpToDate>
  <CharactersWithSpaces>12761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2026-05-26T17:14:00Z</dcterms:created>
  <dc:creator>hx</dc:creator>
  <dc:description>&lt;config cover="true" show_menu="true" version="1.0.0" doctype="SDKXY"&gt;_x000d_
&lt;/config&gt;</dc:description>
  <cp:lastModifiedBy>chenhao</cp:lastModifiedBy>
  <cp:lastPrinted>2022-08-22T11:09:00Z</cp:lastPrinted>
  <dcterms:modified xsi:type="dcterms:W3CDTF">2026-10-28T17:08:43Z</dcterms:modified>
  <dc:title>团体标准</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2052-12.8.2.1119</vt:lpwstr>
  </property>
  <property fmtid="{D5CDD505-2E9C-101B-9397-08002B2CF9AE}" pid="15" name="KSOTemplateDocerSaveRecord">
    <vt:lpwstr>eyJoZGlkIjoiYmRmNWVkNzUzMTgwMTNjY2I5ODdhNWQ3ODk1MzcwNDEiLCJ1c2VySWQiOiI0ODEyNjg0MzcifQ==</vt:lpwstr>
  </property>
  <property fmtid="{D5CDD505-2E9C-101B-9397-08002B2CF9AE}" pid="16" name="ICV">
    <vt:lpwstr>4D6A2A6E8AC546CE93A18FDA0BB96669_13</vt:lpwstr>
  </property>
</Properties>
</file>