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373998">
      <w:pPr>
        <w:spacing w:line="360" w:lineRule="auto"/>
        <w:rPr>
          <w:rFonts w:hint="eastAsia" w:asciiTheme="majorEastAsia" w:hAnsiTheme="majorEastAsia" w:eastAsiaTheme="majorEastAsia"/>
          <w:sz w:val="28"/>
          <w:szCs w:val="28"/>
        </w:rPr>
      </w:pPr>
      <w:r>
        <w:rPr>
          <w:rFonts w:hint="eastAsia" w:asciiTheme="majorEastAsia" w:hAnsiTheme="majorEastAsia" w:eastAsiaTheme="majorEastAsia"/>
          <w:sz w:val="28"/>
          <w:szCs w:val="28"/>
        </w:rPr>
        <w:t>附件4：</w:t>
      </w:r>
    </w:p>
    <w:p w14:paraId="14A94E91">
      <w:pPr>
        <w:widowControl/>
        <w:spacing w:line="360" w:lineRule="auto"/>
        <w:jc w:val="center"/>
        <w:rPr>
          <w:rFonts w:eastAsia="黑体"/>
          <w:sz w:val="28"/>
          <w:szCs w:val="28"/>
        </w:rPr>
      </w:pPr>
      <w:r>
        <w:rPr>
          <w:rFonts w:hint="eastAsia" w:eastAsia="黑体"/>
          <w:sz w:val="28"/>
          <w:szCs w:val="28"/>
        </w:rPr>
        <w:t>中汽协会《安全车控操作系统</w:t>
      </w:r>
      <w:r>
        <w:rPr>
          <w:rFonts w:hint="eastAsia" w:eastAsia="黑体"/>
          <w:sz w:val="28"/>
          <w:szCs w:val="28"/>
          <w:lang w:val="en-US" w:eastAsia="zh-CN"/>
        </w:rPr>
        <w:t>配置</w:t>
      </w:r>
      <w:r>
        <w:rPr>
          <w:rFonts w:hint="eastAsia" w:eastAsia="黑体"/>
          <w:sz w:val="28"/>
          <w:szCs w:val="28"/>
        </w:rPr>
        <w:t>指南》团体标准编制说明</w:t>
      </w:r>
    </w:p>
    <w:p w14:paraId="3E37DC0E">
      <w:pPr>
        <w:spacing w:line="360" w:lineRule="auto"/>
        <w:rPr>
          <w:rFonts w:hint="eastAsia" w:ascii="黑体" w:hAnsi="黑体" w:eastAsia="黑体" w:cs="黑体"/>
          <w:color w:val="000000" w:themeColor="text1"/>
          <w:sz w:val="30"/>
          <w:szCs w:val="30"/>
          <w14:textFill>
            <w14:solidFill>
              <w14:schemeClr w14:val="tx1"/>
            </w14:solidFill>
          </w14:textFill>
        </w:rPr>
      </w:pPr>
    </w:p>
    <w:p w14:paraId="0001D497">
      <w:pPr>
        <w:numPr>
          <w:ilvl w:val="0"/>
          <w:numId w:val="1"/>
        </w:numPr>
        <w:spacing w:line="360" w:lineRule="auto"/>
        <w:ind w:firstLine="480" w:firstLineChars="200"/>
        <w:rPr>
          <w:rFonts w:hint="eastAsia" w:ascii="黑体" w:hAnsi="黑体" w:eastAsia="黑体" w:cs="黑体"/>
          <w:color w:val="000000" w:themeColor="text1"/>
          <w:sz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工作简要过程</w:t>
      </w:r>
    </w:p>
    <w:p w14:paraId="61454D9D">
      <w:pPr>
        <w:numPr>
          <w:ilvl w:val="0"/>
          <w:numId w:val="2"/>
        </w:numPr>
        <w:spacing w:line="360" w:lineRule="auto"/>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任务来源</w:t>
      </w:r>
    </w:p>
    <w:p w14:paraId="54494731">
      <w:pPr>
        <w:spacing w:line="360" w:lineRule="auto"/>
        <w:ind w:firstLine="420" w:firstLineChars="200"/>
        <w:rPr>
          <w:rFonts w:hint="eastAsia" w:ascii="宋体" w:hAnsi="宋体" w:cs="宋体"/>
          <w:sz w:val="21"/>
          <w:szCs w:val="21"/>
          <w:highlight w:val="none"/>
          <w:lang w:eastAsia="zh-CN"/>
        </w:rPr>
      </w:pPr>
      <w:r>
        <w:rPr>
          <w:rFonts w:ascii="宋体" w:hAnsi="宋体" w:eastAsia="宋体" w:cs="宋体"/>
          <w:sz w:val="21"/>
          <w:szCs w:val="21"/>
          <w:highlight w:val="none"/>
        </w:rPr>
        <w:t>安全车控操作系统是车控操作系统的重要组成部分，运行于</w:t>
      </w:r>
      <w:r>
        <w:rPr>
          <w:rFonts w:hint="eastAsia" w:ascii="宋体" w:hAnsi="宋体" w:cs="宋体"/>
          <w:sz w:val="21"/>
          <w:szCs w:val="21"/>
          <w:highlight w:val="none"/>
          <w:lang w:val="en-US" w:eastAsia="zh-CN"/>
        </w:rPr>
        <w:t>汽车电子控制单元及车载智能计算基础平台</w:t>
      </w:r>
      <w:r>
        <w:rPr>
          <w:rFonts w:ascii="宋体" w:hAnsi="宋体" w:eastAsia="宋体" w:cs="宋体"/>
          <w:sz w:val="21"/>
          <w:szCs w:val="21"/>
          <w:highlight w:val="none"/>
        </w:rPr>
        <w:t>硬件之上，</w:t>
      </w:r>
      <w:r>
        <w:rPr>
          <w:rFonts w:hint="eastAsia" w:ascii="宋体" w:hAnsi="宋体" w:cs="宋体"/>
          <w:sz w:val="21"/>
          <w:szCs w:val="21"/>
          <w:highlight w:val="none"/>
          <w:lang w:val="en-US" w:eastAsia="zh-CN"/>
        </w:rPr>
        <w:t>面向车辆实时控制应用场景，承担任务调度、资源管理、通信服务与故障处理等核心职责，并支撑不同安全等级软件的隔离运行，其</w:t>
      </w:r>
      <w:r>
        <w:rPr>
          <w:rFonts w:hint="eastAsia" w:ascii="宋体" w:hAnsi="宋体" w:cs="宋体"/>
          <w:sz w:val="21"/>
          <w:szCs w:val="21"/>
          <w:highlight w:val="none"/>
          <w:lang w:eastAsia="zh-CN"/>
        </w:rPr>
        <w:t>安全性、</w:t>
      </w:r>
      <w:r>
        <w:rPr>
          <w:rFonts w:hint="eastAsia" w:ascii="宋体" w:hAnsi="宋体" w:cs="宋体"/>
          <w:sz w:val="21"/>
          <w:szCs w:val="21"/>
          <w:highlight w:val="none"/>
          <w:lang w:val="en-US" w:eastAsia="zh-CN"/>
        </w:rPr>
        <w:t>实时性、</w:t>
      </w:r>
      <w:r>
        <w:rPr>
          <w:rFonts w:hint="eastAsia" w:ascii="宋体" w:hAnsi="宋体" w:cs="宋体"/>
          <w:sz w:val="21"/>
          <w:szCs w:val="21"/>
          <w:highlight w:val="none"/>
          <w:lang w:eastAsia="zh-CN"/>
        </w:rPr>
        <w:t>可靠性直接</w:t>
      </w:r>
      <w:r>
        <w:rPr>
          <w:rFonts w:hint="eastAsia" w:ascii="宋体" w:hAnsi="宋体" w:cs="宋体"/>
          <w:sz w:val="21"/>
          <w:szCs w:val="21"/>
          <w:highlight w:val="none"/>
          <w:lang w:val="en-US" w:eastAsia="zh-CN"/>
        </w:rPr>
        <w:t>影响</w:t>
      </w:r>
      <w:r>
        <w:rPr>
          <w:rFonts w:hint="eastAsia" w:ascii="宋体" w:hAnsi="宋体" w:cs="宋体"/>
          <w:sz w:val="21"/>
          <w:szCs w:val="21"/>
          <w:highlight w:val="none"/>
          <w:lang w:eastAsia="zh-CN"/>
        </w:rPr>
        <w:t>整车车控功能的安全水平。</w:t>
      </w:r>
    </w:p>
    <w:p w14:paraId="2B8F6D80">
      <w:pPr>
        <w:spacing w:line="360" w:lineRule="auto"/>
        <w:ind w:firstLine="420" w:firstLineChars="200"/>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当前，随着智能网联汽车产业的快速发展，安全车控操作系统</w:t>
      </w:r>
      <w:r>
        <w:rPr>
          <w:rFonts w:hint="eastAsia" w:ascii="宋体" w:hAnsi="宋体" w:cs="宋体"/>
          <w:color w:val="000000" w:themeColor="text1"/>
          <w:szCs w:val="21"/>
          <w:highlight w:val="none"/>
          <w:lang w:val="en-US" w:eastAsia="zh-CN"/>
          <w14:textFill>
            <w14:solidFill>
              <w14:schemeClr w14:val="tx1"/>
            </w14:solidFill>
          </w14:textFill>
        </w:rPr>
        <w:t>的应用场景不断拓展，参</w:t>
      </w:r>
      <w:r>
        <w:rPr>
          <w:rFonts w:hint="eastAsia" w:ascii="宋体" w:hAnsi="宋体" w:cs="宋体"/>
          <w:color w:val="000000" w:themeColor="text1"/>
          <w:szCs w:val="21"/>
          <w:lang w:val="en-US" w:eastAsia="zh-CN"/>
          <w14:textFill>
            <w14:solidFill>
              <w14:schemeClr w14:val="tx1"/>
            </w14:solidFill>
          </w14:textFill>
        </w:rPr>
        <w:t>与厂商日益增多。各厂商产品在配置流程、配置方法、配置参数及工具链支持等方面存在显著差异，配置工作的质量高度依赖工程师个人经验，行业层面缺少统一的配置流程规范与配置要求指导。配置是连接需求与实现的桥梁，配置的正确性与完整性直接影响系统的功能、性能与安全水平，配置不当已成为引发系统功能异常与安全风险的常见原因。整车厂商和供应商普遍面临配置口径不统一、配置质量难以评估、安全机制参数化缺少依据等问题，制约了行业的高效协作与安全水平提升。因此，制定一项团体标准《安全车控操作系统配置指南》显得尤为重要。</w:t>
      </w:r>
    </w:p>
    <w:p w14:paraId="726E9000">
      <w:pPr>
        <w:spacing w:line="360" w:lineRule="auto"/>
        <w:ind w:firstLine="420" w:firstLineChars="200"/>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本标准致力于为安全车控操作系统建立统一、完整的配置流程与分层配置要求，为其工程配置实施、质量评价与产品改进提供指导性依据。《安全车控操作系统配置指南》团体标准由普华基础软件股份有限公司向中国汽车工业协会提出申请，经立项论证通过下达编制计划（文件号：中汽协函字〔2026〕007号）。</w:t>
      </w:r>
    </w:p>
    <w:p w14:paraId="66876910">
      <w:pPr>
        <w:numPr>
          <w:ilvl w:val="0"/>
          <w:numId w:val="2"/>
        </w:numPr>
        <w:spacing w:line="360" w:lineRule="auto"/>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主要起草单位及任务分工</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3574"/>
        <w:gridCol w:w="2963"/>
      </w:tblGrid>
      <w:tr w14:paraId="3517E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0860ACF9">
            <w:pPr>
              <w:spacing w:line="360" w:lineRule="auto"/>
              <w:jc w:val="center"/>
              <w:rPr>
                <w:b/>
                <w:bCs/>
              </w:rPr>
            </w:pPr>
            <w:r>
              <w:rPr>
                <w:rFonts w:hint="eastAsia"/>
                <w:b/>
                <w:bCs/>
              </w:rPr>
              <w:t>公司类型</w:t>
            </w:r>
          </w:p>
        </w:tc>
        <w:tc>
          <w:tcPr>
            <w:tcW w:w="3574" w:type="dxa"/>
            <w:vAlign w:val="center"/>
          </w:tcPr>
          <w:p w14:paraId="7FD88D6B">
            <w:pPr>
              <w:pStyle w:val="12"/>
              <w:widowControl w:val="0"/>
              <w:spacing w:line="360" w:lineRule="auto"/>
              <w:ind w:left="0" w:leftChars="0" w:firstLine="0" w:firstLineChars="0"/>
              <w:jc w:val="center"/>
              <w:rPr>
                <w:b/>
                <w:bCs/>
              </w:rPr>
            </w:pPr>
            <w:r>
              <w:rPr>
                <w:rFonts w:hint="eastAsia"/>
                <w:b/>
                <w:bCs/>
              </w:rPr>
              <w:t>公司名称</w:t>
            </w:r>
          </w:p>
        </w:tc>
        <w:tc>
          <w:tcPr>
            <w:tcW w:w="2963" w:type="dxa"/>
            <w:vAlign w:val="center"/>
          </w:tcPr>
          <w:p w14:paraId="31B62E38">
            <w:pPr>
              <w:pStyle w:val="12"/>
              <w:widowControl w:val="0"/>
              <w:spacing w:line="360" w:lineRule="auto"/>
              <w:ind w:left="0" w:leftChars="0" w:firstLine="0" w:firstLineChars="0"/>
              <w:jc w:val="center"/>
              <w:rPr>
                <w:b/>
                <w:bCs/>
              </w:rPr>
            </w:pPr>
            <w:r>
              <w:rPr>
                <w:rFonts w:hint="eastAsia"/>
                <w:b/>
                <w:bCs/>
              </w:rPr>
              <w:t>总体职责</w:t>
            </w:r>
          </w:p>
        </w:tc>
      </w:tr>
      <w:tr w14:paraId="22EEC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3FF6BF7D">
            <w:pPr>
              <w:pStyle w:val="12"/>
              <w:widowControl w:val="0"/>
              <w:spacing w:line="360" w:lineRule="auto"/>
              <w:ind w:right="8" w:firstLine="0" w:firstLineChars="0"/>
              <w:jc w:val="left"/>
              <w:rPr>
                <w:rFonts w:hint="default" w:eastAsia="宋体"/>
                <w:szCs w:val="21"/>
                <w:lang w:val="en-US" w:eastAsia="zh-CN"/>
              </w:rPr>
            </w:pPr>
            <w:r>
              <w:rPr>
                <w:rFonts w:hint="eastAsia"/>
                <w:szCs w:val="21"/>
                <w:lang w:val="en-US" w:eastAsia="zh-CN"/>
              </w:rPr>
              <w:t>操作系统供应商</w:t>
            </w:r>
          </w:p>
        </w:tc>
        <w:tc>
          <w:tcPr>
            <w:tcW w:w="3574" w:type="dxa"/>
            <w:vAlign w:val="center"/>
          </w:tcPr>
          <w:p w14:paraId="781CFCF7">
            <w:pPr>
              <w:pStyle w:val="12"/>
              <w:widowControl w:val="0"/>
              <w:spacing w:line="360" w:lineRule="auto"/>
              <w:ind w:right="8" w:firstLine="0" w:firstLineChars="0"/>
              <w:jc w:val="left"/>
              <w:rPr>
                <w:szCs w:val="21"/>
              </w:rPr>
            </w:pPr>
            <w:r>
              <w:rPr>
                <w:rFonts w:hint="eastAsia"/>
                <w:szCs w:val="21"/>
              </w:rPr>
              <w:t>普华基础软件</w:t>
            </w:r>
            <w:r>
              <w:rPr>
                <w:szCs w:val="21"/>
              </w:rPr>
              <w:t>股份有限公司</w:t>
            </w:r>
          </w:p>
        </w:tc>
        <w:tc>
          <w:tcPr>
            <w:tcW w:w="2963" w:type="dxa"/>
            <w:vAlign w:val="center"/>
          </w:tcPr>
          <w:p w14:paraId="0B2198C7">
            <w:pPr>
              <w:pStyle w:val="12"/>
              <w:widowControl w:val="0"/>
              <w:spacing w:line="360" w:lineRule="auto"/>
              <w:ind w:left="0" w:leftChars="0" w:firstLine="0" w:firstLineChars="0"/>
              <w:jc w:val="left"/>
              <w:rPr>
                <w:rFonts w:hint="default"/>
                <w:lang w:val="en-US"/>
              </w:rPr>
            </w:pPr>
            <w:r>
              <w:rPr>
                <w:rFonts w:hint="eastAsia"/>
                <w:lang w:val="en-US" w:eastAsia="zh-CN"/>
              </w:rPr>
              <w:t>标准牵头单位，负责标准框架设计、条文起草、修改和报批</w:t>
            </w:r>
          </w:p>
        </w:tc>
      </w:tr>
      <w:tr w14:paraId="4B8B7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vAlign w:val="center"/>
          </w:tcPr>
          <w:p w14:paraId="3A3EB94E">
            <w:pPr>
              <w:pStyle w:val="12"/>
              <w:widowControl w:val="0"/>
              <w:spacing w:line="360" w:lineRule="auto"/>
              <w:ind w:firstLine="0" w:firstLineChars="0"/>
              <w:jc w:val="left"/>
              <w:rPr>
                <w:rFonts w:hint="eastAsia"/>
              </w:rPr>
            </w:pPr>
            <w:r>
              <w:rPr>
                <w:rFonts w:hint="eastAsia"/>
                <w:lang w:val="en-US" w:eastAsia="zh-CN"/>
              </w:rPr>
              <w:t>主机厂</w:t>
            </w:r>
          </w:p>
        </w:tc>
        <w:tc>
          <w:tcPr>
            <w:tcW w:w="3574" w:type="dxa"/>
            <w:shd w:val="clear" w:color="auto" w:fill="auto"/>
            <w:vAlign w:val="center"/>
          </w:tcPr>
          <w:p w14:paraId="716D6094">
            <w:pPr>
              <w:pStyle w:val="12"/>
              <w:widowControl w:val="0"/>
              <w:spacing w:line="360" w:lineRule="auto"/>
              <w:ind w:right="8" w:rightChars="0" w:firstLine="0" w:firstLineChars="0"/>
              <w:jc w:val="left"/>
              <w:rPr>
                <w:rFonts w:hint="eastAsia"/>
                <w:szCs w:val="21"/>
              </w:rPr>
            </w:pPr>
            <w:r>
              <w:rPr>
                <w:rFonts w:hint="eastAsia"/>
                <w:szCs w:val="21"/>
              </w:rPr>
              <w:t>中国第一汽车集团有限公司</w:t>
            </w:r>
          </w:p>
        </w:tc>
        <w:tc>
          <w:tcPr>
            <w:tcW w:w="2963" w:type="dxa"/>
            <w:vAlign w:val="center"/>
          </w:tcPr>
          <w:p w14:paraId="79B0B879">
            <w:pPr>
              <w:pStyle w:val="12"/>
              <w:widowControl w:val="0"/>
              <w:spacing w:line="360" w:lineRule="auto"/>
              <w:ind w:firstLine="0" w:firstLineChars="0"/>
              <w:jc w:val="left"/>
              <w:rPr>
                <w:rFonts w:hint="default"/>
                <w:highlight w:val="none"/>
                <w:lang w:val="en-US" w:eastAsia="zh-CN"/>
              </w:rPr>
            </w:pPr>
            <w:r>
              <w:rPr>
                <w:rFonts w:hint="eastAsia"/>
                <w:highlight w:val="none"/>
                <w:lang w:val="en-US" w:eastAsia="zh-CN"/>
              </w:rPr>
              <w:t>标准</w:t>
            </w:r>
            <w:r>
              <w:rPr>
                <w:rFonts w:hint="eastAsia"/>
                <w:highlight w:val="none"/>
                <w:shd w:val="clear"/>
                <w:lang w:val="en-US" w:eastAsia="zh-CN"/>
              </w:rPr>
              <w:t>联合牵头单位，负责标准条文起草、内容审核、修改和报批</w:t>
            </w:r>
          </w:p>
        </w:tc>
      </w:tr>
      <w:tr w14:paraId="1C76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tcBorders/>
            <w:vAlign w:val="center"/>
          </w:tcPr>
          <w:p w14:paraId="0659ADC2">
            <w:pPr>
              <w:pStyle w:val="12"/>
              <w:widowControl w:val="0"/>
              <w:spacing w:line="360" w:lineRule="auto"/>
              <w:ind w:firstLine="0" w:firstLineChars="0"/>
              <w:jc w:val="left"/>
              <w:rPr>
                <w:rFonts w:hint="eastAsia"/>
              </w:rPr>
            </w:pPr>
          </w:p>
        </w:tc>
        <w:tc>
          <w:tcPr>
            <w:tcW w:w="3574" w:type="dxa"/>
            <w:shd w:val="clear" w:color="auto" w:fill="auto"/>
            <w:vAlign w:val="center"/>
          </w:tcPr>
          <w:p w14:paraId="4C677CF6">
            <w:pPr>
              <w:pStyle w:val="12"/>
              <w:widowControl w:val="0"/>
              <w:spacing w:line="360" w:lineRule="auto"/>
              <w:ind w:right="8" w:rightChars="0" w:firstLine="0" w:firstLineChars="0"/>
              <w:jc w:val="left"/>
              <w:rPr>
                <w:rFonts w:hint="default" w:ascii="宋体" w:hAnsi="Times New Roman" w:eastAsia="宋体" w:cs="Times New Roman"/>
                <w:sz w:val="21"/>
                <w:szCs w:val="21"/>
                <w:lang w:val="en-US" w:eastAsia="zh-CN" w:bidi="ar-SA"/>
              </w:rPr>
            </w:pPr>
            <w:r>
              <w:rPr>
                <w:rFonts w:hint="eastAsia" w:cs="Times New Roman"/>
                <w:sz w:val="21"/>
                <w:szCs w:val="21"/>
                <w:lang w:val="en-US" w:eastAsia="zh-CN" w:bidi="ar-SA"/>
              </w:rPr>
              <w:t>东风汽车集团有限公司研发总院</w:t>
            </w:r>
          </w:p>
        </w:tc>
        <w:tc>
          <w:tcPr>
            <w:tcW w:w="2963" w:type="dxa"/>
            <w:vMerge w:val="restart"/>
            <w:vAlign w:val="center"/>
          </w:tcPr>
          <w:p w14:paraId="50DDD839">
            <w:pPr>
              <w:pStyle w:val="12"/>
              <w:widowControl w:val="0"/>
              <w:spacing w:line="360" w:lineRule="auto"/>
              <w:ind w:firstLine="0" w:firstLineChars="0"/>
              <w:jc w:val="left"/>
              <w:rPr>
                <w:rFonts w:hint="eastAsia"/>
                <w:highlight w:val="none"/>
                <w:lang w:val="en-US" w:eastAsia="zh-CN"/>
              </w:rPr>
            </w:pPr>
            <w:r>
              <w:rPr>
                <w:rFonts w:hint="eastAsia"/>
                <w:highlight w:val="none"/>
                <w:lang w:val="en-US" w:eastAsia="zh-CN"/>
              </w:rPr>
              <w:t>标准参与单位，结合量产项目实践对标准草案进行实践验证，反馈流程与要求的适用性意见</w:t>
            </w:r>
          </w:p>
        </w:tc>
      </w:tr>
      <w:tr w14:paraId="5573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tcBorders/>
            <w:vAlign w:val="center"/>
          </w:tcPr>
          <w:p w14:paraId="5BB00EEB">
            <w:pPr>
              <w:pStyle w:val="12"/>
              <w:widowControl w:val="0"/>
              <w:spacing w:line="360" w:lineRule="auto"/>
              <w:ind w:firstLine="0" w:firstLineChars="0"/>
              <w:jc w:val="left"/>
              <w:rPr>
                <w:rFonts w:hint="eastAsia"/>
              </w:rPr>
            </w:pPr>
          </w:p>
        </w:tc>
        <w:tc>
          <w:tcPr>
            <w:tcW w:w="3574" w:type="dxa"/>
            <w:shd w:val="clear" w:color="auto" w:fill="auto"/>
            <w:vAlign w:val="center"/>
          </w:tcPr>
          <w:p w14:paraId="5E1B8ED9">
            <w:pPr>
              <w:pStyle w:val="12"/>
              <w:widowControl w:val="0"/>
              <w:spacing w:line="360" w:lineRule="auto"/>
              <w:ind w:right="8" w:rightChars="0" w:firstLine="0" w:firstLineChars="0"/>
              <w:jc w:val="left"/>
              <w:rPr>
                <w:rFonts w:hint="eastAsia" w:ascii="宋体" w:hAnsi="Times New Roman" w:eastAsia="宋体" w:cs="Times New Roman"/>
                <w:sz w:val="21"/>
                <w:szCs w:val="21"/>
                <w:lang w:val="en-US" w:eastAsia="zh-CN" w:bidi="ar-SA"/>
              </w:rPr>
            </w:pPr>
            <w:r>
              <w:rPr>
                <w:rFonts w:hint="eastAsia"/>
                <w:szCs w:val="21"/>
              </w:rPr>
              <w:t>北京汽车研究总院有限公司</w:t>
            </w:r>
          </w:p>
        </w:tc>
        <w:tc>
          <w:tcPr>
            <w:tcW w:w="2963" w:type="dxa"/>
            <w:vMerge w:val="continue"/>
            <w:vAlign w:val="center"/>
          </w:tcPr>
          <w:p w14:paraId="439F8E3D">
            <w:pPr>
              <w:pStyle w:val="12"/>
              <w:widowControl w:val="0"/>
              <w:spacing w:line="360" w:lineRule="auto"/>
              <w:ind w:firstLine="0" w:firstLineChars="0"/>
              <w:jc w:val="left"/>
              <w:rPr>
                <w:rFonts w:hint="eastAsia"/>
                <w:highlight w:val="none"/>
                <w:lang w:val="en-US" w:eastAsia="zh-CN"/>
              </w:rPr>
            </w:pPr>
          </w:p>
        </w:tc>
      </w:tr>
      <w:tr w14:paraId="341F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tcBorders/>
            <w:vAlign w:val="center"/>
          </w:tcPr>
          <w:p w14:paraId="35C4C5A9">
            <w:pPr>
              <w:pStyle w:val="12"/>
              <w:widowControl w:val="0"/>
              <w:spacing w:line="360" w:lineRule="auto"/>
              <w:ind w:firstLine="0" w:firstLineChars="0"/>
              <w:jc w:val="left"/>
              <w:rPr>
                <w:rFonts w:hint="eastAsia"/>
              </w:rPr>
            </w:pPr>
          </w:p>
        </w:tc>
        <w:tc>
          <w:tcPr>
            <w:tcW w:w="3574" w:type="dxa"/>
            <w:shd w:val="clear" w:color="auto" w:fill="auto"/>
            <w:vAlign w:val="center"/>
          </w:tcPr>
          <w:p w14:paraId="3ECF9874">
            <w:pPr>
              <w:pStyle w:val="12"/>
              <w:widowControl w:val="0"/>
              <w:spacing w:line="360" w:lineRule="auto"/>
              <w:ind w:right="8" w:rightChars="0" w:firstLine="0" w:firstLineChars="0"/>
              <w:jc w:val="left"/>
              <w:rPr>
                <w:rFonts w:hint="eastAsia" w:ascii="宋体" w:hAnsi="Times New Roman" w:eastAsia="宋体" w:cs="Times New Roman"/>
                <w:sz w:val="21"/>
                <w:szCs w:val="21"/>
                <w:lang w:val="en-US" w:eastAsia="zh-CN" w:bidi="ar-SA"/>
              </w:rPr>
            </w:pPr>
            <w:r>
              <w:rPr>
                <w:rFonts w:hint="eastAsia"/>
                <w:szCs w:val="21"/>
              </w:rPr>
              <w:t>中国重型汽车集团有限公司</w:t>
            </w:r>
          </w:p>
        </w:tc>
        <w:tc>
          <w:tcPr>
            <w:tcW w:w="2963" w:type="dxa"/>
            <w:vMerge w:val="continue"/>
            <w:vAlign w:val="center"/>
          </w:tcPr>
          <w:p w14:paraId="58F0F419">
            <w:pPr>
              <w:pStyle w:val="12"/>
              <w:widowControl w:val="0"/>
              <w:spacing w:line="360" w:lineRule="auto"/>
              <w:ind w:firstLine="0" w:firstLineChars="0"/>
              <w:jc w:val="left"/>
              <w:rPr>
                <w:rFonts w:hint="eastAsia"/>
                <w:highlight w:val="none"/>
                <w:lang w:val="en-US" w:eastAsia="zh-CN"/>
              </w:rPr>
            </w:pPr>
          </w:p>
        </w:tc>
      </w:tr>
      <w:tr w14:paraId="33777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center"/>
          </w:tcPr>
          <w:p w14:paraId="57324EBC">
            <w:pPr>
              <w:pStyle w:val="12"/>
              <w:widowControl w:val="0"/>
              <w:spacing w:line="360" w:lineRule="auto"/>
              <w:ind w:firstLine="0" w:firstLineChars="0"/>
              <w:jc w:val="left"/>
              <w:rPr>
                <w:rFonts w:hint="eastAsia" w:ascii="宋体" w:hAnsi="Times New Roman" w:eastAsia="宋体" w:cs="Times New Roman"/>
                <w:sz w:val="21"/>
                <w:lang w:val="en-US" w:eastAsia="zh-CN" w:bidi="ar-SA"/>
              </w:rPr>
            </w:pPr>
            <w:r>
              <w:rPr>
                <w:rFonts w:hint="eastAsia"/>
                <w:lang w:val="en-US" w:eastAsia="zh-CN"/>
              </w:rPr>
              <w:t>检测机构</w:t>
            </w:r>
          </w:p>
        </w:tc>
        <w:tc>
          <w:tcPr>
            <w:tcW w:w="3574" w:type="dxa"/>
            <w:shd w:val="clear" w:color="auto" w:fill="auto"/>
            <w:vAlign w:val="center"/>
          </w:tcPr>
          <w:p w14:paraId="23E99734">
            <w:pPr>
              <w:pStyle w:val="12"/>
              <w:widowControl w:val="0"/>
              <w:spacing w:line="360" w:lineRule="auto"/>
              <w:ind w:right="8" w:rightChars="0" w:firstLine="0" w:firstLineChars="0"/>
              <w:jc w:val="left"/>
              <w:rPr>
                <w:rFonts w:hint="eastAsia" w:ascii="宋体" w:hAnsi="Times New Roman" w:eastAsia="宋体" w:cs="Times New Roman"/>
                <w:sz w:val="21"/>
                <w:szCs w:val="21"/>
                <w:lang w:val="en-US" w:eastAsia="zh-CN" w:bidi="ar-SA"/>
              </w:rPr>
            </w:pPr>
            <w:r>
              <w:rPr>
                <w:rFonts w:hint="eastAsia"/>
                <w:szCs w:val="21"/>
                <w:lang w:val="en-US" w:eastAsia="zh-CN"/>
              </w:rPr>
              <w:t>上海机动车检测认证技术研究中心有限公司</w:t>
            </w:r>
          </w:p>
        </w:tc>
        <w:tc>
          <w:tcPr>
            <w:tcW w:w="2963" w:type="dxa"/>
            <w:shd w:val="clear" w:color="auto" w:fill="auto"/>
            <w:vAlign w:val="center"/>
          </w:tcPr>
          <w:p w14:paraId="52AD90EE">
            <w:pPr>
              <w:pStyle w:val="12"/>
              <w:widowControl w:val="0"/>
              <w:spacing w:line="360" w:lineRule="auto"/>
              <w:ind w:firstLine="0" w:firstLineChars="0"/>
              <w:jc w:val="left"/>
              <w:rPr>
                <w:rFonts w:hint="default" w:ascii="宋体" w:hAnsi="Times New Roman" w:eastAsia="宋体" w:cs="Times New Roman"/>
                <w:sz w:val="21"/>
                <w:highlight w:val="none"/>
                <w:lang w:val="en-US" w:eastAsia="zh-CN" w:bidi="ar-SA"/>
              </w:rPr>
            </w:pPr>
            <w:r>
              <w:rPr>
                <w:rFonts w:hint="eastAsia" w:cs="Times New Roman"/>
                <w:sz w:val="21"/>
                <w:highlight w:val="none"/>
                <w:lang w:val="en-US" w:eastAsia="zh-CN" w:bidi="ar-SA"/>
              </w:rPr>
              <w:t>标准参与单位，从检测认证视角对标准草案内容进行实践与验证，反馈配置要求可测试性与可评价性意见</w:t>
            </w:r>
          </w:p>
        </w:tc>
      </w:tr>
      <w:tr w14:paraId="04D1C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14:paraId="0D7BB79B">
            <w:pPr>
              <w:pStyle w:val="12"/>
              <w:widowControl w:val="0"/>
              <w:spacing w:line="360" w:lineRule="auto"/>
              <w:ind w:firstLine="0" w:firstLineChars="0"/>
              <w:jc w:val="left"/>
              <w:rPr>
                <w:rFonts w:hint="default" w:eastAsia="宋体"/>
                <w:lang w:val="en-US" w:eastAsia="zh-CN"/>
              </w:rPr>
            </w:pPr>
            <w:r>
              <w:rPr>
                <w:rFonts w:hint="eastAsia"/>
                <w:lang w:val="en-US" w:eastAsia="zh-CN"/>
              </w:rPr>
              <w:t>基础软件供应商</w:t>
            </w:r>
          </w:p>
        </w:tc>
        <w:tc>
          <w:tcPr>
            <w:tcW w:w="3574" w:type="dxa"/>
            <w:vAlign w:val="center"/>
          </w:tcPr>
          <w:p w14:paraId="5B4088C2">
            <w:pPr>
              <w:pStyle w:val="12"/>
              <w:widowControl w:val="0"/>
              <w:spacing w:line="360" w:lineRule="auto"/>
              <w:ind w:right="8" w:firstLine="0" w:firstLineChars="0"/>
              <w:jc w:val="left"/>
              <w:rPr>
                <w:rFonts w:hint="eastAsia"/>
                <w:szCs w:val="21"/>
              </w:rPr>
            </w:pPr>
            <w:r>
              <w:rPr>
                <w:rFonts w:hint="eastAsia"/>
                <w:szCs w:val="21"/>
              </w:rPr>
              <w:t>国汽智控（北京）科技有限公司</w:t>
            </w:r>
          </w:p>
        </w:tc>
        <w:tc>
          <w:tcPr>
            <w:tcW w:w="2963" w:type="dxa"/>
            <w:vAlign w:val="center"/>
          </w:tcPr>
          <w:p w14:paraId="03E65516">
            <w:pPr>
              <w:pStyle w:val="12"/>
              <w:widowControl w:val="0"/>
              <w:spacing w:line="360" w:lineRule="auto"/>
              <w:ind w:firstLine="0" w:firstLineChars="0"/>
              <w:jc w:val="left"/>
              <w:rPr>
                <w:rFonts w:hint="default"/>
                <w:highlight w:val="none"/>
                <w:lang w:val="en-US" w:eastAsia="zh-CN"/>
              </w:rPr>
            </w:pPr>
            <w:r>
              <w:rPr>
                <w:rFonts w:hint="eastAsia"/>
                <w:highlight w:val="none"/>
                <w:lang w:val="en-US" w:eastAsia="zh-CN"/>
              </w:rPr>
              <w:t>标准参与单位，从产品化与配置工具链角度对草案内容进行审核并反馈一致性意见</w:t>
            </w:r>
          </w:p>
        </w:tc>
      </w:tr>
      <w:tr w14:paraId="0909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vAlign w:val="center"/>
          </w:tcPr>
          <w:p w14:paraId="643FF382">
            <w:pPr>
              <w:pStyle w:val="12"/>
              <w:widowControl w:val="0"/>
              <w:spacing w:line="360" w:lineRule="auto"/>
              <w:ind w:firstLine="0" w:firstLineChars="0"/>
              <w:jc w:val="left"/>
            </w:pPr>
            <w:r>
              <w:rPr>
                <w:rFonts w:hint="eastAsia"/>
              </w:rPr>
              <w:t>Tier1</w:t>
            </w:r>
          </w:p>
        </w:tc>
        <w:tc>
          <w:tcPr>
            <w:tcW w:w="3574" w:type="dxa"/>
            <w:vAlign w:val="center"/>
          </w:tcPr>
          <w:p w14:paraId="046DB578">
            <w:pPr>
              <w:pStyle w:val="12"/>
              <w:widowControl w:val="0"/>
              <w:spacing w:line="360" w:lineRule="auto"/>
              <w:ind w:right="8" w:firstLine="0" w:firstLineChars="0"/>
              <w:jc w:val="left"/>
              <w:rPr>
                <w:szCs w:val="21"/>
              </w:rPr>
            </w:pPr>
            <w:r>
              <w:rPr>
                <w:rFonts w:hint="eastAsia"/>
                <w:szCs w:val="21"/>
              </w:rPr>
              <w:t>上海丰蕾信息科技有限公司</w:t>
            </w:r>
          </w:p>
        </w:tc>
        <w:tc>
          <w:tcPr>
            <w:tcW w:w="2963" w:type="dxa"/>
            <w:vMerge w:val="restart"/>
            <w:vAlign w:val="center"/>
          </w:tcPr>
          <w:p w14:paraId="7FD77E01">
            <w:pPr>
              <w:pStyle w:val="12"/>
              <w:widowControl w:val="0"/>
              <w:spacing w:line="360" w:lineRule="auto"/>
              <w:ind w:firstLine="0" w:firstLineChars="0"/>
              <w:jc w:val="left"/>
              <w:rPr>
                <w:highlight w:val="none"/>
              </w:rPr>
            </w:pPr>
            <w:r>
              <w:rPr>
                <w:rFonts w:hint="eastAsia"/>
                <w:highlight w:val="none"/>
                <w:lang w:val="en-US" w:eastAsia="zh-CN"/>
              </w:rPr>
              <w:t>标准参与单位，从控制器开发与软件集成角度对标准草案进行实践验证，反馈配置要求在工程实践中的可操作性意见</w:t>
            </w:r>
          </w:p>
        </w:tc>
      </w:tr>
      <w:tr w14:paraId="46A4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704" w:type="dxa"/>
            <w:vMerge w:val="continue"/>
            <w:vAlign w:val="center"/>
          </w:tcPr>
          <w:p w14:paraId="5A4FC4AB">
            <w:pPr>
              <w:pStyle w:val="12"/>
              <w:widowControl w:val="0"/>
              <w:spacing w:line="360" w:lineRule="auto"/>
              <w:ind w:firstLine="0" w:firstLineChars="0"/>
              <w:jc w:val="left"/>
            </w:pPr>
          </w:p>
        </w:tc>
        <w:tc>
          <w:tcPr>
            <w:tcW w:w="3574" w:type="dxa"/>
            <w:vAlign w:val="center"/>
          </w:tcPr>
          <w:p w14:paraId="4138C1AB">
            <w:pPr>
              <w:pStyle w:val="12"/>
              <w:widowControl w:val="0"/>
              <w:spacing w:line="360" w:lineRule="auto"/>
              <w:ind w:right="8" w:firstLine="0" w:firstLineChars="0"/>
              <w:jc w:val="left"/>
              <w:rPr>
                <w:szCs w:val="21"/>
              </w:rPr>
            </w:pPr>
            <w:r>
              <w:rPr>
                <w:rFonts w:hint="eastAsia"/>
                <w:szCs w:val="21"/>
              </w:rPr>
              <w:t>北京英创汇智汽车技术有限公司</w:t>
            </w:r>
          </w:p>
        </w:tc>
        <w:tc>
          <w:tcPr>
            <w:tcW w:w="2963" w:type="dxa"/>
            <w:vMerge w:val="continue"/>
            <w:vAlign w:val="center"/>
          </w:tcPr>
          <w:p w14:paraId="396A8607">
            <w:pPr>
              <w:pStyle w:val="12"/>
              <w:widowControl w:val="0"/>
              <w:spacing w:line="360" w:lineRule="auto"/>
              <w:ind w:firstLine="420"/>
              <w:jc w:val="left"/>
              <w:rPr>
                <w:highlight w:val="none"/>
              </w:rPr>
            </w:pPr>
          </w:p>
        </w:tc>
      </w:tr>
      <w:tr w14:paraId="15B3A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vAlign w:val="center"/>
          </w:tcPr>
          <w:p w14:paraId="3ABDAAD8">
            <w:pPr>
              <w:pStyle w:val="12"/>
              <w:widowControl w:val="0"/>
              <w:spacing w:line="360" w:lineRule="auto"/>
              <w:ind w:firstLine="0" w:firstLineChars="0"/>
              <w:jc w:val="left"/>
            </w:pPr>
            <w:r>
              <w:rPr>
                <w:rFonts w:hint="eastAsia"/>
              </w:rPr>
              <w:t>芯片厂商</w:t>
            </w:r>
          </w:p>
        </w:tc>
        <w:tc>
          <w:tcPr>
            <w:tcW w:w="3574" w:type="dxa"/>
            <w:vAlign w:val="center"/>
          </w:tcPr>
          <w:p w14:paraId="194FE7E1">
            <w:pPr>
              <w:pStyle w:val="12"/>
              <w:widowControl w:val="0"/>
              <w:spacing w:line="360" w:lineRule="auto"/>
              <w:ind w:right="8" w:firstLine="0" w:firstLineChars="0"/>
              <w:jc w:val="left"/>
              <w:rPr>
                <w:szCs w:val="21"/>
              </w:rPr>
            </w:pPr>
            <w:r>
              <w:rPr>
                <w:rFonts w:hint="eastAsia"/>
                <w:szCs w:val="21"/>
              </w:rPr>
              <w:t>黑芝麻</w:t>
            </w:r>
            <w:r>
              <w:rPr>
                <w:szCs w:val="21"/>
              </w:rPr>
              <w:t>智能科技有限公司</w:t>
            </w:r>
          </w:p>
        </w:tc>
        <w:tc>
          <w:tcPr>
            <w:tcW w:w="2963" w:type="dxa"/>
            <w:vMerge w:val="restart"/>
            <w:vAlign w:val="center"/>
          </w:tcPr>
          <w:p w14:paraId="297F5A30">
            <w:pPr>
              <w:pStyle w:val="12"/>
              <w:widowControl w:val="0"/>
              <w:spacing w:line="360" w:lineRule="auto"/>
              <w:ind w:firstLine="0" w:firstLineChars="0"/>
              <w:jc w:val="left"/>
              <w:rPr>
                <w:rFonts w:hint="default"/>
                <w:highlight w:val="none"/>
                <w:lang w:val="en-US"/>
              </w:rPr>
            </w:pPr>
            <w:r>
              <w:rPr>
                <w:rFonts w:hint="eastAsia"/>
                <w:highlight w:val="none"/>
                <w:lang w:val="en-US" w:eastAsia="zh-CN"/>
              </w:rPr>
              <w:t>标准参与单位，从芯片平台与硬件驱动角度对标准草案进行实践与验证，反馈适配性意见</w:t>
            </w:r>
          </w:p>
        </w:tc>
      </w:tr>
      <w:tr w14:paraId="591D0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vAlign w:val="center"/>
          </w:tcPr>
          <w:p w14:paraId="2812C544">
            <w:pPr>
              <w:pStyle w:val="12"/>
              <w:widowControl w:val="0"/>
              <w:spacing w:line="360" w:lineRule="auto"/>
              <w:ind w:firstLine="0" w:firstLineChars="0"/>
              <w:jc w:val="left"/>
            </w:pPr>
          </w:p>
        </w:tc>
        <w:tc>
          <w:tcPr>
            <w:tcW w:w="3574" w:type="dxa"/>
            <w:vAlign w:val="center"/>
          </w:tcPr>
          <w:p w14:paraId="73267D6B">
            <w:pPr>
              <w:pStyle w:val="12"/>
              <w:widowControl w:val="0"/>
              <w:spacing w:line="360" w:lineRule="auto"/>
              <w:ind w:right="8" w:firstLine="0" w:firstLineChars="0"/>
              <w:jc w:val="left"/>
              <w:rPr>
                <w:szCs w:val="21"/>
              </w:rPr>
            </w:pPr>
            <w:r>
              <w:rPr>
                <w:szCs w:val="21"/>
              </w:rPr>
              <w:t>紫光同芯微电子有限公司</w:t>
            </w:r>
          </w:p>
        </w:tc>
        <w:tc>
          <w:tcPr>
            <w:tcW w:w="2963" w:type="dxa"/>
            <w:vMerge w:val="continue"/>
            <w:vAlign w:val="center"/>
          </w:tcPr>
          <w:p w14:paraId="26A66929">
            <w:pPr>
              <w:pStyle w:val="12"/>
              <w:widowControl w:val="0"/>
              <w:spacing w:line="360" w:lineRule="auto"/>
              <w:ind w:firstLine="420"/>
              <w:jc w:val="left"/>
              <w:rPr>
                <w:highlight w:val="yellow"/>
              </w:rPr>
            </w:pPr>
          </w:p>
        </w:tc>
      </w:tr>
      <w:tr w14:paraId="16DE9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continue"/>
            <w:vAlign w:val="center"/>
          </w:tcPr>
          <w:p w14:paraId="66F121BC">
            <w:pPr>
              <w:pStyle w:val="12"/>
              <w:widowControl w:val="0"/>
              <w:spacing w:line="360" w:lineRule="auto"/>
              <w:ind w:firstLine="0" w:firstLineChars="0"/>
              <w:jc w:val="left"/>
            </w:pPr>
          </w:p>
        </w:tc>
        <w:tc>
          <w:tcPr>
            <w:tcW w:w="3574" w:type="dxa"/>
            <w:vAlign w:val="center"/>
          </w:tcPr>
          <w:p w14:paraId="34BD1BAC">
            <w:pPr>
              <w:pStyle w:val="12"/>
              <w:widowControl w:val="0"/>
              <w:spacing w:line="360" w:lineRule="auto"/>
              <w:ind w:right="8" w:firstLine="0" w:firstLineChars="0"/>
              <w:jc w:val="left"/>
              <w:rPr>
                <w:szCs w:val="21"/>
              </w:rPr>
            </w:pPr>
            <w:r>
              <w:rPr>
                <w:rFonts w:hint="eastAsia"/>
                <w:szCs w:val="21"/>
              </w:rPr>
              <w:t>湖北芯擎科技股份有限公司</w:t>
            </w:r>
          </w:p>
        </w:tc>
        <w:tc>
          <w:tcPr>
            <w:tcW w:w="2963" w:type="dxa"/>
            <w:vMerge w:val="continue"/>
            <w:vAlign w:val="center"/>
          </w:tcPr>
          <w:p w14:paraId="4624B90A">
            <w:pPr>
              <w:pStyle w:val="12"/>
              <w:widowControl w:val="0"/>
              <w:spacing w:line="360" w:lineRule="auto"/>
              <w:ind w:firstLine="420"/>
              <w:jc w:val="left"/>
              <w:rPr>
                <w:highlight w:val="yellow"/>
              </w:rPr>
            </w:pPr>
          </w:p>
        </w:tc>
      </w:tr>
    </w:tbl>
    <w:p w14:paraId="55CB896D">
      <w:pPr>
        <w:numPr>
          <w:ilvl w:val="0"/>
          <w:numId w:val="2"/>
        </w:numPr>
        <w:spacing w:line="360" w:lineRule="auto"/>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标准研讨情况</w:t>
      </w:r>
    </w:p>
    <w:p w14:paraId="50FF8C20">
      <w:pPr>
        <w:spacing w:line="360" w:lineRule="auto"/>
        <w:ind w:firstLine="367" w:firstLineChars="175"/>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202</w:t>
      </w:r>
      <w:r>
        <w:rPr>
          <w:rFonts w:hint="eastAsia" w:ascii="宋体" w:hAnsi="宋体" w:cs="宋体"/>
          <w:color w:val="000000" w:themeColor="text1"/>
          <w:szCs w:val="21"/>
          <w:lang w:val="en-US" w:eastAsia="zh-CN"/>
          <w14:textFill>
            <w14:solidFill>
              <w14:schemeClr w14:val="tx1"/>
            </w14:solidFill>
          </w14:textFill>
        </w:rPr>
        <w:t>5年12月，完成《安全车控操作系统配置指南》立项评审，明确标准编制方向与基本框架。</w:t>
      </w:r>
    </w:p>
    <w:p w14:paraId="49FBC13F">
      <w:pPr>
        <w:spacing w:line="360" w:lineRule="auto"/>
        <w:ind w:firstLine="367" w:firstLineChars="175"/>
        <w:rPr>
          <w:rFonts w:hint="default" w:ascii="宋体" w:hAnsi="宋体" w:cs="宋体"/>
          <w:color w:val="000000" w:themeColor="text1"/>
          <w:szCs w:val="21"/>
          <w:lang w:val="en-US" w:eastAsia="zh-CN"/>
          <w14:textFill>
            <w14:solidFill>
              <w14:schemeClr w14:val="tx1"/>
            </w14:solidFill>
          </w14:textFill>
        </w:rPr>
      </w:pPr>
      <w:r>
        <w:rPr>
          <w:rFonts w:hint="default" w:ascii="宋体" w:hAnsi="宋体" w:cs="宋体"/>
          <w:color w:val="000000" w:themeColor="text1"/>
          <w:szCs w:val="21"/>
          <w:lang w:val="en-US" w:eastAsia="zh-CN"/>
          <w14:textFill>
            <w14:solidFill>
              <w14:schemeClr w14:val="tx1"/>
            </w14:solidFill>
          </w14:textFill>
        </w:rPr>
        <w:t>202</w:t>
      </w:r>
      <w:r>
        <w:rPr>
          <w:rFonts w:hint="eastAsia" w:ascii="宋体" w:hAnsi="宋体" w:cs="宋体"/>
          <w:color w:val="000000" w:themeColor="text1"/>
          <w:szCs w:val="21"/>
          <w:lang w:val="en-US" w:eastAsia="zh-CN"/>
          <w14:textFill>
            <w14:solidFill>
              <w14:schemeClr w14:val="tx1"/>
            </w14:solidFill>
          </w14:textFill>
        </w:rPr>
        <w:t>6</w:t>
      </w:r>
      <w:r>
        <w:rPr>
          <w:rFonts w:hint="default" w:ascii="宋体" w:hAnsi="宋体" w:cs="宋体"/>
          <w:color w:val="000000" w:themeColor="text1"/>
          <w:szCs w:val="21"/>
          <w:lang w:val="en-US" w:eastAsia="zh-CN"/>
          <w14:textFill>
            <w14:solidFill>
              <w14:schemeClr w14:val="tx1"/>
            </w14:solidFill>
          </w14:textFill>
        </w:rPr>
        <w:t>年</w:t>
      </w:r>
      <w:r>
        <w:rPr>
          <w:rFonts w:hint="eastAsia" w:ascii="宋体" w:hAnsi="宋体" w:cs="宋体"/>
          <w:color w:val="000000" w:themeColor="text1"/>
          <w:szCs w:val="21"/>
          <w:lang w:val="en-US" w:eastAsia="zh-CN"/>
          <w14:textFill>
            <w14:solidFill>
              <w14:schemeClr w14:val="tx1"/>
            </w14:solidFill>
          </w14:textFill>
        </w:rPr>
        <w:t>1月—2</w:t>
      </w:r>
      <w:r>
        <w:rPr>
          <w:rFonts w:hint="default" w:ascii="宋体" w:hAnsi="宋体" w:cs="宋体"/>
          <w:color w:val="000000" w:themeColor="text1"/>
          <w:szCs w:val="21"/>
          <w:lang w:val="en-US" w:eastAsia="zh-CN"/>
          <w14:textFill>
            <w14:solidFill>
              <w14:schemeClr w14:val="tx1"/>
            </w14:solidFill>
          </w14:textFill>
        </w:rPr>
        <w:t>月，收到协会下发标准立项号，正式组建标准起草工作组，明确各参与单位职责分工，启动标准研制工作。</w:t>
      </w:r>
    </w:p>
    <w:p w14:paraId="16ECD9D5">
      <w:pPr>
        <w:spacing w:line="360" w:lineRule="auto"/>
        <w:ind w:firstLine="367" w:firstLineChars="175"/>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2026年3月—5月，标准草案编写和完善，起草组基于配置方法论，结合安全车控操作系统的功能安全与信息安全要求，完成了配置流程（配置准备、配置实施、代码生成与集成、配置管理）、模块分层及协同配置要求（硬件驱动、内核、中间件、运行时环境、模块间协同）与安全配置要求（功能安全配置、信息安全配置）的框架设计与条文编写，形成标准草案初版。</w:t>
      </w:r>
    </w:p>
    <w:p w14:paraId="3551017F">
      <w:pPr>
        <w:spacing w:line="360" w:lineRule="auto"/>
        <w:ind w:firstLine="367" w:firstLineChars="175"/>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2026年6月—7月，标准工作组内征求意见，共收到来自一汽、国汽智控、东风、北汽、丰蕾、英创汇智、黑芝麻等多家单位的书面反馈意见，涵盖术语与定义、配置流程完整性、模块配置要求合理性、安全配置要求可操作性、附录示例规范性等方面。</w:t>
      </w:r>
    </w:p>
    <w:p w14:paraId="23F3D4B8">
      <w:pPr>
        <w:spacing w:line="360" w:lineRule="auto"/>
        <w:ind w:firstLine="367" w:firstLineChars="175"/>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2026年8月—9月，工作组对全部反馈意见逐条梳理，重点围绕内核配置条目划分、PORT引脚共享资源协同、服务保护机制定义、规范性引用文件统一、范围与章名表述等议题进行专题研讨与技术论证，对标准草案进行了多轮修改完善，经完善后形成标准征求意见稿，并提交至中国汽车工业协会进入审查程序。</w:t>
      </w:r>
    </w:p>
    <w:p w14:paraId="70D631AD">
      <w:pPr>
        <w:spacing w:line="360" w:lineRule="auto"/>
        <w:ind w:firstLine="480" w:firstLineChars="200"/>
        <w:rPr>
          <w:rFonts w:hint="eastAsia" w:ascii="黑体" w:hAnsi="黑体" w:eastAsia="黑体" w:cs="黑体"/>
          <w:color w:val="000000" w:themeColor="text1"/>
          <w:sz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二、标准编制原则和主要内容</w:t>
      </w:r>
    </w:p>
    <w:p w14:paraId="643CA30C">
      <w:pPr>
        <w:spacing w:line="360" w:lineRule="auto"/>
        <w:ind w:firstLine="367" w:firstLineChars="175"/>
        <w:rPr>
          <w:rFonts w:hint="eastAsia" w:ascii="宋体" w:hAnsi="宋体" w:cs="宋体"/>
          <w:szCs w:val="21"/>
        </w:rPr>
      </w:pPr>
      <w:r>
        <w:rPr>
          <w:rFonts w:hint="eastAsia" w:ascii="宋体" w:hAnsi="宋体" w:cs="宋体"/>
          <w:szCs w:val="21"/>
        </w:rPr>
        <w:t>本标准编制原则，主要考虑以下关键因素：</w:t>
      </w:r>
    </w:p>
    <w:p w14:paraId="18D7E775">
      <w:pPr>
        <w:spacing w:line="360" w:lineRule="auto"/>
        <w:ind w:firstLine="367" w:firstLineChars="175"/>
        <w:rPr>
          <w:rFonts w:hint="eastAsia" w:eastAsia="宋体"/>
          <w:highlight w:val="none"/>
          <w:lang w:val="en-US" w:eastAsia="zh-CN"/>
        </w:rPr>
      </w:pPr>
      <w:r>
        <w:rPr>
          <w:rFonts w:hint="eastAsia" w:ascii="宋体" w:hAnsi="宋体" w:cs="宋体"/>
          <w:szCs w:val="21"/>
          <w:highlight w:val="none"/>
          <w:lang w:eastAsia="zh-CN"/>
        </w:rPr>
        <w:t>（</w:t>
      </w:r>
      <w:r>
        <w:rPr>
          <w:rFonts w:hint="eastAsia" w:ascii="宋体" w:hAnsi="宋体" w:cs="宋体"/>
          <w:szCs w:val="21"/>
          <w:highlight w:val="none"/>
          <w:lang w:val="en-US" w:eastAsia="zh-CN"/>
        </w:rPr>
        <w:t>一</w:t>
      </w:r>
      <w:r>
        <w:rPr>
          <w:rFonts w:hint="eastAsia" w:ascii="宋体" w:hAnsi="宋体" w:cs="宋体"/>
          <w:szCs w:val="21"/>
          <w:highlight w:val="none"/>
          <w:lang w:eastAsia="zh-CN"/>
        </w:rPr>
        <w:t>）</w:t>
      </w:r>
      <w:r>
        <w:rPr>
          <w:rFonts w:hint="eastAsia" w:ascii="宋体" w:hAnsi="宋体" w:cs="宋体"/>
          <w:szCs w:val="21"/>
          <w:highlight w:val="none"/>
        </w:rPr>
        <w:t>继承性：继承AUTOSAR Classic Platform配置方法论与行业成熟工程实践</w:t>
      </w:r>
      <w:r>
        <w:rPr>
          <w:rFonts w:hint="eastAsia" w:ascii="宋体" w:hAnsi="宋体" w:cs="宋体"/>
          <w:szCs w:val="21"/>
          <w:highlight w:val="none"/>
          <w:lang w:eastAsia="zh-CN"/>
        </w:rPr>
        <w:t>，</w:t>
      </w:r>
      <w:r>
        <w:rPr>
          <w:rFonts w:hint="eastAsia" w:ascii="宋体" w:hAnsi="宋体" w:cs="宋体"/>
          <w:szCs w:val="21"/>
          <w:highlight w:val="none"/>
        </w:rPr>
        <w:t>以AUTOSAR架构的软件分层</w:t>
      </w:r>
      <w:r>
        <w:rPr>
          <w:rFonts w:hint="eastAsia" w:ascii="宋体" w:hAnsi="宋体" w:cs="宋体"/>
          <w:szCs w:val="21"/>
          <w:highlight w:val="none"/>
        </w:rPr>
        <w:t>思想为基础，采用硬件驱动、内核、中间件、运行时环境的分层结构组织配置要求，沿用行业标准配置文件格式，确保配置方法与行业通行实践保持一致，降低实施成本</w:t>
      </w:r>
      <w:r>
        <w:rPr>
          <w:rFonts w:hint="eastAsia" w:ascii="宋体" w:hAnsi="宋体" w:cs="宋体"/>
          <w:szCs w:val="21"/>
          <w:highlight w:val="none"/>
          <w:lang w:eastAsia="zh-CN"/>
        </w:rPr>
        <w:t>。</w:t>
      </w:r>
    </w:p>
    <w:p w14:paraId="4ED4E138">
      <w:pPr>
        <w:spacing w:line="360" w:lineRule="auto"/>
        <w:ind w:firstLine="367" w:firstLineChars="175"/>
        <w:rPr>
          <w:rFonts w:hint="default"/>
          <w:lang w:val="en-US" w:eastAsia="zh-CN"/>
        </w:rPr>
      </w:pPr>
      <w:r>
        <w:rPr>
          <w:rFonts w:hint="eastAsia"/>
          <w:highlight w:val="none"/>
          <w:lang w:val="en-US" w:eastAsia="zh-CN"/>
        </w:rPr>
        <w:t>（二）指导性：立足“指南”定位，兼顾流程完整性与工程可操作性。标准以配置流程为主线，将配置活动划分为配置准备、配置实施、代码生成与集成、配置管理四个阶段，各阶段以条款式要求明确具体做法，并通过资料性附录A“安全车控操作系统配置示例”给出完整的配置示例，为工程人员提供可直接参照的实施路径。</w:t>
      </w:r>
    </w:p>
    <w:p w14:paraId="622382E5">
      <w:pPr>
        <w:spacing w:line="360" w:lineRule="auto"/>
        <w:ind w:firstLine="367" w:firstLineChars="175"/>
        <w:rPr>
          <w:rFonts w:hint="eastAsia" w:ascii="宋体" w:hAnsi="宋体" w:cs="宋体"/>
          <w:szCs w:val="21"/>
          <w:lang w:val="en-US" w:eastAsia="zh-CN"/>
        </w:rPr>
      </w:pPr>
      <w:r>
        <w:rPr>
          <w:rFonts w:hint="eastAsia" w:ascii="宋体" w:hAnsi="宋体" w:cs="宋体"/>
          <w:szCs w:val="21"/>
          <w:lang w:val="en-US" w:eastAsia="zh-CN"/>
        </w:rPr>
        <w:t>（三）安全性：将功能安全与信息安全要求贯穿配置全过程。功能安全配置以技术安全需求（TSR）为核心输入，覆盖内存保护、时间保护、服务保护、端到端通信保护、看门狗管理、周期性自检等机制的配置要求；信息安全配置覆盖加密服务、安全存储、安全通信、访问控制、安全启动与更新、安全日志等方面，支撑GB/T 34590规定的功能安全与GB/T 46194规定的网络安全的落地实施。</w:t>
      </w:r>
    </w:p>
    <w:p w14:paraId="580AF241">
      <w:pPr>
        <w:spacing w:line="360" w:lineRule="auto"/>
        <w:ind w:firstLine="367" w:firstLineChars="175"/>
        <w:rPr>
          <w:rFonts w:hint="default" w:ascii="宋体" w:hAnsi="宋体" w:cs="宋体"/>
          <w:szCs w:val="21"/>
          <w:lang w:val="en-US" w:eastAsia="zh-CN"/>
        </w:rPr>
      </w:pPr>
      <w:r>
        <w:rPr>
          <w:rFonts w:hint="eastAsia" w:ascii="宋体" w:hAnsi="宋体" w:cs="宋体"/>
          <w:szCs w:val="21"/>
          <w:lang w:val="en-US" w:eastAsia="zh-CN"/>
        </w:rPr>
        <w:t>（四）通用性：不绑定特定芯片平台、操作系统产品或工具链。标准从配置活动的共性要求出发抽象配置要求，附录示例中涉及的具体参数值均注明为示例值，保证标准对不同技术路线的厂商均具有指导意义。</w:t>
      </w:r>
    </w:p>
    <w:p w14:paraId="24F4B3E4">
      <w:pPr>
        <w:spacing w:line="360" w:lineRule="auto"/>
        <w:ind w:firstLine="367" w:firstLineChars="175"/>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本标准的主要技术内容包括：</w:t>
      </w:r>
    </w:p>
    <w:p w14:paraId="4C458698">
      <w:pPr>
        <w:spacing w:line="360" w:lineRule="auto"/>
        <w:ind w:firstLine="367" w:firstLineChars="175"/>
        <w:rPr>
          <w:rFonts w:hint="eastAsia" w:ascii="宋体" w:hAnsi="宋体" w:cs="宋体"/>
          <w:szCs w:val="21"/>
          <w:lang w:val="en-US" w:eastAsia="zh-CN"/>
        </w:rPr>
      </w:pPr>
      <w:r>
        <w:rPr>
          <w:rFonts w:hint="eastAsia" w:ascii="宋体" w:hAnsi="宋体" w:cs="宋体"/>
          <w:szCs w:val="21"/>
          <w:lang w:val="en-US" w:eastAsia="zh-CN"/>
        </w:rPr>
        <w:t>（一）配置流程方面：标准规定了安全车控操作系统配置准备、配置实施、代码生成与集成、配置管理四个阶段的完整流程。配置准备阶段规定了硬件平台确认、工具链准备、需求分析、工程创建与架构设计要求；配置实施阶段规定了模块创建与选择、文件导入、参数配置与配置校验要求；代码生成与集成阶段规定了配置代码生成、软件集成、编译构建、链接配置与调试验证要求；配置管理阶段规定了版本控制、变更管理与基线管理要求。</w:t>
      </w:r>
    </w:p>
    <w:p w14:paraId="0B0BD568">
      <w:pPr>
        <w:spacing w:line="360" w:lineRule="auto"/>
        <w:ind w:firstLine="367" w:firstLineChars="175"/>
        <w:rPr>
          <w:rFonts w:hint="eastAsia" w:ascii="宋体" w:hAnsi="宋体" w:cs="宋体"/>
          <w:szCs w:val="21"/>
          <w:lang w:val="en-US" w:eastAsia="zh-CN"/>
        </w:rPr>
      </w:pPr>
      <w:r>
        <w:rPr>
          <w:rFonts w:hint="eastAsia" w:ascii="宋体" w:hAnsi="宋体" w:cs="宋体"/>
          <w:szCs w:val="21"/>
          <w:lang w:val="en-US" w:eastAsia="zh-CN"/>
        </w:rPr>
        <w:t>（二）模块分层及协同配置方面：标准按硬件驱动、内核、中间件、运行时环境四个层次规定了配置要求。硬件驱动配置涵盖微控制器驱动（含时钟）、存储器驱动、通信驱动（CAN、SPI、I²C、UART、MSC、LIN、ETH）与输入输出驱动（PORT、DIO、PWM、ADC）；内核配置涵盖任务、中断、时钟、资源配置；中间件配置涵盖存储服务、通信服务、诊断服务与系统服务配置；运行时环境配置涵盖通信接口、通信机制、事件与错误处理机制配置；并以专条规定了模块间协同配置要求。</w:t>
      </w:r>
    </w:p>
    <w:p w14:paraId="6A266FD6">
      <w:pPr>
        <w:spacing w:line="360" w:lineRule="auto"/>
        <w:ind w:firstLine="367" w:firstLineChars="175"/>
        <w:rPr>
          <w:rFonts w:hint="eastAsia" w:ascii="宋体" w:hAnsi="宋体" w:cs="宋体"/>
          <w:szCs w:val="21"/>
          <w:lang w:val="en-US" w:eastAsia="zh-CN"/>
        </w:rPr>
      </w:pPr>
      <w:r>
        <w:rPr>
          <w:rFonts w:hint="eastAsia" w:ascii="宋体" w:hAnsi="宋体" w:cs="宋体"/>
          <w:szCs w:val="21"/>
          <w:lang w:val="en-US" w:eastAsia="zh-CN"/>
        </w:rPr>
        <w:t>（三）安全配置方面：功能安全配置以技术安全需求TSR为核心输入，规定了安全机制解析与选择的要求，涵盖内存保护、时间保护、服务保护、端到端通信保护、非易失性存储保护、看门狗管理、安全监控与诊断等典型安全机制的配置要求；信息安全配置规定了加密服务、安全存储、安全通信、访问控制、安全诊断、安全启动与安全更新、安全日志等配置要求。</w:t>
      </w:r>
    </w:p>
    <w:p w14:paraId="2A7C318A">
      <w:pPr>
        <w:spacing w:line="360" w:lineRule="auto"/>
        <w:ind w:firstLine="367" w:firstLineChars="175"/>
        <w:rPr>
          <w:rFonts w:hint="eastAsia" w:ascii="宋体" w:hAnsi="宋体" w:cs="宋体"/>
          <w:szCs w:val="21"/>
          <w:lang w:val="en-US" w:eastAsia="zh-CN"/>
        </w:rPr>
      </w:pPr>
      <w:r>
        <w:rPr>
          <w:rFonts w:hint="eastAsia" w:ascii="宋体" w:hAnsi="宋体" w:cs="宋体"/>
          <w:szCs w:val="21"/>
          <w:lang w:val="en-US" w:eastAsia="zh-CN"/>
        </w:rPr>
        <w:t>（四）配置示例方面：标准附录A以雨刮电机控制器为例，完整示范了从配置准备、配置实施、代码生成与集成到配置管理的全过程，并给出了硬件驱动、内核、中间件、运行时环境与安全配置的具体配置示例，为标准条款的落地实施提供参照。</w:t>
      </w:r>
    </w:p>
    <w:p w14:paraId="316982C4">
      <w:pPr>
        <w:spacing w:line="360" w:lineRule="auto"/>
        <w:ind w:firstLine="480" w:firstLineChars="200"/>
        <w:rPr>
          <w:rFonts w:hint="eastAsia" w:ascii="黑体" w:hAnsi="黑体" w:eastAsia="黑体" w:cs="黑体"/>
          <w:color w:val="000000" w:themeColor="text1"/>
          <w:sz w:val="30"/>
          <w:szCs w:val="30"/>
          <w:highlight w:val="none"/>
          <w14:textFill>
            <w14:solidFill>
              <w14:schemeClr w14:val="tx1"/>
            </w14:solidFill>
          </w14:textFill>
        </w:rPr>
      </w:pPr>
      <w:r>
        <w:rPr>
          <w:rFonts w:hint="eastAsia" w:ascii="黑体" w:hAnsi="黑体" w:eastAsia="黑体" w:cs="黑体"/>
          <w:color w:val="000000" w:themeColor="text1"/>
          <w:sz w:val="24"/>
          <w:highlight w:val="none"/>
          <w14:textFill>
            <w14:solidFill>
              <w14:schemeClr w14:val="tx1"/>
            </w14:solidFill>
          </w14:textFill>
        </w:rPr>
        <w:t>三、采用国际标准和国外先进标准情况</w:t>
      </w:r>
    </w:p>
    <w:p w14:paraId="799A5C5C">
      <w:pPr>
        <w:spacing w:line="360" w:lineRule="auto"/>
        <w:ind w:firstLine="367" w:firstLineChars="175"/>
        <w:rPr>
          <w:rFonts w:hint="eastAsia" w:ascii="宋体" w:hAnsi="宋体" w:eastAsia="宋体" w:cs="宋体"/>
          <w:szCs w:val="21"/>
        </w:rPr>
      </w:pPr>
      <w:r>
        <w:rPr>
          <w:rFonts w:hint="eastAsia" w:ascii="宋体" w:hAnsi="宋体" w:eastAsia="宋体" w:cs="宋体"/>
          <w:szCs w:val="21"/>
        </w:rPr>
        <w:t>本标准在制定过程中系统参考了汽车电子软件架构与汽车安全领域的国际标准及行业先进标准，作为配置流程与配置要求设计的技术依据。</w:t>
      </w:r>
    </w:p>
    <w:p w14:paraId="49BE83F6">
      <w:pPr>
        <w:spacing w:line="360" w:lineRule="auto"/>
        <w:ind w:firstLine="367" w:firstLineChars="175"/>
        <w:rPr>
          <w:rFonts w:hint="eastAsia" w:ascii="宋体" w:hAnsi="宋体" w:eastAsia="宋体" w:cs="宋体"/>
          <w:szCs w:val="21"/>
        </w:rPr>
      </w:pPr>
      <w:r>
        <w:rPr>
          <w:rFonts w:hint="eastAsia" w:ascii="宋体" w:hAnsi="宋体" w:eastAsia="宋体" w:cs="宋体"/>
          <w:szCs w:val="21"/>
        </w:rPr>
        <w:t>AUTOSAR Classic Platform规范：本标准参照AUTOSAR Classic Platform的软件分层结构与配置方法论，建立了安全车控操作系统的配置流程与模块分层配置要求，确保配置方法与行业主流技术体系协调一致。</w:t>
      </w:r>
    </w:p>
    <w:p w14:paraId="0BD79883">
      <w:pPr>
        <w:spacing w:line="360" w:lineRule="auto"/>
        <w:ind w:firstLine="367" w:firstLineChars="175"/>
        <w:rPr>
          <w:rFonts w:hint="eastAsia" w:ascii="宋体" w:hAnsi="宋体" w:eastAsia="宋体" w:cs="宋体"/>
          <w:szCs w:val="21"/>
        </w:rPr>
      </w:pPr>
      <w:r>
        <w:rPr>
          <w:rFonts w:hint="eastAsia" w:ascii="宋体" w:hAnsi="宋体" w:eastAsia="宋体" w:cs="宋体"/>
          <w:szCs w:val="21"/>
        </w:rPr>
        <w:t>ISO 26262《道路车辆 功能安全》：本标准功能安全配置部分遵循ISO 26262</w:t>
      </w:r>
      <w:r>
        <w:rPr>
          <w:rFonts w:hint="eastAsia" w:ascii="宋体" w:hAnsi="宋体" w:cs="宋体"/>
          <w:szCs w:val="21"/>
          <w:lang w:val="en-US" w:eastAsia="zh-CN"/>
        </w:rPr>
        <w:t>及</w:t>
      </w:r>
      <w:r>
        <w:rPr>
          <w:rFonts w:hint="eastAsia" w:ascii="宋体" w:hAnsi="宋体" w:eastAsia="宋体" w:cs="宋体"/>
          <w:szCs w:val="21"/>
        </w:rPr>
        <w:t>对应国家标准GB/T 34590的原则与方法，以技术安全需求（TSR）作为配置的核心输入，将内存保护、时间保护、看门狗管理等免于干扰机制的配置纳入标准要求，确保安全机制配置与功能安全国际标准协调一致。</w:t>
      </w:r>
    </w:p>
    <w:p w14:paraId="38067EEF">
      <w:pPr>
        <w:spacing w:line="360" w:lineRule="auto"/>
        <w:ind w:firstLine="367" w:firstLineChars="175"/>
        <w:rPr>
          <w:rFonts w:hint="eastAsia" w:ascii="宋体" w:hAnsi="宋体" w:eastAsia="宋体" w:cs="宋体"/>
          <w:szCs w:val="21"/>
        </w:rPr>
      </w:pPr>
      <w:r>
        <w:rPr>
          <w:rFonts w:hint="eastAsia" w:ascii="宋体" w:hAnsi="宋体" w:eastAsia="宋体" w:cs="宋体"/>
          <w:szCs w:val="21"/>
        </w:rPr>
        <w:t>ISO/SAE 21434《道路车辆 网络安全工程》：本标准信息安全配置部分遵循ISO/SAE 21434</w:t>
      </w:r>
      <w:r>
        <w:rPr>
          <w:rFonts w:hint="eastAsia" w:ascii="宋体" w:hAnsi="宋体" w:cs="宋体"/>
          <w:szCs w:val="21"/>
          <w:lang w:val="en-US" w:eastAsia="zh-CN"/>
        </w:rPr>
        <w:t>及</w:t>
      </w:r>
      <w:r>
        <w:rPr>
          <w:rFonts w:hint="eastAsia" w:ascii="宋体" w:hAnsi="宋体" w:eastAsia="宋体" w:cs="宋体"/>
          <w:szCs w:val="21"/>
        </w:rPr>
        <w:t>对应国家标准GB/T 46194的网络安全工程理念，从加密服务、安全存储、安全通信、访问控制、安全启动与安全更新、安全日志等方面规定配置要求，支撑网络安全保障能力在操作系统配置层面的落地。</w:t>
      </w:r>
    </w:p>
    <w:p w14:paraId="2D9A948F">
      <w:pPr>
        <w:spacing w:line="360" w:lineRule="auto"/>
        <w:ind w:firstLine="420" w:firstLineChars="175"/>
        <w:rPr>
          <w:rFonts w:hint="eastAsia" w:ascii="黑体" w:hAnsi="黑体" w:eastAsia="黑体" w:cs="黑体"/>
          <w:color w:val="000000" w:themeColor="text1"/>
          <w:sz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四、</w:t>
      </w:r>
      <w:bookmarkStart w:id="0" w:name="_GoBack"/>
      <w:bookmarkEnd w:id="0"/>
      <w:r>
        <w:rPr>
          <w:rFonts w:hint="eastAsia" w:ascii="黑体" w:hAnsi="黑体" w:eastAsia="黑体" w:cs="黑体"/>
          <w:color w:val="000000" w:themeColor="text1"/>
          <w:sz w:val="24"/>
          <w14:textFill>
            <w14:solidFill>
              <w14:schemeClr w14:val="tx1"/>
            </w14:solidFill>
          </w14:textFill>
        </w:rPr>
        <w:t>试验验证情况</w:t>
      </w:r>
    </w:p>
    <w:p w14:paraId="5746DEEB">
      <w:pPr>
        <w:spacing w:line="360" w:lineRule="auto"/>
        <w:ind w:firstLine="420" w:firstLineChars="200"/>
        <w:rPr>
          <w:rFonts w:hint="default" w:ascii="宋体" w:hAnsi="宋体" w:cs="宋体"/>
          <w:color w:val="000000" w:themeColor="text1"/>
          <w:szCs w:val="21"/>
          <w:lang w:val="en-US" w:eastAsia="zh-CN"/>
          <w14:textFill>
            <w14:solidFill>
              <w14:schemeClr w14:val="tx1"/>
            </w14:solidFill>
          </w14:textFill>
        </w:rPr>
      </w:pPr>
      <w:r>
        <w:rPr>
          <w:rFonts w:hint="default" w:ascii="宋体" w:hAnsi="宋体" w:cs="宋体"/>
          <w:color w:val="000000" w:themeColor="text1"/>
          <w:szCs w:val="21"/>
          <w:lang w:val="en-US" w:eastAsia="zh-CN"/>
          <w14:textFill>
            <w14:solidFill>
              <w14:schemeClr w14:val="tx1"/>
            </w14:solidFill>
          </w14:textFill>
        </w:rPr>
        <w:t>本标准通过资料性附录A“安全车控操作系统配置示例”对标准的完整性与可操作性进行验证。示例选取一款基于LIN总线通信的雨刮电机控制器（ASIL B）作为配置对象，完整走通了配置准备、配置实施、代码生成与集成、配置管理全流程，覆盖硬件驱动、内核、中间件、运行时环境各层配置及功能安全配置，其配置参数与本标准第5章至第7章的条款要求逐项对应，验证了配置流程的完整性与配置要求的可落地性，为同类产品的配置实施提供了可参照的工程实践。</w:t>
      </w:r>
    </w:p>
    <w:p w14:paraId="1BA51871">
      <w:pPr>
        <w:spacing w:line="360" w:lineRule="auto"/>
        <w:ind w:firstLine="420" w:firstLineChars="200"/>
        <w:rPr>
          <w:rFonts w:hint="default"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在工程验证方面，主机厂及Tier1单位结合量产项目按照本标准规定的配置流程开展了实践验证，重点验证配置流程与整车开发流程的衔接性、配置要求的可操作性。验证结果表明，标准规定的配置流程完整、合理，各层配置要求可落地、可执行，能够满足量产项目工程应用的需要。</w:t>
      </w:r>
    </w:p>
    <w:p w14:paraId="282ADCBD">
      <w:pPr>
        <w:spacing w:line="360" w:lineRule="auto"/>
        <w:ind w:firstLine="480" w:firstLineChars="200"/>
        <w:rPr>
          <w:rFonts w:hint="eastAsia" w:ascii="黑体" w:hAnsi="黑体" w:eastAsia="黑体" w:cs="黑体"/>
          <w:color w:val="000000" w:themeColor="text1"/>
          <w:sz w:val="24"/>
          <w:highlight w:val="none"/>
          <w14:textFill>
            <w14:solidFill>
              <w14:schemeClr w14:val="tx1"/>
            </w14:solidFill>
          </w14:textFill>
        </w:rPr>
      </w:pPr>
      <w:r>
        <w:rPr>
          <w:rFonts w:hint="eastAsia" w:ascii="黑体" w:hAnsi="黑体" w:eastAsia="黑体" w:cs="黑体"/>
          <w:color w:val="000000" w:themeColor="text1"/>
          <w:sz w:val="24"/>
          <w:highlight w:val="none"/>
          <w14:textFill>
            <w14:solidFill>
              <w14:schemeClr w14:val="tx1"/>
            </w14:solidFill>
          </w14:textFill>
        </w:rPr>
        <w:t>五、与现行法律、法规和政策及相关标准的协调性</w:t>
      </w:r>
    </w:p>
    <w:p w14:paraId="0F62F4B0">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本标准与现行法律、法规和政策无冲突。</w:t>
      </w:r>
    </w:p>
    <w:p w14:paraId="16FA7F5F">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本标准在技术内容上与现行国家标准保持协调一致：</w:t>
      </w:r>
    </w:p>
    <w:p w14:paraId="619BAFC2">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GB/T 47351-2026《智能网联汽车 车控操作系统技术要求及试验方法》：本标准术语“车控操作系统”“安全车控操作系统”来源于GB/T 47351-2026，配置要求与其技术要求相衔接，是该国标在安全车控操作系统工程配置层面的配套实施指南。</w:t>
      </w:r>
    </w:p>
    <w:p w14:paraId="27103370">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GB/T 34590-2022《道路车辆 功能安全》：本标准功能安全配置部分充分遵循GB/T 34590的原则和方法，以TSR为核心输入配置安全机制，与功能安全国家标准保持一致。</w:t>
      </w:r>
    </w:p>
    <w:p w14:paraId="7F187870">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GB/T 46194-2025《道路车辆 信息安全工程》：本标准信息安全配置部分充分遵循GB/T 46194的网络安全工程要求，支撑网络安全保障等级（CAL）相关要求的配置落地。</w:t>
      </w:r>
    </w:p>
    <w:p w14:paraId="6251B5FD">
      <w:pPr>
        <w:spacing w:line="360" w:lineRule="auto"/>
        <w:ind w:firstLine="480" w:firstLineChars="200"/>
        <w:rPr>
          <w:rFonts w:hint="eastAsia" w:ascii="黑体" w:hAnsi="黑体" w:eastAsia="黑体" w:cs="黑体"/>
          <w:color w:val="000000" w:themeColor="text1"/>
          <w:sz w:val="24"/>
          <w:highlight w:val="none"/>
          <w14:textFill>
            <w14:solidFill>
              <w14:schemeClr w14:val="tx1"/>
            </w14:solidFill>
          </w14:textFill>
        </w:rPr>
      </w:pPr>
      <w:r>
        <w:rPr>
          <w:rFonts w:hint="eastAsia" w:ascii="黑体" w:hAnsi="黑体" w:eastAsia="黑体" w:cs="黑体"/>
          <w:color w:val="000000" w:themeColor="text1"/>
          <w:sz w:val="24"/>
          <w:highlight w:val="none"/>
          <w14:textFill>
            <w14:solidFill>
              <w14:schemeClr w14:val="tx1"/>
            </w14:solidFill>
          </w14:textFill>
        </w:rPr>
        <w:t>六、贯彻标准的要求和措施建议</w:t>
      </w:r>
    </w:p>
    <w:p w14:paraId="73BF91A2">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本标准不直接涉及汽车安全、人身健康、国家安全、生态环境安全，主要是规范安全车控操作系统</w:t>
      </w:r>
      <w:r>
        <w:rPr>
          <w:rFonts w:hint="eastAsia" w:ascii="宋体" w:hAnsi="宋体" w:cs="宋体"/>
          <w:color w:val="000000" w:themeColor="text1"/>
          <w:szCs w:val="21"/>
          <w:lang w:val="en-US" w:eastAsia="zh-CN"/>
          <w14:textFill>
            <w14:solidFill>
              <w14:schemeClr w14:val="tx1"/>
            </w14:solidFill>
          </w14:textFill>
        </w:rPr>
        <w:t>的配置</w:t>
      </w:r>
      <w:r>
        <w:rPr>
          <w:rFonts w:hint="eastAsia" w:ascii="宋体" w:hAnsi="宋体" w:cs="宋体"/>
          <w:color w:val="000000" w:themeColor="text1"/>
          <w:szCs w:val="21"/>
          <w14:textFill>
            <w14:solidFill>
              <w14:schemeClr w14:val="tx1"/>
            </w14:solidFill>
          </w14:textFill>
        </w:rPr>
        <w:t>方法，建议为推荐性标准。</w:t>
      </w:r>
    </w:p>
    <w:p w14:paraId="1AC077E4">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为有效推动本标准的贯彻实施，提出以下措施建议：</w:t>
      </w:r>
    </w:p>
    <w:p w14:paraId="0221ED65">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建立标准推广与产业协作机制。建议联合芯片厂商、操作系统提供商、主机厂、Tier1及行业组织等形成合作机制，系统推进标准的宣传、培训与实施工作。通过组织标准宣贯会、技术研讨会等形式，提升行业对标准的认知度和认可度。</w:t>
      </w:r>
    </w:p>
    <w:p w14:paraId="158B7018">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推动标准在产业化项目中的应用。鼓励整车制造商和Tier1在新车型量产项目中，将本标准作为安全车控操作系统配置过程的实施依据，在供应商技术方案评审、产品验收等环节参照本标准执行；推动配置工具链厂商按照本标准完善配置流程支持与静态校验能力；推动检测机构结合本标准开展相关测评服务。</w:t>
      </w:r>
    </w:p>
    <w:p w14:paraId="36AA4C80">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持续构建标准体系。本标准作为安全车控操作系统领域的基础性标准，后续将以此为基础，持续构建安全车控操作系统标准体系，逐步拓展形成安全车控操作系统设计指南、集成指南、服务接口规范、评价指南等系列标准，为行业提供从设计、开发到测试验证的全链条标准化支撑。</w:t>
      </w:r>
    </w:p>
    <w:p w14:paraId="50FA2ECF">
      <w:pPr>
        <w:numPr>
          <w:ilvl w:val="0"/>
          <w:numId w:val="3"/>
        </w:numPr>
        <w:spacing w:line="360" w:lineRule="auto"/>
        <w:ind w:firstLine="480" w:firstLineChars="200"/>
        <w:rPr>
          <w:rFonts w:hint="eastAsia" w:ascii="黑体" w:hAnsi="黑体" w:eastAsia="黑体" w:cs="黑体"/>
          <w:color w:val="000000" w:themeColor="text1"/>
          <w:sz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其他需要说明的事项</w:t>
      </w:r>
    </w:p>
    <w:p w14:paraId="28E29C3C">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CA16CD-A38E-4906-88A7-6B9B2A95A4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E33E848C-E656-4156-AA98-017F026D1E12}"/>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Noto Sans SC">
    <w:panose1 w:val="020B0200000000000000"/>
    <w:charset w:val="86"/>
    <w:family w:val="auto"/>
    <w:pitch w:val="default"/>
    <w:sig w:usb0="20000083" w:usb1="2ADF3C10" w:usb2="00000016" w:usb3="00000000" w:csb0="60060107"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60A38F"/>
    <w:multiLevelType w:val="singleLevel"/>
    <w:tmpl w:val="C760A38F"/>
    <w:lvl w:ilvl="0" w:tentative="0">
      <w:start w:val="1"/>
      <w:numFmt w:val="chineseCounting"/>
      <w:suff w:val="nothing"/>
      <w:lvlText w:val="%1、"/>
      <w:lvlJc w:val="left"/>
      <w:rPr>
        <w:rFonts w:hint="eastAsia"/>
      </w:rPr>
    </w:lvl>
  </w:abstractNum>
  <w:abstractNum w:abstractNumId="1">
    <w:nsid w:val="E319F839"/>
    <w:multiLevelType w:val="singleLevel"/>
    <w:tmpl w:val="E319F839"/>
    <w:lvl w:ilvl="0" w:tentative="0">
      <w:start w:val="1"/>
      <w:numFmt w:val="chineseCounting"/>
      <w:suff w:val="nothing"/>
      <w:lvlText w:val="（%1）"/>
      <w:lvlJc w:val="left"/>
      <w:pPr>
        <w:ind w:left="360" w:firstLine="0"/>
      </w:pPr>
      <w:rPr>
        <w:rFonts w:hint="eastAsia"/>
      </w:rPr>
    </w:lvl>
  </w:abstractNum>
  <w:abstractNum w:abstractNumId="2">
    <w:nsid w:val="E3C56D80"/>
    <w:multiLevelType w:val="singleLevel"/>
    <w:tmpl w:val="E3C56D80"/>
    <w:lvl w:ilvl="0" w:tentative="0">
      <w:start w:val="7"/>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E83"/>
    <w:rsid w:val="000D4B74"/>
    <w:rsid w:val="001255E7"/>
    <w:rsid w:val="00140DF8"/>
    <w:rsid w:val="00420EF3"/>
    <w:rsid w:val="004D4AEB"/>
    <w:rsid w:val="00A148B3"/>
    <w:rsid w:val="00C60935"/>
    <w:rsid w:val="00C65E24"/>
    <w:rsid w:val="00DE1E83"/>
    <w:rsid w:val="01563FDE"/>
    <w:rsid w:val="01671BDD"/>
    <w:rsid w:val="0167398B"/>
    <w:rsid w:val="02EB4148"/>
    <w:rsid w:val="037759DB"/>
    <w:rsid w:val="03C05867"/>
    <w:rsid w:val="04800661"/>
    <w:rsid w:val="04CB3BFD"/>
    <w:rsid w:val="05C55124"/>
    <w:rsid w:val="081E2C88"/>
    <w:rsid w:val="08624EAC"/>
    <w:rsid w:val="091F0FEF"/>
    <w:rsid w:val="092D54BA"/>
    <w:rsid w:val="094C0719"/>
    <w:rsid w:val="097D4A4E"/>
    <w:rsid w:val="0A00497C"/>
    <w:rsid w:val="0A273AA8"/>
    <w:rsid w:val="0A3960E0"/>
    <w:rsid w:val="0A6A08B7"/>
    <w:rsid w:val="0AFD710E"/>
    <w:rsid w:val="0CC779D3"/>
    <w:rsid w:val="0D0C188A"/>
    <w:rsid w:val="0D4E0633"/>
    <w:rsid w:val="0D933D59"/>
    <w:rsid w:val="0EE45CC0"/>
    <w:rsid w:val="0F3479B4"/>
    <w:rsid w:val="0F566DED"/>
    <w:rsid w:val="0F5B0347"/>
    <w:rsid w:val="0F8E2A2A"/>
    <w:rsid w:val="10C1473A"/>
    <w:rsid w:val="111B6540"/>
    <w:rsid w:val="112C42A9"/>
    <w:rsid w:val="116F23E8"/>
    <w:rsid w:val="129D5949"/>
    <w:rsid w:val="133E69B6"/>
    <w:rsid w:val="152D05F0"/>
    <w:rsid w:val="157131C6"/>
    <w:rsid w:val="1571659F"/>
    <w:rsid w:val="15D171CD"/>
    <w:rsid w:val="16DD0A5E"/>
    <w:rsid w:val="170B4961"/>
    <w:rsid w:val="175B58E8"/>
    <w:rsid w:val="17D17958"/>
    <w:rsid w:val="17FE211F"/>
    <w:rsid w:val="18C64FE3"/>
    <w:rsid w:val="19481E9C"/>
    <w:rsid w:val="19B80DD0"/>
    <w:rsid w:val="19D41982"/>
    <w:rsid w:val="1A4E34E2"/>
    <w:rsid w:val="1B530684"/>
    <w:rsid w:val="1B80591D"/>
    <w:rsid w:val="1CCA728A"/>
    <w:rsid w:val="1D2B7B0B"/>
    <w:rsid w:val="1E21044D"/>
    <w:rsid w:val="1E403142"/>
    <w:rsid w:val="1ED843C7"/>
    <w:rsid w:val="23103A2A"/>
    <w:rsid w:val="234B4A63"/>
    <w:rsid w:val="23EB1DA2"/>
    <w:rsid w:val="24286B52"/>
    <w:rsid w:val="2489657E"/>
    <w:rsid w:val="24C06D8A"/>
    <w:rsid w:val="25A42208"/>
    <w:rsid w:val="272154D3"/>
    <w:rsid w:val="284E70E2"/>
    <w:rsid w:val="29E52DB8"/>
    <w:rsid w:val="2A5F10CB"/>
    <w:rsid w:val="2BC44419"/>
    <w:rsid w:val="2CB74F17"/>
    <w:rsid w:val="2CC55886"/>
    <w:rsid w:val="2CE622E7"/>
    <w:rsid w:val="2DD85145"/>
    <w:rsid w:val="2E055A3C"/>
    <w:rsid w:val="2E422F06"/>
    <w:rsid w:val="2E7C6418"/>
    <w:rsid w:val="2EED4C20"/>
    <w:rsid w:val="2F8F398D"/>
    <w:rsid w:val="30A05CC2"/>
    <w:rsid w:val="3183517E"/>
    <w:rsid w:val="31D64091"/>
    <w:rsid w:val="32364B30"/>
    <w:rsid w:val="32C1089D"/>
    <w:rsid w:val="32EC54BB"/>
    <w:rsid w:val="33347D32"/>
    <w:rsid w:val="335C2374"/>
    <w:rsid w:val="33EC057D"/>
    <w:rsid w:val="345474EF"/>
    <w:rsid w:val="34D042C2"/>
    <w:rsid w:val="35F26FC0"/>
    <w:rsid w:val="36400B3A"/>
    <w:rsid w:val="36851BE2"/>
    <w:rsid w:val="38A12DBB"/>
    <w:rsid w:val="39290F4A"/>
    <w:rsid w:val="399F745E"/>
    <w:rsid w:val="39D14105"/>
    <w:rsid w:val="3A8257E7"/>
    <w:rsid w:val="3AB17449"/>
    <w:rsid w:val="3CC26F41"/>
    <w:rsid w:val="3FA240E4"/>
    <w:rsid w:val="415E3A35"/>
    <w:rsid w:val="41D57EC1"/>
    <w:rsid w:val="43AA2C88"/>
    <w:rsid w:val="45AF27D7"/>
    <w:rsid w:val="467C79A6"/>
    <w:rsid w:val="46DC7796"/>
    <w:rsid w:val="49AC3594"/>
    <w:rsid w:val="4A535C9D"/>
    <w:rsid w:val="4A8F2BD7"/>
    <w:rsid w:val="4A946440"/>
    <w:rsid w:val="4AE160EB"/>
    <w:rsid w:val="4B5F6853"/>
    <w:rsid w:val="4F170C21"/>
    <w:rsid w:val="4F4703E8"/>
    <w:rsid w:val="4F672375"/>
    <w:rsid w:val="4FB355BA"/>
    <w:rsid w:val="4FBD770E"/>
    <w:rsid w:val="50C72164"/>
    <w:rsid w:val="516F0C45"/>
    <w:rsid w:val="51E43809"/>
    <w:rsid w:val="52E00474"/>
    <w:rsid w:val="546926EB"/>
    <w:rsid w:val="54F63F7F"/>
    <w:rsid w:val="55DB7F17"/>
    <w:rsid w:val="57154464"/>
    <w:rsid w:val="579637F7"/>
    <w:rsid w:val="5ADC7453"/>
    <w:rsid w:val="5B4812AC"/>
    <w:rsid w:val="5C700ABB"/>
    <w:rsid w:val="5CC22998"/>
    <w:rsid w:val="5CC36A6F"/>
    <w:rsid w:val="5EF17565"/>
    <w:rsid w:val="5F310BD2"/>
    <w:rsid w:val="60732927"/>
    <w:rsid w:val="608F7035"/>
    <w:rsid w:val="609347CF"/>
    <w:rsid w:val="609B3C2C"/>
    <w:rsid w:val="60AC5E39"/>
    <w:rsid w:val="60BF5B37"/>
    <w:rsid w:val="621243C2"/>
    <w:rsid w:val="621A5025"/>
    <w:rsid w:val="622D6B06"/>
    <w:rsid w:val="62A750F4"/>
    <w:rsid w:val="62A7531E"/>
    <w:rsid w:val="637D3ABD"/>
    <w:rsid w:val="638B442C"/>
    <w:rsid w:val="640338C7"/>
    <w:rsid w:val="64590086"/>
    <w:rsid w:val="64C64FF0"/>
    <w:rsid w:val="64FD3107"/>
    <w:rsid w:val="651B358E"/>
    <w:rsid w:val="68833924"/>
    <w:rsid w:val="68914293"/>
    <w:rsid w:val="69C171D1"/>
    <w:rsid w:val="69FD5C5E"/>
    <w:rsid w:val="6A370161"/>
    <w:rsid w:val="6BF07522"/>
    <w:rsid w:val="6BFB09A2"/>
    <w:rsid w:val="6C47110C"/>
    <w:rsid w:val="6D1001EF"/>
    <w:rsid w:val="6D194268"/>
    <w:rsid w:val="6D9E2FAE"/>
    <w:rsid w:val="6EDA0016"/>
    <w:rsid w:val="72007D93"/>
    <w:rsid w:val="72EE22E1"/>
    <w:rsid w:val="73267CCD"/>
    <w:rsid w:val="73465C7A"/>
    <w:rsid w:val="735941EA"/>
    <w:rsid w:val="747B1105"/>
    <w:rsid w:val="74E0779E"/>
    <w:rsid w:val="75826D11"/>
    <w:rsid w:val="760360A4"/>
    <w:rsid w:val="761E6A3A"/>
    <w:rsid w:val="76780840"/>
    <w:rsid w:val="76C375E1"/>
    <w:rsid w:val="77757D0F"/>
    <w:rsid w:val="77D55E6A"/>
    <w:rsid w:val="7A08012D"/>
    <w:rsid w:val="7B767318"/>
    <w:rsid w:val="7BC40083"/>
    <w:rsid w:val="7E285B86"/>
    <w:rsid w:val="7E350DC4"/>
    <w:rsid w:val="7E9F26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Emphasis"/>
    <w:basedOn w:val="8"/>
    <w:qFormat/>
    <w:uiPriority w:val="0"/>
    <w:rPr>
      <w:i/>
    </w:rPr>
  </w:style>
  <w:style w:type="character" w:styleId="11">
    <w:name w:val="Hyperlink"/>
    <w:basedOn w:val="8"/>
    <w:qFormat/>
    <w:uiPriority w:val="0"/>
    <w:rPr>
      <w:color w:val="0000FF"/>
      <w:u w:val="single"/>
    </w:rPr>
  </w:style>
  <w:style w:type="paragraph" w:customStyle="1" w:styleId="12">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3">
    <w:name w:val="页眉 字符"/>
    <w:basedOn w:val="8"/>
    <w:link w:val="4"/>
    <w:qFormat/>
    <w:uiPriority w:val="0"/>
    <w:rPr>
      <w:kern w:val="2"/>
      <w:sz w:val="18"/>
      <w:szCs w:val="18"/>
    </w:rPr>
  </w:style>
  <w:style w:type="character" w:customStyle="1" w:styleId="14">
    <w:name w:val="页脚 字符"/>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4582</Words>
  <Characters>4924</Characters>
  <Lines>99</Lines>
  <Paragraphs>82</Paragraphs>
  <TotalTime>24</TotalTime>
  <ScaleCrop>false</ScaleCrop>
  <LinksUpToDate>false</LinksUpToDate>
  <CharactersWithSpaces>4959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2025-10-27T02:15:00Z</dcterms:created>
  <dc:creator>ZHQ</dc:creator>
  <cp:lastModifiedBy>胡凤凤</cp:lastModifiedBy>
  <dcterms:modified xsi:type="dcterms:W3CDTF">2026-09-28T05:45:48Z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eyJoZGlkIjoiYmRmNWVkNzUzMTgwMTNjY2I5ODdhNWQ3ODk1MzcwNDEiLCJ1c2VySWQiOiI0ODEyNjg0MzcifQ==</vt:lpwstr>
  </property>
  <property fmtid="{D5CDD505-2E9C-101B-9397-08002B2CF9AE}" pid="4" name="ICV">
    <vt:lpwstr>250461E8308B4A3BADEBC994B3575779_13</vt:lpwstr>
  </property>
</Properties>
</file>