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D192B">
      <w:pPr>
        <w:spacing w:before="43" w:line="360" w:lineRule="auto"/>
        <w:ind w:left="167" w:right="8467" w:hanging="2"/>
        <w:rPr>
          <w:rFonts w:hint="eastAsia" w:ascii="宋体" w:hAnsi="宋体" w:eastAsia="宋体" w:cs="宋体"/>
        </w:rPr>
      </w:pPr>
      <w:r>
        <w:rPr>
          <w:rFonts w:hint="eastAsia" w:ascii="宋体" w:hAnsi="宋体" w:eastAsia="宋体" w:cs="宋体"/>
          <w:spacing w:val="-1"/>
          <w:position w:val="1"/>
        </w:rPr>
        <w:t>ICS</w:t>
      </w:r>
      <w:r>
        <w:rPr>
          <w:rFonts w:hint="eastAsia" w:ascii="宋体" w:hAnsi="宋体" w:eastAsia="宋体" w:cs="宋体"/>
          <w:spacing w:val="11"/>
          <w:position w:val="1"/>
        </w:rPr>
        <w:t xml:space="preserve">   </w:t>
      </w:r>
      <w:r>
        <w:rPr>
          <w:rFonts w:hint="eastAsia" w:ascii="宋体" w:hAnsi="宋体" w:eastAsia="宋体" w:cs="宋体"/>
          <w:spacing w:val="-1"/>
        </w:rPr>
        <w:t>03.100.01</w:t>
      </w:r>
      <w:r>
        <w:rPr>
          <w:rFonts w:hint="eastAsia" w:ascii="宋体" w:hAnsi="宋体" w:eastAsia="宋体" w:cs="宋体"/>
        </w:rPr>
        <w:t xml:space="preserve"> </w:t>
      </w:r>
      <w:r>
        <w:rPr>
          <w:rFonts w:hint="eastAsia" w:ascii="宋体" w:hAnsi="宋体" w:eastAsia="宋体" w:cs="宋体"/>
          <w:spacing w:val="-2"/>
          <w:position w:val="1"/>
        </w:rPr>
        <w:t>CCS</w:t>
      </w:r>
      <w:r>
        <w:rPr>
          <w:rFonts w:hint="eastAsia" w:ascii="宋体" w:hAnsi="宋体" w:eastAsia="宋体" w:cs="宋体"/>
          <w:spacing w:val="4"/>
          <w:position w:val="1"/>
        </w:rPr>
        <w:t xml:space="preserve">  </w:t>
      </w:r>
      <w:r>
        <w:rPr>
          <w:rFonts w:hint="eastAsia" w:ascii="宋体" w:hAnsi="宋体" w:eastAsia="宋体" w:cs="宋体"/>
          <w:spacing w:val="-2"/>
        </w:rPr>
        <w:t>A</w:t>
      </w:r>
      <w:r>
        <w:rPr>
          <w:rFonts w:hint="eastAsia" w:ascii="宋体" w:hAnsi="宋体" w:eastAsia="宋体" w:cs="宋体"/>
          <w:spacing w:val="7"/>
        </w:rPr>
        <w:t xml:space="preserve"> </w:t>
      </w:r>
      <w:r>
        <w:rPr>
          <w:rFonts w:hint="eastAsia" w:ascii="宋体" w:hAnsi="宋体" w:eastAsia="宋体" w:cs="宋体"/>
          <w:spacing w:val="-2"/>
        </w:rPr>
        <w:t>02</w:t>
      </w:r>
    </w:p>
    <w:p w14:paraId="17CB4A95">
      <w:pPr>
        <w:spacing w:line="360" w:lineRule="auto"/>
        <w:rPr>
          <w:rFonts w:hint="eastAsia" w:ascii="宋体" w:hAnsi="宋体" w:eastAsia="宋体" w:cs="宋体"/>
        </w:rPr>
      </w:pPr>
    </w:p>
    <w:p w14:paraId="6CF9064D">
      <w:pPr>
        <w:spacing w:line="360" w:lineRule="auto"/>
        <w:rPr>
          <w:rFonts w:hint="eastAsia" w:ascii="宋体" w:hAnsi="宋体" w:eastAsia="宋体" w:cs="宋体"/>
        </w:rPr>
      </w:pPr>
    </w:p>
    <w:p w14:paraId="28739F73">
      <w:pPr>
        <w:spacing w:before="234" w:line="360" w:lineRule="auto"/>
        <w:ind w:left="163"/>
        <w:rPr>
          <w:rFonts w:hint="eastAsia" w:ascii="宋体" w:hAnsi="宋体" w:eastAsia="宋体" w:cs="宋体"/>
          <w:sz w:val="72"/>
          <w:szCs w:val="72"/>
        </w:rPr>
      </w:pPr>
      <w:r>
        <w:rPr>
          <w:rFonts w:hint="eastAsia" w:ascii="宋体" w:hAnsi="宋体" w:eastAsia="宋体" w:cs="宋体"/>
          <w:spacing w:val="-28"/>
          <w:sz w:val="72"/>
          <w:szCs w:val="72"/>
        </w:rPr>
        <w:t>团</w:t>
      </w:r>
      <w:r>
        <w:rPr>
          <w:rFonts w:hint="eastAsia" w:ascii="宋体" w:hAnsi="宋体" w:eastAsia="宋体" w:cs="宋体"/>
          <w:spacing w:val="20"/>
          <w:sz w:val="72"/>
          <w:szCs w:val="72"/>
        </w:rPr>
        <w:t xml:space="preserve">      </w:t>
      </w:r>
      <w:r>
        <w:rPr>
          <w:rFonts w:hint="eastAsia" w:ascii="宋体" w:hAnsi="宋体" w:eastAsia="宋体" w:cs="宋体"/>
          <w:spacing w:val="-28"/>
          <w:sz w:val="72"/>
          <w:szCs w:val="72"/>
        </w:rPr>
        <w:t>体</w:t>
      </w:r>
      <w:r>
        <w:rPr>
          <w:rFonts w:hint="eastAsia" w:ascii="宋体" w:hAnsi="宋体" w:eastAsia="宋体" w:cs="宋体"/>
          <w:spacing w:val="18"/>
          <w:sz w:val="72"/>
          <w:szCs w:val="72"/>
        </w:rPr>
        <w:t xml:space="preserve">      </w:t>
      </w:r>
      <w:r>
        <w:rPr>
          <w:rFonts w:hint="eastAsia" w:ascii="宋体" w:hAnsi="宋体" w:eastAsia="宋体" w:cs="宋体"/>
          <w:spacing w:val="-28"/>
          <w:sz w:val="72"/>
          <w:szCs w:val="72"/>
        </w:rPr>
        <w:t>标</w:t>
      </w:r>
      <w:r>
        <w:rPr>
          <w:rFonts w:hint="eastAsia" w:ascii="宋体" w:hAnsi="宋体" w:eastAsia="宋体" w:cs="宋体"/>
          <w:spacing w:val="21"/>
          <w:sz w:val="72"/>
          <w:szCs w:val="72"/>
        </w:rPr>
        <w:t xml:space="preserve">      </w:t>
      </w:r>
      <w:r>
        <w:rPr>
          <w:rFonts w:hint="eastAsia" w:ascii="宋体" w:hAnsi="宋体" w:eastAsia="宋体" w:cs="宋体"/>
          <w:spacing w:val="-28"/>
          <w:sz w:val="72"/>
          <w:szCs w:val="72"/>
        </w:rPr>
        <w:t>准</w:t>
      </w:r>
    </w:p>
    <w:p w14:paraId="76B8D2C5">
      <w:pPr>
        <w:spacing w:before="292" w:line="360" w:lineRule="auto"/>
        <w:ind w:left="7056"/>
        <w:jc w:val="right"/>
        <w:rPr>
          <w:rFonts w:hint="eastAsia" w:ascii="宋体" w:hAnsi="宋体" w:eastAsia="宋体" w:cs="宋体"/>
          <w:lang w:eastAsia="zh-CN"/>
        </w:rPr>
      </w:pPr>
      <w:r>
        <w:rPr>
          <w:rFonts w:hint="eastAsia" w:ascii="宋体" w:hAnsi="宋体" w:eastAsia="宋体" w:cs="宋体"/>
          <w:spacing w:val="-3"/>
        </w:rPr>
        <w:t>T/XXX XXXX—XXXX</w:t>
      </w:r>
    </w:p>
    <w:p w14:paraId="2B7AC129">
      <w:pPr>
        <w:spacing w:line="360" w:lineRule="auto"/>
        <w:rPr>
          <w:rFonts w:hint="eastAsia" w:ascii="宋体" w:hAnsi="宋体" w:eastAsia="宋体" w:cs="宋体"/>
        </w:rPr>
      </w:pPr>
    </w:p>
    <w:p w14:paraId="1F510376">
      <w:pPr>
        <w:spacing w:line="360" w:lineRule="auto"/>
        <w:rPr>
          <w:rFonts w:hint="eastAsia" w:ascii="宋体" w:hAnsi="宋体" w:eastAsia="宋体" w:cs="宋体"/>
        </w:rPr>
      </w:pPr>
      <w:r>
        <w:rPr>
          <w:rFonts w:hint="eastAsia" w:ascii="宋体" w:hAnsi="宋体" w:eastAsia="宋体" w:cs="宋体"/>
        </w:rPr>
        <w:pict>
          <v:shape id="_x0000_s2050" o:spid="_x0000_s2050" style="position:absolute;left:0pt;margin-left:10.7pt;margin-top:6.8pt;height:0.75pt;width:481.9pt;z-index:251660288;mso-width-relative:page;mso-height-relative:page;" filled="f" coordsize="9637,15" path="m0,7l9637,7e">
            <v:fill on="f" focussize="0,0"/>
            <v:stroke miterlimit="10"/>
            <v:imagedata o:title=""/>
            <o:lock v:ext="edit"/>
          </v:shape>
        </w:pict>
      </w:r>
    </w:p>
    <w:p w14:paraId="01FE76E0">
      <w:pPr>
        <w:spacing w:line="360" w:lineRule="auto"/>
        <w:rPr>
          <w:rFonts w:hint="eastAsia" w:ascii="宋体" w:hAnsi="宋体" w:eastAsia="宋体" w:cs="宋体"/>
        </w:rPr>
      </w:pPr>
    </w:p>
    <w:p w14:paraId="1A231AE9">
      <w:pPr>
        <w:spacing w:line="360" w:lineRule="auto"/>
        <w:rPr>
          <w:rFonts w:hint="eastAsia" w:ascii="宋体" w:hAnsi="宋体" w:eastAsia="宋体" w:cs="宋体"/>
        </w:rPr>
      </w:pPr>
    </w:p>
    <w:p w14:paraId="4FCC2494">
      <w:pPr>
        <w:spacing w:before="169" w:line="360" w:lineRule="auto"/>
        <w:jc w:val="right"/>
        <w:rPr>
          <w:rFonts w:hint="eastAsia" w:ascii="宋体" w:hAnsi="宋体" w:eastAsia="宋体" w:cs="宋体"/>
          <w:sz w:val="52"/>
          <w:szCs w:val="52"/>
        </w:rPr>
      </w:pPr>
      <w:r>
        <w:rPr>
          <w:rFonts w:hint="eastAsia" w:ascii="宋体" w:hAnsi="宋体" w:eastAsia="宋体" w:cs="宋体"/>
          <w:spacing w:val="-6"/>
          <w:sz w:val="52"/>
          <w:szCs w:val="52"/>
        </w:rPr>
        <w:t>中国汽车行业</w:t>
      </w:r>
      <w:r>
        <w:rPr>
          <w:rFonts w:hint="eastAsia" w:ascii="宋体" w:hAnsi="宋体" w:eastAsia="宋体" w:cs="宋体"/>
          <w:spacing w:val="-83"/>
          <w:sz w:val="52"/>
          <w:szCs w:val="52"/>
        </w:rPr>
        <w:t xml:space="preserve"> </w:t>
      </w:r>
      <w:r>
        <w:rPr>
          <w:rFonts w:hint="eastAsia" w:ascii="宋体" w:hAnsi="宋体" w:eastAsia="宋体" w:cs="宋体"/>
          <w:spacing w:val="-6"/>
          <w:sz w:val="52"/>
          <w:szCs w:val="52"/>
        </w:rPr>
        <w:t>ESG</w:t>
      </w:r>
      <w:r>
        <w:rPr>
          <w:rFonts w:hint="eastAsia" w:ascii="宋体" w:hAnsi="宋体" w:eastAsia="宋体" w:cs="宋体"/>
          <w:spacing w:val="-107"/>
          <w:sz w:val="52"/>
          <w:szCs w:val="52"/>
        </w:rPr>
        <w:t xml:space="preserve"> </w:t>
      </w:r>
      <w:r>
        <w:rPr>
          <w:rFonts w:hint="eastAsia" w:ascii="宋体" w:hAnsi="宋体" w:eastAsia="宋体" w:cs="宋体"/>
          <w:spacing w:val="-6"/>
          <w:sz w:val="52"/>
          <w:szCs w:val="52"/>
        </w:rPr>
        <w:t>管理体系 要求及使用指南</w:t>
      </w:r>
    </w:p>
    <w:p w14:paraId="65A41AA1">
      <w:pPr>
        <w:spacing w:line="360" w:lineRule="auto"/>
        <w:rPr>
          <w:rFonts w:hint="eastAsia" w:ascii="宋体" w:hAnsi="宋体" w:eastAsia="宋体" w:cs="宋体"/>
        </w:rPr>
      </w:pPr>
    </w:p>
    <w:p w14:paraId="639E7CA9">
      <w:pPr>
        <w:spacing w:before="80" w:line="360" w:lineRule="auto"/>
        <w:ind w:left="1896"/>
        <w:rPr>
          <w:rFonts w:hint="eastAsia" w:ascii="宋体" w:hAnsi="宋体" w:eastAsia="宋体" w:cs="宋体"/>
          <w:sz w:val="28"/>
          <w:szCs w:val="28"/>
        </w:rPr>
      </w:pPr>
      <w:r>
        <w:rPr>
          <w:rFonts w:hint="eastAsia" w:ascii="宋体" w:hAnsi="宋体" w:eastAsia="宋体" w:cs="宋体"/>
          <w:sz w:val="28"/>
          <w:szCs w:val="28"/>
        </w:rPr>
        <w:t>ESG</w:t>
      </w:r>
      <w:r>
        <w:rPr>
          <w:rFonts w:hint="eastAsia" w:ascii="宋体" w:hAnsi="宋体" w:eastAsia="宋体" w:cs="宋体"/>
          <w:spacing w:val="2"/>
          <w:sz w:val="28"/>
          <w:szCs w:val="28"/>
        </w:rPr>
        <w:t xml:space="preserve"> </w:t>
      </w:r>
      <w:r>
        <w:rPr>
          <w:rFonts w:hint="eastAsia" w:ascii="宋体" w:hAnsi="宋体" w:eastAsia="宋体" w:cs="宋体"/>
          <w:sz w:val="28"/>
          <w:szCs w:val="28"/>
        </w:rPr>
        <w:t>management</w:t>
      </w:r>
      <w:r>
        <w:rPr>
          <w:rFonts w:hint="eastAsia" w:ascii="宋体" w:hAnsi="宋体" w:eastAsia="宋体" w:cs="宋体"/>
          <w:spacing w:val="2"/>
          <w:sz w:val="28"/>
          <w:szCs w:val="28"/>
        </w:rPr>
        <w:t xml:space="preserve"> </w:t>
      </w:r>
      <w:r>
        <w:rPr>
          <w:rFonts w:hint="eastAsia" w:ascii="宋体" w:hAnsi="宋体" w:eastAsia="宋体" w:cs="宋体"/>
          <w:sz w:val="28"/>
          <w:szCs w:val="28"/>
        </w:rPr>
        <w:t>system</w:t>
      </w:r>
      <w:r>
        <w:rPr>
          <w:rFonts w:hint="eastAsia" w:ascii="宋体" w:hAnsi="宋体" w:eastAsia="宋体" w:cs="宋体"/>
          <w:spacing w:val="2"/>
          <w:sz w:val="28"/>
          <w:szCs w:val="28"/>
        </w:rPr>
        <w:t xml:space="preserve"> </w:t>
      </w:r>
      <w:r>
        <w:rPr>
          <w:rFonts w:hint="eastAsia" w:ascii="宋体" w:hAnsi="宋体" w:eastAsia="宋体" w:cs="宋体"/>
          <w:sz w:val="28"/>
          <w:szCs w:val="28"/>
        </w:rPr>
        <w:t>of</w:t>
      </w:r>
      <w:r>
        <w:rPr>
          <w:rFonts w:hint="eastAsia" w:ascii="宋体" w:hAnsi="宋体" w:eastAsia="宋体" w:cs="宋体"/>
          <w:spacing w:val="-13"/>
          <w:sz w:val="28"/>
          <w:szCs w:val="28"/>
        </w:rPr>
        <w:t xml:space="preserve"> </w:t>
      </w:r>
      <w:r>
        <w:rPr>
          <w:rFonts w:hint="eastAsia" w:ascii="宋体" w:hAnsi="宋体" w:eastAsia="宋体" w:cs="宋体"/>
          <w:sz w:val="28"/>
          <w:szCs w:val="28"/>
        </w:rPr>
        <w:t>China</w:t>
      </w:r>
      <w:r>
        <w:rPr>
          <w:rFonts w:hint="eastAsia" w:ascii="宋体" w:hAnsi="宋体" w:eastAsia="宋体" w:cs="宋体"/>
          <w:spacing w:val="2"/>
          <w:sz w:val="28"/>
          <w:szCs w:val="28"/>
        </w:rPr>
        <w:t xml:space="preserve"> </w:t>
      </w:r>
      <w:r>
        <w:rPr>
          <w:rFonts w:hint="eastAsia" w:ascii="宋体" w:hAnsi="宋体" w:eastAsia="宋体" w:cs="宋体"/>
          <w:sz w:val="28"/>
          <w:szCs w:val="28"/>
        </w:rPr>
        <w:t>automotive</w:t>
      </w:r>
      <w:r>
        <w:rPr>
          <w:rFonts w:hint="eastAsia" w:ascii="宋体" w:hAnsi="宋体" w:eastAsia="宋体" w:cs="宋体"/>
          <w:spacing w:val="2"/>
          <w:sz w:val="28"/>
          <w:szCs w:val="28"/>
        </w:rPr>
        <w:t xml:space="preserve"> </w:t>
      </w:r>
      <w:r>
        <w:rPr>
          <w:rFonts w:hint="eastAsia" w:ascii="宋体" w:hAnsi="宋体" w:eastAsia="宋体" w:cs="宋体"/>
          <w:sz w:val="28"/>
          <w:szCs w:val="28"/>
        </w:rPr>
        <w:t>industry</w:t>
      </w:r>
    </w:p>
    <w:p w14:paraId="522147FE">
      <w:pPr>
        <w:spacing w:before="105" w:line="360" w:lineRule="auto"/>
        <w:ind w:left="2848"/>
        <w:rPr>
          <w:rFonts w:hint="eastAsia" w:ascii="宋体" w:hAnsi="宋体" w:eastAsia="宋体" w:cs="宋体"/>
        </w:rPr>
      </w:pPr>
      <w:r>
        <w:rPr>
          <w:rFonts w:hint="eastAsia" w:ascii="宋体" w:hAnsi="宋体" w:eastAsia="宋体" w:cs="宋体"/>
        </w:rPr>
        <w:t>—Requirements with guidance for u</w:t>
      </w:r>
      <w:r>
        <w:rPr>
          <w:rFonts w:hint="eastAsia" w:ascii="宋体" w:hAnsi="宋体" w:eastAsia="宋体" w:cs="宋体"/>
          <w:spacing w:val="-1"/>
        </w:rPr>
        <w:t>se</w:t>
      </w:r>
    </w:p>
    <w:p w14:paraId="61D3CAFD">
      <w:pPr>
        <w:spacing w:line="360" w:lineRule="auto"/>
        <w:rPr>
          <w:rFonts w:hint="eastAsia" w:ascii="宋体" w:hAnsi="宋体" w:eastAsia="宋体" w:cs="宋体"/>
        </w:rPr>
      </w:pPr>
    </w:p>
    <w:p w14:paraId="151F4572">
      <w:pPr>
        <w:spacing w:line="360" w:lineRule="auto"/>
        <w:rPr>
          <w:rFonts w:hint="eastAsia" w:ascii="宋体" w:hAnsi="宋体" w:eastAsia="宋体" w:cs="宋体"/>
        </w:rPr>
      </w:pPr>
    </w:p>
    <w:p w14:paraId="6BB7F1B7">
      <w:pPr>
        <w:spacing w:line="360" w:lineRule="auto"/>
        <w:rPr>
          <w:rFonts w:hint="eastAsia" w:ascii="宋体" w:hAnsi="宋体" w:eastAsia="宋体" w:cs="宋体"/>
        </w:rPr>
      </w:pPr>
    </w:p>
    <w:p w14:paraId="0AC0E861">
      <w:pPr>
        <w:spacing w:line="360" w:lineRule="auto"/>
        <w:rPr>
          <w:rFonts w:hint="eastAsia" w:ascii="宋体" w:hAnsi="宋体" w:eastAsia="宋体" w:cs="宋体"/>
        </w:rPr>
      </w:pPr>
    </w:p>
    <w:p w14:paraId="259F7E1F">
      <w:pPr>
        <w:spacing w:line="360" w:lineRule="auto"/>
        <w:rPr>
          <w:rFonts w:hint="eastAsia" w:ascii="宋体" w:hAnsi="宋体" w:eastAsia="宋体" w:cs="宋体"/>
        </w:rPr>
      </w:pPr>
    </w:p>
    <w:p w14:paraId="72B63D88">
      <w:pPr>
        <w:spacing w:before="91" w:line="360" w:lineRule="auto"/>
        <w:ind w:firstLine="1010" w:firstLineChars="500"/>
        <w:rPr>
          <w:rFonts w:hint="eastAsia" w:ascii="宋体" w:hAnsi="宋体" w:eastAsia="宋体" w:cs="宋体"/>
          <w:spacing w:val="-4"/>
          <w:lang w:eastAsia="zh-CN"/>
        </w:rPr>
      </w:pPr>
    </w:p>
    <w:p w14:paraId="5463752E">
      <w:pPr>
        <w:spacing w:before="91" w:line="360" w:lineRule="auto"/>
        <w:ind w:firstLine="1010" w:firstLineChars="500"/>
        <w:rPr>
          <w:rFonts w:hint="eastAsia" w:ascii="宋体" w:hAnsi="宋体" w:eastAsia="宋体" w:cs="宋体"/>
          <w:spacing w:val="-4"/>
          <w:lang w:eastAsia="zh-CN"/>
        </w:rPr>
      </w:pPr>
    </w:p>
    <w:p w14:paraId="06933969">
      <w:pPr>
        <w:spacing w:before="91" w:line="360" w:lineRule="auto"/>
        <w:ind w:firstLine="1010" w:firstLineChars="500"/>
        <w:rPr>
          <w:rFonts w:hint="eastAsia" w:ascii="宋体" w:hAnsi="宋体" w:eastAsia="宋体" w:cs="宋体"/>
          <w:spacing w:val="-4"/>
          <w:lang w:eastAsia="zh-CN"/>
        </w:rPr>
      </w:pPr>
    </w:p>
    <w:p w14:paraId="590E207F">
      <w:pPr>
        <w:spacing w:before="91" w:line="360" w:lineRule="auto"/>
        <w:ind w:firstLine="1010" w:firstLineChars="500"/>
        <w:rPr>
          <w:rFonts w:hint="eastAsia" w:ascii="宋体" w:hAnsi="宋体" w:eastAsia="宋体" w:cs="宋体"/>
          <w:spacing w:val="-4"/>
          <w:lang w:eastAsia="zh-CN"/>
        </w:rPr>
      </w:pPr>
    </w:p>
    <w:p w14:paraId="0E01A08D">
      <w:pPr>
        <w:spacing w:before="91" w:line="360" w:lineRule="auto"/>
        <w:ind w:firstLine="1010" w:firstLineChars="500"/>
        <w:rPr>
          <w:rFonts w:hint="eastAsia" w:ascii="宋体" w:hAnsi="宋体" w:eastAsia="宋体" w:cs="宋体"/>
          <w:spacing w:val="-4"/>
          <w:lang w:eastAsia="zh-CN"/>
        </w:rPr>
      </w:pPr>
    </w:p>
    <w:p w14:paraId="6F78F0BA">
      <w:pPr>
        <w:spacing w:before="91" w:line="360" w:lineRule="auto"/>
        <w:ind w:firstLine="1010" w:firstLineChars="500"/>
        <w:rPr>
          <w:rFonts w:hint="eastAsia" w:ascii="宋体" w:hAnsi="宋体" w:eastAsia="宋体" w:cs="宋体"/>
          <w:spacing w:val="-4"/>
          <w:lang w:eastAsia="zh-CN"/>
        </w:rPr>
      </w:pPr>
    </w:p>
    <w:p w14:paraId="0DB7EF8F">
      <w:pPr>
        <w:spacing w:before="91" w:line="360" w:lineRule="auto"/>
        <w:ind w:firstLine="1010" w:firstLineChars="500"/>
        <w:jc w:val="center"/>
        <w:rPr>
          <w:rFonts w:hint="eastAsia" w:ascii="宋体" w:hAnsi="宋体" w:eastAsia="宋体" w:cs="宋体"/>
          <w:spacing w:val="-5"/>
          <w:lang w:eastAsia="zh-CN"/>
        </w:rPr>
      </w:pPr>
      <w:r>
        <w:rPr>
          <w:rFonts w:hint="eastAsia" w:ascii="宋体" w:hAnsi="宋体" w:eastAsia="宋体" w:cs="宋体"/>
          <w:spacing w:val="-4"/>
          <w:lang w:val="en-US" w:eastAsia="zh-CN"/>
        </w:rPr>
        <w:t>XXXX</w:t>
      </w:r>
      <w:r>
        <w:rPr>
          <w:rFonts w:hint="eastAsia" w:ascii="宋体" w:hAnsi="宋体" w:eastAsia="宋体" w:cs="宋体"/>
          <w:spacing w:val="-4"/>
          <w:lang w:eastAsia="zh-CN"/>
        </w:rPr>
        <w:t xml:space="preserve"> - XX - XX发布                    </w:t>
      </w:r>
      <w:r>
        <w:rPr>
          <w:rFonts w:hint="eastAsia" w:ascii="宋体" w:hAnsi="宋体" w:eastAsia="宋体" w:cs="宋体"/>
          <w:spacing w:val="-5"/>
          <w:lang w:eastAsia="zh-CN"/>
        </w:rPr>
        <w:t xml:space="preserve">                </w:t>
      </w:r>
      <w:r>
        <w:rPr>
          <w:rFonts w:hint="eastAsia" w:ascii="宋体" w:hAnsi="宋体" w:eastAsia="宋体" w:cs="宋体"/>
          <w:spacing w:val="-5"/>
          <w:lang w:val="en-US" w:eastAsia="zh-CN"/>
        </w:rPr>
        <w:t>XXXX</w:t>
      </w:r>
      <w:bookmarkStart w:id="43" w:name="_GoBack"/>
      <w:bookmarkEnd w:id="43"/>
      <w:r>
        <w:rPr>
          <w:rFonts w:hint="eastAsia" w:ascii="宋体" w:hAnsi="宋体" w:eastAsia="宋体" w:cs="宋体"/>
          <w:spacing w:val="-5"/>
          <w:lang w:eastAsia="zh-CN"/>
        </w:rPr>
        <w:t xml:space="preserve"> - XX - XX实施</w:t>
      </w:r>
    </w:p>
    <w:p w14:paraId="646DE849">
      <w:pPr>
        <w:spacing w:before="91" w:line="360" w:lineRule="auto"/>
        <w:rPr>
          <w:rFonts w:hint="eastAsia" w:ascii="宋体" w:hAnsi="宋体" w:eastAsia="宋体" w:cs="宋体"/>
          <w:spacing w:val="-5"/>
          <w:lang w:eastAsia="zh-CN"/>
        </w:rPr>
      </w:pPr>
    </w:p>
    <w:p w14:paraId="67752038">
      <w:pPr>
        <w:spacing w:before="91" w:line="360" w:lineRule="auto"/>
        <w:jc w:val="center"/>
        <w:rPr>
          <w:rFonts w:hint="eastAsia" w:ascii="宋体" w:hAnsi="宋体" w:eastAsia="宋体" w:cs="宋体"/>
          <w:lang w:eastAsia="zh-CN"/>
        </w:rPr>
      </w:pPr>
      <w:r>
        <w:rPr>
          <w:rFonts w:hint="eastAsia" w:ascii="宋体" w:hAnsi="宋体" w:eastAsia="宋体" w:cs="宋体"/>
        </w:rPr>
        <w:pict>
          <v:shape id="_x0000_s2051" o:spid="_x0000_s2051" style="position:absolute;left:0pt;margin-left:10.65pt;margin-top:1.05pt;height:0.75pt;width:481.9pt;z-index:251659264;mso-width-relative:page;mso-height-relative:page;" filled="f" coordsize="9637,15" path="m0,7l9637,7e">
            <v:fill on="f" focussize="0,0"/>
            <v:stroke miterlimit="10"/>
            <v:imagedata o:title=""/>
            <o:lock v:ext="edit"/>
          </v:shape>
        </w:pict>
      </w:r>
      <w:r>
        <w:rPr>
          <w:rFonts w:hint="eastAsia" w:ascii="宋体" w:hAnsi="宋体" w:eastAsia="宋体" w:cs="宋体"/>
          <w:spacing w:val="-3"/>
          <w:lang w:eastAsia="zh-CN"/>
        </w:rPr>
        <w:t>中国汽车工业协会    发</w:t>
      </w:r>
      <w:r>
        <w:rPr>
          <w:rFonts w:hint="eastAsia" w:ascii="宋体" w:hAnsi="宋体" w:eastAsia="宋体" w:cs="宋体"/>
          <w:spacing w:val="46"/>
          <w:lang w:eastAsia="zh-CN"/>
        </w:rPr>
        <w:t xml:space="preserve"> </w:t>
      </w:r>
      <w:r>
        <w:rPr>
          <w:rFonts w:hint="eastAsia" w:ascii="宋体" w:hAnsi="宋体" w:eastAsia="宋体" w:cs="宋体"/>
          <w:spacing w:val="-3"/>
          <w:lang w:eastAsia="zh-CN"/>
        </w:rPr>
        <w:t>布</w:t>
      </w:r>
    </w:p>
    <w:p w14:paraId="1361ED2C">
      <w:pPr>
        <w:spacing w:line="360" w:lineRule="auto"/>
        <w:jc w:val="both"/>
        <w:rPr>
          <w:rFonts w:hint="eastAsia" w:ascii="宋体" w:hAnsi="宋体" w:eastAsia="宋体" w:cs="宋体"/>
          <w:lang w:eastAsia="zh-CN"/>
        </w:rPr>
        <w:sectPr>
          <w:pgSz w:w="11907" w:h="16839"/>
          <w:pgMar w:top="553" w:right="610" w:bottom="0" w:left="1210" w:header="0" w:footer="0" w:gutter="0"/>
          <w:pgNumType w:fmt="upperRoman"/>
          <w:cols w:space="720" w:num="1"/>
        </w:sectPr>
      </w:pPr>
    </w:p>
    <w:sdt>
      <w:sdtPr>
        <w:rPr>
          <w:rFonts w:ascii="宋体" w:hAnsi="宋体" w:eastAsia="宋体"/>
        </w:rPr>
        <w:id w:val="147451514"/>
        <w15:color w:val="DBDBDB"/>
        <w:docPartObj>
          <w:docPartGallery w:val="Table of Contents"/>
          <w:docPartUnique/>
        </w:docPartObj>
      </w:sdtPr>
      <w:sdtEndPr>
        <w:rPr>
          <w:rFonts w:hint="eastAsia" w:ascii="宋体" w:hAnsi="宋体" w:eastAsia="宋体" w:cs="宋体"/>
        </w:rPr>
      </w:sdtEndPr>
      <w:sdtContent>
        <w:p w14:paraId="2ED468E2">
          <w:pPr>
            <w:jc w:val="center"/>
            <w:rPr>
              <w:lang w:eastAsia="zh-CN"/>
            </w:rPr>
          </w:pPr>
          <w:r>
            <w:rPr>
              <w:rFonts w:ascii="宋体" w:hAnsi="宋体" w:eastAsia="宋体"/>
              <w:lang w:eastAsia="zh-CN"/>
            </w:rPr>
            <w:t>目录</w:t>
          </w:r>
        </w:p>
        <w:p w14:paraId="25C86CE9">
          <w:pPr>
            <w:pStyle w:val="16"/>
            <w:tabs>
              <w:tab w:val="right" w:leader="dot" w:pos="9353"/>
            </w:tabs>
            <w:spacing w:line="360" w:lineRule="auto"/>
          </w:pPr>
          <w:r>
            <w:rPr>
              <w:rFonts w:hint="eastAsia" w:hAnsi="宋体" w:eastAsia="宋体" w:cs="宋体"/>
            </w:rPr>
            <w:fldChar w:fldCharType="begin"/>
          </w:r>
          <w:r>
            <w:rPr>
              <w:rFonts w:hint="eastAsia" w:hAnsi="宋体" w:eastAsia="宋体" w:cs="宋体"/>
            </w:rPr>
            <w:instrText xml:space="preserve">TOC \o "1-1" \h \u </w:instrText>
          </w:r>
          <w:r>
            <w:rPr>
              <w:rFonts w:hint="eastAsia" w:hAnsi="宋体" w:eastAsia="宋体" w:cs="宋体"/>
            </w:rPr>
            <w:fldChar w:fldCharType="separate"/>
          </w:r>
          <w:r>
            <w:fldChar w:fldCharType="begin"/>
          </w:r>
          <w:r>
            <w:instrText xml:space="preserve"> HYPERLINK \l "_Toc32308" </w:instrText>
          </w:r>
          <w:r>
            <w:fldChar w:fldCharType="separate"/>
          </w:r>
          <w:r>
            <w:rPr>
              <w:spacing w:val="-2"/>
              <w:szCs w:val="31"/>
            </w:rPr>
            <w:t>前</w:t>
          </w:r>
          <w:r>
            <w:rPr>
              <w:spacing w:val="10"/>
              <w:szCs w:val="31"/>
            </w:rPr>
            <w:t xml:space="preserve">    </w:t>
          </w:r>
          <w:r>
            <w:rPr>
              <w:spacing w:val="-2"/>
              <w:szCs w:val="31"/>
            </w:rPr>
            <w:t>言</w:t>
          </w:r>
          <w:r>
            <w:tab/>
          </w:r>
          <w:r>
            <w:fldChar w:fldCharType="begin"/>
          </w:r>
          <w:r>
            <w:instrText xml:space="preserve"> PAGEREF _Toc32308 \h </w:instrText>
          </w:r>
          <w:r>
            <w:fldChar w:fldCharType="separate"/>
          </w:r>
          <w:r>
            <w:t>II</w:t>
          </w:r>
          <w:r>
            <w:fldChar w:fldCharType="end"/>
          </w:r>
          <w:r>
            <w:fldChar w:fldCharType="end"/>
          </w:r>
        </w:p>
        <w:p w14:paraId="1506F313">
          <w:pPr>
            <w:pStyle w:val="16"/>
            <w:tabs>
              <w:tab w:val="right" w:leader="dot" w:pos="9353"/>
            </w:tabs>
            <w:spacing w:line="360" w:lineRule="auto"/>
          </w:pPr>
          <w:r>
            <w:fldChar w:fldCharType="begin"/>
          </w:r>
          <w:r>
            <w:instrText xml:space="preserve"> HYPERLINK \l "_Toc32065" </w:instrText>
          </w:r>
          <w:r>
            <w:fldChar w:fldCharType="separate"/>
          </w:r>
          <w:r>
            <w:rPr>
              <w:spacing w:val="-16"/>
              <w:szCs w:val="31"/>
            </w:rPr>
            <w:t>引</w:t>
          </w:r>
          <w:r>
            <w:rPr>
              <w:spacing w:val="10"/>
              <w:szCs w:val="31"/>
            </w:rPr>
            <w:t xml:space="preserve">    </w:t>
          </w:r>
          <w:r>
            <w:rPr>
              <w:spacing w:val="-16"/>
              <w:szCs w:val="31"/>
            </w:rPr>
            <w:t>言</w:t>
          </w:r>
          <w:r>
            <w:tab/>
          </w:r>
          <w:r>
            <w:fldChar w:fldCharType="begin"/>
          </w:r>
          <w:r>
            <w:instrText xml:space="preserve"> PAGEREF _Toc32065 \h </w:instrText>
          </w:r>
          <w:r>
            <w:fldChar w:fldCharType="separate"/>
          </w:r>
          <w:r>
            <w:t>III</w:t>
          </w:r>
          <w:r>
            <w:fldChar w:fldCharType="end"/>
          </w:r>
          <w:r>
            <w:fldChar w:fldCharType="end"/>
          </w:r>
        </w:p>
        <w:p w14:paraId="46A7DDDE">
          <w:pPr>
            <w:pStyle w:val="16"/>
            <w:tabs>
              <w:tab w:val="right" w:leader="dot" w:pos="9353"/>
            </w:tabs>
            <w:spacing w:line="360" w:lineRule="auto"/>
          </w:pPr>
          <w:r>
            <w:fldChar w:fldCharType="begin"/>
          </w:r>
          <w:r>
            <w:instrText xml:space="preserve"> HYPERLINK \l "_Toc13456" </w:instrText>
          </w:r>
          <w:r>
            <w:fldChar w:fldCharType="separate"/>
          </w:r>
          <w:r>
            <w:rPr>
              <w:rFonts w:hint="eastAsia" w:ascii="黑体" w:eastAsia="黑体"/>
              <w:szCs w:val="20"/>
            </w:rPr>
            <w:t xml:space="preserve">1 </w:t>
          </w:r>
          <w:r>
            <w:rPr>
              <w:szCs w:val="20"/>
            </w:rPr>
            <w:t>范围</w:t>
          </w:r>
          <w:r>
            <w:tab/>
          </w:r>
          <w:r>
            <w:fldChar w:fldCharType="begin"/>
          </w:r>
          <w:r>
            <w:instrText xml:space="preserve"> PAGEREF _Toc13456 \h </w:instrText>
          </w:r>
          <w:r>
            <w:fldChar w:fldCharType="separate"/>
          </w:r>
          <w:r>
            <w:t>1</w:t>
          </w:r>
          <w:r>
            <w:fldChar w:fldCharType="end"/>
          </w:r>
          <w:r>
            <w:fldChar w:fldCharType="end"/>
          </w:r>
        </w:p>
        <w:p w14:paraId="30F76FCE">
          <w:pPr>
            <w:pStyle w:val="16"/>
            <w:tabs>
              <w:tab w:val="right" w:leader="dot" w:pos="9353"/>
            </w:tabs>
            <w:spacing w:line="360" w:lineRule="auto"/>
          </w:pPr>
          <w:r>
            <w:fldChar w:fldCharType="begin"/>
          </w:r>
          <w:r>
            <w:instrText xml:space="preserve"> HYPERLINK \l "_Toc2033" </w:instrText>
          </w:r>
          <w:r>
            <w:fldChar w:fldCharType="separate"/>
          </w:r>
          <w:r>
            <w:rPr>
              <w:rFonts w:hint="eastAsia" w:ascii="黑体" w:eastAsia="黑体"/>
              <w:szCs w:val="20"/>
            </w:rPr>
            <w:t xml:space="preserve">2 </w:t>
          </w:r>
          <w:r>
            <w:rPr>
              <w:szCs w:val="20"/>
            </w:rPr>
            <w:t>规范性引用文件</w:t>
          </w:r>
          <w:r>
            <w:tab/>
          </w:r>
          <w:r>
            <w:fldChar w:fldCharType="begin"/>
          </w:r>
          <w:r>
            <w:instrText xml:space="preserve"> PAGEREF _Toc2033 \h </w:instrText>
          </w:r>
          <w:r>
            <w:fldChar w:fldCharType="separate"/>
          </w:r>
          <w:r>
            <w:t>1</w:t>
          </w:r>
          <w:r>
            <w:fldChar w:fldCharType="end"/>
          </w:r>
          <w:r>
            <w:fldChar w:fldCharType="end"/>
          </w:r>
        </w:p>
        <w:p w14:paraId="1F8909BB">
          <w:pPr>
            <w:pStyle w:val="16"/>
            <w:tabs>
              <w:tab w:val="right" w:leader="dot" w:pos="9353"/>
            </w:tabs>
            <w:spacing w:line="360" w:lineRule="auto"/>
          </w:pPr>
          <w:r>
            <w:fldChar w:fldCharType="begin"/>
          </w:r>
          <w:r>
            <w:instrText xml:space="preserve"> HYPERLINK \l "_Toc7636" </w:instrText>
          </w:r>
          <w:r>
            <w:fldChar w:fldCharType="separate"/>
          </w:r>
          <w:r>
            <w:rPr>
              <w:rFonts w:hint="eastAsia" w:ascii="黑体" w:eastAsia="黑体"/>
              <w:szCs w:val="20"/>
            </w:rPr>
            <w:t xml:space="preserve">3 </w:t>
          </w:r>
          <w:r>
            <w:rPr>
              <w:szCs w:val="20"/>
            </w:rPr>
            <w:t>术语和定义</w:t>
          </w:r>
          <w:r>
            <w:tab/>
          </w:r>
          <w:r>
            <w:fldChar w:fldCharType="begin"/>
          </w:r>
          <w:r>
            <w:instrText xml:space="preserve"> PAGEREF _Toc7636 \h </w:instrText>
          </w:r>
          <w:r>
            <w:fldChar w:fldCharType="separate"/>
          </w:r>
          <w:r>
            <w:t>1</w:t>
          </w:r>
          <w:r>
            <w:fldChar w:fldCharType="end"/>
          </w:r>
          <w:r>
            <w:fldChar w:fldCharType="end"/>
          </w:r>
        </w:p>
        <w:p w14:paraId="674700E1">
          <w:pPr>
            <w:pStyle w:val="16"/>
            <w:tabs>
              <w:tab w:val="right" w:leader="dot" w:pos="9353"/>
            </w:tabs>
            <w:spacing w:line="360" w:lineRule="auto"/>
          </w:pPr>
          <w:r>
            <w:fldChar w:fldCharType="begin"/>
          </w:r>
          <w:r>
            <w:instrText xml:space="preserve"> HYPERLINK \l "_Toc30795" </w:instrText>
          </w:r>
          <w:r>
            <w:fldChar w:fldCharType="separate"/>
          </w:r>
          <w:r>
            <w:rPr>
              <w:rFonts w:hint="eastAsia" w:ascii="黑体" w:hAnsi="Times New Roman" w:eastAsia="黑体" w:cs="Times New Roman"/>
              <w:szCs w:val="20"/>
            </w:rPr>
            <w:t xml:space="preserve">4 </w:t>
          </w:r>
          <w:r>
            <w:rPr>
              <w:rFonts w:hAnsi="Times New Roman" w:cs="Times New Roman"/>
              <w:szCs w:val="20"/>
            </w:rPr>
            <w:t>企业所处的环境</w:t>
          </w:r>
          <w:r>
            <w:tab/>
          </w:r>
          <w:r>
            <w:fldChar w:fldCharType="begin"/>
          </w:r>
          <w:r>
            <w:instrText xml:space="preserve"> PAGEREF _Toc30795 \h </w:instrText>
          </w:r>
          <w:r>
            <w:fldChar w:fldCharType="separate"/>
          </w:r>
          <w:r>
            <w:t>4</w:t>
          </w:r>
          <w:r>
            <w:fldChar w:fldCharType="end"/>
          </w:r>
          <w:r>
            <w:fldChar w:fldCharType="end"/>
          </w:r>
        </w:p>
        <w:p w14:paraId="29F9AF8D">
          <w:pPr>
            <w:pStyle w:val="16"/>
            <w:tabs>
              <w:tab w:val="right" w:leader="dot" w:pos="9353"/>
            </w:tabs>
            <w:spacing w:line="360" w:lineRule="auto"/>
          </w:pPr>
          <w:r>
            <w:fldChar w:fldCharType="begin"/>
          </w:r>
          <w:r>
            <w:instrText xml:space="preserve"> HYPERLINK \l "_Toc7240" </w:instrText>
          </w:r>
          <w:r>
            <w:fldChar w:fldCharType="separate"/>
          </w:r>
          <w:r>
            <w:rPr>
              <w:rFonts w:hint="eastAsia" w:ascii="黑体" w:eastAsia="黑体"/>
              <w:szCs w:val="20"/>
            </w:rPr>
            <w:t xml:space="preserve">5 </w:t>
          </w:r>
          <w:r>
            <w:rPr>
              <w:szCs w:val="20"/>
            </w:rPr>
            <w:t>领导作用和利益相关方参与</w:t>
          </w:r>
          <w:r>
            <w:tab/>
          </w:r>
          <w:r>
            <w:fldChar w:fldCharType="begin"/>
          </w:r>
          <w:r>
            <w:instrText xml:space="preserve"> PAGEREF _Toc7240 \h </w:instrText>
          </w:r>
          <w:r>
            <w:fldChar w:fldCharType="separate"/>
          </w:r>
          <w:r>
            <w:t>6</w:t>
          </w:r>
          <w:r>
            <w:fldChar w:fldCharType="end"/>
          </w:r>
          <w:r>
            <w:fldChar w:fldCharType="end"/>
          </w:r>
        </w:p>
        <w:p w14:paraId="6AD078B4">
          <w:pPr>
            <w:pStyle w:val="16"/>
            <w:tabs>
              <w:tab w:val="right" w:leader="dot" w:pos="9353"/>
            </w:tabs>
            <w:spacing w:line="360" w:lineRule="auto"/>
          </w:pPr>
          <w:r>
            <w:fldChar w:fldCharType="begin"/>
          </w:r>
          <w:r>
            <w:instrText xml:space="preserve"> HYPERLINK \l "_Toc3418" </w:instrText>
          </w:r>
          <w:r>
            <w:fldChar w:fldCharType="separate"/>
          </w:r>
          <w:r>
            <w:rPr>
              <w:rFonts w:hint="eastAsia" w:ascii="黑体" w:eastAsia="黑体"/>
              <w:szCs w:val="20"/>
            </w:rPr>
            <w:t xml:space="preserve">6 </w:t>
          </w:r>
          <w:r>
            <w:rPr>
              <w:szCs w:val="20"/>
            </w:rPr>
            <w:t>策划</w:t>
          </w:r>
          <w:r>
            <w:tab/>
          </w:r>
          <w:r>
            <w:fldChar w:fldCharType="begin"/>
          </w:r>
          <w:r>
            <w:instrText xml:space="preserve"> PAGEREF _Toc3418 \h </w:instrText>
          </w:r>
          <w:r>
            <w:fldChar w:fldCharType="separate"/>
          </w:r>
          <w:r>
            <w:t>10</w:t>
          </w:r>
          <w:r>
            <w:fldChar w:fldCharType="end"/>
          </w:r>
          <w:r>
            <w:fldChar w:fldCharType="end"/>
          </w:r>
        </w:p>
        <w:p w14:paraId="5AB39257">
          <w:pPr>
            <w:pStyle w:val="16"/>
            <w:tabs>
              <w:tab w:val="right" w:leader="dot" w:pos="9353"/>
            </w:tabs>
            <w:spacing w:line="360" w:lineRule="auto"/>
          </w:pPr>
          <w:r>
            <w:fldChar w:fldCharType="begin"/>
          </w:r>
          <w:r>
            <w:instrText xml:space="preserve"> HYPERLINK \l "_Toc24210" </w:instrText>
          </w:r>
          <w:r>
            <w:fldChar w:fldCharType="separate"/>
          </w:r>
          <w:r>
            <w:rPr>
              <w:rFonts w:hint="eastAsia" w:ascii="黑体" w:eastAsia="黑体"/>
              <w:szCs w:val="20"/>
            </w:rPr>
            <w:t xml:space="preserve">7 </w:t>
          </w:r>
          <w:r>
            <w:rPr>
              <w:szCs w:val="20"/>
            </w:rPr>
            <w:t>支持</w:t>
          </w:r>
          <w:r>
            <w:tab/>
          </w:r>
          <w:r>
            <w:fldChar w:fldCharType="begin"/>
          </w:r>
          <w:r>
            <w:instrText xml:space="preserve"> PAGEREF _Toc24210 \h </w:instrText>
          </w:r>
          <w:r>
            <w:fldChar w:fldCharType="separate"/>
          </w:r>
          <w:r>
            <w:t>14</w:t>
          </w:r>
          <w:r>
            <w:fldChar w:fldCharType="end"/>
          </w:r>
          <w:r>
            <w:fldChar w:fldCharType="end"/>
          </w:r>
        </w:p>
        <w:p w14:paraId="360204AC">
          <w:pPr>
            <w:pStyle w:val="16"/>
            <w:tabs>
              <w:tab w:val="right" w:leader="dot" w:pos="9353"/>
            </w:tabs>
            <w:spacing w:line="360" w:lineRule="auto"/>
          </w:pPr>
          <w:r>
            <w:fldChar w:fldCharType="begin"/>
          </w:r>
          <w:r>
            <w:instrText xml:space="preserve"> HYPERLINK \l "_Toc28432" </w:instrText>
          </w:r>
          <w:r>
            <w:fldChar w:fldCharType="separate"/>
          </w:r>
          <w:r>
            <w:rPr>
              <w:rFonts w:hint="eastAsia" w:ascii="黑体" w:eastAsia="黑体"/>
              <w:szCs w:val="20"/>
            </w:rPr>
            <w:t xml:space="preserve">8 </w:t>
          </w:r>
          <w:r>
            <w:rPr>
              <w:szCs w:val="20"/>
            </w:rPr>
            <w:t>运行</w:t>
          </w:r>
          <w:r>
            <w:tab/>
          </w:r>
          <w:r>
            <w:fldChar w:fldCharType="begin"/>
          </w:r>
          <w:r>
            <w:instrText xml:space="preserve"> PAGEREF _Toc28432 \h </w:instrText>
          </w:r>
          <w:r>
            <w:fldChar w:fldCharType="separate"/>
          </w:r>
          <w:r>
            <w:t>16</w:t>
          </w:r>
          <w:r>
            <w:fldChar w:fldCharType="end"/>
          </w:r>
          <w:r>
            <w:fldChar w:fldCharType="end"/>
          </w:r>
        </w:p>
        <w:p w14:paraId="067A1800">
          <w:pPr>
            <w:pStyle w:val="16"/>
            <w:tabs>
              <w:tab w:val="right" w:leader="dot" w:pos="9353"/>
            </w:tabs>
            <w:spacing w:line="360" w:lineRule="auto"/>
          </w:pPr>
          <w:r>
            <w:fldChar w:fldCharType="begin"/>
          </w:r>
          <w:r>
            <w:instrText xml:space="preserve"> HYPERLINK \l "_Toc7379" </w:instrText>
          </w:r>
          <w:r>
            <w:fldChar w:fldCharType="separate"/>
          </w:r>
          <w:r>
            <w:rPr>
              <w:rFonts w:hint="eastAsia" w:ascii="黑体" w:eastAsia="黑体"/>
              <w:szCs w:val="20"/>
            </w:rPr>
            <w:t xml:space="preserve">9 </w:t>
          </w:r>
          <w:r>
            <w:rPr>
              <w:szCs w:val="20"/>
            </w:rPr>
            <w:t>绩效评价</w:t>
          </w:r>
          <w:r>
            <w:tab/>
          </w:r>
          <w:r>
            <w:fldChar w:fldCharType="begin"/>
          </w:r>
          <w:r>
            <w:instrText xml:space="preserve"> PAGEREF _Toc7379 \h </w:instrText>
          </w:r>
          <w:r>
            <w:fldChar w:fldCharType="separate"/>
          </w:r>
          <w:r>
            <w:t>19</w:t>
          </w:r>
          <w:r>
            <w:fldChar w:fldCharType="end"/>
          </w:r>
          <w:r>
            <w:fldChar w:fldCharType="end"/>
          </w:r>
        </w:p>
        <w:p w14:paraId="14F75F7D">
          <w:pPr>
            <w:pStyle w:val="16"/>
            <w:tabs>
              <w:tab w:val="right" w:leader="dot" w:pos="9353"/>
            </w:tabs>
            <w:spacing w:line="360" w:lineRule="auto"/>
          </w:pPr>
          <w:r>
            <w:fldChar w:fldCharType="begin"/>
          </w:r>
          <w:r>
            <w:instrText xml:space="preserve"> HYPERLINK \l "_Toc29387" </w:instrText>
          </w:r>
          <w:r>
            <w:fldChar w:fldCharType="separate"/>
          </w:r>
          <w:r>
            <w:rPr>
              <w:rFonts w:hint="eastAsia" w:ascii="黑体" w:eastAsia="黑体"/>
              <w:szCs w:val="20"/>
            </w:rPr>
            <w:t xml:space="preserve">10 </w:t>
          </w:r>
          <w:r>
            <w:rPr>
              <w:szCs w:val="20"/>
            </w:rPr>
            <w:t>改进</w:t>
          </w:r>
          <w:r>
            <w:tab/>
          </w:r>
          <w:r>
            <w:fldChar w:fldCharType="begin"/>
          </w:r>
          <w:r>
            <w:instrText xml:space="preserve"> PAGEREF _Toc29387 \h </w:instrText>
          </w:r>
          <w:r>
            <w:fldChar w:fldCharType="separate"/>
          </w:r>
          <w:r>
            <w:t>22</w:t>
          </w:r>
          <w:r>
            <w:fldChar w:fldCharType="end"/>
          </w:r>
          <w:r>
            <w:fldChar w:fldCharType="end"/>
          </w:r>
        </w:p>
        <w:p w14:paraId="71170DAE">
          <w:pPr>
            <w:pStyle w:val="16"/>
            <w:tabs>
              <w:tab w:val="right" w:leader="dot" w:pos="9353"/>
            </w:tabs>
            <w:spacing w:line="360" w:lineRule="auto"/>
          </w:pPr>
          <w:r>
            <w:fldChar w:fldCharType="begin"/>
          </w:r>
          <w:r>
            <w:instrText xml:space="preserve"> HYPERLINK \l "_Toc7249" </w:instrText>
          </w:r>
          <w:r>
            <w:fldChar w:fldCharType="separate"/>
          </w:r>
          <w:r>
            <w:rPr>
              <w:rFonts w:hint="eastAsia"/>
            </w:rPr>
            <w:t>附录A</w:t>
          </w:r>
          <w:r>
            <w:t xml:space="preserve"> </w:t>
          </w:r>
          <w:r>
            <w:rPr>
              <w:rFonts w:hint="eastAsia"/>
            </w:rPr>
            <w:t>（</w:t>
          </w:r>
          <w:r>
            <w:rPr>
              <w:rFonts w:hint="eastAsia"/>
              <w:lang w:eastAsia="zh-CN"/>
            </w:rPr>
            <w:t>资料</w:t>
          </w:r>
          <w:r>
            <w:rPr>
              <w:rFonts w:hint="eastAsia" w:ascii="黑体" w:eastAsia="黑体"/>
              <w:lang w:eastAsia="zh-CN"/>
            </w:rPr>
            <w:t>性</w:t>
          </w:r>
          <w:r>
            <w:rPr>
              <w:rFonts w:hint="eastAsia"/>
            </w:rPr>
            <w:t>）</w:t>
          </w:r>
          <w:r>
            <w:tab/>
          </w:r>
          <w:r>
            <w:fldChar w:fldCharType="begin"/>
          </w:r>
          <w:r>
            <w:instrText xml:space="preserve"> PAGEREF _Toc7249 \h </w:instrText>
          </w:r>
          <w:r>
            <w:fldChar w:fldCharType="separate"/>
          </w:r>
          <w:r>
            <w:t>24</w:t>
          </w:r>
          <w:r>
            <w:fldChar w:fldCharType="end"/>
          </w:r>
          <w:r>
            <w:fldChar w:fldCharType="end"/>
          </w:r>
        </w:p>
        <w:p w14:paraId="1C74D329">
          <w:pPr>
            <w:pStyle w:val="16"/>
            <w:tabs>
              <w:tab w:val="right" w:leader="dot" w:pos="9353"/>
            </w:tabs>
            <w:spacing w:line="360" w:lineRule="auto"/>
          </w:pPr>
          <w:r>
            <w:fldChar w:fldCharType="begin"/>
          </w:r>
          <w:r>
            <w:instrText xml:space="preserve"> HYPERLINK \l "_Toc22659" </w:instrText>
          </w:r>
          <w:r>
            <w:fldChar w:fldCharType="separate"/>
          </w:r>
          <w:r>
            <w:rPr>
              <w:spacing w:val="-6"/>
            </w:rPr>
            <w:t>参</w:t>
          </w:r>
          <w:r>
            <w:rPr>
              <w:spacing w:val="8"/>
            </w:rPr>
            <w:t xml:space="preserve"> </w:t>
          </w:r>
          <w:r>
            <w:rPr>
              <w:spacing w:val="-6"/>
            </w:rPr>
            <w:t>考</w:t>
          </w:r>
          <w:r>
            <w:rPr>
              <w:spacing w:val="9"/>
            </w:rPr>
            <w:t xml:space="preserve"> </w:t>
          </w:r>
          <w:r>
            <w:rPr>
              <w:spacing w:val="-6"/>
            </w:rPr>
            <w:t>文</w:t>
          </w:r>
          <w:r>
            <w:rPr>
              <w:spacing w:val="6"/>
            </w:rPr>
            <w:t xml:space="preserve"> </w:t>
          </w:r>
          <w:r>
            <w:rPr>
              <w:spacing w:val="-6"/>
            </w:rPr>
            <w:t>献</w:t>
          </w:r>
          <w:r>
            <w:tab/>
          </w:r>
          <w:r>
            <w:fldChar w:fldCharType="begin"/>
          </w:r>
          <w:r>
            <w:instrText xml:space="preserve"> PAGEREF _Toc22659 \h </w:instrText>
          </w:r>
          <w:r>
            <w:fldChar w:fldCharType="separate"/>
          </w:r>
          <w:r>
            <w:t>42</w:t>
          </w:r>
          <w:r>
            <w:fldChar w:fldCharType="end"/>
          </w:r>
          <w:r>
            <w:fldChar w:fldCharType="end"/>
          </w:r>
        </w:p>
        <w:p w14:paraId="48D5849D">
          <w:pPr>
            <w:spacing w:line="360" w:lineRule="auto"/>
            <w:rPr>
              <w:rFonts w:hint="eastAsia" w:ascii="宋体" w:hAnsi="宋体" w:eastAsia="宋体" w:cs="宋体"/>
            </w:rPr>
          </w:pPr>
          <w:r>
            <w:rPr>
              <w:rFonts w:hint="eastAsia" w:ascii="宋体" w:hAnsi="宋体" w:eastAsia="宋体" w:cs="宋体"/>
            </w:rPr>
            <w:fldChar w:fldCharType="end"/>
          </w:r>
        </w:p>
      </w:sdtContent>
    </w:sdt>
    <w:p w14:paraId="424D6822">
      <w:pPr>
        <w:spacing w:line="360" w:lineRule="auto"/>
        <w:rPr>
          <w:rFonts w:hint="eastAsia" w:ascii="宋体" w:hAnsi="宋体" w:eastAsia="宋体" w:cs="宋体"/>
        </w:rPr>
        <w:sectPr>
          <w:headerReference r:id="rId3" w:type="default"/>
          <w:footerReference r:id="rId4" w:type="default"/>
          <w:pgSz w:w="11907" w:h="16839"/>
          <w:pgMar w:top="1716" w:right="1128" w:bottom="1340" w:left="1426" w:header="1391" w:footer="1105" w:gutter="0"/>
          <w:pgNumType w:fmt="upperRoman" w:start="1"/>
          <w:cols w:space="720" w:num="1"/>
        </w:sectPr>
      </w:pPr>
    </w:p>
    <w:p w14:paraId="2EA0A5D0">
      <w:pPr>
        <w:pStyle w:val="2"/>
        <w:spacing w:before="100"/>
        <w:rPr>
          <w:szCs w:val="31"/>
        </w:rPr>
      </w:pPr>
      <w:bookmarkStart w:id="0" w:name="_Toc32308"/>
      <w:r>
        <w:rPr>
          <w:spacing w:val="-2"/>
          <w:szCs w:val="31"/>
        </w:rPr>
        <w:t>前</w:t>
      </w:r>
      <w:r>
        <w:rPr>
          <w:spacing w:val="10"/>
          <w:szCs w:val="31"/>
        </w:rPr>
        <w:t xml:space="preserve">    </w:t>
      </w:r>
      <w:r>
        <w:rPr>
          <w:spacing w:val="-2"/>
          <w:szCs w:val="31"/>
        </w:rPr>
        <w:t>言</w:t>
      </w:r>
      <w:bookmarkEnd w:id="0"/>
    </w:p>
    <w:p w14:paraId="6405DEA6">
      <w:pPr>
        <w:spacing w:line="360" w:lineRule="auto"/>
        <w:rPr>
          <w:rFonts w:hint="eastAsia" w:ascii="宋体" w:hAnsi="宋体" w:eastAsia="宋体" w:cs="宋体"/>
          <w:lang w:eastAsia="zh-CN"/>
        </w:rPr>
      </w:pPr>
    </w:p>
    <w:p w14:paraId="503B6816">
      <w:pPr>
        <w:pStyle w:val="12"/>
        <w:spacing w:before="68" w:line="360" w:lineRule="auto"/>
        <w:ind w:right="73"/>
        <w:rPr>
          <w:spacing w:val="-9"/>
          <w:szCs w:val="21"/>
        </w:rPr>
      </w:pPr>
      <w:r>
        <w:rPr>
          <w:szCs w:val="21"/>
        </w:rPr>
        <w:t>本文件按照GB/T 1.1—2020《标准化工作导则  第1部分：标准化文件的结构和起草规则》的规定</w:t>
      </w:r>
      <w:r>
        <w:rPr>
          <w:spacing w:val="-9"/>
          <w:szCs w:val="21"/>
        </w:rPr>
        <w:t>起草。</w:t>
      </w:r>
    </w:p>
    <w:p w14:paraId="1214EF68">
      <w:pPr>
        <w:pStyle w:val="12"/>
        <w:spacing w:before="68" w:line="360" w:lineRule="auto"/>
        <w:ind w:right="73" w:firstLine="402"/>
        <w:rPr>
          <w:spacing w:val="-9"/>
          <w:szCs w:val="21"/>
        </w:rPr>
      </w:pPr>
      <w:r>
        <w:rPr>
          <w:rFonts w:hint="eastAsia"/>
          <w:spacing w:val="-9"/>
          <w:szCs w:val="21"/>
        </w:rPr>
        <w:t>本文件代替 T/CAAMTB 173—2023《中国汽车行业ESG管理体系 要求及使用指南》，与 T/CAAMTB 173—2023 相比，除结构调整和编辑性改动外，主要技术变化如下：</w:t>
      </w:r>
    </w:p>
    <w:p w14:paraId="48313356">
      <w:pPr>
        <w:pStyle w:val="12"/>
        <w:spacing w:before="68" w:line="360" w:lineRule="auto"/>
        <w:ind w:right="73" w:firstLine="402"/>
        <w:rPr>
          <w:spacing w:val="-9"/>
          <w:szCs w:val="21"/>
        </w:rPr>
      </w:pPr>
      <w:r>
        <w:rPr>
          <w:rFonts w:hint="eastAsia"/>
          <w:spacing w:val="-9"/>
          <w:szCs w:val="21"/>
        </w:rPr>
        <w:t>a） 新增了“双重重要性”术语（见3.18），明确了影响重要性与财务重要性的含义，将ESG议题识别由单一维度评估升级为“影响重要性+财务重要性”双维度评估，附录A给出了议题实质性分析矩阵（见6.1、A.9）；</w:t>
      </w:r>
    </w:p>
    <w:p w14:paraId="228B39D1">
      <w:pPr>
        <w:pStyle w:val="12"/>
        <w:spacing w:before="68" w:line="360" w:lineRule="auto"/>
        <w:ind w:right="73" w:firstLine="402"/>
        <w:rPr>
          <w:spacing w:val="-9"/>
          <w:szCs w:val="21"/>
        </w:rPr>
      </w:pPr>
      <w:r>
        <w:rPr>
          <w:rFonts w:hint="eastAsia"/>
          <w:spacing w:val="-9"/>
          <w:szCs w:val="21"/>
        </w:rPr>
        <w:t>b） 第4章新增了“通用要求”一条（见4.1），确立了诚信正直、注重实效、公平公正、风险与机遇并重、循证决策、持续完善六项ESG管理体系基本原则，原4.1～4.4顺延为4.2～4.5；</w:t>
      </w:r>
    </w:p>
    <w:p w14:paraId="5235DD05">
      <w:pPr>
        <w:pStyle w:val="12"/>
        <w:spacing w:before="68" w:line="360" w:lineRule="auto"/>
        <w:ind w:right="73" w:firstLine="402"/>
        <w:rPr>
          <w:spacing w:val="-9"/>
          <w:szCs w:val="21"/>
        </w:rPr>
      </w:pPr>
      <w:r>
        <w:rPr>
          <w:rFonts w:hint="eastAsia"/>
          <w:spacing w:val="-9"/>
          <w:szCs w:val="21"/>
        </w:rPr>
        <w:t>c） 新增了ESG风险与机遇管理要求（见6.1），规定了风险与机遇的识别、评估、应对、监测与报告四个环节，与“治理—战略—影响、风险和机遇管理—指标与目标”四要素框架相衔接；</w:t>
      </w:r>
    </w:p>
    <w:p w14:paraId="776CD757">
      <w:pPr>
        <w:pStyle w:val="12"/>
        <w:spacing w:before="68" w:line="360" w:lineRule="auto"/>
        <w:ind w:right="73" w:firstLine="402"/>
        <w:rPr>
          <w:spacing w:val="-9"/>
          <w:szCs w:val="21"/>
        </w:rPr>
      </w:pPr>
      <w:r>
        <w:rPr>
          <w:rFonts w:hint="eastAsia"/>
          <w:spacing w:val="-9"/>
          <w:szCs w:val="21"/>
        </w:rPr>
        <w:t>d） 衔接了可持续披露要求（见7.4、9.3、10.3），增加了按监管要求及自身承诺定期编制和发布可持续发展报告、管理评审审议可持续发展报告编制披露及（适用时）第三方鉴证情况、持续改进中跟踪ESG及信息披露最新要求等规定；</w:t>
      </w:r>
    </w:p>
    <w:p w14:paraId="258E0C3C">
      <w:pPr>
        <w:pStyle w:val="12"/>
        <w:spacing w:before="68" w:line="360" w:lineRule="auto"/>
        <w:ind w:right="73" w:firstLine="402"/>
        <w:rPr>
          <w:spacing w:val="-9"/>
          <w:szCs w:val="21"/>
        </w:rPr>
      </w:pPr>
      <w:r>
        <w:rPr>
          <w:rFonts w:hint="eastAsia"/>
          <w:spacing w:val="-9"/>
          <w:szCs w:val="21"/>
        </w:rPr>
        <w:t>e） 新增数字化支撑要求（见4.5、7.1），运用数字化、智能化手段和信息系统支撑 ESG 数据的采集、核算、分析、管理与披露；将ESG数据系统纳入沟通方式，ESG数据和信息纳入绩效评价基准（见A.14.4）。</w:t>
      </w:r>
    </w:p>
    <w:p w14:paraId="5578155D">
      <w:pPr>
        <w:pStyle w:val="12"/>
        <w:spacing w:before="1" w:line="360" w:lineRule="auto"/>
        <w:ind w:right="76" w:firstLine="418"/>
        <w:rPr>
          <w:szCs w:val="21"/>
        </w:rPr>
      </w:pPr>
      <w:r>
        <w:rPr>
          <w:rFonts w:hint="eastAsia"/>
          <w:spacing w:val="-1"/>
          <w:szCs w:val="21"/>
        </w:rPr>
        <w:t>T/XXX XXXX—XXXX</w:t>
      </w:r>
      <w:r>
        <w:rPr>
          <w:spacing w:val="-1"/>
          <w:szCs w:val="21"/>
        </w:rPr>
        <w:t>《中国汽车行业ESG管理体系 要求及使用指南》与</w:t>
      </w:r>
      <w:r>
        <w:rPr>
          <w:rFonts w:hint="eastAsia"/>
          <w:spacing w:val="-1"/>
          <w:szCs w:val="21"/>
        </w:rPr>
        <w:t>T/XXX XXXX—XXXX</w:t>
      </w:r>
      <w:r>
        <w:rPr>
          <w:spacing w:val="-1"/>
          <w:szCs w:val="21"/>
        </w:rPr>
        <w:t>《中国</w:t>
      </w:r>
      <w:r>
        <w:rPr>
          <w:szCs w:val="21"/>
        </w:rPr>
        <w:t>汽车行业ESG信息披露指南》和</w:t>
      </w:r>
      <w:r>
        <w:rPr>
          <w:rFonts w:hint="eastAsia"/>
          <w:szCs w:val="21"/>
        </w:rPr>
        <w:t>T/XXX XXXX—XXXX</w:t>
      </w:r>
      <w:r>
        <w:rPr>
          <w:spacing w:val="-1"/>
          <w:szCs w:val="21"/>
        </w:rPr>
        <w:t>《中国汽车行业ESG评价指南》共同构成支撑中国</w:t>
      </w:r>
      <w:r>
        <w:rPr>
          <w:rFonts w:hint="eastAsia"/>
          <w:spacing w:val="-1"/>
          <w:szCs w:val="21"/>
        </w:rPr>
        <w:t>汽车行业</w:t>
      </w:r>
      <w:r>
        <w:rPr>
          <w:spacing w:val="-1"/>
          <w:szCs w:val="21"/>
        </w:rPr>
        <w:t>ESG管理和实践的基础性系列团体标准。</w:t>
      </w:r>
    </w:p>
    <w:p w14:paraId="0BD07449">
      <w:pPr>
        <w:pStyle w:val="12"/>
        <w:spacing w:before="18" w:line="360" w:lineRule="auto"/>
        <w:ind w:firstLine="416"/>
        <w:rPr>
          <w:spacing w:val="-2"/>
          <w:szCs w:val="21"/>
        </w:rPr>
      </w:pPr>
      <w:r>
        <w:rPr>
          <w:spacing w:val="-2"/>
          <w:szCs w:val="21"/>
        </w:rPr>
        <w:t>本文件由中国汽车工业协会提出并归口。</w:t>
      </w:r>
    </w:p>
    <w:p w14:paraId="2B4BF7BD">
      <w:pPr>
        <w:pStyle w:val="12"/>
        <w:spacing w:before="18" w:line="360" w:lineRule="auto"/>
        <w:ind w:firstLine="416"/>
        <w:rPr>
          <w:spacing w:val="-2"/>
          <w:szCs w:val="21"/>
        </w:rPr>
      </w:pPr>
      <w:r>
        <w:rPr>
          <w:spacing w:val="-2"/>
          <w:szCs w:val="21"/>
        </w:rPr>
        <w:t>本文件起草单位：</w:t>
      </w:r>
      <w:r>
        <w:rPr>
          <w:rFonts w:hint="eastAsia"/>
          <w:spacing w:val="-2"/>
          <w:szCs w:val="21"/>
        </w:rPr>
        <w:t>中国汽车工业协会、浙江吉利控股集团有限公司、广州汽车集团股份有限公司、中国汽车工程研究院股份有限公司、责扬天下（北京）管理顾问有限公司、中国第一汽车集团有限公司、重庆长安汽车股份有限公司、上海汽车集团股份有限公司、北京汽车集团有限公司、奇瑞控股集团有限公司、理想汽车、上海蔚来汽车有限公司、厦门金龙汽车集团股份有限公司、广汽本田汽车有限公司、沃尔沃汽车（亚太）投资控股有限公司、宁德时代新能源科技有限公司、米其林（中国）</w:t>
      </w:r>
      <w:r>
        <w:rPr>
          <w:spacing w:val="-2"/>
          <w:szCs w:val="21"/>
        </w:rPr>
        <w:t xml:space="preserve"> </w:t>
      </w:r>
      <w:r>
        <w:rPr>
          <w:rFonts w:hint="eastAsia"/>
          <w:spacing w:val="-2"/>
          <w:szCs w:val="21"/>
        </w:rPr>
        <w:t>投资有限公司、贝卡尔特（中国）技术研发有限公司、上海国际汽车城（集团）有限公司、中国汽车技术研究中心有限公司、中国乡村发展基金会、中国标准化研究院、中国信息通信研究院、北京车之家信息技术有限公司、三花控股集团有限公司。</w:t>
      </w:r>
    </w:p>
    <w:p w14:paraId="5C4C0A91">
      <w:pPr>
        <w:pStyle w:val="12"/>
        <w:spacing w:before="18" w:line="360" w:lineRule="auto"/>
        <w:ind w:firstLine="406"/>
        <w:rPr>
          <w:rFonts w:hint="eastAsia" w:hAnsi="宋体" w:cs="宋体"/>
        </w:rPr>
      </w:pPr>
      <w:r>
        <w:rPr>
          <w:spacing w:val="-7"/>
          <w:szCs w:val="21"/>
        </w:rPr>
        <w:t>本文件主要起草人：李邵华、伊鸣、尚蛟、黄兴、林波、代奕波、管竹笋、尹捷、张小燕、岳海燕、陈晓宁、姜南、赵贵平、李妍如、刘先、桂飞、王浩然、谢萌、曹政、吕家正、马文雄、杨松玲、郭跃宁、潘学兴、郭佳栋、仲崇毅、吴俊贤、冯会健、丁亚冬、黎钊、李芳、林翎、丁晴、常琳、张炜明、刘鑫、金辉、侯楚卿、陈颖、文琦、贺倩、张蕊、黄石旦、戚伊琳。</w:t>
      </w:r>
    </w:p>
    <w:p w14:paraId="6C3E4A98">
      <w:pPr>
        <w:tabs>
          <w:tab w:val="center" w:pos="4713"/>
        </w:tabs>
        <w:rPr>
          <w:rFonts w:eastAsia="宋体"/>
          <w:lang w:eastAsia="zh-CN"/>
        </w:rPr>
        <w:sectPr>
          <w:headerReference r:id="rId5" w:type="default"/>
          <w:footerReference r:id="rId6" w:type="default"/>
          <w:pgSz w:w="11907" w:h="16839"/>
          <w:pgMar w:top="1716" w:right="1054" w:bottom="1340" w:left="1426" w:header="1391" w:footer="1105" w:gutter="0"/>
          <w:pgNumType w:fmt="upperRoman"/>
          <w:cols w:space="720" w:num="1"/>
        </w:sectPr>
      </w:pPr>
      <w:r>
        <w:rPr>
          <w:rFonts w:hint="eastAsia" w:eastAsia="宋体"/>
          <w:lang w:eastAsia="zh-CN"/>
        </w:rPr>
        <w:tab/>
      </w:r>
    </w:p>
    <w:p w14:paraId="2CC094F8">
      <w:pPr>
        <w:pStyle w:val="2"/>
        <w:spacing w:before="101"/>
        <w:rPr>
          <w:szCs w:val="31"/>
        </w:rPr>
      </w:pPr>
      <w:bookmarkStart w:id="1" w:name="_Toc32065"/>
      <w:r>
        <w:rPr>
          <w:spacing w:val="-16"/>
          <w:szCs w:val="31"/>
        </w:rPr>
        <w:t>引</w:t>
      </w:r>
      <w:r>
        <w:rPr>
          <w:spacing w:val="10"/>
          <w:szCs w:val="31"/>
        </w:rPr>
        <w:t xml:space="preserve">    </w:t>
      </w:r>
      <w:r>
        <w:rPr>
          <w:spacing w:val="-16"/>
          <w:szCs w:val="31"/>
        </w:rPr>
        <w:t>言</w:t>
      </w:r>
      <w:bookmarkEnd w:id="1"/>
    </w:p>
    <w:p w14:paraId="731FA95C">
      <w:pPr>
        <w:pStyle w:val="29"/>
        <w:autoSpaceDE/>
        <w:autoSpaceDN/>
        <w:spacing w:line="360" w:lineRule="auto"/>
        <w:ind w:firstLine="420"/>
        <w:rPr>
          <w:rFonts w:hAnsi="Calibri"/>
          <w:spacing w:val="-2"/>
          <w:szCs w:val="21"/>
        </w:rPr>
      </w:pPr>
      <w:r>
        <w:rPr>
          <w:rFonts w:hAnsi="Calibri"/>
        </w:rPr>
        <w:t>作为国民经济核心支柱产业，</w:t>
      </w:r>
      <w:r>
        <w:rPr>
          <w:rFonts w:hint="eastAsia" w:hAnsi="Calibri"/>
        </w:rPr>
        <w:t>我国汽车产业</w:t>
      </w:r>
      <w:r>
        <w:rPr>
          <w:rFonts w:hAnsi="Calibri"/>
        </w:rPr>
        <w:t>具</w:t>
      </w:r>
      <w:r>
        <w:rPr>
          <w:rFonts w:hint="eastAsia" w:hAnsi="Calibri"/>
        </w:rPr>
        <w:t>有</w:t>
      </w:r>
      <w:r>
        <w:rPr>
          <w:rFonts w:hAnsi="Calibri"/>
        </w:rPr>
        <w:t>产业链条长、覆盖领域广、带动效应突出、国际化发展程度高等鲜明特征，在国民经济建设与社会发展进程中发挥着不可替代的关键作用。经过数十年高速发展，我国已建成全球规模领先、车型品类齐全、上下游配套体系完善的汽车工业体系。紧跟全球汽车产业转型升级浪潮，国内</w:t>
      </w:r>
      <w:r>
        <w:rPr>
          <w:rFonts w:hint="eastAsia"/>
        </w:rPr>
        <w:t>汽车</w:t>
      </w:r>
      <w:r>
        <w:rPr>
          <w:rFonts w:hAnsi="Calibri"/>
        </w:rPr>
        <w:t>行业持续深耕电动化、智能化、网联化变革路径，在优化居民消费结构、拉动宏观经济增长、赋能前沿科技创新、削减污染物排放、协同应对全球气候变化等领域取得积极成效、作出重要贡献。</w:t>
      </w:r>
    </w:p>
    <w:p w14:paraId="20B12243">
      <w:pPr>
        <w:pStyle w:val="29"/>
        <w:autoSpaceDE/>
        <w:autoSpaceDN/>
        <w:spacing w:line="360" w:lineRule="auto"/>
        <w:ind w:firstLine="420"/>
        <w:rPr>
          <w:rFonts w:hAnsi="Calibri"/>
        </w:rPr>
      </w:pPr>
      <w:r>
        <w:rPr>
          <w:rFonts w:hAnsi="Calibri"/>
        </w:rPr>
        <w:t>汽车产业在</w:t>
      </w:r>
      <w:r>
        <w:rPr>
          <w:rFonts w:hint="eastAsia"/>
        </w:rPr>
        <w:t>拉动经济</w:t>
      </w:r>
      <w:r>
        <w:rPr>
          <w:rFonts w:hAnsi="Calibri"/>
        </w:rPr>
        <w:t>增长、赋能产业升级、创造多元社会价值的同时，</w:t>
      </w:r>
      <w:r>
        <w:rPr>
          <w:rFonts w:hint="eastAsia" w:hAnsi="Calibri"/>
        </w:rPr>
        <w:t>在产业</w:t>
      </w:r>
      <w:r>
        <w:rPr>
          <w:rFonts w:hAnsi="Calibri"/>
        </w:rPr>
        <w:t>规模扩张、新技术落地及全链条运营过程中，也面临着环境、社会、治理多维度潜在风险与机遇。车载数据管理与用户隐私保护、自动驾驶运行安全、整车质量管控、新能源动力电池回收处置、上下游用工权益保障、供应链合规管理、车辆售后维权等诸多行业现实问题交织显现，相关议题持续受到消费者、监管机构与社会各界的广泛关注。立足汽车行业全产业链发展实际，推动产业走安全可靠、智能创新、低碳绿色、可持续发展之路具有深远意义。</w:t>
      </w:r>
    </w:p>
    <w:p w14:paraId="467C3749">
      <w:pPr>
        <w:pStyle w:val="29"/>
        <w:autoSpaceDE/>
        <w:autoSpaceDN/>
        <w:spacing w:line="360" w:lineRule="auto"/>
        <w:ind w:firstLine="420"/>
        <w:rPr>
          <w:rFonts w:hAnsi="Calibri"/>
        </w:rPr>
      </w:pPr>
      <w:r>
        <w:rPr>
          <w:rFonts w:hAnsi="Calibri"/>
        </w:rPr>
        <w:t>为全面践行</w:t>
      </w:r>
      <w:r>
        <w:rPr>
          <w:rFonts w:hint="eastAsia" w:hAnsi="Calibri"/>
        </w:rPr>
        <w:t>创新、协调、绿色、开放、共享的发展理念</w:t>
      </w:r>
      <w:r>
        <w:rPr>
          <w:rFonts w:hAnsi="Calibri"/>
        </w:rPr>
        <w:t>，助推我国汽车产业高质量发展，持续提升行业整体 ESG 管理水平与核心市场竞争力，精准识别、妥善处置 ESG 领域机遇与潜在风险，特编制本文件，旨在引导国内汽车企业规范环境管理、社会责任、公司治理相关经营行为，引导企业统筹兼顾环境效益、社会效益与长期发展价值，降低环境、社会及投资者相关风险，持续塑造良好企业品牌形象、提升企业内在价值与责任竞争优势，最终实现全行业长效可持续发展。</w:t>
      </w:r>
    </w:p>
    <w:p w14:paraId="2661C848">
      <w:pPr>
        <w:pStyle w:val="29"/>
        <w:autoSpaceDE/>
        <w:autoSpaceDN/>
        <w:ind w:firstLine="420"/>
        <w:rPr>
          <w:rFonts w:hAnsi="Calibri"/>
        </w:rPr>
      </w:pPr>
    </w:p>
    <w:p w14:paraId="104D470E">
      <w:pPr>
        <w:pStyle w:val="19"/>
        <w:rPr>
          <w:rFonts w:hint="eastAsia"/>
          <w:spacing w:val="6"/>
        </w:rPr>
      </w:pPr>
    </w:p>
    <w:p w14:paraId="7FAB8FD7">
      <w:pPr>
        <w:tabs>
          <w:tab w:val="left" w:pos="6920"/>
        </w:tabs>
        <w:rPr>
          <w:rFonts w:eastAsia="宋体"/>
          <w:lang w:eastAsia="zh-CN"/>
        </w:rPr>
        <w:sectPr>
          <w:headerReference r:id="rId7" w:type="default"/>
          <w:footerReference r:id="rId8" w:type="default"/>
          <w:pgSz w:w="11907" w:h="16839"/>
          <w:pgMar w:top="1716" w:right="1054" w:bottom="1340" w:left="1424" w:header="1391" w:footer="1106" w:gutter="0"/>
          <w:pgNumType w:fmt="upperRoman"/>
          <w:cols w:space="720" w:num="1"/>
        </w:sectPr>
      </w:pPr>
      <w:r>
        <w:rPr>
          <w:rFonts w:hint="eastAsia" w:eastAsia="宋体"/>
          <w:lang w:eastAsia="zh-CN"/>
        </w:rPr>
        <w:tab/>
      </w:r>
    </w:p>
    <w:p w14:paraId="73BA2E4D">
      <w:pPr>
        <w:pStyle w:val="19"/>
        <w:rPr>
          <w:rFonts w:hint="eastAsia"/>
        </w:rPr>
      </w:pPr>
      <w:r>
        <w:rPr>
          <w:spacing w:val="6"/>
        </w:rPr>
        <w:t>中国汽车行业</w:t>
      </w:r>
      <w:r>
        <w:rPr>
          <w:spacing w:val="-47"/>
        </w:rPr>
        <w:t xml:space="preserve"> </w:t>
      </w:r>
      <w:r>
        <w:t>ESG</w:t>
      </w:r>
      <w:r>
        <w:rPr>
          <w:spacing w:val="-59"/>
        </w:rPr>
        <w:t xml:space="preserve"> </w:t>
      </w:r>
      <w:r>
        <w:rPr>
          <w:spacing w:val="6"/>
        </w:rPr>
        <w:t>管理体系 要求及使用指南</w:t>
      </w:r>
    </w:p>
    <w:p w14:paraId="488F4246">
      <w:pPr>
        <w:spacing w:line="360" w:lineRule="auto"/>
        <w:rPr>
          <w:rFonts w:hint="eastAsia" w:ascii="宋体" w:hAnsi="宋体" w:eastAsia="宋体" w:cs="宋体"/>
          <w:lang w:eastAsia="zh-CN"/>
        </w:rPr>
      </w:pPr>
    </w:p>
    <w:p w14:paraId="3AEE4C79">
      <w:pPr>
        <w:pStyle w:val="28"/>
        <w:spacing w:before="240" w:after="240"/>
      </w:pPr>
      <w:bookmarkStart w:id="2" w:name="bookmark15"/>
      <w:bookmarkEnd w:id="2"/>
      <w:bookmarkStart w:id="3" w:name="_Toc13456"/>
      <w:r>
        <w:t>范围</w:t>
      </w:r>
      <w:bookmarkEnd w:id="3"/>
    </w:p>
    <w:p w14:paraId="62F89E03">
      <w:pPr>
        <w:pStyle w:val="29"/>
        <w:autoSpaceDE/>
        <w:autoSpaceDN/>
        <w:spacing w:line="360" w:lineRule="auto"/>
        <w:ind w:firstLine="420"/>
        <w:rPr>
          <w:rFonts w:hAnsi="Calibri"/>
          <w:szCs w:val="21"/>
        </w:rPr>
      </w:pPr>
      <w:r>
        <w:rPr>
          <w:rFonts w:hint="eastAsia" w:hAnsi="Calibri"/>
          <w:szCs w:val="21"/>
        </w:rPr>
        <w:t>本文件</w:t>
      </w:r>
      <w:r>
        <w:rPr>
          <w:rFonts w:hAnsi="Calibri"/>
          <w:szCs w:val="21"/>
        </w:rPr>
        <w:t>规定了中国汽车行业的ESG管理体系实施要求，包括企业</w:t>
      </w:r>
      <w:r>
        <w:rPr>
          <w:rFonts w:hAnsi="Calibri"/>
        </w:rPr>
        <w:t>所处环境</w:t>
      </w:r>
      <w:r>
        <w:rPr>
          <w:rFonts w:hAnsi="Calibri"/>
          <w:szCs w:val="21"/>
        </w:rPr>
        <w:t>、领导作用、策划、支持、运</w:t>
      </w:r>
      <w:r>
        <w:rPr>
          <w:rFonts w:hAnsi="Calibri"/>
          <w:spacing w:val="-1"/>
          <w:szCs w:val="21"/>
        </w:rPr>
        <w:t>行、绩效评价和改进各环节，并给出了其使用指南。</w:t>
      </w:r>
    </w:p>
    <w:p w14:paraId="76D2D40B">
      <w:pPr>
        <w:pStyle w:val="29"/>
        <w:autoSpaceDE/>
        <w:autoSpaceDN/>
        <w:spacing w:line="360" w:lineRule="auto"/>
        <w:ind w:firstLine="416"/>
        <w:rPr>
          <w:rFonts w:hAnsi="Calibri"/>
          <w:spacing w:val="-2"/>
          <w:szCs w:val="21"/>
        </w:rPr>
      </w:pPr>
      <w:r>
        <w:rPr>
          <w:rFonts w:hint="eastAsia" w:hAnsi="Calibri"/>
          <w:spacing w:val="-2"/>
          <w:szCs w:val="21"/>
        </w:rPr>
        <w:t>主要适用于汽车行业整车企业及供应链企业（以下简称“企业”）</w:t>
      </w:r>
      <w:r>
        <w:rPr>
          <w:rFonts w:hAnsi="Calibri"/>
          <w:spacing w:val="-2"/>
          <w:szCs w:val="21"/>
        </w:rPr>
        <w:t>。</w:t>
      </w:r>
    </w:p>
    <w:p w14:paraId="111DACF9">
      <w:pPr>
        <w:pStyle w:val="28"/>
        <w:spacing w:before="240" w:after="240"/>
      </w:pPr>
      <w:bookmarkStart w:id="4" w:name="bookmark16"/>
      <w:bookmarkEnd w:id="4"/>
      <w:bookmarkStart w:id="5" w:name="_Toc2033"/>
      <w:r>
        <w:t>规范性引用文件</w:t>
      </w:r>
      <w:bookmarkEnd w:id="5"/>
    </w:p>
    <w:p w14:paraId="3A81936A">
      <w:pPr>
        <w:pStyle w:val="29"/>
        <w:autoSpaceDE/>
        <w:autoSpaceDN/>
        <w:spacing w:line="360" w:lineRule="auto"/>
        <w:ind w:firstLine="408"/>
        <w:rPr>
          <w:rFonts w:hAnsi="Calibri"/>
          <w:szCs w:val="21"/>
        </w:rPr>
      </w:pPr>
      <w:r>
        <w:rPr>
          <w:rFonts w:hAnsi="Calibri"/>
          <w:spacing w:val="-6"/>
          <w:szCs w:val="21"/>
        </w:rPr>
        <w:t>下列文件中的内容通过文中的规范性引用而构成本文件必不可少的条款。其中，注日期的引用文件，</w:t>
      </w:r>
      <w:r>
        <w:rPr>
          <w:rFonts w:hAnsi="Calibri"/>
          <w:spacing w:val="5"/>
          <w:szCs w:val="21"/>
        </w:rPr>
        <w:t xml:space="preserve"> </w:t>
      </w:r>
      <w:r>
        <w:rPr>
          <w:rFonts w:hAnsi="Calibri"/>
          <w:spacing w:val="-2"/>
          <w:szCs w:val="21"/>
        </w:rPr>
        <w:t>仅该日期对应的版本适用于本文件；不注日期的引用文件，其最新版本（包</w:t>
      </w:r>
      <w:r>
        <w:rPr>
          <w:rFonts w:hAnsi="Calibri"/>
          <w:spacing w:val="-3"/>
          <w:szCs w:val="21"/>
        </w:rPr>
        <w:t>括所有的修改单）适用于本</w:t>
      </w:r>
      <w:r>
        <w:rPr>
          <w:rFonts w:hAnsi="Calibri"/>
          <w:szCs w:val="21"/>
        </w:rPr>
        <w:t xml:space="preserve"> </w:t>
      </w:r>
      <w:r>
        <w:rPr>
          <w:rFonts w:hAnsi="Calibri"/>
          <w:spacing w:val="-8"/>
          <w:szCs w:val="21"/>
        </w:rPr>
        <w:t>文件。</w:t>
      </w:r>
    </w:p>
    <w:p w14:paraId="180123E0">
      <w:pPr>
        <w:pStyle w:val="29"/>
        <w:autoSpaceDE/>
        <w:autoSpaceDN/>
        <w:spacing w:line="360" w:lineRule="auto"/>
        <w:ind w:firstLine="420"/>
        <w:rPr>
          <w:rFonts w:hAnsi="Calibri"/>
          <w:szCs w:val="21"/>
        </w:rPr>
      </w:pPr>
      <w:r>
        <w:rPr>
          <w:rFonts w:hAnsi="Calibri"/>
          <w:szCs w:val="21"/>
        </w:rPr>
        <w:t>GB/T 19000-2016  质量管理体系基</w:t>
      </w:r>
      <w:r>
        <w:rPr>
          <w:rFonts w:hAnsi="Calibri"/>
          <w:spacing w:val="-1"/>
          <w:szCs w:val="21"/>
        </w:rPr>
        <w:t>础和术语</w:t>
      </w:r>
    </w:p>
    <w:p w14:paraId="7EC9FE18">
      <w:pPr>
        <w:pStyle w:val="29"/>
        <w:autoSpaceDE/>
        <w:autoSpaceDN/>
        <w:spacing w:line="360" w:lineRule="auto"/>
        <w:ind w:firstLine="418"/>
        <w:rPr>
          <w:rFonts w:hAnsi="Calibri"/>
          <w:szCs w:val="21"/>
        </w:rPr>
      </w:pPr>
      <w:r>
        <w:rPr>
          <w:rFonts w:hAnsi="Calibri"/>
          <w:spacing w:val="-1"/>
          <w:szCs w:val="21"/>
        </w:rPr>
        <w:t>GB/T 19001-2016</w:t>
      </w:r>
      <w:r>
        <w:rPr>
          <w:rFonts w:hAnsi="Calibri"/>
          <w:spacing w:val="7"/>
          <w:szCs w:val="21"/>
        </w:rPr>
        <w:t xml:space="preserve">  </w:t>
      </w:r>
      <w:r>
        <w:rPr>
          <w:rFonts w:hAnsi="Calibri"/>
          <w:spacing w:val="-1"/>
          <w:szCs w:val="21"/>
        </w:rPr>
        <w:t>质量管理体系</w:t>
      </w:r>
      <w:r>
        <w:rPr>
          <w:rFonts w:hAnsi="Calibri"/>
          <w:spacing w:val="8"/>
          <w:szCs w:val="21"/>
        </w:rPr>
        <w:t xml:space="preserve"> </w:t>
      </w:r>
      <w:r>
        <w:rPr>
          <w:rFonts w:hint="eastAsia"/>
        </w:rPr>
        <w:t>要求</w:t>
      </w:r>
    </w:p>
    <w:p w14:paraId="2625E7FD">
      <w:pPr>
        <w:pStyle w:val="29"/>
        <w:autoSpaceDE/>
        <w:autoSpaceDN/>
        <w:spacing w:line="360" w:lineRule="auto"/>
        <w:ind w:firstLine="418"/>
        <w:rPr>
          <w:rFonts w:hAnsi="Calibri"/>
          <w:szCs w:val="21"/>
        </w:rPr>
      </w:pPr>
      <w:r>
        <w:rPr>
          <w:rFonts w:hAnsi="Calibri"/>
          <w:spacing w:val="-1"/>
          <w:szCs w:val="21"/>
        </w:rPr>
        <w:t>GB/T 19011-2021</w:t>
      </w:r>
      <w:r>
        <w:rPr>
          <w:rFonts w:hAnsi="Calibri"/>
          <w:spacing w:val="9"/>
          <w:szCs w:val="21"/>
        </w:rPr>
        <w:t xml:space="preserve">  </w:t>
      </w:r>
      <w:r>
        <w:rPr>
          <w:rFonts w:hAnsi="Calibri"/>
          <w:spacing w:val="-1"/>
          <w:szCs w:val="21"/>
        </w:rPr>
        <w:t>管理体系审核</w:t>
      </w:r>
      <w:r>
        <w:rPr>
          <w:rFonts w:hint="eastAsia"/>
        </w:rPr>
        <w:t>指南</w:t>
      </w:r>
    </w:p>
    <w:p w14:paraId="1741A5C3">
      <w:pPr>
        <w:pStyle w:val="29"/>
        <w:autoSpaceDE/>
        <w:autoSpaceDN/>
        <w:spacing w:line="360" w:lineRule="auto"/>
        <w:ind w:firstLine="420"/>
        <w:rPr>
          <w:rFonts w:hAnsi="Calibri"/>
          <w:szCs w:val="21"/>
        </w:rPr>
      </w:pPr>
      <w:r>
        <w:rPr>
          <w:rFonts w:hAnsi="Calibri"/>
          <w:szCs w:val="21"/>
        </w:rPr>
        <w:t xml:space="preserve">GB/T 39604-2020  社会责任管理体系 </w:t>
      </w:r>
      <w:r>
        <w:rPr>
          <w:rFonts w:hint="eastAsia"/>
        </w:rPr>
        <w:t>要求</w:t>
      </w:r>
      <w:r>
        <w:rPr>
          <w:rFonts w:hAnsi="Calibri"/>
          <w:spacing w:val="-1"/>
          <w:szCs w:val="21"/>
        </w:rPr>
        <w:t>及使用指南</w:t>
      </w:r>
    </w:p>
    <w:p w14:paraId="4C80DCF1">
      <w:pPr>
        <w:pStyle w:val="29"/>
        <w:autoSpaceDE/>
        <w:autoSpaceDN/>
        <w:spacing w:line="360" w:lineRule="auto"/>
        <w:ind w:firstLine="418"/>
        <w:rPr>
          <w:rFonts w:hAnsi="Calibri"/>
          <w:spacing w:val="-1"/>
          <w:szCs w:val="21"/>
        </w:rPr>
      </w:pPr>
      <w:r>
        <w:rPr>
          <w:rFonts w:hint="eastAsia" w:hAnsi="Calibri"/>
          <w:spacing w:val="-1"/>
          <w:szCs w:val="21"/>
        </w:rPr>
        <w:t>T/XXX XXXX—XXXX</w:t>
      </w:r>
      <w:r>
        <w:rPr>
          <w:rFonts w:hAnsi="Calibri"/>
          <w:spacing w:val="14"/>
          <w:szCs w:val="21"/>
        </w:rPr>
        <w:t xml:space="preserve">  </w:t>
      </w:r>
      <w:r>
        <w:rPr>
          <w:rFonts w:hAnsi="Calibri"/>
          <w:spacing w:val="-1"/>
          <w:szCs w:val="21"/>
        </w:rPr>
        <w:t>中国汽车行业ESG信息披露指南</w:t>
      </w:r>
    </w:p>
    <w:p w14:paraId="06A8DEC0">
      <w:pPr>
        <w:pStyle w:val="29"/>
        <w:autoSpaceDE/>
        <w:autoSpaceDN/>
        <w:spacing w:line="360" w:lineRule="auto"/>
        <w:ind w:firstLine="418"/>
        <w:rPr>
          <w:rFonts w:hAnsi="Calibri"/>
          <w:spacing w:val="-1"/>
          <w:szCs w:val="21"/>
          <w:highlight w:val="yellow"/>
        </w:rPr>
      </w:pPr>
      <w:r>
        <w:rPr>
          <w:rFonts w:hint="eastAsia" w:hAnsi="Calibri"/>
          <w:spacing w:val="-1"/>
          <w:szCs w:val="21"/>
        </w:rPr>
        <w:t>T/XXX XXXX—XXXX   中国汽车行业ESG评价指南</w:t>
      </w:r>
    </w:p>
    <w:p w14:paraId="17760D05">
      <w:pPr>
        <w:pStyle w:val="28"/>
        <w:spacing w:before="240" w:after="240"/>
      </w:pPr>
      <w:bookmarkStart w:id="6" w:name="_Toc7636"/>
      <w:r>
        <w:t>术语和定义</w:t>
      </w:r>
      <w:bookmarkEnd w:id="6"/>
    </w:p>
    <w:p w14:paraId="26DE452C">
      <w:pPr>
        <w:pStyle w:val="29"/>
        <w:autoSpaceDE/>
        <w:autoSpaceDN/>
        <w:spacing w:line="360" w:lineRule="auto"/>
        <w:ind w:firstLine="418"/>
        <w:rPr>
          <w:rFonts w:hAnsi="Calibri"/>
          <w:szCs w:val="21"/>
        </w:rPr>
      </w:pPr>
      <w:r>
        <w:rPr>
          <w:rFonts w:hint="eastAsia" w:hAnsi="Calibri"/>
          <w:spacing w:val="-1"/>
          <w:szCs w:val="21"/>
        </w:rPr>
        <w:t>T/XXX XXXX—XXXX《中国汽车行业ESG信息披露指南》</w:t>
      </w:r>
      <w:r>
        <w:rPr>
          <w:rFonts w:hAnsi="Calibri"/>
          <w:spacing w:val="-1"/>
          <w:szCs w:val="21"/>
        </w:rPr>
        <w:t>界定的以及下列术语和定义适用于本文件。</w:t>
      </w:r>
    </w:p>
    <w:p w14:paraId="38105FFC">
      <w:pPr>
        <w:pStyle w:val="30"/>
        <w:spacing w:line="360" w:lineRule="auto"/>
        <w:rPr>
          <w:rFonts w:hint="eastAsia" w:ascii="黑体" w:hAnsi="黑体" w:eastAsia="黑体"/>
        </w:rPr>
      </w:pPr>
      <w:r>
        <w:rPr>
          <w:rFonts w:hint="eastAsia" w:ascii="黑体" w:hAnsi="黑体" w:eastAsia="黑体"/>
        </w:rPr>
        <w:t>要求  requirement</w:t>
      </w:r>
    </w:p>
    <w:p w14:paraId="673F0675">
      <w:pPr>
        <w:pStyle w:val="29"/>
        <w:autoSpaceDE/>
        <w:autoSpaceDN/>
        <w:spacing w:line="360" w:lineRule="auto"/>
        <w:ind w:firstLine="416"/>
        <w:rPr>
          <w:rFonts w:hAnsi="Calibri"/>
          <w:szCs w:val="21"/>
        </w:rPr>
      </w:pPr>
      <w:r>
        <w:rPr>
          <w:rFonts w:hAnsi="Calibri"/>
          <w:spacing w:val="-2"/>
          <w:szCs w:val="21"/>
        </w:rPr>
        <w:t>明示的、通常隐含的或</w:t>
      </w:r>
      <w:r>
        <w:rPr>
          <w:rFonts w:hint="eastAsia" w:hAnsi="Calibri"/>
          <w:spacing w:val="-2"/>
          <w:szCs w:val="21"/>
        </w:rPr>
        <w:t>应</w:t>
      </w:r>
      <w:r>
        <w:rPr>
          <w:rFonts w:hAnsi="Calibri"/>
          <w:spacing w:val="-2"/>
          <w:szCs w:val="21"/>
        </w:rPr>
        <w:t>满足的</w:t>
      </w:r>
      <w:r>
        <w:rPr>
          <w:rFonts w:hint="eastAsia"/>
        </w:rPr>
        <w:t>需求</w:t>
      </w:r>
      <w:r>
        <w:rPr>
          <w:rFonts w:hAnsi="Calibri"/>
          <w:spacing w:val="-2"/>
          <w:szCs w:val="21"/>
        </w:rPr>
        <w:t>或期望。</w:t>
      </w:r>
    </w:p>
    <w:p w14:paraId="77E7B461">
      <w:pPr>
        <w:pStyle w:val="29"/>
        <w:autoSpaceDE/>
        <w:autoSpaceDN/>
        <w:spacing w:line="360" w:lineRule="auto"/>
        <w:ind w:firstLine="418"/>
        <w:rPr>
          <w:rFonts w:hAnsi="Calibri"/>
          <w:szCs w:val="18"/>
        </w:rPr>
      </w:pPr>
      <w:r>
        <w:rPr>
          <w:bCs/>
          <w:spacing w:val="-1"/>
          <w:szCs w:val="18"/>
        </w:rPr>
        <w:t>注</w:t>
      </w:r>
      <w:r>
        <w:rPr>
          <w:rFonts w:hint="eastAsia"/>
          <w:bCs/>
          <w:spacing w:val="-1"/>
          <w:szCs w:val="18"/>
        </w:rPr>
        <w:t>1</w:t>
      </w:r>
      <w:r>
        <w:rPr>
          <w:bCs/>
          <w:spacing w:val="-1"/>
          <w:szCs w:val="18"/>
        </w:rPr>
        <w:t>：</w:t>
      </w:r>
      <w:r>
        <w:rPr>
          <w:rFonts w:hint="eastAsia" w:hAnsi="Calibri"/>
          <w:spacing w:val="-1"/>
          <w:szCs w:val="18"/>
        </w:rPr>
        <w:t>“通常隐含的”</w:t>
      </w:r>
      <w:r>
        <w:rPr>
          <w:rFonts w:hAnsi="Calibri"/>
          <w:spacing w:val="-1"/>
          <w:szCs w:val="18"/>
        </w:rPr>
        <w:t>是指，对组织和</w:t>
      </w:r>
      <w:r>
        <w:rPr>
          <w:rFonts w:hint="eastAsia"/>
        </w:rPr>
        <w:t>利益</w:t>
      </w:r>
      <w:r>
        <w:rPr>
          <w:bCs/>
          <w:spacing w:val="-1"/>
          <w:szCs w:val="18"/>
        </w:rPr>
        <w:t>相关方</w:t>
      </w:r>
      <w:r>
        <w:rPr>
          <w:rFonts w:hAnsi="Calibri"/>
          <w:spacing w:val="-1"/>
          <w:szCs w:val="18"/>
        </w:rPr>
        <w:t>而言，按惯例或常</w:t>
      </w:r>
      <w:r>
        <w:rPr>
          <w:rFonts w:hAnsi="Calibri"/>
          <w:spacing w:val="-2"/>
          <w:szCs w:val="18"/>
        </w:rPr>
        <w:t>见做法，对这些需求或期望加以考虑是</w:t>
      </w:r>
      <w:r>
        <w:rPr>
          <w:rFonts w:hint="eastAsia" w:hAnsi="Calibri"/>
          <w:spacing w:val="-2"/>
          <w:szCs w:val="18"/>
        </w:rPr>
        <w:t>不言而喻</w:t>
      </w:r>
      <w:r>
        <w:rPr>
          <w:rFonts w:hAnsi="Calibri"/>
          <w:spacing w:val="-10"/>
          <w:szCs w:val="18"/>
        </w:rPr>
        <w:t>的。</w:t>
      </w:r>
    </w:p>
    <w:p w14:paraId="0EFFF370">
      <w:pPr>
        <w:pStyle w:val="29"/>
        <w:autoSpaceDE/>
        <w:autoSpaceDN/>
        <w:spacing w:line="360" w:lineRule="auto"/>
        <w:ind w:firstLine="418"/>
        <w:rPr>
          <w:rFonts w:hAnsi="Calibri"/>
          <w:szCs w:val="18"/>
        </w:rPr>
      </w:pPr>
      <w:r>
        <w:rPr>
          <w:bCs/>
          <w:spacing w:val="-1"/>
          <w:szCs w:val="18"/>
        </w:rPr>
        <w:t>注</w:t>
      </w:r>
      <w:r>
        <w:rPr>
          <w:rFonts w:hint="eastAsia"/>
          <w:bCs/>
          <w:spacing w:val="-1"/>
          <w:szCs w:val="18"/>
        </w:rPr>
        <w:t>2：</w:t>
      </w:r>
      <w:r>
        <w:rPr>
          <w:rFonts w:hAnsi="Calibri"/>
          <w:spacing w:val="-1"/>
          <w:szCs w:val="18"/>
        </w:rPr>
        <w:t>规定的要求是经明示的要求，如</w:t>
      </w:r>
      <w:r>
        <w:rPr>
          <w:bCs/>
          <w:spacing w:val="-1"/>
          <w:szCs w:val="18"/>
        </w:rPr>
        <w:t>文件化信息</w:t>
      </w:r>
      <w:r>
        <w:rPr>
          <w:rFonts w:hAnsi="Calibri"/>
          <w:spacing w:val="-1"/>
          <w:szCs w:val="18"/>
        </w:rPr>
        <w:t>（3.8）中所阐明的要求。</w:t>
      </w:r>
    </w:p>
    <w:p w14:paraId="0C2ACF74">
      <w:pPr>
        <w:pStyle w:val="29"/>
        <w:autoSpaceDE/>
        <w:autoSpaceDN/>
        <w:spacing w:line="360" w:lineRule="auto"/>
        <w:ind w:firstLine="416"/>
        <w:rPr>
          <w:rFonts w:hAnsi="Calibri"/>
          <w:szCs w:val="18"/>
        </w:rPr>
      </w:pPr>
      <w:r>
        <w:rPr>
          <w:bCs/>
          <w:spacing w:val="-2"/>
          <w:szCs w:val="18"/>
        </w:rPr>
        <w:t>注</w:t>
      </w:r>
      <w:r>
        <w:rPr>
          <w:rFonts w:hint="eastAsia"/>
          <w:bCs/>
          <w:spacing w:val="-2"/>
          <w:szCs w:val="18"/>
        </w:rPr>
        <w:t>3</w:t>
      </w:r>
      <w:r>
        <w:rPr>
          <w:rFonts w:hint="eastAsia"/>
          <w:bCs/>
          <w:spacing w:val="-37"/>
          <w:szCs w:val="18"/>
        </w:rPr>
        <w:t>：</w:t>
      </w:r>
      <w:r>
        <w:rPr>
          <w:rFonts w:hAnsi="Calibri"/>
          <w:spacing w:val="-2"/>
          <w:szCs w:val="18"/>
        </w:rPr>
        <w:t>该术语和定义是《ISO/IEC 导则 第</w:t>
      </w:r>
      <w:r>
        <w:rPr>
          <w:rFonts w:hAnsi="Calibri"/>
          <w:spacing w:val="-24"/>
          <w:szCs w:val="18"/>
        </w:rPr>
        <w:t xml:space="preserve"> </w:t>
      </w:r>
      <w:r>
        <w:rPr>
          <w:rFonts w:hAnsi="Calibri"/>
          <w:spacing w:val="-2"/>
          <w:szCs w:val="18"/>
        </w:rPr>
        <w:t>1</w:t>
      </w:r>
      <w:r>
        <w:rPr>
          <w:rFonts w:hAnsi="Calibri"/>
          <w:spacing w:val="-34"/>
          <w:szCs w:val="18"/>
        </w:rPr>
        <w:t xml:space="preserve"> </w:t>
      </w:r>
      <w:r>
        <w:rPr>
          <w:rFonts w:hAnsi="Calibri"/>
          <w:spacing w:val="-2"/>
          <w:szCs w:val="18"/>
        </w:rPr>
        <w:t>部分 ISO</w:t>
      </w:r>
      <w:r>
        <w:rPr>
          <w:rFonts w:hAnsi="Calibri"/>
          <w:spacing w:val="-36"/>
          <w:szCs w:val="18"/>
        </w:rPr>
        <w:t xml:space="preserve"> </w:t>
      </w:r>
      <w:r>
        <w:rPr>
          <w:rFonts w:hAnsi="Calibri"/>
          <w:spacing w:val="-2"/>
          <w:szCs w:val="18"/>
        </w:rPr>
        <w:t>补充部分合订本 ISO</w:t>
      </w:r>
      <w:r>
        <w:rPr>
          <w:rFonts w:hAnsi="Calibri"/>
          <w:spacing w:val="-36"/>
          <w:szCs w:val="18"/>
        </w:rPr>
        <w:t xml:space="preserve"> </w:t>
      </w:r>
      <w:r>
        <w:rPr>
          <w:rFonts w:hAnsi="Calibri"/>
          <w:spacing w:val="-2"/>
          <w:szCs w:val="18"/>
        </w:rPr>
        <w:t>专用程序》附录</w:t>
      </w:r>
      <w:r>
        <w:rPr>
          <w:rFonts w:hAnsi="Calibri"/>
          <w:spacing w:val="-39"/>
          <w:szCs w:val="18"/>
        </w:rPr>
        <w:t xml:space="preserve"> </w:t>
      </w:r>
      <w:r>
        <w:rPr>
          <w:rFonts w:hAnsi="Calibri"/>
          <w:spacing w:val="-2"/>
          <w:szCs w:val="18"/>
        </w:rPr>
        <w:t>S</w:t>
      </w:r>
      <w:r>
        <w:rPr>
          <w:rFonts w:hAnsi="Calibri"/>
          <w:spacing w:val="-3"/>
          <w:szCs w:val="18"/>
        </w:rPr>
        <w:t>L</w:t>
      </w:r>
      <w:r>
        <w:rPr>
          <w:rFonts w:hAnsi="Calibri"/>
          <w:spacing w:val="-35"/>
          <w:szCs w:val="18"/>
        </w:rPr>
        <w:t xml:space="preserve"> </w:t>
      </w:r>
      <w:r>
        <w:rPr>
          <w:rFonts w:hAnsi="Calibri"/>
          <w:spacing w:val="-3"/>
          <w:szCs w:val="18"/>
        </w:rPr>
        <w:t>所给出的</w:t>
      </w:r>
      <w:r>
        <w:rPr>
          <w:rFonts w:hAnsi="Calibri"/>
          <w:spacing w:val="-30"/>
          <w:szCs w:val="18"/>
        </w:rPr>
        <w:t xml:space="preserve"> </w:t>
      </w:r>
      <w:r>
        <w:rPr>
          <w:rFonts w:hint="eastAsia" w:hAnsi="Calibri"/>
          <w:spacing w:val="-30"/>
          <w:szCs w:val="18"/>
        </w:rPr>
        <w:t>ISO管理体系</w:t>
      </w:r>
      <w:r>
        <w:rPr>
          <w:rFonts w:hAnsi="Calibri"/>
          <w:spacing w:val="-1"/>
          <w:szCs w:val="18"/>
        </w:rPr>
        <w:t>标准的通用术语和核心定义之一。</w:t>
      </w:r>
    </w:p>
    <w:p w14:paraId="61655EB8">
      <w:pPr>
        <w:pStyle w:val="30"/>
        <w:rPr>
          <w:rFonts w:hint="eastAsia" w:ascii="黑体" w:hAnsi="黑体" w:eastAsia="黑体"/>
        </w:rPr>
      </w:pPr>
      <w:r>
        <w:rPr>
          <w:rFonts w:hint="eastAsia" w:ascii="黑体" w:hAnsi="黑体" w:eastAsia="黑体"/>
        </w:rPr>
        <w:t>法律法规要求和其他要求  legal requirements and other requirements</w:t>
      </w:r>
    </w:p>
    <w:p w14:paraId="08EFA0EC">
      <w:pPr>
        <w:pStyle w:val="12"/>
        <w:ind w:firstLine="416"/>
        <w:rPr>
          <w:szCs w:val="21"/>
        </w:rPr>
      </w:pPr>
      <w:r>
        <w:rPr>
          <w:spacing w:val="-2"/>
          <w:szCs w:val="21"/>
        </w:rPr>
        <w:t>企业</w:t>
      </w:r>
      <w:r>
        <w:rPr>
          <w:rFonts w:hint="eastAsia"/>
          <w:spacing w:val="-2"/>
          <w:szCs w:val="21"/>
        </w:rPr>
        <w:t>应</w:t>
      </w:r>
      <w:r>
        <w:rPr>
          <w:spacing w:val="-2"/>
          <w:szCs w:val="21"/>
        </w:rPr>
        <w:t>遵守的法律法规要求、许可条件和相关国际公约</w:t>
      </w:r>
      <w:r>
        <w:rPr>
          <w:spacing w:val="-3"/>
          <w:szCs w:val="21"/>
        </w:rPr>
        <w:t>要求，以及</w:t>
      </w:r>
      <w:r>
        <w:rPr>
          <w:rFonts w:hint="eastAsia"/>
          <w:spacing w:val="-3"/>
          <w:szCs w:val="21"/>
        </w:rPr>
        <w:t>应</w:t>
      </w:r>
      <w:r>
        <w:rPr>
          <w:spacing w:val="-3"/>
          <w:szCs w:val="21"/>
        </w:rPr>
        <w:t>遵守或选择遵守的其他</w:t>
      </w:r>
      <w:r>
        <w:rPr>
          <w:rFonts w:hint="eastAsia"/>
          <w:spacing w:val="-3"/>
          <w:szCs w:val="21"/>
        </w:rPr>
        <w:t>要求</w:t>
      </w:r>
      <w:r>
        <w:rPr>
          <w:spacing w:val="-4"/>
          <w:szCs w:val="21"/>
        </w:rPr>
        <w:t>（3.1）。</w:t>
      </w:r>
    </w:p>
    <w:p w14:paraId="6BFD3CAC">
      <w:pPr>
        <w:pStyle w:val="12"/>
        <w:spacing w:line="360" w:lineRule="auto"/>
        <w:ind w:firstLine="416"/>
        <w:rPr>
          <w:szCs w:val="18"/>
        </w:rPr>
      </w:pPr>
      <w:r>
        <w:rPr>
          <w:spacing w:val="-2"/>
          <w:szCs w:val="18"/>
        </w:rPr>
        <w:t>注：对本文件而言，法律法规要求和其他要求是与</w:t>
      </w:r>
      <w:r>
        <w:rPr>
          <w:spacing w:val="-21"/>
          <w:szCs w:val="18"/>
        </w:rPr>
        <w:t xml:space="preserve"> </w:t>
      </w:r>
      <w:r>
        <w:rPr>
          <w:spacing w:val="-2"/>
          <w:szCs w:val="18"/>
        </w:rPr>
        <w:t>ESG</w:t>
      </w:r>
      <w:r>
        <w:rPr>
          <w:spacing w:val="-32"/>
          <w:szCs w:val="18"/>
        </w:rPr>
        <w:t xml:space="preserve"> </w:t>
      </w:r>
      <w:r>
        <w:rPr>
          <w:spacing w:val="-2"/>
          <w:szCs w:val="18"/>
        </w:rPr>
        <w:t>管理体系相关的要求。</w:t>
      </w:r>
    </w:p>
    <w:p w14:paraId="6D0D8280">
      <w:pPr>
        <w:pStyle w:val="30"/>
        <w:spacing w:line="360" w:lineRule="auto"/>
        <w:rPr>
          <w:rFonts w:hint="eastAsia" w:ascii="黑体" w:hAnsi="黑体" w:eastAsia="黑体"/>
        </w:rPr>
      </w:pPr>
      <w:r>
        <w:rPr>
          <w:rFonts w:hint="eastAsia" w:ascii="黑体" w:hAnsi="黑体" w:eastAsia="黑体"/>
        </w:rPr>
        <w:t>管理体系  management system</w:t>
      </w:r>
    </w:p>
    <w:p w14:paraId="3A54579F">
      <w:pPr>
        <w:pStyle w:val="12"/>
        <w:spacing w:line="360" w:lineRule="auto"/>
        <w:ind w:firstLine="416"/>
        <w:rPr>
          <w:szCs w:val="21"/>
        </w:rPr>
      </w:pPr>
      <w:r>
        <w:rPr>
          <w:spacing w:val="-2"/>
          <w:szCs w:val="21"/>
        </w:rPr>
        <w:t>企业用于建立</w:t>
      </w:r>
      <w:r>
        <w:rPr>
          <w:b/>
          <w:spacing w:val="-2"/>
          <w:szCs w:val="21"/>
        </w:rPr>
        <w:t>方针</w:t>
      </w:r>
      <w:r>
        <w:rPr>
          <w:spacing w:val="-2"/>
          <w:szCs w:val="21"/>
        </w:rPr>
        <w:t>（3.4）和目标以及实现这些目标的</w:t>
      </w:r>
      <w:r>
        <w:rPr>
          <w:b/>
          <w:spacing w:val="-2"/>
          <w:szCs w:val="21"/>
        </w:rPr>
        <w:t>过程</w:t>
      </w:r>
      <w:r>
        <w:rPr>
          <w:spacing w:val="-2"/>
          <w:szCs w:val="21"/>
        </w:rPr>
        <w:t>（3.9）的一</w:t>
      </w:r>
      <w:r>
        <w:rPr>
          <w:spacing w:val="-3"/>
          <w:szCs w:val="21"/>
        </w:rPr>
        <w:t>组相互关联或相互作用的</w:t>
      </w:r>
      <w:r>
        <w:rPr>
          <w:rFonts w:hint="eastAsia"/>
          <w:spacing w:val="-3"/>
          <w:szCs w:val="21"/>
        </w:rPr>
        <w:t>要素</w:t>
      </w:r>
      <w:r>
        <w:rPr>
          <w:szCs w:val="21"/>
        </w:rPr>
        <w:t>，主要包括组织机构、管理制度和程序、资源和过程等。ESG管理体</w:t>
      </w:r>
      <w:r>
        <w:rPr>
          <w:spacing w:val="-1"/>
          <w:szCs w:val="21"/>
        </w:rPr>
        <w:t>系重点关注与ESG相关的愿景</w:t>
      </w:r>
      <w:r>
        <w:rPr>
          <w:rFonts w:hint="eastAsia"/>
          <w:spacing w:val="-1"/>
          <w:szCs w:val="21"/>
        </w:rPr>
        <w:t>目标</w:t>
      </w:r>
      <w:r>
        <w:rPr>
          <w:spacing w:val="-2"/>
          <w:szCs w:val="21"/>
        </w:rPr>
        <w:t>、政策规划、组织机构、管理制度，以及程序、资源和过程等，应融入企</w:t>
      </w:r>
      <w:r>
        <w:rPr>
          <w:spacing w:val="-3"/>
          <w:szCs w:val="21"/>
        </w:rPr>
        <w:t>业的管理体系，综合考虑</w:t>
      </w:r>
      <w:r>
        <w:rPr>
          <w:szCs w:val="21"/>
        </w:rPr>
        <w:t xml:space="preserve"> </w:t>
      </w:r>
      <w:r>
        <w:rPr>
          <w:spacing w:val="-1"/>
          <w:szCs w:val="21"/>
        </w:rPr>
        <w:t>ESG</w:t>
      </w:r>
      <w:r>
        <w:rPr>
          <w:spacing w:val="-40"/>
          <w:szCs w:val="21"/>
        </w:rPr>
        <w:t xml:space="preserve"> </w:t>
      </w:r>
      <w:r>
        <w:rPr>
          <w:spacing w:val="-1"/>
          <w:szCs w:val="21"/>
        </w:rPr>
        <w:t>与产品质量与安全、生态环境、技术创新、职业健康，以及</w:t>
      </w:r>
      <w:r>
        <w:rPr>
          <w:spacing w:val="-2"/>
          <w:szCs w:val="21"/>
        </w:rPr>
        <w:t>组织、人员、社会、经费等要素及其</w:t>
      </w:r>
      <w:r>
        <w:rPr>
          <w:rFonts w:hint="eastAsia"/>
          <w:spacing w:val="-2"/>
          <w:szCs w:val="21"/>
        </w:rPr>
        <w:t>相互影响</w:t>
      </w:r>
      <w:r>
        <w:rPr>
          <w:spacing w:val="-1"/>
          <w:szCs w:val="21"/>
        </w:rPr>
        <w:t>。</w:t>
      </w:r>
    </w:p>
    <w:p w14:paraId="50B2309F">
      <w:pPr>
        <w:pStyle w:val="30"/>
        <w:spacing w:before="1" w:line="360" w:lineRule="auto"/>
        <w:rPr>
          <w:rFonts w:hint="eastAsia" w:ascii="黑体" w:hAnsi="黑体" w:eastAsia="黑体"/>
        </w:rPr>
      </w:pPr>
      <w:r>
        <w:rPr>
          <w:rFonts w:hint="eastAsia" w:ascii="黑体" w:hAnsi="黑体" w:eastAsia="黑体"/>
        </w:rPr>
        <w:t>方针  policy</w:t>
      </w:r>
    </w:p>
    <w:p w14:paraId="5F003700">
      <w:pPr>
        <w:pStyle w:val="12"/>
        <w:spacing w:before="68" w:line="360" w:lineRule="auto"/>
        <w:ind w:firstLine="416"/>
        <w:rPr>
          <w:szCs w:val="21"/>
        </w:rPr>
      </w:pPr>
      <w:r>
        <w:rPr>
          <w:spacing w:val="-2"/>
          <w:szCs w:val="21"/>
        </w:rPr>
        <w:t>由企业最高管理者正式表述的组织意图和方向。</w:t>
      </w:r>
    </w:p>
    <w:p w14:paraId="264AE2C7">
      <w:pPr>
        <w:pStyle w:val="12"/>
        <w:spacing w:line="360" w:lineRule="auto"/>
        <w:ind w:firstLine="416"/>
        <w:rPr>
          <w:szCs w:val="18"/>
        </w:rPr>
      </w:pPr>
      <w:r>
        <w:rPr>
          <w:spacing w:val="-2"/>
          <w:szCs w:val="18"/>
        </w:rPr>
        <w:t>注：该术语和定义是《ISO/IEC 导则 第</w:t>
      </w:r>
      <w:r>
        <w:rPr>
          <w:spacing w:val="-27"/>
          <w:szCs w:val="18"/>
        </w:rPr>
        <w:t xml:space="preserve"> </w:t>
      </w:r>
      <w:r>
        <w:rPr>
          <w:spacing w:val="-2"/>
          <w:szCs w:val="18"/>
        </w:rPr>
        <w:t>1</w:t>
      </w:r>
      <w:r>
        <w:rPr>
          <w:spacing w:val="-34"/>
          <w:szCs w:val="18"/>
        </w:rPr>
        <w:t xml:space="preserve"> </w:t>
      </w:r>
      <w:r>
        <w:rPr>
          <w:spacing w:val="-2"/>
          <w:szCs w:val="18"/>
        </w:rPr>
        <w:t>部分</w:t>
      </w:r>
      <w:r>
        <w:rPr>
          <w:spacing w:val="25"/>
          <w:szCs w:val="18"/>
        </w:rPr>
        <w:t xml:space="preserve"> </w:t>
      </w:r>
      <w:r>
        <w:rPr>
          <w:spacing w:val="-2"/>
          <w:szCs w:val="18"/>
        </w:rPr>
        <w:t>ISO</w:t>
      </w:r>
      <w:r>
        <w:rPr>
          <w:spacing w:val="-36"/>
          <w:szCs w:val="18"/>
        </w:rPr>
        <w:t xml:space="preserve"> </w:t>
      </w:r>
      <w:r>
        <w:rPr>
          <w:spacing w:val="-2"/>
          <w:szCs w:val="18"/>
        </w:rPr>
        <w:t>补充部分合订</w:t>
      </w:r>
      <w:r>
        <w:rPr>
          <w:spacing w:val="-3"/>
          <w:szCs w:val="18"/>
        </w:rPr>
        <w:t>本</w:t>
      </w:r>
      <w:r>
        <w:rPr>
          <w:spacing w:val="26"/>
          <w:szCs w:val="18"/>
        </w:rPr>
        <w:t xml:space="preserve"> </w:t>
      </w:r>
      <w:r>
        <w:rPr>
          <w:spacing w:val="-3"/>
          <w:szCs w:val="18"/>
        </w:rPr>
        <w:t>ISO</w:t>
      </w:r>
      <w:r>
        <w:rPr>
          <w:spacing w:val="-35"/>
          <w:szCs w:val="18"/>
        </w:rPr>
        <w:t xml:space="preserve"> </w:t>
      </w:r>
      <w:r>
        <w:rPr>
          <w:spacing w:val="-3"/>
          <w:szCs w:val="18"/>
        </w:rPr>
        <w:t>专用程序》附录</w:t>
      </w:r>
      <w:r>
        <w:rPr>
          <w:spacing w:val="-31"/>
          <w:szCs w:val="18"/>
        </w:rPr>
        <w:t xml:space="preserve"> </w:t>
      </w:r>
      <w:r>
        <w:rPr>
          <w:spacing w:val="-3"/>
          <w:szCs w:val="18"/>
        </w:rPr>
        <w:t>SL</w:t>
      </w:r>
      <w:r>
        <w:rPr>
          <w:spacing w:val="-36"/>
          <w:szCs w:val="18"/>
        </w:rPr>
        <w:t xml:space="preserve"> </w:t>
      </w:r>
      <w:r>
        <w:rPr>
          <w:spacing w:val="-3"/>
          <w:szCs w:val="18"/>
        </w:rPr>
        <w:t>所给出的</w:t>
      </w:r>
      <w:r>
        <w:rPr>
          <w:spacing w:val="-27"/>
          <w:szCs w:val="18"/>
        </w:rPr>
        <w:t xml:space="preserve"> </w:t>
      </w:r>
      <w:r>
        <w:rPr>
          <w:rFonts w:hint="eastAsia"/>
          <w:spacing w:val="-27"/>
          <w:szCs w:val="18"/>
        </w:rPr>
        <w:t>ISO</w:t>
      </w:r>
      <w:r>
        <w:rPr>
          <w:szCs w:val="18"/>
        </w:rPr>
        <w:t xml:space="preserve"> </w:t>
      </w:r>
      <w:r>
        <w:rPr>
          <w:rFonts w:hint="eastAsia"/>
          <w:szCs w:val="18"/>
        </w:rPr>
        <w:t>管理体系</w:t>
      </w:r>
      <w:r>
        <w:rPr>
          <w:spacing w:val="-2"/>
          <w:szCs w:val="18"/>
        </w:rPr>
        <w:t>标准的通用术语和核心定义之一，本定义进行改写。</w:t>
      </w:r>
    </w:p>
    <w:p w14:paraId="21EAB5BA">
      <w:pPr>
        <w:pStyle w:val="30"/>
        <w:spacing w:line="360" w:lineRule="auto"/>
        <w:rPr>
          <w:rFonts w:hint="eastAsia" w:ascii="黑体" w:hAnsi="黑体" w:eastAsia="黑体"/>
        </w:rPr>
      </w:pPr>
      <w:r>
        <w:rPr>
          <w:rFonts w:hint="eastAsia" w:ascii="黑体" w:hAnsi="黑体" w:eastAsia="黑体"/>
        </w:rPr>
        <w:t>不良影响因素  factors of adverse impact</w:t>
      </w:r>
    </w:p>
    <w:p w14:paraId="444A5459">
      <w:pPr>
        <w:pStyle w:val="12"/>
        <w:spacing w:before="24" w:line="360" w:lineRule="auto"/>
        <w:ind w:firstLine="418"/>
        <w:rPr>
          <w:szCs w:val="21"/>
        </w:rPr>
      </w:pPr>
      <w:r>
        <w:rPr>
          <w:spacing w:val="-1"/>
          <w:szCs w:val="21"/>
        </w:rPr>
        <w:t>企业决策或活动中可能导致不良影响的要素。</w:t>
      </w:r>
    </w:p>
    <w:p w14:paraId="7292A183">
      <w:pPr>
        <w:pStyle w:val="12"/>
        <w:spacing w:line="360" w:lineRule="auto"/>
        <w:ind w:firstLine="418"/>
        <w:rPr>
          <w:szCs w:val="18"/>
        </w:rPr>
      </w:pPr>
      <w:r>
        <w:rPr>
          <w:bCs/>
          <w:spacing w:val="-1"/>
          <w:szCs w:val="18"/>
        </w:rPr>
        <w:t>注</w:t>
      </w:r>
      <w:r>
        <w:rPr>
          <w:rFonts w:hint="eastAsia"/>
          <w:bCs/>
          <w:spacing w:val="-1"/>
          <w:szCs w:val="18"/>
        </w:rPr>
        <w:t>1</w:t>
      </w:r>
      <w:r>
        <w:rPr>
          <w:bCs/>
          <w:spacing w:val="-1"/>
          <w:szCs w:val="18"/>
        </w:rPr>
        <w:t>：</w:t>
      </w:r>
      <w:r>
        <w:rPr>
          <w:spacing w:val="-1"/>
          <w:szCs w:val="18"/>
        </w:rPr>
        <w:t>不良影响因素包括组织决策或活动中所包含的可能导致侵害生命财产安全和知识产权，危害和损害劳动者和</w:t>
      </w:r>
      <w:r>
        <w:rPr>
          <w:spacing w:val="-2"/>
          <w:szCs w:val="18"/>
        </w:rPr>
        <w:t>消费者权益以及社会公共利益，违反法律法规、道德和</w:t>
      </w:r>
      <w:r>
        <w:rPr>
          <w:spacing w:val="-31"/>
          <w:szCs w:val="18"/>
        </w:rPr>
        <w:t xml:space="preserve"> </w:t>
      </w:r>
      <w:r>
        <w:rPr>
          <w:spacing w:val="-2"/>
          <w:szCs w:val="18"/>
        </w:rPr>
        <w:t>ESG</w:t>
      </w:r>
      <w:r>
        <w:rPr>
          <w:spacing w:val="-33"/>
          <w:szCs w:val="18"/>
        </w:rPr>
        <w:t xml:space="preserve"> </w:t>
      </w:r>
      <w:r>
        <w:rPr>
          <w:spacing w:val="-2"/>
          <w:szCs w:val="18"/>
        </w:rPr>
        <w:t>原则等行为的因素，或者是可能带来职业健康安全</w:t>
      </w:r>
      <w:r>
        <w:rPr>
          <w:spacing w:val="-1"/>
          <w:szCs w:val="18"/>
        </w:rPr>
        <w:t>风险的危险源、环境污染风险的环境因素、不合格</w:t>
      </w:r>
      <w:r>
        <w:rPr>
          <w:spacing w:val="-2"/>
          <w:szCs w:val="18"/>
        </w:rPr>
        <w:t>质量风险的质量因素、腐败风险的腐败因素等，或者是可能</w:t>
      </w:r>
      <w:r>
        <w:rPr>
          <w:spacing w:val="-4"/>
          <w:szCs w:val="18"/>
        </w:rPr>
        <w:t>妨碍或不利于组织可持续性目标（如资源可持续利用、节能减排、保护生物多样性、用户满意度等）实现的各</w:t>
      </w:r>
      <w:r>
        <w:rPr>
          <w:spacing w:val="-5"/>
          <w:szCs w:val="18"/>
        </w:rPr>
        <w:t>方面因素等。</w:t>
      </w:r>
    </w:p>
    <w:p w14:paraId="7E4B0DDB">
      <w:pPr>
        <w:pStyle w:val="12"/>
        <w:spacing w:line="360" w:lineRule="auto"/>
        <w:ind w:firstLine="418"/>
        <w:rPr>
          <w:szCs w:val="18"/>
        </w:rPr>
      </w:pPr>
      <w:r>
        <w:rPr>
          <w:bCs/>
          <w:spacing w:val="-1"/>
          <w:szCs w:val="18"/>
        </w:rPr>
        <w:t>注</w:t>
      </w:r>
      <w:r>
        <w:rPr>
          <w:rFonts w:hint="eastAsia"/>
          <w:bCs/>
          <w:spacing w:val="-1"/>
          <w:szCs w:val="18"/>
        </w:rPr>
        <w:t>2</w:t>
      </w:r>
      <w:r>
        <w:rPr>
          <w:bCs/>
          <w:spacing w:val="-1"/>
          <w:szCs w:val="18"/>
        </w:rPr>
        <w:t>：</w:t>
      </w:r>
      <w:r>
        <w:rPr>
          <w:spacing w:val="-1"/>
          <w:szCs w:val="18"/>
        </w:rPr>
        <w:t>一项不良影响因素可导致一种或多种对社会和环境的不良影响。</w:t>
      </w:r>
    </w:p>
    <w:p w14:paraId="205F80B9">
      <w:pPr>
        <w:pStyle w:val="30"/>
        <w:spacing w:before="23" w:line="360" w:lineRule="auto"/>
        <w:rPr>
          <w:rFonts w:hint="eastAsia" w:ascii="黑体" w:hAnsi="黑体" w:eastAsia="黑体"/>
        </w:rPr>
      </w:pPr>
      <w:r>
        <w:rPr>
          <w:rFonts w:hint="eastAsia" w:ascii="黑体" w:hAnsi="黑体" w:eastAsia="黑体"/>
        </w:rPr>
        <w:t>ESG 风险  ESG risk</w:t>
      </w:r>
    </w:p>
    <w:p w14:paraId="0AD9FDEB">
      <w:pPr>
        <w:pStyle w:val="12"/>
        <w:spacing w:before="21" w:line="360" w:lineRule="auto"/>
        <w:rPr>
          <w:szCs w:val="21"/>
        </w:rPr>
      </w:pPr>
      <w:r>
        <w:rPr>
          <w:szCs w:val="21"/>
        </w:rPr>
        <w:t>事件发生的可能性与因其而导致不良影响的严重性的</w:t>
      </w:r>
      <w:r>
        <w:rPr>
          <w:spacing w:val="-1"/>
          <w:szCs w:val="21"/>
        </w:rPr>
        <w:t>组合。</w:t>
      </w:r>
    </w:p>
    <w:p w14:paraId="67EEE980">
      <w:pPr>
        <w:pStyle w:val="30"/>
        <w:spacing w:before="23" w:line="360" w:lineRule="auto"/>
        <w:rPr>
          <w:rFonts w:hint="eastAsia" w:ascii="黑体" w:hAnsi="黑体" w:eastAsia="黑体"/>
        </w:rPr>
      </w:pPr>
      <w:r>
        <w:rPr>
          <w:rFonts w:hint="eastAsia" w:ascii="黑体" w:hAnsi="黑体" w:eastAsia="黑体"/>
        </w:rPr>
        <w:t>ESG 机遇  ESG opportunity</w:t>
      </w:r>
    </w:p>
    <w:p w14:paraId="5380B821">
      <w:pPr>
        <w:pStyle w:val="12"/>
        <w:spacing w:line="360" w:lineRule="auto"/>
        <w:ind w:firstLine="418"/>
        <w:rPr>
          <w:szCs w:val="21"/>
        </w:rPr>
      </w:pPr>
      <w:r>
        <w:rPr>
          <w:spacing w:val="-1"/>
          <w:szCs w:val="21"/>
        </w:rPr>
        <w:t>一种或多种可能导致</w:t>
      </w:r>
      <w:r>
        <w:rPr>
          <w:spacing w:val="-42"/>
          <w:szCs w:val="21"/>
        </w:rPr>
        <w:t xml:space="preserve"> </w:t>
      </w:r>
      <w:r>
        <w:rPr>
          <w:spacing w:val="-1"/>
          <w:szCs w:val="21"/>
        </w:rPr>
        <w:t>ESG</w:t>
      </w:r>
      <w:r>
        <w:rPr>
          <w:spacing w:val="-45"/>
          <w:szCs w:val="21"/>
        </w:rPr>
        <w:t xml:space="preserve"> </w:t>
      </w:r>
      <w:r>
        <w:rPr>
          <w:spacing w:val="-1"/>
          <w:szCs w:val="21"/>
        </w:rPr>
        <w:t>绩效（3.11）改进的情形。</w:t>
      </w:r>
    </w:p>
    <w:p w14:paraId="0C24A1A8">
      <w:pPr>
        <w:pStyle w:val="30"/>
        <w:spacing w:before="1" w:line="360" w:lineRule="auto"/>
        <w:rPr>
          <w:rFonts w:hint="eastAsia" w:ascii="黑体" w:hAnsi="黑体" w:eastAsia="黑体"/>
        </w:rPr>
      </w:pPr>
      <w:r>
        <w:rPr>
          <w:rFonts w:hint="eastAsia" w:ascii="黑体" w:hAnsi="黑体" w:eastAsia="黑体"/>
        </w:rPr>
        <w:t>文件化信息  documented information</w:t>
      </w:r>
    </w:p>
    <w:p w14:paraId="745A716F">
      <w:pPr>
        <w:pStyle w:val="12"/>
        <w:spacing w:before="21" w:line="360" w:lineRule="auto"/>
        <w:ind w:firstLine="418"/>
        <w:rPr>
          <w:szCs w:val="21"/>
        </w:rPr>
      </w:pPr>
      <w:r>
        <w:rPr>
          <w:spacing w:val="-1"/>
          <w:szCs w:val="21"/>
        </w:rPr>
        <w:t>企业需要控制并保持的信息及其载体。</w:t>
      </w:r>
    </w:p>
    <w:p w14:paraId="4CBEB37F">
      <w:pPr>
        <w:pStyle w:val="12"/>
        <w:spacing w:line="360" w:lineRule="auto"/>
        <w:ind w:firstLine="418"/>
        <w:rPr>
          <w:bCs/>
          <w:szCs w:val="18"/>
        </w:rPr>
      </w:pPr>
      <w:r>
        <w:rPr>
          <w:bCs/>
          <w:spacing w:val="-1"/>
          <w:szCs w:val="18"/>
        </w:rPr>
        <w:t>注</w:t>
      </w:r>
      <w:r>
        <w:rPr>
          <w:rFonts w:hint="eastAsia"/>
          <w:bCs/>
          <w:spacing w:val="-1"/>
          <w:szCs w:val="18"/>
        </w:rPr>
        <w:t>1</w:t>
      </w:r>
      <w:r>
        <w:rPr>
          <w:bCs/>
          <w:spacing w:val="-1"/>
          <w:szCs w:val="18"/>
        </w:rPr>
        <w:t>：文件化信息可以任何形式和载体存在，并可来自任何来源。</w:t>
      </w:r>
    </w:p>
    <w:p w14:paraId="4AF8F8DC">
      <w:pPr>
        <w:pStyle w:val="12"/>
        <w:spacing w:line="360" w:lineRule="auto"/>
        <w:ind w:firstLine="416"/>
        <w:rPr>
          <w:szCs w:val="18"/>
        </w:rPr>
      </w:pPr>
      <w:r>
        <w:rPr>
          <w:bCs/>
          <w:spacing w:val="-2"/>
          <w:szCs w:val="18"/>
        </w:rPr>
        <w:t>注</w:t>
      </w:r>
      <w:r>
        <w:rPr>
          <w:rFonts w:hint="eastAsia"/>
          <w:bCs/>
          <w:spacing w:val="-2"/>
          <w:szCs w:val="18"/>
        </w:rPr>
        <w:t>2</w:t>
      </w:r>
      <w:r>
        <w:rPr>
          <w:bCs/>
          <w:spacing w:val="-2"/>
          <w:szCs w:val="18"/>
        </w:rPr>
        <w:t>：</w:t>
      </w:r>
      <w:r>
        <w:rPr>
          <w:spacing w:val="-2"/>
          <w:szCs w:val="18"/>
        </w:rPr>
        <w:t>文件化信息可能涉及：</w:t>
      </w:r>
    </w:p>
    <w:p w14:paraId="4C6FF513">
      <w:pPr>
        <w:pStyle w:val="12"/>
        <w:numPr>
          <w:ilvl w:val="0"/>
          <w:numId w:val="2"/>
        </w:numPr>
        <w:spacing w:line="360" w:lineRule="auto"/>
        <w:ind w:firstLineChars="0"/>
        <w:rPr>
          <w:rFonts w:hint="eastAsia" w:ascii="Times New Roman" w:hAnsi="宋体" w:cs="宋体"/>
          <w:szCs w:val="18"/>
        </w:rPr>
      </w:pPr>
      <w:r>
        <w:rPr>
          <w:szCs w:val="18"/>
        </w:rPr>
        <w:t>管理体系（3.3</w:t>
      </w:r>
      <w:r>
        <w:rPr>
          <w:spacing w:val="-1"/>
          <w:szCs w:val="18"/>
        </w:rPr>
        <w:t>），</w:t>
      </w:r>
      <w:r>
        <w:rPr>
          <w:szCs w:val="18"/>
        </w:rPr>
        <w:t>包括相关过程；</w:t>
      </w:r>
    </w:p>
    <w:p w14:paraId="7E19BBFB">
      <w:pPr>
        <w:pStyle w:val="12"/>
        <w:numPr>
          <w:ilvl w:val="0"/>
          <w:numId w:val="2"/>
        </w:numPr>
        <w:spacing w:before="10" w:line="360" w:lineRule="auto"/>
        <w:ind w:firstLineChars="0"/>
        <w:rPr>
          <w:rFonts w:hint="eastAsia" w:ascii="Times New Roman" w:hAnsi="宋体" w:cs="宋体"/>
          <w:szCs w:val="18"/>
        </w:rPr>
      </w:pPr>
      <w:r>
        <w:rPr>
          <w:szCs w:val="18"/>
        </w:rPr>
        <w:t>为组织运行而创建的信息（文件</w:t>
      </w:r>
      <w:r>
        <w:rPr>
          <w:spacing w:val="-10"/>
          <w:szCs w:val="18"/>
        </w:rPr>
        <w:t>）；</w:t>
      </w:r>
    </w:p>
    <w:p w14:paraId="3C4D8378">
      <w:pPr>
        <w:pStyle w:val="12"/>
        <w:numPr>
          <w:ilvl w:val="0"/>
          <w:numId w:val="2"/>
        </w:numPr>
        <w:spacing w:before="11" w:line="360" w:lineRule="auto"/>
        <w:ind w:firstLineChars="0"/>
        <w:rPr>
          <w:rFonts w:hint="eastAsia" w:ascii="Times New Roman" w:hAnsi="宋体" w:cs="宋体"/>
          <w:szCs w:val="18"/>
        </w:rPr>
      </w:pPr>
      <w:r>
        <w:rPr>
          <w:spacing w:val="-1"/>
          <w:szCs w:val="18"/>
        </w:rPr>
        <w:t>结果实现的证据（记录）。</w:t>
      </w:r>
    </w:p>
    <w:p w14:paraId="04B97308">
      <w:pPr>
        <w:pStyle w:val="12"/>
        <w:spacing w:line="360" w:lineRule="auto"/>
        <w:ind w:firstLine="414"/>
        <w:rPr>
          <w:szCs w:val="18"/>
        </w:rPr>
      </w:pPr>
      <w:r>
        <w:rPr>
          <w:bCs/>
          <w:spacing w:val="-3"/>
          <w:szCs w:val="18"/>
        </w:rPr>
        <w:t>注</w:t>
      </w:r>
      <w:r>
        <w:rPr>
          <w:b/>
          <w:spacing w:val="-3"/>
          <w:szCs w:val="18"/>
        </w:rPr>
        <w:t>：</w:t>
      </w:r>
      <w:r>
        <w:rPr>
          <w:spacing w:val="-3"/>
          <w:szCs w:val="18"/>
        </w:rPr>
        <w:t>该术语和定义是《ISO/IEC</w:t>
      </w:r>
      <w:r>
        <w:rPr>
          <w:spacing w:val="37"/>
          <w:szCs w:val="18"/>
        </w:rPr>
        <w:t xml:space="preserve"> </w:t>
      </w:r>
      <w:r>
        <w:rPr>
          <w:spacing w:val="-3"/>
          <w:szCs w:val="18"/>
        </w:rPr>
        <w:t>导则 第</w:t>
      </w:r>
      <w:r>
        <w:rPr>
          <w:spacing w:val="-24"/>
          <w:szCs w:val="18"/>
        </w:rPr>
        <w:t xml:space="preserve"> </w:t>
      </w:r>
      <w:r>
        <w:rPr>
          <w:spacing w:val="-3"/>
          <w:szCs w:val="18"/>
        </w:rPr>
        <w:t>1</w:t>
      </w:r>
      <w:r>
        <w:rPr>
          <w:spacing w:val="-34"/>
          <w:szCs w:val="18"/>
        </w:rPr>
        <w:t xml:space="preserve"> </w:t>
      </w:r>
      <w:r>
        <w:rPr>
          <w:spacing w:val="-3"/>
          <w:szCs w:val="18"/>
        </w:rPr>
        <w:t>部分</w:t>
      </w:r>
      <w:r>
        <w:rPr>
          <w:spacing w:val="37"/>
          <w:szCs w:val="18"/>
        </w:rPr>
        <w:t xml:space="preserve"> </w:t>
      </w:r>
      <w:r>
        <w:rPr>
          <w:spacing w:val="-3"/>
          <w:szCs w:val="18"/>
        </w:rPr>
        <w:t>ISO</w:t>
      </w:r>
      <w:r>
        <w:rPr>
          <w:spacing w:val="-36"/>
          <w:szCs w:val="18"/>
        </w:rPr>
        <w:t xml:space="preserve"> </w:t>
      </w:r>
      <w:r>
        <w:rPr>
          <w:spacing w:val="-3"/>
          <w:szCs w:val="18"/>
        </w:rPr>
        <w:t>补充部分合订本</w:t>
      </w:r>
      <w:r>
        <w:rPr>
          <w:spacing w:val="43"/>
          <w:szCs w:val="18"/>
        </w:rPr>
        <w:t xml:space="preserve"> </w:t>
      </w:r>
      <w:r>
        <w:rPr>
          <w:spacing w:val="-3"/>
          <w:szCs w:val="18"/>
        </w:rPr>
        <w:t>ISO</w:t>
      </w:r>
      <w:r>
        <w:rPr>
          <w:spacing w:val="-36"/>
          <w:szCs w:val="18"/>
        </w:rPr>
        <w:t xml:space="preserve"> </w:t>
      </w:r>
      <w:r>
        <w:rPr>
          <w:spacing w:val="-3"/>
          <w:szCs w:val="18"/>
        </w:rPr>
        <w:t>专用程序》附录</w:t>
      </w:r>
      <w:r>
        <w:rPr>
          <w:spacing w:val="-30"/>
          <w:szCs w:val="18"/>
        </w:rPr>
        <w:t xml:space="preserve"> </w:t>
      </w:r>
      <w:r>
        <w:rPr>
          <w:spacing w:val="-3"/>
          <w:szCs w:val="18"/>
        </w:rPr>
        <w:t>SL</w:t>
      </w:r>
      <w:r>
        <w:rPr>
          <w:spacing w:val="-36"/>
          <w:szCs w:val="18"/>
        </w:rPr>
        <w:t xml:space="preserve"> </w:t>
      </w:r>
      <w:r>
        <w:rPr>
          <w:spacing w:val="-3"/>
          <w:szCs w:val="18"/>
        </w:rPr>
        <w:t>所给出的</w:t>
      </w:r>
      <w:r>
        <w:rPr>
          <w:spacing w:val="-30"/>
          <w:szCs w:val="18"/>
        </w:rPr>
        <w:t xml:space="preserve"> </w:t>
      </w:r>
      <w:r>
        <w:rPr>
          <w:rFonts w:hint="eastAsia"/>
          <w:spacing w:val="-30"/>
          <w:szCs w:val="18"/>
        </w:rPr>
        <w:t>ISO</w:t>
      </w:r>
      <w:r>
        <w:rPr>
          <w:szCs w:val="18"/>
        </w:rPr>
        <w:t xml:space="preserve"> </w:t>
      </w:r>
      <w:r>
        <w:rPr>
          <w:rFonts w:hint="eastAsia"/>
          <w:szCs w:val="18"/>
        </w:rPr>
        <w:t>管理体系</w:t>
      </w:r>
      <w:r>
        <w:rPr>
          <w:spacing w:val="-1"/>
          <w:szCs w:val="18"/>
        </w:rPr>
        <w:t>标准的通用术语和核心定义之一。</w:t>
      </w:r>
    </w:p>
    <w:p w14:paraId="597EA49D">
      <w:pPr>
        <w:pStyle w:val="30"/>
        <w:spacing w:line="360" w:lineRule="auto"/>
        <w:rPr>
          <w:rFonts w:hint="eastAsia" w:ascii="黑体" w:hAnsi="黑体" w:eastAsia="黑体"/>
        </w:rPr>
      </w:pPr>
      <w:r>
        <w:rPr>
          <w:rFonts w:hint="eastAsia" w:ascii="黑体" w:hAnsi="黑体" w:eastAsia="黑体"/>
        </w:rPr>
        <w:t>过程  process</w:t>
      </w:r>
    </w:p>
    <w:p w14:paraId="6A7E0967">
      <w:pPr>
        <w:pStyle w:val="12"/>
        <w:spacing w:before="25" w:line="360" w:lineRule="auto"/>
        <w:rPr>
          <w:szCs w:val="21"/>
        </w:rPr>
      </w:pPr>
      <w:r>
        <w:rPr>
          <w:szCs w:val="21"/>
        </w:rPr>
        <w:t>将输入转化为输出的一系列相互关联或作用的</w:t>
      </w:r>
      <w:r>
        <w:rPr>
          <w:spacing w:val="-1"/>
          <w:szCs w:val="21"/>
        </w:rPr>
        <w:t>活动。</w:t>
      </w:r>
    </w:p>
    <w:p w14:paraId="003BA39E">
      <w:pPr>
        <w:pStyle w:val="12"/>
        <w:spacing w:line="360" w:lineRule="auto"/>
        <w:ind w:firstLine="416"/>
        <w:rPr>
          <w:szCs w:val="18"/>
        </w:rPr>
      </w:pPr>
      <w:r>
        <w:rPr>
          <w:bCs/>
          <w:spacing w:val="-2"/>
          <w:szCs w:val="18"/>
        </w:rPr>
        <w:t>注</w:t>
      </w:r>
      <w:r>
        <w:rPr>
          <w:b/>
          <w:spacing w:val="-2"/>
          <w:szCs w:val="18"/>
        </w:rPr>
        <w:t>：</w:t>
      </w:r>
      <w:r>
        <w:rPr>
          <w:spacing w:val="-2"/>
          <w:szCs w:val="18"/>
        </w:rPr>
        <w:t>该术语和定义是《ISO/IEC 导则 第</w:t>
      </w:r>
      <w:r>
        <w:rPr>
          <w:spacing w:val="-27"/>
          <w:szCs w:val="18"/>
        </w:rPr>
        <w:t xml:space="preserve"> </w:t>
      </w:r>
      <w:r>
        <w:rPr>
          <w:spacing w:val="-2"/>
          <w:szCs w:val="18"/>
        </w:rPr>
        <w:t>1</w:t>
      </w:r>
      <w:r>
        <w:rPr>
          <w:spacing w:val="-34"/>
          <w:szCs w:val="18"/>
        </w:rPr>
        <w:t xml:space="preserve"> </w:t>
      </w:r>
      <w:r>
        <w:rPr>
          <w:spacing w:val="-2"/>
          <w:szCs w:val="18"/>
        </w:rPr>
        <w:t>部分</w:t>
      </w:r>
      <w:r>
        <w:rPr>
          <w:spacing w:val="25"/>
          <w:szCs w:val="18"/>
        </w:rPr>
        <w:t xml:space="preserve"> </w:t>
      </w:r>
      <w:r>
        <w:rPr>
          <w:spacing w:val="-2"/>
          <w:szCs w:val="18"/>
        </w:rPr>
        <w:t>ISO</w:t>
      </w:r>
      <w:r>
        <w:rPr>
          <w:spacing w:val="-36"/>
          <w:szCs w:val="18"/>
        </w:rPr>
        <w:t xml:space="preserve"> </w:t>
      </w:r>
      <w:r>
        <w:rPr>
          <w:spacing w:val="-2"/>
          <w:szCs w:val="18"/>
        </w:rPr>
        <w:t>补充部分合订</w:t>
      </w:r>
      <w:r>
        <w:rPr>
          <w:spacing w:val="-3"/>
          <w:szCs w:val="18"/>
        </w:rPr>
        <w:t>本</w:t>
      </w:r>
      <w:r>
        <w:rPr>
          <w:spacing w:val="26"/>
          <w:szCs w:val="18"/>
        </w:rPr>
        <w:t xml:space="preserve"> </w:t>
      </w:r>
      <w:r>
        <w:rPr>
          <w:spacing w:val="-3"/>
          <w:szCs w:val="18"/>
        </w:rPr>
        <w:t>ISO</w:t>
      </w:r>
      <w:r>
        <w:rPr>
          <w:spacing w:val="-35"/>
          <w:szCs w:val="18"/>
        </w:rPr>
        <w:t xml:space="preserve"> </w:t>
      </w:r>
      <w:r>
        <w:rPr>
          <w:spacing w:val="-3"/>
          <w:szCs w:val="18"/>
        </w:rPr>
        <w:t>专用程序》附录</w:t>
      </w:r>
      <w:r>
        <w:rPr>
          <w:spacing w:val="-31"/>
          <w:szCs w:val="18"/>
        </w:rPr>
        <w:t xml:space="preserve"> </w:t>
      </w:r>
      <w:r>
        <w:rPr>
          <w:spacing w:val="-3"/>
          <w:szCs w:val="18"/>
        </w:rPr>
        <w:t>SL</w:t>
      </w:r>
      <w:r>
        <w:rPr>
          <w:spacing w:val="-36"/>
          <w:szCs w:val="18"/>
        </w:rPr>
        <w:t xml:space="preserve"> </w:t>
      </w:r>
      <w:r>
        <w:rPr>
          <w:spacing w:val="-3"/>
          <w:szCs w:val="18"/>
        </w:rPr>
        <w:t>所给出的</w:t>
      </w:r>
      <w:r>
        <w:rPr>
          <w:spacing w:val="-27"/>
          <w:szCs w:val="18"/>
        </w:rPr>
        <w:t xml:space="preserve"> </w:t>
      </w:r>
      <w:r>
        <w:rPr>
          <w:rFonts w:hint="eastAsia"/>
          <w:spacing w:val="-27"/>
          <w:szCs w:val="18"/>
        </w:rPr>
        <w:t>ISO</w:t>
      </w:r>
      <w:r>
        <w:rPr>
          <w:szCs w:val="18"/>
        </w:rPr>
        <w:t xml:space="preserve"> </w:t>
      </w:r>
      <w:r>
        <w:rPr>
          <w:rFonts w:hint="eastAsia"/>
          <w:szCs w:val="18"/>
        </w:rPr>
        <w:t>管理体系</w:t>
      </w:r>
      <w:r>
        <w:rPr>
          <w:spacing w:val="-1"/>
          <w:szCs w:val="18"/>
        </w:rPr>
        <w:t>标准的通用术语和核心定义之一。</w:t>
      </w:r>
    </w:p>
    <w:p w14:paraId="0B0086CB">
      <w:pPr>
        <w:pStyle w:val="30"/>
        <w:spacing w:before="2" w:line="360" w:lineRule="auto"/>
        <w:rPr>
          <w:rFonts w:hint="eastAsia" w:ascii="黑体" w:hAnsi="黑体" w:eastAsia="黑体"/>
        </w:rPr>
      </w:pPr>
      <w:r>
        <w:rPr>
          <w:rFonts w:hint="eastAsia" w:ascii="黑体" w:hAnsi="黑体" w:eastAsia="黑体"/>
        </w:rPr>
        <w:t>程序  procedure</w:t>
      </w:r>
    </w:p>
    <w:p w14:paraId="2E3FDB89">
      <w:pPr>
        <w:pStyle w:val="12"/>
        <w:spacing w:line="360" w:lineRule="auto"/>
        <w:ind w:firstLine="418"/>
        <w:rPr>
          <w:szCs w:val="21"/>
        </w:rPr>
      </w:pPr>
      <w:r>
        <w:rPr>
          <w:spacing w:val="-1"/>
          <w:szCs w:val="21"/>
        </w:rPr>
        <w:t>为执行某活动或</w:t>
      </w:r>
      <w:r>
        <w:rPr>
          <w:bCs/>
          <w:spacing w:val="-1"/>
          <w:szCs w:val="21"/>
        </w:rPr>
        <w:t>过程</w:t>
      </w:r>
      <w:r>
        <w:rPr>
          <w:spacing w:val="-1"/>
          <w:szCs w:val="21"/>
        </w:rPr>
        <w:t>（3.9）所规定的途径。</w:t>
      </w:r>
    </w:p>
    <w:p w14:paraId="62D5EB0D">
      <w:pPr>
        <w:pStyle w:val="12"/>
        <w:spacing w:line="360" w:lineRule="auto"/>
        <w:ind w:firstLine="414"/>
        <w:rPr>
          <w:szCs w:val="18"/>
        </w:rPr>
      </w:pPr>
      <w:r>
        <w:rPr>
          <w:bCs/>
          <w:spacing w:val="-3"/>
          <w:szCs w:val="18"/>
        </w:rPr>
        <w:t>注</w:t>
      </w:r>
      <w:r>
        <w:rPr>
          <w:b/>
          <w:spacing w:val="-3"/>
          <w:szCs w:val="18"/>
        </w:rPr>
        <w:t>：</w:t>
      </w:r>
      <w:r>
        <w:rPr>
          <w:spacing w:val="-3"/>
          <w:szCs w:val="18"/>
        </w:rPr>
        <w:t>程序可以文件化或不文件化。</w:t>
      </w:r>
    </w:p>
    <w:p w14:paraId="43A74FF1">
      <w:pPr>
        <w:pStyle w:val="12"/>
        <w:spacing w:before="23" w:line="360" w:lineRule="auto"/>
        <w:ind w:firstLine="418"/>
        <w:rPr>
          <w:szCs w:val="21"/>
        </w:rPr>
      </w:pPr>
      <w:r>
        <w:rPr>
          <w:spacing w:val="-1"/>
          <w:szCs w:val="21"/>
        </w:rPr>
        <w:t>[来源：GB/T 19000-2016，3</w:t>
      </w:r>
      <w:r>
        <w:rPr>
          <w:spacing w:val="-2"/>
          <w:szCs w:val="21"/>
        </w:rPr>
        <w:t>.4.5，有修改]</w:t>
      </w:r>
    </w:p>
    <w:p w14:paraId="04B2963D">
      <w:pPr>
        <w:pStyle w:val="30"/>
        <w:spacing w:line="360" w:lineRule="auto"/>
        <w:rPr>
          <w:rFonts w:hint="eastAsia" w:ascii="黑体" w:hAnsi="黑体" w:eastAsia="黑体"/>
        </w:rPr>
      </w:pPr>
      <w:r>
        <w:rPr>
          <w:rFonts w:hint="eastAsia" w:ascii="黑体" w:hAnsi="黑体" w:eastAsia="黑体"/>
        </w:rPr>
        <w:t>绩效  performance</w:t>
      </w:r>
    </w:p>
    <w:p w14:paraId="523A52CA">
      <w:pPr>
        <w:pStyle w:val="12"/>
        <w:spacing w:line="360" w:lineRule="auto"/>
        <w:ind w:firstLine="416"/>
        <w:rPr>
          <w:szCs w:val="21"/>
        </w:rPr>
      </w:pPr>
      <w:r>
        <w:rPr>
          <w:spacing w:val="-2"/>
          <w:szCs w:val="21"/>
        </w:rPr>
        <w:t>可测量（3.13）的结果。</w:t>
      </w:r>
    </w:p>
    <w:p w14:paraId="2286E4CE">
      <w:pPr>
        <w:pStyle w:val="12"/>
        <w:spacing w:line="360" w:lineRule="auto"/>
        <w:ind w:firstLine="418"/>
        <w:rPr>
          <w:bCs/>
          <w:szCs w:val="18"/>
        </w:rPr>
      </w:pPr>
      <w:r>
        <w:rPr>
          <w:bCs/>
          <w:spacing w:val="-1"/>
          <w:szCs w:val="18"/>
        </w:rPr>
        <w:t>注</w:t>
      </w:r>
      <w:r>
        <w:rPr>
          <w:bCs/>
          <w:spacing w:val="-18"/>
          <w:szCs w:val="18"/>
        </w:rPr>
        <w:t xml:space="preserve"> </w:t>
      </w:r>
      <w:r>
        <w:rPr>
          <w:bCs/>
          <w:spacing w:val="-1"/>
          <w:szCs w:val="18"/>
        </w:rPr>
        <w:t>1：绩效可能涉及定量或定性的发现。结果可通过定量或定性的方法来确定或评价。</w:t>
      </w:r>
    </w:p>
    <w:p w14:paraId="2C046903">
      <w:pPr>
        <w:pStyle w:val="12"/>
        <w:spacing w:line="360" w:lineRule="auto"/>
        <w:ind w:firstLine="418"/>
        <w:rPr>
          <w:bCs/>
          <w:szCs w:val="18"/>
        </w:rPr>
      </w:pPr>
      <w:r>
        <w:rPr>
          <w:bCs/>
          <w:spacing w:val="-1"/>
          <w:szCs w:val="18"/>
        </w:rPr>
        <w:t>注</w:t>
      </w:r>
      <w:r>
        <w:rPr>
          <w:bCs/>
          <w:spacing w:val="-38"/>
          <w:szCs w:val="18"/>
        </w:rPr>
        <w:t xml:space="preserve"> </w:t>
      </w:r>
      <w:r>
        <w:rPr>
          <w:bCs/>
          <w:spacing w:val="-1"/>
          <w:szCs w:val="18"/>
        </w:rPr>
        <w:t>2：绩效可能涉及活动、过程（3.</w:t>
      </w:r>
      <w:r>
        <w:rPr>
          <w:rFonts w:hint="eastAsia"/>
          <w:bCs/>
          <w:spacing w:val="-1"/>
          <w:szCs w:val="18"/>
        </w:rPr>
        <w:t>9）、</w:t>
      </w:r>
      <w:r>
        <w:rPr>
          <w:bCs/>
          <w:spacing w:val="-1"/>
          <w:szCs w:val="18"/>
        </w:rPr>
        <w:t>产品（包括服务）、体系或企业的管理。</w:t>
      </w:r>
    </w:p>
    <w:p w14:paraId="403D5814">
      <w:pPr>
        <w:pStyle w:val="12"/>
        <w:spacing w:before="20" w:line="360" w:lineRule="auto"/>
        <w:ind w:firstLine="416"/>
        <w:rPr>
          <w:bCs/>
          <w:szCs w:val="18"/>
        </w:rPr>
      </w:pPr>
      <w:r>
        <w:rPr>
          <w:bCs/>
          <w:spacing w:val="-2"/>
          <w:szCs w:val="18"/>
        </w:rPr>
        <w:t>注</w:t>
      </w:r>
      <w:r>
        <w:rPr>
          <w:bCs/>
          <w:spacing w:val="-37"/>
          <w:szCs w:val="18"/>
        </w:rPr>
        <w:t xml:space="preserve"> </w:t>
      </w:r>
      <w:r>
        <w:rPr>
          <w:bCs/>
          <w:spacing w:val="-2"/>
          <w:szCs w:val="18"/>
        </w:rPr>
        <w:t>3</w:t>
      </w:r>
      <w:r>
        <w:rPr>
          <w:bCs/>
        </w:rPr>
        <w:t>：</w:t>
      </w:r>
      <w:r>
        <w:rPr>
          <w:bCs/>
          <w:spacing w:val="-2"/>
          <w:szCs w:val="18"/>
        </w:rPr>
        <w:t>该术语和定义是《ISO/IEC 导则 第</w:t>
      </w:r>
      <w:r>
        <w:rPr>
          <w:bCs/>
          <w:spacing w:val="-24"/>
          <w:szCs w:val="18"/>
        </w:rPr>
        <w:t xml:space="preserve"> </w:t>
      </w:r>
      <w:r>
        <w:rPr>
          <w:bCs/>
          <w:spacing w:val="-2"/>
          <w:szCs w:val="18"/>
        </w:rPr>
        <w:t>1</w:t>
      </w:r>
      <w:r>
        <w:rPr>
          <w:bCs/>
          <w:spacing w:val="-34"/>
          <w:szCs w:val="18"/>
        </w:rPr>
        <w:t xml:space="preserve"> </w:t>
      </w:r>
      <w:r>
        <w:rPr>
          <w:bCs/>
          <w:spacing w:val="-2"/>
          <w:szCs w:val="18"/>
        </w:rPr>
        <w:t>部分 ISO</w:t>
      </w:r>
      <w:r>
        <w:rPr>
          <w:bCs/>
          <w:spacing w:val="-36"/>
          <w:szCs w:val="18"/>
        </w:rPr>
        <w:t xml:space="preserve"> </w:t>
      </w:r>
      <w:r>
        <w:rPr>
          <w:bCs/>
          <w:spacing w:val="-2"/>
          <w:szCs w:val="18"/>
        </w:rPr>
        <w:t>补充部分合订本 ISO</w:t>
      </w:r>
      <w:r>
        <w:rPr>
          <w:bCs/>
          <w:spacing w:val="-36"/>
          <w:szCs w:val="18"/>
        </w:rPr>
        <w:t xml:space="preserve"> </w:t>
      </w:r>
      <w:r>
        <w:rPr>
          <w:bCs/>
          <w:spacing w:val="-2"/>
          <w:szCs w:val="18"/>
        </w:rPr>
        <w:t>专用程序》附录</w:t>
      </w:r>
      <w:r>
        <w:rPr>
          <w:bCs/>
          <w:spacing w:val="-39"/>
          <w:szCs w:val="18"/>
        </w:rPr>
        <w:t xml:space="preserve"> </w:t>
      </w:r>
      <w:r>
        <w:rPr>
          <w:bCs/>
          <w:spacing w:val="-2"/>
          <w:szCs w:val="18"/>
        </w:rPr>
        <w:t>S</w:t>
      </w:r>
      <w:r>
        <w:rPr>
          <w:bCs/>
          <w:spacing w:val="-3"/>
          <w:szCs w:val="18"/>
        </w:rPr>
        <w:t>L</w:t>
      </w:r>
      <w:r>
        <w:rPr>
          <w:bCs/>
          <w:spacing w:val="-35"/>
          <w:szCs w:val="18"/>
        </w:rPr>
        <w:t xml:space="preserve"> </w:t>
      </w:r>
      <w:r>
        <w:rPr>
          <w:bCs/>
          <w:spacing w:val="-3"/>
          <w:szCs w:val="18"/>
        </w:rPr>
        <w:t>所给出的</w:t>
      </w:r>
      <w:r>
        <w:rPr>
          <w:bCs/>
          <w:spacing w:val="-30"/>
          <w:szCs w:val="18"/>
        </w:rPr>
        <w:t xml:space="preserve"> </w:t>
      </w:r>
      <w:r>
        <w:rPr>
          <w:bCs/>
          <w:spacing w:val="-3"/>
          <w:szCs w:val="18"/>
        </w:rPr>
        <w:t>ISO</w:t>
      </w:r>
      <w:r>
        <w:rPr>
          <w:bCs/>
          <w:spacing w:val="-32"/>
          <w:szCs w:val="18"/>
        </w:rPr>
        <w:t xml:space="preserve"> </w:t>
      </w:r>
      <w:r>
        <w:rPr>
          <w:bCs/>
          <w:spacing w:val="-3"/>
          <w:szCs w:val="18"/>
        </w:rPr>
        <w:t>管理体</w:t>
      </w:r>
      <w:r>
        <w:rPr>
          <w:bCs/>
          <w:spacing w:val="-1"/>
          <w:szCs w:val="18"/>
        </w:rPr>
        <w:t>系标准的通用术语和核心定义之一。为了澄清结果的确定和评价所采用的方法的类型，</w:t>
      </w:r>
      <w:r>
        <w:rPr>
          <w:bCs/>
          <w:spacing w:val="-2"/>
          <w:szCs w:val="18"/>
        </w:rPr>
        <w:t>注</w:t>
      </w:r>
      <w:r>
        <w:rPr>
          <w:bCs/>
          <w:spacing w:val="-23"/>
          <w:szCs w:val="18"/>
        </w:rPr>
        <w:t xml:space="preserve"> </w:t>
      </w:r>
      <w:r>
        <w:rPr>
          <w:bCs/>
          <w:spacing w:val="-2"/>
          <w:szCs w:val="18"/>
        </w:rPr>
        <w:t>1、注</w:t>
      </w:r>
      <w:r>
        <w:rPr>
          <w:bCs/>
          <w:spacing w:val="-26"/>
          <w:szCs w:val="18"/>
        </w:rPr>
        <w:t xml:space="preserve"> </w:t>
      </w:r>
      <w:r>
        <w:rPr>
          <w:bCs/>
          <w:spacing w:val="-2"/>
          <w:szCs w:val="18"/>
        </w:rPr>
        <w:t>2</w:t>
      </w:r>
      <w:r>
        <w:rPr>
          <w:bCs/>
          <w:spacing w:val="-36"/>
          <w:szCs w:val="18"/>
        </w:rPr>
        <w:t xml:space="preserve"> </w:t>
      </w:r>
      <w:r>
        <w:rPr>
          <w:bCs/>
          <w:spacing w:val="-2"/>
          <w:szCs w:val="18"/>
        </w:rPr>
        <w:t>被修改。</w:t>
      </w:r>
    </w:p>
    <w:p w14:paraId="0C68D5C1">
      <w:pPr>
        <w:pStyle w:val="30"/>
        <w:spacing w:line="360" w:lineRule="auto"/>
        <w:rPr>
          <w:rFonts w:hint="eastAsia" w:ascii="黑体" w:hAnsi="黑体" w:eastAsia="黑体"/>
        </w:rPr>
      </w:pPr>
      <w:r>
        <w:rPr>
          <w:rFonts w:hint="eastAsia" w:ascii="黑体" w:hAnsi="黑体" w:eastAsia="黑体"/>
        </w:rPr>
        <w:t>监视  monitoring</w:t>
      </w:r>
    </w:p>
    <w:p w14:paraId="2CDD0277">
      <w:pPr>
        <w:pStyle w:val="12"/>
        <w:spacing w:line="360" w:lineRule="auto"/>
        <w:ind w:firstLine="418"/>
        <w:rPr>
          <w:szCs w:val="21"/>
        </w:rPr>
      </w:pPr>
      <w:r>
        <w:rPr>
          <w:spacing w:val="-1"/>
          <w:szCs w:val="21"/>
        </w:rPr>
        <w:t>确定体系、</w:t>
      </w:r>
      <w:r>
        <w:rPr>
          <w:bCs/>
          <w:spacing w:val="-1"/>
          <w:szCs w:val="21"/>
        </w:rPr>
        <w:t>过程</w:t>
      </w:r>
      <w:r>
        <w:rPr>
          <w:spacing w:val="-1"/>
          <w:szCs w:val="21"/>
        </w:rPr>
        <w:t>（3.9）或活动的状态。</w:t>
      </w:r>
    </w:p>
    <w:p w14:paraId="35B44F4C">
      <w:pPr>
        <w:pStyle w:val="12"/>
        <w:spacing w:line="360" w:lineRule="auto"/>
        <w:ind w:firstLine="418"/>
        <w:rPr>
          <w:szCs w:val="18"/>
        </w:rPr>
      </w:pPr>
      <w:r>
        <w:rPr>
          <w:spacing w:val="-1"/>
          <w:szCs w:val="18"/>
        </w:rPr>
        <w:t>注</w:t>
      </w:r>
      <w:r>
        <w:rPr>
          <w:spacing w:val="-28"/>
          <w:szCs w:val="18"/>
        </w:rPr>
        <w:t xml:space="preserve"> </w:t>
      </w:r>
      <w:r>
        <w:rPr>
          <w:spacing w:val="-1"/>
          <w:szCs w:val="18"/>
        </w:rPr>
        <w:t>1：为了确定状态，可能需要实施检查、监督或批判地观察。</w:t>
      </w:r>
    </w:p>
    <w:p w14:paraId="6152D5B3">
      <w:pPr>
        <w:pStyle w:val="12"/>
        <w:spacing w:line="360" w:lineRule="auto"/>
        <w:ind w:firstLine="414"/>
        <w:rPr>
          <w:szCs w:val="18"/>
        </w:rPr>
      </w:pPr>
      <w:r>
        <w:rPr>
          <w:spacing w:val="-3"/>
          <w:szCs w:val="18"/>
        </w:rPr>
        <w:t>注</w:t>
      </w:r>
      <w:r>
        <w:rPr>
          <w:spacing w:val="-33"/>
          <w:szCs w:val="18"/>
        </w:rPr>
        <w:t xml:space="preserve"> </w:t>
      </w:r>
      <w:r>
        <w:rPr>
          <w:spacing w:val="-3"/>
          <w:szCs w:val="18"/>
        </w:rPr>
        <w:t>2：该术语和定义是《ISO/IEC</w:t>
      </w:r>
      <w:r>
        <w:rPr>
          <w:spacing w:val="37"/>
          <w:szCs w:val="18"/>
        </w:rPr>
        <w:t xml:space="preserve"> </w:t>
      </w:r>
      <w:r>
        <w:rPr>
          <w:spacing w:val="-3"/>
          <w:szCs w:val="18"/>
        </w:rPr>
        <w:t>导则 第</w:t>
      </w:r>
      <w:r>
        <w:rPr>
          <w:spacing w:val="-24"/>
          <w:szCs w:val="18"/>
        </w:rPr>
        <w:t xml:space="preserve"> </w:t>
      </w:r>
      <w:r>
        <w:rPr>
          <w:spacing w:val="-3"/>
          <w:szCs w:val="18"/>
        </w:rPr>
        <w:t>1</w:t>
      </w:r>
      <w:r>
        <w:rPr>
          <w:spacing w:val="-34"/>
          <w:szCs w:val="18"/>
        </w:rPr>
        <w:t xml:space="preserve"> </w:t>
      </w:r>
      <w:r>
        <w:rPr>
          <w:spacing w:val="-3"/>
          <w:szCs w:val="18"/>
        </w:rPr>
        <w:t>部分</w:t>
      </w:r>
      <w:r>
        <w:rPr>
          <w:spacing w:val="37"/>
          <w:szCs w:val="18"/>
        </w:rPr>
        <w:t xml:space="preserve"> </w:t>
      </w:r>
      <w:r>
        <w:rPr>
          <w:spacing w:val="-3"/>
          <w:szCs w:val="18"/>
        </w:rPr>
        <w:t>ISO</w:t>
      </w:r>
      <w:r>
        <w:rPr>
          <w:spacing w:val="-36"/>
          <w:szCs w:val="18"/>
        </w:rPr>
        <w:t xml:space="preserve"> </w:t>
      </w:r>
      <w:r>
        <w:rPr>
          <w:spacing w:val="-3"/>
          <w:szCs w:val="18"/>
        </w:rPr>
        <w:t>补充部分合订本</w:t>
      </w:r>
      <w:r>
        <w:rPr>
          <w:spacing w:val="43"/>
          <w:szCs w:val="18"/>
        </w:rPr>
        <w:t xml:space="preserve"> </w:t>
      </w:r>
      <w:r>
        <w:rPr>
          <w:spacing w:val="-3"/>
          <w:szCs w:val="18"/>
        </w:rPr>
        <w:t>ISO</w:t>
      </w:r>
      <w:r>
        <w:rPr>
          <w:spacing w:val="-36"/>
          <w:szCs w:val="18"/>
        </w:rPr>
        <w:t xml:space="preserve"> </w:t>
      </w:r>
      <w:r>
        <w:rPr>
          <w:spacing w:val="-3"/>
          <w:szCs w:val="18"/>
        </w:rPr>
        <w:t>专用程序》附录</w:t>
      </w:r>
      <w:r>
        <w:rPr>
          <w:spacing w:val="-30"/>
          <w:szCs w:val="18"/>
        </w:rPr>
        <w:t xml:space="preserve"> </w:t>
      </w:r>
      <w:r>
        <w:rPr>
          <w:spacing w:val="-3"/>
          <w:szCs w:val="18"/>
        </w:rPr>
        <w:t>SL</w:t>
      </w:r>
      <w:r>
        <w:rPr>
          <w:spacing w:val="-36"/>
          <w:szCs w:val="18"/>
        </w:rPr>
        <w:t xml:space="preserve"> </w:t>
      </w:r>
      <w:r>
        <w:rPr>
          <w:spacing w:val="-3"/>
          <w:szCs w:val="18"/>
        </w:rPr>
        <w:t>所给出的</w:t>
      </w:r>
      <w:r>
        <w:rPr>
          <w:spacing w:val="-30"/>
          <w:szCs w:val="18"/>
        </w:rPr>
        <w:t xml:space="preserve"> </w:t>
      </w:r>
      <w:r>
        <w:rPr>
          <w:spacing w:val="-3"/>
          <w:szCs w:val="18"/>
        </w:rPr>
        <w:t>ISO</w:t>
      </w:r>
      <w:r>
        <w:rPr>
          <w:spacing w:val="-32"/>
          <w:szCs w:val="18"/>
        </w:rPr>
        <w:t xml:space="preserve"> </w:t>
      </w:r>
      <w:r>
        <w:rPr>
          <w:spacing w:val="-3"/>
          <w:szCs w:val="18"/>
        </w:rPr>
        <w:t>管理</w:t>
      </w:r>
      <w:r>
        <w:rPr>
          <w:szCs w:val="18"/>
        </w:rPr>
        <w:t xml:space="preserve"> </w:t>
      </w:r>
      <w:r>
        <w:rPr>
          <w:spacing w:val="-1"/>
          <w:szCs w:val="18"/>
        </w:rPr>
        <w:t>体系标准的通用术语和核心定义之一。</w:t>
      </w:r>
    </w:p>
    <w:p w14:paraId="41DD0B9E">
      <w:pPr>
        <w:pStyle w:val="30"/>
        <w:spacing w:line="360" w:lineRule="auto"/>
        <w:rPr>
          <w:rFonts w:hint="eastAsia" w:ascii="黑体" w:hAnsi="黑体" w:eastAsia="黑体"/>
        </w:rPr>
      </w:pPr>
      <w:r>
        <w:rPr>
          <w:rFonts w:hint="eastAsia" w:ascii="黑体" w:hAnsi="黑体" w:eastAsia="黑体"/>
        </w:rPr>
        <w:t>测量  measurement</w:t>
      </w:r>
    </w:p>
    <w:p w14:paraId="58139333">
      <w:pPr>
        <w:pStyle w:val="12"/>
        <w:spacing w:line="360" w:lineRule="auto"/>
        <w:ind w:firstLine="416"/>
        <w:rPr>
          <w:szCs w:val="21"/>
        </w:rPr>
      </w:pPr>
      <w:r>
        <w:rPr>
          <w:spacing w:val="-2"/>
          <w:szCs w:val="21"/>
        </w:rPr>
        <w:t>确定值的</w:t>
      </w:r>
      <w:r>
        <w:rPr>
          <w:bCs/>
          <w:spacing w:val="-2"/>
          <w:szCs w:val="21"/>
        </w:rPr>
        <w:t>过程</w:t>
      </w:r>
      <w:r>
        <w:rPr>
          <w:spacing w:val="-2"/>
          <w:szCs w:val="21"/>
        </w:rPr>
        <w:t>（3.9）。</w:t>
      </w:r>
    </w:p>
    <w:p w14:paraId="0202ED76">
      <w:pPr>
        <w:pStyle w:val="12"/>
        <w:spacing w:line="360" w:lineRule="auto"/>
        <w:ind w:firstLine="416"/>
        <w:rPr>
          <w:szCs w:val="18"/>
        </w:rPr>
      </w:pPr>
      <w:r>
        <w:rPr>
          <w:bCs/>
          <w:spacing w:val="-2"/>
          <w:szCs w:val="18"/>
        </w:rPr>
        <w:t>注：</w:t>
      </w:r>
      <w:r>
        <w:rPr>
          <w:spacing w:val="-2"/>
          <w:szCs w:val="18"/>
        </w:rPr>
        <w:t>该术语和定义是《ISO/IEC 导则 第</w:t>
      </w:r>
      <w:r>
        <w:rPr>
          <w:spacing w:val="-27"/>
          <w:szCs w:val="18"/>
        </w:rPr>
        <w:t xml:space="preserve"> </w:t>
      </w:r>
      <w:r>
        <w:rPr>
          <w:spacing w:val="-2"/>
          <w:szCs w:val="18"/>
        </w:rPr>
        <w:t>1</w:t>
      </w:r>
      <w:r>
        <w:rPr>
          <w:spacing w:val="-34"/>
          <w:szCs w:val="18"/>
        </w:rPr>
        <w:t xml:space="preserve"> </w:t>
      </w:r>
      <w:r>
        <w:rPr>
          <w:spacing w:val="-2"/>
          <w:szCs w:val="18"/>
        </w:rPr>
        <w:t>部分</w:t>
      </w:r>
      <w:r>
        <w:rPr>
          <w:spacing w:val="25"/>
          <w:szCs w:val="18"/>
        </w:rPr>
        <w:t xml:space="preserve"> </w:t>
      </w:r>
      <w:r>
        <w:rPr>
          <w:spacing w:val="-2"/>
          <w:szCs w:val="18"/>
        </w:rPr>
        <w:t>ISO</w:t>
      </w:r>
      <w:r>
        <w:rPr>
          <w:spacing w:val="-36"/>
          <w:szCs w:val="18"/>
        </w:rPr>
        <w:t xml:space="preserve"> </w:t>
      </w:r>
      <w:r>
        <w:rPr>
          <w:spacing w:val="-2"/>
          <w:szCs w:val="18"/>
        </w:rPr>
        <w:t>补充部分合订</w:t>
      </w:r>
      <w:r>
        <w:rPr>
          <w:spacing w:val="-3"/>
          <w:szCs w:val="18"/>
        </w:rPr>
        <w:t>本</w:t>
      </w:r>
      <w:r>
        <w:rPr>
          <w:spacing w:val="26"/>
          <w:szCs w:val="18"/>
        </w:rPr>
        <w:t xml:space="preserve"> </w:t>
      </w:r>
      <w:r>
        <w:rPr>
          <w:spacing w:val="-3"/>
          <w:szCs w:val="18"/>
        </w:rPr>
        <w:t>ISO</w:t>
      </w:r>
      <w:r>
        <w:rPr>
          <w:spacing w:val="-35"/>
          <w:szCs w:val="18"/>
        </w:rPr>
        <w:t xml:space="preserve"> </w:t>
      </w:r>
      <w:r>
        <w:rPr>
          <w:spacing w:val="-3"/>
          <w:szCs w:val="18"/>
        </w:rPr>
        <w:t>专用程序》附录</w:t>
      </w:r>
      <w:r>
        <w:rPr>
          <w:spacing w:val="-31"/>
          <w:szCs w:val="18"/>
        </w:rPr>
        <w:t xml:space="preserve"> </w:t>
      </w:r>
      <w:r>
        <w:rPr>
          <w:spacing w:val="-3"/>
          <w:szCs w:val="18"/>
        </w:rPr>
        <w:t>SL</w:t>
      </w:r>
      <w:r>
        <w:rPr>
          <w:spacing w:val="-36"/>
          <w:szCs w:val="18"/>
        </w:rPr>
        <w:t xml:space="preserve"> </w:t>
      </w:r>
      <w:r>
        <w:rPr>
          <w:spacing w:val="-3"/>
          <w:szCs w:val="18"/>
        </w:rPr>
        <w:t>所给出的</w:t>
      </w:r>
      <w:r>
        <w:rPr>
          <w:spacing w:val="-27"/>
          <w:szCs w:val="18"/>
        </w:rPr>
        <w:t xml:space="preserve"> </w:t>
      </w:r>
      <w:r>
        <w:rPr>
          <w:rFonts w:hint="eastAsia"/>
          <w:spacing w:val="-27"/>
          <w:szCs w:val="18"/>
        </w:rPr>
        <w:t>ISO</w:t>
      </w:r>
      <w:r>
        <w:rPr>
          <w:szCs w:val="18"/>
        </w:rPr>
        <w:t xml:space="preserve"> </w:t>
      </w:r>
      <w:r>
        <w:rPr>
          <w:rFonts w:hint="eastAsia"/>
          <w:szCs w:val="18"/>
        </w:rPr>
        <w:t>管理体系</w:t>
      </w:r>
      <w:r>
        <w:rPr>
          <w:spacing w:val="-2"/>
          <w:szCs w:val="18"/>
        </w:rPr>
        <w:t>标准的通用术语和核心定义之一，本定义被改写。</w:t>
      </w:r>
    </w:p>
    <w:p w14:paraId="455C8ADA">
      <w:pPr>
        <w:pStyle w:val="30"/>
        <w:spacing w:line="360" w:lineRule="auto"/>
        <w:rPr>
          <w:rFonts w:hint="eastAsia" w:ascii="黑体" w:hAnsi="黑体" w:eastAsia="黑体"/>
        </w:rPr>
      </w:pPr>
      <w:r>
        <w:rPr>
          <w:rFonts w:hint="eastAsia" w:ascii="黑体" w:hAnsi="黑体" w:eastAsia="黑体"/>
        </w:rPr>
        <w:t>审核  audit</w:t>
      </w:r>
    </w:p>
    <w:p w14:paraId="0A47B5E0">
      <w:pPr>
        <w:pStyle w:val="12"/>
        <w:spacing w:line="360" w:lineRule="auto"/>
        <w:ind w:firstLine="414"/>
        <w:rPr>
          <w:szCs w:val="21"/>
        </w:rPr>
      </w:pPr>
      <w:r>
        <w:rPr>
          <w:spacing w:val="-3"/>
          <w:szCs w:val="21"/>
        </w:rPr>
        <w:t>为获得审核证据并对其进行客观评价，以确定满足审核准则的程度所进行的系统的、独立的和文件</w:t>
      </w:r>
      <w:r>
        <w:rPr>
          <w:spacing w:val="-1"/>
          <w:szCs w:val="21"/>
        </w:rPr>
        <w:t>化的</w:t>
      </w:r>
      <w:r>
        <w:rPr>
          <w:bCs/>
          <w:spacing w:val="-1"/>
          <w:szCs w:val="21"/>
        </w:rPr>
        <w:t>过程</w:t>
      </w:r>
      <w:r>
        <w:rPr>
          <w:spacing w:val="-1"/>
          <w:szCs w:val="21"/>
        </w:rPr>
        <w:t>（3.9）。</w:t>
      </w:r>
    </w:p>
    <w:p w14:paraId="7C191356">
      <w:pPr>
        <w:pStyle w:val="12"/>
        <w:spacing w:line="360" w:lineRule="auto"/>
        <w:ind w:firstLine="412"/>
        <w:rPr>
          <w:szCs w:val="18"/>
        </w:rPr>
      </w:pPr>
      <w:r>
        <w:rPr>
          <w:bCs/>
          <w:spacing w:val="-4"/>
          <w:szCs w:val="18"/>
        </w:rPr>
        <w:t>注</w:t>
      </w:r>
      <w:r>
        <w:rPr>
          <w:bCs/>
          <w:spacing w:val="-28"/>
          <w:szCs w:val="18"/>
        </w:rPr>
        <w:t xml:space="preserve"> </w:t>
      </w:r>
      <w:r>
        <w:rPr>
          <w:bCs/>
          <w:spacing w:val="-4"/>
          <w:szCs w:val="18"/>
        </w:rPr>
        <w:t>1：</w:t>
      </w:r>
      <w:r>
        <w:rPr>
          <w:spacing w:val="-4"/>
          <w:szCs w:val="18"/>
        </w:rPr>
        <w:t>审核可以是内部（第一方）审核或外部（第二方或第</w:t>
      </w:r>
      <w:r>
        <w:rPr>
          <w:spacing w:val="-5"/>
          <w:szCs w:val="18"/>
        </w:rPr>
        <w:t>三方）审核，也可以是一种结合（结合两个或多个领域</w:t>
      </w:r>
      <w:r>
        <w:rPr>
          <w:rFonts w:hint="eastAsia"/>
          <w:spacing w:val="-5"/>
          <w:szCs w:val="18"/>
        </w:rPr>
        <w:t>）。</w:t>
      </w:r>
    </w:p>
    <w:p w14:paraId="67F48B81">
      <w:pPr>
        <w:pStyle w:val="12"/>
        <w:spacing w:line="360" w:lineRule="auto"/>
        <w:ind w:firstLine="418"/>
        <w:rPr>
          <w:szCs w:val="18"/>
        </w:rPr>
      </w:pPr>
      <w:r>
        <w:rPr>
          <w:bCs/>
          <w:spacing w:val="-1"/>
          <w:szCs w:val="18"/>
        </w:rPr>
        <w:t>注</w:t>
      </w:r>
      <w:r>
        <w:rPr>
          <w:bCs/>
          <w:spacing w:val="-31"/>
          <w:szCs w:val="18"/>
        </w:rPr>
        <w:t xml:space="preserve"> </w:t>
      </w:r>
      <w:r>
        <w:rPr>
          <w:bCs/>
          <w:spacing w:val="-1"/>
          <w:szCs w:val="18"/>
        </w:rPr>
        <w:t>2：</w:t>
      </w:r>
      <w:r>
        <w:rPr>
          <w:spacing w:val="-1"/>
          <w:szCs w:val="18"/>
        </w:rPr>
        <w:t>内部审核由组织自行实施或由外部方代表其实施。</w:t>
      </w:r>
    </w:p>
    <w:p w14:paraId="2B98CD19">
      <w:pPr>
        <w:pStyle w:val="12"/>
        <w:spacing w:line="360" w:lineRule="auto"/>
        <w:ind w:firstLine="416"/>
        <w:rPr>
          <w:szCs w:val="18"/>
        </w:rPr>
      </w:pPr>
      <w:r>
        <w:rPr>
          <w:bCs/>
          <w:spacing w:val="-2"/>
          <w:szCs w:val="18"/>
        </w:rPr>
        <w:t>注</w:t>
      </w:r>
      <w:r>
        <w:rPr>
          <w:bCs/>
          <w:spacing w:val="-38"/>
          <w:szCs w:val="18"/>
        </w:rPr>
        <w:t xml:space="preserve"> </w:t>
      </w:r>
      <w:r>
        <w:rPr>
          <w:bCs/>
          <w:spacing w:val="-2"/>
          <w:szCs w:val="18"/>
        </w:rPr>
        <w:t>3：</w:t>
      </w:r>
      <w:r>
        <w:rPr>
          <w:rFonts w:hint="eastAsia"/>
          <w:spacing w:val="-2"/>
          <w:szCs w:val="18"/>
        </w:rPr>
        <w:t>“审核证据”和“审核准则”</w:t>
      </w:r>
      <w:r>
        <w:rPr>
          <w:spacing w:val="-2"/>
          <w:szCs w:val="18"/>
        </w:rPr>
        <w:t>的定义见 GB/T 19011。</w:t>
      </w:r>
    </w:p>
    <w:p w14:paraId="20010DE1">
      <w:pPr>
        <w:pStyle w:val="12"/>
        <w:spacing w:line="360" w:lineRule="auto"/>
        <w:ind w:firstLine="414"/>
        <w:rPr>
          <w:szCs w:val="18"/>
        </w:rPr>
      </w:pPr>
      <w:r>
        <w:rPr>
          <w:bCs/>
          <w:spacing w:val="-3"/>
          <w:szCs w:val="18"/>
        </w:rPr>
        <w:t>注</w:t>
      </w:r>
      <w:r>
        <w:rPr>
          <w:bCs/>
          <w:spacing w:val="-33"/>
          <w:szCs w:val="18"/>
        </w:rPr>
        <w:t xml:space="preserve"> </w:t>
      </w:r>
      <w:r>
        <w:rPr>
          <w:bCs/>
          <w:spacing w:val="-3"/>
          <w:szCs w:val="18"/>
        </w:rPr>
        <w:t>4：</w:t>
      </w:r>
      <w:r>
        <w:rPr>
          <w:spacing w:val="-3"/>
          <w:szCs w:val="18"/>
        </w:rPr>
        <w:t>该术语和定义是《ISO/IEC</w:t>
      </w:r>
      <w:r>
        <w:rPr>
          <w:spacing w:val="37"/>
          <w:szCs w:val="18"/>
        </w:rPr>
        <w:t xml:space="preserve"> </w:t>
      </w:r>
      <w:r>
        <w:rPr>
          <w:spacing w:val="-3"/>
          <w:szCs w:val="18"/>
        </w:rPr>
        <w:t>导则 第</w:t>
      </w:r>
      <w:r>
        <w:rPr>
          <w:spacing w:val="-24"/>
          <w:szCs w:val="18"/>
        </w:rPr>
        <w:t xml:space="preserve"> </w:t>
      </w:r>
      <w:r>
        <w:rPr>
          <w:spacing w:val="-3"/>
          <w:szCs w:val="18"/>
        </w:rPr>
        <w:t>1</w:t>
      </w:r>
      <w:r>
        <w:rPr>
          <w:spacing w:val="-34"/>
          <w:szCs w:val="18"/>
        </w:rPr>
        <w:t xml:space="preserve"> </w:t>
      </w:r>
      <w:r>
        <w:rPr>
          <w:spacing w:val="-3"/>
          <w:szCs w:val="18"/>
        </w:rPr>
        <w:t>部分</w:t>
      </w:r>
      <w:r>
        <w:rPr>
          <w:spacing w:val="37"/>
          <w:szCs w:val="18"/>
        </w:rPr>
        <w:t xml:space="preserve"> </w:t>
      </w:r>
      <w:r>
        <w:rPr>
          <w:spacing w:val="-3"/>
          <w:szCs w:val="18"/>
        </w:rPr>
        <w:t>ISO</w:t>
      </w:r>
      <w:r>
        <w:rPr>
          <w:spacing w:val="-36"/>
          <w:szCs w:val="18"/>
        </w:rPr>
        <w:t xml:space="preserve"> </w:t>
      </w:r>
      <w:r>
        <w:rPr>
          <w:spacing w:val="-3"/>
          <w:szCs w:val="18"/>
        </w:rPr>
        <w:t>补充部分合订本</w:t>
      </w:r>
      <w:r>
        <w:rPr>
          <w:spacing w:val="43"/>
          <w:szCs w:val="18"/>
        </w:rPr>
        <w:t xml:space="preserve"> </w:t>
      </w:r>
      <w:r>
        <w:rPr>
          <w:spacing w:val="-3"/>
          <w:szCs w:val="18"/>
        </w:rPr>
        <w:t>ISO</w:t>
      </w:r>
      <w:r>
        <w:rPr>
          <w:spacing w:val="-36"/>
          <w:szCs w:val="18"/>
        </w:rPr>
        <w:t xml:space="preserve"> </w:t>
      </w:r>
      <w:r>
        <w:rPr>
          <w:spacing w:val="-3"/>
          <w:szCs w:val="18"/>
        </w:rPr>
        <w:t>专用程序》附录</w:t>
      </w:r>
      <w:r>
        <w:rPr>
          <w:spacing w:val="-30"/>
          <w:szCs w:val="18"/>
        </w:rPr>
        <w:t xml:space="preserve"> </w:t>
      </w:r>
      <w:r>
        <w:rPr>
          <w:spacing w:val="-3"/>
          <w:szCs w:val="18"/>
        </w:rPr>
        <w:t>SL</w:t>
      </w:r>
      <w:r>
        <w:rPr>
          <w:spacing w:val="-36"/>
          <w:szCs w:val="18"/>
        </w:rPr>
        <w:t xml:space="preserve"> </w:t>
      </w:r>
      <w:r>
        <w:rPr>
          <w:spacing w:val="-3"/>
          <w:szCs w:val="18"/>
        </w:rPr>
        <w:t>所给出的</w:t>
      </w:r>
      <w:r>
        <w:rPr>
          <w:spacing w:val="-30"/>
          <w:szCs w:val="18"/>
        </w:rPr>
        <w:t xml:space="preserve"> </w:t>
      </w:r>
      <w:r>
        <w:rPr>
          <w:spacing w:val="-3"/>
          <w:szCs w:val="18"/>
        </w:rPr>
        <w:t>ISO</w:t>
      </w:r>
      <w:r>
        <w:rPr>
          <w:spacing w:val="-32"/>
          <w:szCs w:val="18"/>
        </w:rPr>
        <w:t xml:space="preserve"> </w:t>
      </w:r>
      <w:r>
        <w:rPr>
          <w:spacing w:val="-3"/>
          <w:szCs w:val="18"/>
        </w:rPr>
        <w:t>管理</w:t>
      </w:r>
      <w:r>
        <w:rPr>
          <w:szCs w:val="18"/>
        </w:rPr>
        <w:t xml:space="preserve"> </w:t>
      </w:r>
      <w:r>
        <w:rPr>
          <w:spacing w:val="-1"/>
          <w:szCs w:val="18"/>
        </w:rPr>
        <w:t>体系标准的通用术语和核心定义之一。</w:t>
      </w:r>
    </w:p>
    <w:p w14:paraId="637E2363">
      <w:pPr>
        <w:pStyle w:val="30"/>
        <w:spacing w:line="360" w:lineRule="auto"/>
        <w:rPr>
          <w:rFonts w:hint="eastAsia" w:ascii="黑体" w:hAnsi="黑体" w:eastAsia="黑体"/>
        </w:rPr>
      </w:pPr>
      <w:r>
        <w:rPr>
          <w:rFonts w:hint="eastAsia" w:ascii="黑体" w:hAnsi="黑体" w:eastAsia="黑体"/>
        </w:rPr>
        <w:t>纠正措施  corrective action</w:t>
      </w:r>
    </w:p>
    <w:p w14:paraId="79208512">
      <w:pPr>
        <w:pStyle w:val="12"/>
        <w:spacing w:before="22" w:line="360" w:lineRule="auto"/>
        <w:rPr>
          <w:szCs w:val="21"/>
        </w:rPr>
      </w:pPr>
      <w:r>
        <w:rPr>
          <w:szCs w:val="21"/>
        </w:rPr>
        <w:t>为消除不符合或事件的原因并防止再次发生所</w:t>
      </w:r>
      <w:r>
        <w:rPr>
          <w:spacing w:val="-1"/>
          <w:szCs w:val="21"/>
        </w:rPr>
        <w:t>采取的措施。</w:t>
      </w:r>
    </w:p>
    <w:p w14:paraId="6F9E0A42">
      <w:pPr>
        <w:pStyle w:val="12"/>
        <w:spacing w:before="21" w:line="360" w:lineRule="auto"/>
        <w:ind w:firstLine="416"/>
        <w:rPr>
          <w:szCs w:val="21"/>
        </w:rPr>
      </w:pPr>
      <w:r>
        <w:rPr>
          <w:spacing w:val="-2"/>
          <w:szCs w:val="21"/>
        </w:rPr>
        <w:t>[来源：GB/T 39604-2020，3.37]</w:t>
      </w:r>
    </w:p>
    <w:p w14:paraId="1CFC7699">
      <w:pPr>
        <w:pStyle w:val="30"/>
        <w:spacing w:before="1" w:line="360" w:lineRule="auto"/>
        <w:rPr>
          <w:rFonts w:hint="eastAsia" w:ascii="黑体" w:hAnsi="黑体" w:eastAsia="黑体"/>
        </w:rPr>
      </w:pPr>
      <w:r>
        <w:rPr>
          <w:rFonts w:hint="eastAsia" w:ascii="黑体" w:hAnsi="黑体" w:eastAsia="黑体"/>
        </w:rPr>
        <w:t>持续改进  continual improvement</w:t>
      </w:r>
    </w:p>
    <w:p w14:paraId="1C5E7F5C">
      <w:pPr>
        <w:pStyle w:val="12"/>
        <w:spacing w:line="360" w:lineRule="auto"/>
        <w:ind w:firstLine="416"/>
        <w:rPr>
          <w:szCs w:val="21"/>
        </w:rPr>
      </w:pPr>
      <w:r>
        <w:rPr>
          <w:spacing w:val="-2"/>
          <w:szCs w:val="21"/>
        </w:rPr>
        <w:t>提高绩效（3.11）的循环活动。</w:t>
      </w:r>
    </w:p>
    <w:p w14:paraId="7048B39A">
      <w:pPr>
        <w:pStyle w:val="12"/>
        <w:spacing w:line="360" w:lineRule="auto"/>
        <w:ind w:firstLine="418"/>
        <w:rPr>
          <w:szCs w:val="18"/>
        </w:rPr>
      </w:pPr>
      <w:r>
        <w:rPr>
          <w:spacing w:val="-1"/>
          <w:szCs w:val="18"/>
        </w:rPr>
        <w:t>注：提升绩效（3.11）是指运用</w:t>
      </w:r>
      <w:r>
        <w:rPr>
          <w:spacing w:val="-36"/>
          <w:szCs w:val="18"/>
        </w:rPr>
        <w:t xml:space="preserve"> </w:t>
      </w:r>
      <w:r>
        <w:rPr>
          <w:spacing w:val="-1"/>
          <w:szCs w:val="18"/>
        </w:rPr>
        <w:t>ESG</w:t>
      </w:r>
      <w:r>
        <w:rPr>
          <w:spacing w:val="-30"/>
          <w:szCs w:val="18"/>
        </w:rPr>
        <w:t xml:space="preserve"> </w:t>
      </w:r>
      <w:r>
        <w:rPr>
          <w:spacing w:val="-1"/>
          <w:szCs w:val="18"/>
        </w:rPr>
        <w:t>管理体系，提升符合企业</w:t>
      </w:r>
      <w:r>
        <w:rPr>
          <w:spacing w:val="-36"/>
          <w:szCs w:val="18"/>
        </w:rPr>
        <w:t xml:space="preserve"> </w:t>
      </w:r>
      <w:r>
        <w:rPr>
          <w:spacing w:val="-1"/>
          <w:szCs w:val="18"/>
        </w:rPr>
        <w:t>ESG</w:t>
      </w:r>
      <w:r>
        <w:rPr>
          <w:spacing w:val="-31"/>
          <w:szCs w:val="18"/>
        </w:rPr>
        <w:t xml:space="preserve"> </w:t>
      </w:r>
      <w:r>
        <w:rPr>
          <w:spacing w:val="-1"/>
          <w:szCs w:val="18"/>
        </w:rPr>
        <w:t>方针（</w:t>
      </w:r>
      <w:r>
        <w:rPr>
          <w:spacing w:val="-2"/>
          <w:szCs w:val="18"/>
        </w:rPr>
        <w:t>3.4）的</w:t>
      </w:r>
      <w:r>
        <w:rPr>
          <w:spacing w:val="-23"/>
          <w:szCs w:val="18"/>
        </w:rPr>
        <w:t xml:space="preserve"> </w:t>
      </w:r>
      <w:r>
        <w:rPr>
          <w:spacing w:val="-2"/>
          <w:szCs w:val="18"/>
        </w:rPr>
        <w:t>ESG</w:t>
      </w:r>
      <w:r>
        <w:rPr>
          <w:spacing w:val="-33"/>
          <w:szCs w:val="18"/>
        </w:rPr>
        <w:t xml:space="preserve"> </w:t>
      </w:r>
      <w:r>
        <w:rPr>
          <w:spacing w:val="-2"/>
          <w:szCs w:val="18"/>
        </w:rPr>
        <w:t>绩效（3.11）。该活动不必</w:t>
      </w:r>
      <w:r>
        <w:rPr>
          <w:spacing w:val="-3"/>
          <w:szCs w:val="18"/>
        </w:rPr>
        <w:t>同时发生于所有领域，也并非不能间断。</w:t>
      </w:r>
    </w:p>
    <w:p w14:paraId="301F0A37">
      <w:pPr>
        <w:pStyle w:val="12"/>
        <w:spacing w:before="2" w:line="360" w:lineRule="auto"/>
        <w:ind w:firstLine="416"/>
        <w:rPr>
          <w:szCs w:val="21"/>
        </w:rPr>
      </w:pPr>
      <w:r>
        <w:rPr>
          <w:spacing w:val="-2"/>
          <w:szCs w:val="21"/>
        </w:rPr>
        <w:t>[来源：GB/T 19001-2016，3.3.2]</w:t>
      </w:r>
    </w:p>
    <w:p w14:paraId="31D7AFC8">
      <w:pPr>
        <w:pStyle w:val="30"/>
        <w:spacing w:line="360" w:lineRule="auto"/>
        <w:rPr>
          <w:rFonts w:hint="eastAsia" w:ascii="黑体" w:hAnsi="黑体" w:eastAsia="黑体"/>
        </w:rPr>
      </w:pPr>
      <w:r>
        <w:rPr>
          <w:rFonts w:hint="eastAsia" w:ascii="黑体" w:hAnsi="黑体" w:eastAsia="黑体"/>
        </w:rPr>
        <w:t>供应链  supply chain</w:t>
      </w:r>
    </w:p>
    <w:p w14:paraId="3A7F504B">
      <w:pPr>
        <w:pStyle w:val="12"/>
        <w:spacing w:before="28" w:line="360" w:lineRule="auto"/>
        <w:ind w:right="161" w:firstLine="416"/>
      </w:pPr>
      <w:r>
        <w:rPr>
          <w:spacing w:val="-2"/>
          <w:szCs w:val="21"/>
        </w:rPr>
        <w:t>为汽车制造工业和车辆制造技术研发提供原材料、零部件、设备、计算机软件、装配和</w:t>
      </w:r>
      <w:r>
        <w:rPr>
          <w:spacing w:val="-3"/>
          <w:szCs w:val="21"/>
        </w:rPr>
        <w:t>经销服务等</w:t>
      </w:r>
      <w:r>
        <w:rPr>
          <w:spacing w:val="-4"/>
          <w:szCs w:val="21"/>
        </w:rPr>
        <w:t>供应网络。</w:t>
      </w:r>
    </w:p>
    <w:p w14:paraId="41380F68">
      <w:pPr>
        <w:pStyle w:val="30"/>
        <w:spacing w:before="28" w:line="360" w:lineRule="auto"/>
        <w:ind w:right="161"/>
        <w:rPr>
          <w:rFonts w:hint="eastAsia" w:ascii="黑体" w:hAnsi="黑体" w:eastAsia="黑体"/>
        </w:rPr>
      </w:pPr>
      <w:r>
        <w:rPr>
          <w:rFonts w:hint="eastAsia" w:ascii="黑体" w:hAnsi="黑体" w:eastAsia="黑体"/>
        </w:rPr>
        <w:t>双重重要性  double materiality</w:t>
      </w:r>
    </w:p>
    <w:p w14:paraId="1EB3F189">
      <w:pPr>
        <w:pStyle w:val="12"/>
        <w:spacing w:before="28" w:line="360" w:lineRule="auto"/>
        <w:ind w:right="161"/>
        <w:rPr>
          <w:bCs/>
        </w:rPr>
      </w:pPr>
      <w:r>
        <w:rPr>
          <w:rFonts w:hint="eastAsia"/>
          <w:bCs/>
        </w:rPr>
        <w:t>同时从影响重要性和财务重要性两个维度，识别和评估可持续议题重要性的方法。</w:t>
      </w:r>
    </w:p>
    <w:p w14:paraId="7845C5B2">
      <w:pPr>
        <w:pStyle w:val="12"/>
        <w:spacing w:before="28" w:line="360" w:lineRule="auto"/>
        <w:ind w:right="161"/>
        <w:rPr>
          <w:bCs/>
        </w:rPr>
      </w:pPr>
      <w:r>
        <w:rPr>
          <w:rFonts w:hint="eastAsia"/>
          <w:bCs/>
        </w:rPr>
        <w:t>注1：</w:t>
      </w:r>
      <w:r>
        <w:rPr>
          <w:bCs/>
        </w:rPr>
        <w:t>影响重要性，</w:t>
      </w:r>
      <w:r>
        <w:rPr>
          <w:rFonts w:hint="eastAsia"/>
          <w:bCs/>
          <w:spacing w:val="-4"/>
          <w:szCs w:val="21"/>
        </w:rPr>
        <w:t>指企业及其价值链（自身运营、上下游价值链、产品服务、业务合作关系）在短期、中期、长期，对人、环境造成实际或潜在、正面或负面的重大影响。</w:t>
      </w:r>
    </w:p>
    <w:p w14:paraId="27BE2EF5">
      <w:pPr>
        <w:pStyle w:val="12"/>
        <w:spacing w:before="28" w:line="360" w:lineRule="auto"/>
        <w:ind w:right="161" w:firstLine="412"/>
        <w:rPr>
          <w:bCs/>
          <w:spacing w:val="-4"/>
          <w:szCs w:val="21"/>
        </w:rPr>
      </w:pPr>
      <w:r>
        <w:rPr>
          <w:rFonts w:hint="eastAsia"/>
          <w:bCs/>
          <w:spacing w:val="-4"/>
          <w:szCs w:val="21"/>
        </w:rPr>
        <w:t>注2：财务重要性，</w:t>
      </w:r>
      <w:r>
        <w:rPr>
          <w:bCs/>
        </w:rPr>
        <w:t>指该议题引发或可合理预期将引发企业层面重大财务效应；即可持续相关风险与机遇，会或可合理预期将在短中长期对企业经营发展、财务状况、经营业绩、现金流、融资渠道、资本成本产生重大作用，会影响通用财务报告主要使用者的决策判断</w:t>
      </w:r>
      <w:r>
        <w:rPr>
          <w:rFonts w:hint="eastAsia"/>
          <w:bCs/>
        </w:rPr>
        <w:t>。</w:t>
      </w:r>
    </w:p>
    <w:p w14:paraId="461C390E">
      <w:pPr>
        <w:pStyle w:val="28"/>
        <w:spacing w:before="240" w:after="240" w:line="360" w:lineRule="auto"/>
      </w:pPr>
      <w:bookmarkStart w:id="7" w:name="bookmark17"/>
      <w:bookmarkEnd w:id="7"/>
      <w:bookmarkStart w:id="8" w:name="_Toc30795"/>
      <w:r>
        <w:t>企业所处的环境</w:t>
      </w:r>
      <w:bookmarkEnd w:id="8"/>
    </w:p>
    <w:p w14:paraId="43C5B5F0">
      <w:pPr>
        <w:pStyle w:val="30"/>
        <w:spacing w:before="238" w:line="360" w:lineRule="auto"/>
        <w:outlineLvl w:val="0"/>
        <w:rPr>
          <w:rFonts w:hint="eastAsia" w:ascii="黑体" w:hAnsi="黑体" w:eastAsia="黑体"/>
        </w:rPr>
      </w:pPr>
      <w:bookmarkStart w:id="9" w:name="_Toc28661"/>
      <w:r>
        <w:rPr>
          <w:rFonts w:hint="eastAsia" w:ascii="黑体" w:hAnsi="黑体" w:eastAsia="黑体"/>
        </w:rPr>
        <w:t>通用要求</w:t>
      </w:r>
      <w:bookmarkEnd w:id="9"/>
    </w:p>
    <w:p w14:paraId="12E18897">
      <w:pPr>
        <w:pStyle w:val="12"/>
        <w:spacing w:before="28" w:line="360" w:lineRule="auto"/>
        <w:ind w:right="161"/>
      </w:pPr>
      <w:r>
        <w:t>企业</w:t>
      </w:r>
      <w:r>
        <w:rPr>
          <w:rFonts w:hint="eastAsia"/>
        </w:rPr>
        <w:t>应</w:t>
      </w:r>
      <w:r>
        <w:t>按照以下原则，建立、实施、保持并持续改进其环境、社会和治理（ESG）管理体系：</w:t>
      </w:r>
    </w:p>
    <w:p w14:paraId="7141B882">
      <w:pPr>
        <w:pStyle w:val="12"/>
        <w:numPr>
          <w:ilvl w:val="0"/>
          <w:numId w:val="3"/>
        </w:numPr>
        <w:spacing w:line="360" w:lineRule="auto"/>
        <w:ind w:firstLine="418"/>
        <w:rPr>
          <w:spacing w:val="-1"/>
          <w:szCs w:val="21"/>
        </w:rPr>
      </w:pPr>
      <w:r>
        <w:rPr>
          <w:spacing w:val="-1"/>
          <w:szCs w:val="21"/>
        </w:rPr>
        <w:t>诚信正直：在 ESG 各项决策、行动和披露的全过程中，恪守共同认可的伦理准则，做到独立、客观、公开、透明；建立并完善基于坚实领导、制度与管控的问责机制，并将利益相关方的反馈作为持续改进的输入。</w:t>
      </w:r>
    </w:p>
    <w:p w14:paraId="01504127">
      <w:pPr>
        <w:pStyle w:val="12"/>
        <w:numPr>
          <w:ilvl w:val="0"/>
          <w:numId w:val="3"/>
        </w:numPr>
        <w:spacing w:line="360" w:lineRule="auto"/>
        <w:ind w:firstLine="418"/>
        <w:rPr>
          <w:spacing w:val="-1"/>
          <w:szCs w:val="21"/>
        </w:rPr>
      </w:pPr>
      <w:r>
        <w:rPr>
          <w:spacing w:val="-1"/>
          <w:szCs w:val="21"/>
        </w:rPr>
        <w:t>注重实效：围绕决策与活动所产生的直接与间接、战略与运营层面的产出，以及对环境和社会的影响，进行识别、评估与管理；既关注预期成效，也关注组织内外可能产生的非预期后果。</w:t>
      </w:r>
    </w:p>
    <w:p w14:paraId="7EE01442">
      <w:pPr>
        <w:pStyle w:val="12"/>
        <w:numPr>
          <w:ilvl w:val="0"/>
          <w:numId w:val="3"/>
        </w:numPr>
        <w:spacing w:line="360" w:lineRule="auto"/>
        <w:ind w:firstLine="418"/>
        <w:rPr>
          <w:spacing w:val="-1"/>
          <w:szCs w:val="21"/>
        </w:rPr>
      </w:pPr>
      <w:r>
        <w:rPr>
          <w:spacing w:val="-1"/>
          <w:szCs w:val="21"/>
        </w:rPr>
        <w:t>公平公正：以客观、公平、不偏倚的方式平衡各利益相关方的利益诉求与共同价值，统筹短期与长期的风险和机遇，充分考虑资源可获得性、重要性维度以及包括子孙后代在内的所有相关方的利益。</w:t>
      </w:r>
    </w:p>
    <w:p w14:paraId="757636CA">
      <w:pPr>
        <w:pStyle w:val="12"/>
        <w:numPr>
          <w:ilvl w:val="0"/>
          <w:numId w:val="3"/>
        </w:numPr>
        <w:spacing w:line="360" w:lineRule="auto"/>
        <w:ind w:firstLine="418"/>
        <w:rPr>
          <w:spacing w:val="-1"/>
          <w:szCs w:val="21"/>
        </w:rPr>
      </w:pPr>
      <w:r>
        <w:rPr>
          <w:spacing w:val="-1"/>
          <w:szCs w:val="21"/>
        </w:rPr>
        <w:t>风险与机遇并重：将风险和机遇的识别、理解与管理纳入 ESG 战略与业务运行，覆盖全价值链及组织对环境和社会更广泛的影响，实现防范风险与把握机遇相统一。</w:t>
      </w:r>
    </w:p>
    <w:p w14:paraId="5320D0B4">
      <w:pPr>
        <w:pStyle w:val="12"/>
        <w:numPr>
          <w:ilvl w:val="0"/>
          <w:numId w:val="3"/>
        </w:numPr>
        <w:spacing w:line="360" w:lineRule="auto"/>
        <w:ind w:firstLine="418"/>
        <w:rPr>
          <w:spacing w:val="-1"/>
          <w:szCs w:val="21"/>
        </w:rPr>
      </w:pPr>
      <w:r>
        <w:rPr>
          <w:spacing w:val="-1"/>
          <w:szCs w:val="21"/>
        </w:rPr>
        <w:t>循证决策：尽可能以科学或分析的方法识别和评价成效，使用可靠、可验证的证据；对来自外部和内部的风险与机遇及其重要性进行排序，作为决策和披露的依据。</w:t>
      </w:r>
    </w:p>
    <w:p w14:paraId="2CF363D5">
      <w:pPr>
        <w:pStyle w:val="12"/>
        <w:numPr>
          <w:ilvl w:val="0"/>
          <w:numId w:val="3"/>
        </w:numPr>
        <w:spacing w:line="360" w:lineRule="auto"/>
        <w:ind w:firstLine="418"/>
        <w:rPr>
          <w:spacing w:val="-1"/>
          <w:szCs w:val="21"/>
        </w:rPr>
      </w:pPr>
      <w:r>
        <w:rPr>
          <w:spacing w:val="-1"/>
          <w:szCs w:val="21"/>
        </w:rPr>
        <w:t>持续完善：将良好实践持续嵌入并迭代更新，使 ESG 成为组织的核心价值与内生能力；通过有效的风险与机遇管理、监测与披露，推动 ESG 由外在合规要求转化为企业基因、核心驱动力与学习能力。</w:t>
      </w:r>
    </w:p>
    <w:p w14:paraId="10499F13">
      <w:pPr>
        <w:pStyle w:val="30"/>
        <w:spacing w:before="238" w:line="360" w:lineRule="auto"/>
        <w:outlineLvl w:val="0"/>
        <w:rPr>
          <w:rFonts w:hint="eastAsia" w:ascii="黑体" w:hAnsi="黑体" w:eastAsia="黑体"/>
        </w:rPr>
      </w:pPr>
      <w:bookmarkStart w:id="10" w:name="_Toc8568"/>
      <w:r>
        <w:rPr>
          <w:rFonts w:hint="eastAsia" w:ascii="黑体" w:hAnsi="黑体" w:eastAsia="黑体"/>
        </w:rPr>
        <w:t>理解企业及其环境</w:t>
      </w:r>
      <w:bookmarkEnd w:id="10"/>
    </w:p>
    <w:p w14:paraId="73685452">
      <w:pPr>
        <w:pStyle w:val="12"/>
        <w:spacing w:before="145" w:line="360" w:lineRule="auto"/>
        <w:ind w:right="209" w:firstLine="418"/>
        <w:rPr>
          <w:szCs w:val="21"/>
        </w:rPr>
      </w:pPr>
      <w:r>
        <w:rPr>
          <w:spacing w:val="-1"/>
          <w:szCs w:val="21"/>
        </w:rPr>
        <w:t>企业应建立过程，评审自身及其所处的环境，以确定企业各项关键特征</w:t>
      </w:r>
      <w:r>
        <w:rPr>
          <w:rFonts w:hint="eastAsia"/>
          <w:spacing w:val="-1"/>
          <w:szCs w:val="21"/>
        </w:rPr>
        <w:t>与</w:t>
      </w:r>
      <w:r>
        <w:rPr>
          <w:spacing w:val="-1"/>
          <w:szCs w:val="21"/>
        </w:rPr>
        <w:t>ESG管理之间的</w:t>
      </w:r>
      <w:r>
        <w:rPr>
          <w:spacing w:val="-2"/>
          <w:szCs w:val="21"/>
        </w:rPr>
        <w:t>关系，</w:t>
      </w:r>
      <w:r>
        <w:rPr>
          <w:spacing w:val="-1"/>
          <w:szCs w:val="21"/>
        </w:rPr>
        <w:t>以及管理层对ESG的当前态度、承诺水平和</w:t>
      </w:r>
      <w:r>
        <w:rPr>
          <w:spacing w:val="-2"/>
          <w:szCs w:val="21"/>
        </w:rPr>
        <w:t>理解程度。</w:t>
      </w:r>
    </w:p>
    <w:p w14:paraId="0477C561">
      <w:pPr>
        <w:pStyle w:val="12"/>
        <w:spacing w:before="3" w:line="360" w:lineRule="auto"/>
        <w:ind w:firstLine="418"/>
        <w:rPr>
          <w:szCs w:val="21"/>
        </w:rPr>
      </w:pPr>
      <w:r>
        <w:rPr>
          <w:spacing w:val="-1"/>
          <w:szCs w:val="21"/>
        </w:rPr>
        <w:t>企业应识别并确定与其宗旨和战略方向相关并影响其实现ESG管理预期结果的各种内部和外部</w:t>
      </w:r>
      <w:r>
        <w:rPr>
          <w:spacing w:val="-2"/>
          <w:szCs w:val="21"/>
        </w:rPr>
        <w:t>因素，</w:t>
      </w:r>
      <w:r>
        <w:rPr>
          <w:szCs w:val="21"/>
        </w:rPr>
        <w:t xml:space="preserve"> </w:t>
      </w:r>
      <w:r>
        <w:rPr>
          <w:spacing w:val="-2"/>
          <w:szCs w:val="21"/>
        </w:rPr>
        <w:t>这些因素包括能影响企业或受企业影响的竞争环境、战略机会、挑战和优势等</w:t>
      </w:r>
      <w:r>
        <w:rPr>
          <w:rFonts w:hint="eastAsia"/>
          <w:spacing w:val="-2"/>
          <w:szCs w:val="21"/>
        </w:rPr>
        <w:t>，</w:t>
      </w:r>
      <w:r>
        <w:rPr>
          <w:spacing w:val="-3"/>
          <w:szCs w:val="21"/>
        </w:rPr>
        <w:t>包括正面和负面的要</w:t>
      </w:r>
      <w:r>
        <w:rPr>
          <w:spacing w:val="-5"/>
          <w:szCs w:val="21"/>
        </w:rPr>
        <w:t>素或条件。</w:t>
      </w:r>
    </w:p>
    <w:p w14:paraId="01DBC9D2">
      <w:pPr>
        <w:pStyle w:val="30"/>
        <w:spacing w:before="238"/>
        <w:outlineLvl w:val="0"/>
        <w:rPr>
          <w:rFonts w:hint="eastAsia" w:ascii="黑体" w:hAnsi="黑体" w:eastAsia="黑体"/>
        </w:rPr>
      </w:pPr>
      <w:bookmarkStart w:id="11" w:name="_Toc31323"/>
      <w:r>
        <w:rPr>
          <w:rFonts w:hint="eastAsia" w:ascii="黑体" w:hAnsi="黑体" w:eastAsia="黑体"/>
        </w:rPr>
        <w:t>理解利益相关方的需求和期望</w:t>
      </w:r>
      <w:bookmarkEnd w:id="11"/>
    </w:p>
    <w:p w14:paraId="67DA3DE0">
      <w:pPr>
        <w:pStyle w:val="12"/>
        <w:spacing w:before="146" w:line="360" w:lineRule="auto"/>
        <w:ind w:right="161"/>
        <w:rPr>
          <w:szCs w:val="21"/>
        </w:rPr>
      </w:pPr>
      <w:r>
        <w:rPr>
          <w:szCs w:val="21"/>
        </w:rPr>
        <w:t>企业应识别、确定与ESG议题有关的利益相关方，并沟通、识别各相关方对企业的反馈与期望，有</w:t>
      </w:r>
      <w:r>
        <w:rPr>
          <w:spacing w:val="-1"/>
          <w:szCs w:val="21"/>
        </w:rPr>
        <w:t>针对性地提升企业ESG表现，有效回应各方需求。</w:t>
      </w:r>
    </w:p>
    <w:p w14:paraId="3A84AA3F">
      <w:pPr>
        <w:pStyle w:val="12"/>
        <w:numPr>
          <w:ilvl w:val="0"/>
          <w:numId w:val="3"/>
        </w:numPr>
        <w:spacing w:line="360" w:lineRule="auto"/>
        <w:ind w:firstLineChars="0"/>
        <w:rPr>
          <w:rFonts w:hint="eastAsia" w:ascii="Times New Roman" w:hAnsi="宋体" w:cs="宋体"/>
          <w:szCs w:val="21"/>
        </w:rPr>
      </w:pPr>
      <w:r>
        <w:rPr>
          <w:spacing w:val="-1"/>
          <w:szCs w:val="21"/>
        </w:rPr>
        <w:t>与现阶段</w:t>
      </w:r>
      <w:r>
        <w:rPr>
          <w:spacing w:val="-36"/>
          <w:szCs w:val="21"/>
        </w:rPr>
        <w:t xml:space="preserve"> </w:t>
      </w:r>
      <w:r>
        <w:rPr>
          <w:spacing w:val="-1"/>
          <w:szCs w:val="21"/>
        </w:rPr>
        <w:t>ESG</w:t>
      </w:r>
      <w:r>
        <w:rPr>
          <w:spacing w:val="-39"/>
          <w:szCs w:val="21"/>
        </w:rPr>
        <w:t xml:space="preserve"> </w:t>
      </w:r>
      <w:r>
        <w:rPr>
          <w:spacing w:val="-1"/>
          <w:szCs w:val="21"/>
        </w:rPr>
        <w:t>管理体系表现预期有关的利益相关方；</w:t>
      </w:r>
    </w:p>
    <w:p w14:paraId="0E8404A3">
      <w:pPr>
        <w:pStyle w:val="12"/>
        <w:numPr>
          <w:ilvl w:val="0"/>
          <w:numId w:val="3"/>
        </w:numPr>
        <w:spacing w:before="20" w:line="360" w:lineRule="auto"/>
        <w:ind w:firstLineChars="0"/>
        <w:rPr>
          <w:rFonts w:hint="eastAsia" w:ascii="Times New Roman" w:hAnsi="宋体" w:cs="宋体"/>
          <w:szCs w:val="21"/>
        </w:rPr>
      </w:pPr>
      <w:r>
        <w:rPr>
          <w:spacing w:val="-1"/>
          <w:szCs w:val="21"/>
        </w:rPr>
        <w:t>相关方的有关需求和期望（即要求）已是或将可能成为法律法规要求和其他要求；</w:t>
      </w:r>
    </w:p>
    <w:p w14:paraId="79B29B35">
      <w:pPr>
        <w:pStyle w:val="12"/>
        <w:numPr>
          <w:ilvl w:val="0"/>
          <w:numId w:val="3"/>
        </w:numPr>
        <w:spacing w:before="24" w:line="360" w:lineRule="auto"/>
        <w:ind w:right="161" w:firstLineChars="0"/>
        <w:rPr>
          <w:rFonts w:hint="eastAsia" w:ascii="Times New Roman" w:hAnsi="宋体" w:cs="宋体"/>
          <w:szCs w:val="21"/>
        </w:rPr>
      </w:pPr>
      <w:r>
        <w:rPr>
          <w:szCs w:val="21"/>
        </w:rPr>
        <w:t>这些需求和期望中哪些已由企业现有相关管理体系予以应对，哪些将由企业的 ESG</w:t>
      </w:r>
      <w:r>
        <w:rPr>
          <w:spacing w:val="-1"/>
          <w:szCs w:val="21"/>
        </w:rPr>
        <w:t xml:space="preserve"> 管理体系</w:t>
      </w:r>
      <w:r>
        <w:rPr>
          <w:szCs w:val="21"/>
        </w:rPr>
        <w:t xml:space="preserve"> </w:t>
      </w:r>
      <w:r>
        <w:rPr>
          <w:spacing w:val="-6"/>
          <w:szCs w:val="21"/>
        </w:rPr>
        <w:t>予以应对。</w:t>
      </w:r>
    </w:p>
    <w:p w14:paraId="53F930B8">
      <w:pPr>
        <w:pStyle w:val="12"/>
        <w:spacing w:before="22" w:line="360" w:lineRule="auto"/>
        <w:ind w:right="172" w:firstLine="424"/>
        <w:rPr>
          <w:szCs w:val="21"/>
        </w:rPr>
      </w:pPr>
      <w:r>
        <w:rPr>
          <w:spacing w:val="2"/>
          <w:szCs w:val="21"/>
        </w:rPr>
        <w:t>对利益相关方的关注程度和优先次序可能与企业现阶段对自身和环境的理解和宗旨有关，其中</w:t>
      </w:r>
      <w:r>
        <w:rPr>
          <w:rFonts w:hint="eastAsia"/>
          <w:spacing w:val="2"/>
          <w:szCs w:val="21"/>
        </w:rPr>
        <w:t>利益</w:t>
      </w:r>
      <w:r>
        <w:rPr>
          <w:spacing w:val="-3"/>
          <w:szCs w:val="21"/>
        </w:rPr>
        <w:t>相关方包括但不限于：</w:t>
      </w:r>
    </w:p>
    <w:p w14:paraId="19CEF569">
      <w:pPr>
        <w:pStyle w:val="12"/>
        <w:numPr>
          <w:ilvl w:val="0"/>
          <w:numId w:val="4"/>
        </w:numPr>
        <w:spacing w:before="1" w:line="360" w:lineRule="auto"/>
        <w:ind w:firstLineChars="0"/>
        <w:rPr>
          <w:rFonts w:hint="eastAsia" w:ascii="Times New Roman" w:hAnsi="宋体" w:cs="宋体"/>
          <w:szCs w:val="21"/>
        </w:rPr>
      </w:pPr>
      <w:r>
        <w:rPr>
          <w:szCs w:val="21"/>
        </w:rPr>
        <w:t>政府部门和立法</w:t>
      </w:r>
      <w:r>
        <w:rPr>
          <w:rFonts w:hint="eastAsia"/>
          <w:szCs w:val="21"/>
        </w:rPr>
        <w:t>机构</w:t>
      </w:r>
    </w:p>
    <w:p w14:paraId="33A98C92">
      <w:pPr>
        <w:pStyle w:val="12"/>
        <w:numPr>
          <w:ilvl w:val="0"/>
          <w:numId w:val="4"/>
        </w:numPr>
        <w:spacing w:before="1" w:line="360" w:lineRule="auto"/>
        <w:ind w:firstLineChars="0"/>
        <w:rPr>
          <w:rFonts w:hint="eastAsia" w:ascii="Times New Roman" w:hAnsi="宋体" w:cs="宋体"/>
          <w:szCs w:val="21"/>
        </w:rPr>
      </w:pPr>
      <w:r>
        <w:rPr>
          <w:spacing w:val="-4"/>
          <w:szCs w:val="21"/>
        </w:rPr>
        <w:t>股东和</w:t>
      </w:r>
      <w:r>
        <w:rPr>
          <w:szCs w:val="21"/>
        </w:rPr>
        <w:t>投资者</w:t>
      </w:r>
      <w:r>
        <w:rPr>
          <w:spacing w:val="-4"/>
          <w:szCs w:val="21"/>
        </w:rPr>
        <w:t>；</w:t>
      </w:r>
    </w:p>
    <w:p w14:paraId="0A828533">
      <w:pPr>
        <w:pStyle w:val="12"/>
        <w:numPr>
          <w:ilvl w:val="0"/>
          <w:numId w:val="4"/>
        </w:numPr>
        <w:spacing w:before="23" w:line="360" w:lineRule="auto"/>
        <w:ind w:firstLineChars="0"/>
        <w:rPr>
          <w:rFonts w:hint="eastAsia" w:ascii="Times New Roman" w:hAnsi="宋体" w:cs="宋体"/>
          <w:szCs w:val="21"/>
        </w:rPr>
      </w:pPr>
      <w:r>
        <w:rPr>
          <w:spacing w:val="-4"/>
          <w:szCs w:val="21"/>
        </w:rPr>
        <w:t>客户；</w:t>
      </w:r>
    </w:p>
    <w:p w14:paraId="4C3CA5EE">
      <w:pPr>
        <w:pStyle w:val="12"/>
        <w:numPr>
          <w:ilvl w:val="0"/>
          <w:numId w:val="4"/>
        </w:numPr>
        <w:spacing w:before="19" w:line="360" w:lineRule="auto"/>
        <w:ind w:firstLineChars="0"/>
        <w:rPr>
          <w:rFonts w:hint="eastAsia" w:ascii="Times New Roman" w:hAnsi="宋体" w:cs="宋体"/>
          <w:szCs w:val="21"/>
        </w:rPr>
      </w:pPr>
      <w:r>
        <w:rPr>
          <w:spacing w:val="-2"/>
          <w:szCs w:val="21"/>
        </w:rPr>
        <w:t>员工及供应链中的其他员工；</w:t>
      </w:r>
    </w:p>
    <w:p w14:paraId="4DB68256">
      <w:pPr>
        <w:pStyle w:val="12"/>
        <w:numPr>
          <w:ilvl w:val="0"/>
          <w:numId w:val="4"/>
        </w:numPr>
        <w:spacing w:before="23" w:line="360" w:lineRule="auto"/>
        <w:ind w:firstLineChars="0"/>
        <w:rPr>
          <w:rFonts w:hint="eastAsia" w:ascii="Times New Roman" w:hAnsi="宋体" w:cs="宋体"/>
          <w:szCs w:val="21"/>
        </w:rPr>
      </w:pPr>
      <w:r>
        <w:rPr>
          <w:spacing w:val="-4"/>
          <w:szCs w:val="21"/>
        </w:rPr>
        <w:t>环境；</w:t>
      </w:r>
    </w:p>
    <w:p w14:paraId="6DB30624">
      <w:pPr>
        <w:pStyle w:val="12"/>
        <w:numPr>
          <w:ilvl w:val="0"/>
          <w:numId w:val="4"/>
        </w:numPr>
        <w:spacing w:before="19" w:line="360" w:lineRule="auto"/>
        <w:ind w:firstLineChars="0"/>
        <w:rPr>
          <w:rFonts w:hint="eastAsia" w:ascii="Times New Roman" w:hAnsi="宋体" w:cs="宋体"/>
          <w:szCs w:val="21"/>
        </w:rPr>
      </w:pPr>
      <w:r>
        <w:rPr>
          <w:szCs w:val="21"/>
        </w:rPr>
        <w:t>供应链合作伙伴，包括供方、分销商、零售商及其他企业；</w:t>
      </w:r>
    </w:p>
    <w:p w14:paraId="07FF784F">
      <w:pPr>
        <w:pStyle w:val="12"/>
        <w:numPr>
          <w:ilvl w:val="0"/>
          <w:numId w:val="4"/>
        </w:numPr>
        <w:spacing w:before="23" w:line="360" w:lineRule="auto"/>
        <w:ind w:firstLineChars="0"/>
        <w:rPr>
          <w:rFonts w:hint="eastAsia" w:ascii="Times New Roman" w:hAnsi="宋体" w:cs="宋体"/>
          <w:szCs w:val="21"/>
        </w:rPr>
      </w:pPr>
      <w:r>
        <w:rPr>
          <w:spacing w:val="-4"/>
          <w:szCs w:val="21"/>
        </w:rPr>
        <w:t>社区；</w:t>
      </w:r>
    </w:p>
    <w:p w14:paraId="6EB73175">
      <w:pPr>
        <w:pStyle w:val="12"/>
        <w:numPr>
          <w:ilvl w:val="0"/>
          <w:numId w:val="4"/>
        </w:numPr>
        <w:spacing w:before="26" w:line="360" w:lineRule="auto"/>
        <w:ind w:firstLineChars="0"/>
        <w:rPr>
          <w:rFonts w:hint="eastAsia" w:ascii="Times New Roman" w:hAnsi="宋体" w:cs="宋体"/>
          <w:szCs w:val="21"/>
        </w:rPr>
      </w:pPr>
      <w:r>
        <w:rPr>
          <w:spacing w:val="-2"/>
          <w:szCs w:val="21"/>
        </w:rPr>
        <w:t>债权人；</w:t>
      </w:r>
    </w:p>
    <w:p w14:paraId="04F14FA4">
      <w:pPr>
        <w:pStyle w:val="12"/>
        <w:numPr>
          <w:ilvl w:val="0"/>
          <w:numId w:val="4"/>
        </w:numPr>
        <w:spacing w:before="23" w:line="360" w:lineRule="auto"/>
        <w:ind w:firstLineChars="0"/>
        <w:rPr>
          <w:rFonts w:hint="eastAsia" w:ascii="Times New Roman" w:hAnsi="宋体" w:cs="宋体"/>
          <w:szCs w:val="21"/>
        </w:rPr>
      </w:pPr>
      <w:r>
        <w:rPr>
          <w:spacing w:val="-7"/>
          <w:szCs w:val="21"/>
        </w:rPr>
        <w:t>同业者及行业协会；</w:t>
      </w:r>
    </w:p>
    <w:p w14:paraId="3888FD0D">
      <w:pPr>
        <w:pStyle w:val="12"/>
        <w:numPr>
          <w:ilvl w:val="0"/>
          <w:numId w:val="4"/>
        </w:numPr>
        <w:spacing w:before="21" w:line="360" w:lineRule="auto"/>
        <w:ind w:firstLineChars="0"/>
        <w:rPr>
          <w:rFonts w:hint="eastAsia" w:ascii="Times New Roman" w:hAnsi="宋体" w:cs="宋体"/>
          <w:szCs w:val="21"/>
        </w:rPr>
      </w:pPr>
      <w:r>
        <w:rPr>
          <w:spacing w:val="-3"/>
          <w:szCs w:val="21"/>
        </w:rPr>
        <w:t>媒体、公众；</w:t>
      </w:r>
    </w:p>
    <w:p w14:paraId="7A60B795">
      <w:pPr>
        <w:pStyle w:val="12"/>
        <w:numPr>
          <w:ilvl w:val="0"/>
          <w:numId w:val="4"/>
        </w:numPr>
        <w:spacing w:before="26" w:line="360" w:lineRule="auto"/>
        <w:ind w:firstLineChars="0"/>
        <w:rPr>
          <w:rFonts w:hint="eastAsia" w:ascii="Times New Roman" w:hAnsi="宋体" w:cs="宋体"/>
          <w:szCs w:val="21"/>
        </w:rPr>
      </w:pPr>
      <w:r>
        <w:rPr>
          <w:spacing w:val="-1"/>
          <w:szCs w:val="21"/>
        </w:rPr>
        <w:t>相关非政府组织、科学团体和国际机构等。</w:t>
      </w:r>
    </w:p>
    <w:p w14:paraId="6B6FC37D">
      <w:pPr>
        <w:pStyle w:val="30"/>
        <w:spacing w:before="238"/>
        <w:outlineLvl w:val="0"/>
        <w:rPr>
          <w:rFonts w:hint="eastAsia" w:ascii="黑体" w:hAnsi="黑体" w:eastAsia="黑体"/>
        </w:rPr>
      </w:pPr>
      <w:bookmarkStart w:id="12" w:name="_Toc17052"/>
      <w:r>
        <w:rPr>
          <w:rFonts w:hint="eastAsia" w:ascii="黑体" w:hAnsi="黑体" w:eastAsia="黑体"/>
        </w:rPr>
        <w:t>确定 ESG 管理体系的范围</w:t>
      </w:r>
      <w:bookmarkEnd w:id="12"/>
    </w:p>
    <w:p w14:paraId="39AB960F">
      <w:pPr>
        <w:pStyle w:val="12"/>
        <w:spacing w:before="141" w:line="360" w:lineRule="auto"/>
        <w:ind w:firstLine="418"/>
        <w:rPr>
          <w:szCs w:val="21"/>
        </w:rPr>
      </w:pPr>
      <w:r>
        <w:rPr>
          <w:spacing w:val="-1"/>
          <w:szCs w:val="21"/>
        </w:rPr>
        <w:t>企业应确定其ESG管理体系的边界和适用性，界定其</w:t>
      </w:r>
      <w:r>
        <w:rPr>
          <w:spacing w:val="-2"/>
          <w:szCs w:val="21"/>
        </w:rPr>
        <w:t>范围。</w:t>
      </w:r>
    </w:p>
    <w:p w14:paraId="06A89CD6">
      <w:pPr>
        <w:pStyle w:val="12"/>
        <w:spacing w:before="22" w:line="360" w:lineRule="auto"/>
        <w:ind w:firstLine="418"/>
        <w:rPr>
          <w:szCs w:val="21"/>
        </w:rPr>
      </w:pPr>
      <w:r>
        <w:rPr>
          <w:spacing w:val="-1"/>
          <w:szCs w:val="21"/>
        </w:rPr>
        <w:t>在确定范围时，企业应考虑：</w:t>
      </w:r>
    </w:p>
    <w:p w14:paraId="0D9579FD">
      <w:pPr>
        <w:pStyle w:val="12"/>
        <w:numPr>
          <w:ilvl w:val="0"/>
          <w:numId w:val="5"/>
        </w:numPr>
        <w:spacing w:before="21" w:line="360" w:lineRule="auto"/>
        <w:ind w:firstLineChars="0"/>
        <w:rPr>
          <w:rFonts w:hint="eastAsia" w:ascii="Times New Roman" w:hAnsi="宋体" w:cs="宋体"/>
          <w:szCs w:val="21"/>
        </w:rPr>
      </w:pPr>
      <w:r>
        <w:rPr>
          <w:spacing w:val="-1"/>
          <w:szCs w:val="21"/>
        </w:rPr>
        <w:t>4.</w:t>
      </w:r>
      <w:r>
        <w:rPr>
          <w:rFonts w:hint="eastAsia"/>
          <w:spacing w:val="-1"/>
          <w:szCs w:val="21"/>
        </w:rPr>
        <w:t>2</w:t>
      </w:r>
      <w:r>
        <w:rPr>
          <w:spacing w:val="-25"/>
          <w:szCs w:val="21"/>
        </w:rPr>
        <w:t xml:space="preserve"> </w:t>
      </w:r>
      <w:r>
        <w:rPr>
          <w:spacing w:val="-1"/>
          <w:szCs w:val="21"/>
        </w:rPr>
        <w:t>中所确定的对企业及其</w:t>
      </w:r>
      <w:r>
        <w:rPr>
          <w:spacing w:val="-47"/>
          <w:szCs w:val="21"/>
        </w:rPr>
        <w:t xml:space="preserve"> </w:t>
      </w:r>
      <w:r>
        <w:rPr>
          <w:spacing w:val="-1"/>
          <w:szCs w:val="21"/>
        </w:rPr>
        <w:t>ESG</w:t>
      </w:r>
      <w:r>
        <w:rPr>
          <w:spacing w:val="-46"/>
          <w:szCs w:val="21"/>
        </w:rPr>
        <w:t xml:space="preserve"> </w:t>
      </w:r>
      <w:r>
        <w:rPr>
          <w:spacing w:val="-1"/>
          <w:szCs w:val="21"/>
        </w:rPr>
        <w:t>环境的理解，包括内部和外部因素；</w:t>
      </w:r>
    </w:p>
    <w:p w14:paraId="3A7593E3">
      <w:pPr>
        <w:pStyle w:val="12"/>
        <w:numPr>
          <w:ilvl w:val="0"/>
          <w:numId w:val="5"/>
        </w:numPr>
        <w:spacing w:before="23" w:line="360" w:lineRule="auto"/>
        <w:ind w:firstLineChars="0"/>
        <w:rPr>
          <w:rFonts w:hint="eastAsia" w:ascii="Times New Roman" w:hAnsi="宋体" w:cs="宋体"/>
          <w:szCs w:val="21"/>
        </w:rPr>
      </w:pPr>
      <w:r>
        <w:rPr>
          <w:spacing w:val="-2"/>
          <w:szCs w:val="21"/>
        </w:rPr>
        <w:t>4.</w:t>
      </w:r>
      <w:r>
        <w:rPr>
          <w:rFonts w:hint="eastAsia"/>
          <w:spacing w:val="-2"/>
          <w:szCs w:val="21"/>
        </w:rPr>
        <w:t>3</w:t>
      </w:r>
      <w:r>
        <w:rPr>
          <w:spacing w:val="-7"/>
          <w:szCs w:val="21"/>
        </w:rPr>
        <w:t xml:space="preserve"> </w:t>
      </w:r>
      <w:r>
        <w:rPr>
          <w:spacing w:val="-2"/>
          <w:szCs w:val="21"/>
        </w:rPr>
        <w:t>中所提及的利益相关方要求；</w:t>
      </w:r>
    </w:p>
    <w:p w14:paraId="4BB72F0D">
      <w:pPr>
        <w:pStyle w:val="12"/>
        <w:numPr>
          <w:ilvl w:val="0"/>
          <w:numId w:val="5"/>
        </w:numPr>
        <w:spacing w:before="20" w:line="360" w:lineRule="auto"/>
        <w:ind w:firstLineChars="0"/>
      </w:pPr>
      <w:r>
        <w:rPr>
          <w:spacing w:val="-1"/>
          <w:szCs w:val="21"/>
        </w:rPr>
        <w:t>计划或已实施的与企业经营相关的活动</w:t>
      </w:r>
      <w:r>
        <w:t>；</w:t>
      </w:r>
    </w:p>
    <w:p w14:paraId="4D94D96B">
      <w:pPr>
        <w:pStyle w:val="12"/>
        <w:numPr>
          <w:ilvl w:val="0"/>
          <w:numId w:val="5"/>
        </w:numPr>
        <w:spacing w:before="20" w:line="360" w:lineRule="auto"/>
        <w:ind w:firstLineChars="0"/>
        <w:rPr>
          <w:rFonts w:hint="eastAsia" w:ascii="Times New Roman" w:hAnsi="宋体" w:cs="宋体"/>
          <w:szCs w:val="21"/>
        </w:rPr>
      </w:pPr>
      <w:r>
        <w:t>企业价值链上下游（包括原材料获取、产品使用和报废回收等环节）的ESG影响及其可控程度。</w:t>
      </w:r>
    </w:p>
    <w:p w14:paraId="6265B396">
      <w:pPr>
        <w:pStyle w:val="12"/>
        <w:spacing w:before="21" w:line="360" w:lineRule="auto"/>
        <w:ind w:right="74" w:firstLine="416"/>
      </w:pPr>
      <w:r>
        <w:rPr>
          <w:spacing w:val="-2"/>
          <w:szCs w:val="21"/>
        </w:rPr>
        <w:t>ESG管理体系应包括在企业控制下或在其影响范围内可能影响企业ESG绩效的活动、产</w:t>
      </w:r>
      <w:r>
        <w:rPr>
          <w:spacing w:val="-3"/>
          <w:szCs w:val="21"/>
        </w:rPr>
        <w:t>品和服务，</w:t>
      </w:r>
      <w:r>
        <w:rPr>
          <w:rFonts w:hint="eastAsia"/>
          <w:spacing w:val="-3"/>
          <w:szCs w:val="21"/>
        </w:rPr>
        <w:t>包括</w:t>
      </w:r>
      <w:r>
        <w:rPr>
          <w:spacing w:val="-2"/>
          <w:szCs w:val="21"/>
        </w:rPr>
        <w:t>与企业ESG相关的现有管理体系的范围。</w:t>
      </w:r>
    </w:p>
    <w:p w14:paraId="72A779E6">
      <w:pPr>
        <w:pStyle w:val="12"/>
        <w:spacing w:before="21" w:line="360" w:lineRule="auto"/>
        <w:ind w:right="74"/>
        <w:rPr>
          <w:szCs w:val="21"/>
        </w:rPr>
      </w:pPr>
      <w:r>
        <w:t>企业ESG管理体系范围宜与财务报告合并范围及可持续发展报告披露范围相衔接，覆盖企业控制或重大影响下的主要子公司与业务单元。</w:t>
      </w:r>
    </w:p>
    <w:p w14:paraId="1DFC68CA">
      <w:pPr>
        <w:pStyle w:val="12"/>
        <w:spacing w:line="360" w:lineRule="auto"/>
        <w:ind w:firstLine="414"/>
        <w:rPr>
          <w:szCs w:val="21"/>
        </w:rPr>
      </w:pPr>
      <w:r>
        <w:rPr>
          <w:spacing w:val="-3"/>
          <w:szCs w:val="21"/>
        </w:rPr>
        <w:t>企业ESG管理体系的范围应作为文件化信息可被获取，并与现有相关管理体系保持协调和信息共享。</w:t>
      </w:r>
    </w:p>
    <w:p w14:paraId="774CC726">
      <w:pPr>
        <w:pStyle w:val="30"/>
        <w:spacing w:before="238"/>
        <w:outlineLvl w:val="0"/>
        <w:rPr>
          <w:rFonts w:hint="eastAsia" w:ascii="黑体" w:hAnsi="黑体" w:eastAsia="黑体"/>
        </w:rPr>
      </w:pPr>
      <w:bookmarkStart w:id="13" w:name="_Toc24462"/>
      <w:r>
        <w:rPr>
          <w:rFonts w:hint="eastAsia" w:ascii="黑体" w:hAnsi="黑体" w:eastAsia="黑体"/>
        </w:rPr>
        <w:t>ESG 管理体系</w:t>
      </w:r>
      <w:bookmarkEnd w:id="13"/>
    </w:p>
    <w:p w14:paraId="5780FEBB">
      <w:pPr>
        <w:pStyle w:val="12"/>
        <w:spacing w:before="142" w:line="360" w:lineRule="auto"/>
        <w:ind w:right="18" w:firstLine="414"/>
        <w:rPr>
          <w:szCs w:val="21"/>
        </w:rPr>
      </w:pPr>
      <w:r>
        <w:rPr>
          <w:spacing w:val="-3"/>
          <w:szCs w:val="21"/>
        </w:rPr>
        <w:t>企业应按照本文件的要求建立、实施、保持和持续改进</w:t>
      </w:r>
      <w:r>
        <w:rPr>
          <w:spacing w:val="-36"/>
          <w:szCs w:val="21"/>
        </w:rPr>
        <w:t xml:space="preserve"> </w:t>
      </w:r>
      <w:r>
        <w:rPr>
          <w:spacing w:val="-3"/>
          <w:szCs w:val="21"/>
        </w:rPr>
        <w:t>ESG</w:t>
      </w:r>
      <w:r>
        <w:rPr>
          <w:spacing w:val="-41"/>
          <w:szCs w:val="21"/>
        </w:rPr>
        <w:t xml:space="preserve"> </w:t>
      </w:r>
      <w:r>
        <w:rPr>
          <w:spacing w:val="-3"/>
          <w:szCs w:val="21"/>
        </w:rPr>
        <w:t>管理体系，包括所需的过程及其</w:t>
      </w:r>
      <w:r>
        <w:rPr>
          <w:rFonts w:hint="eastAsia"/>
          <w:spacing w:val="-3"/>
          <w:szCs w:val="21"/>
        </w:rPr>
        <w:t>相互作用</w:t>
      </w:r>
      <w:r>
        <w:rPr>
          <w:spacing w:val="-2"/>
          <w:szCs w:val="21"/>
        </w:rPr>
        <w:t>。对于6.1所确定的ESG议题，如果与企业现有管理体系相关，则由与之相关的管理体系予以应对；</w:t>
      </w:r>
      <w:r>
        <w:rPr>
          <w:spacing w:val="-1"/>
          <w:szCs w:val="21"/>
        </w:rPr>
        <w:t>如果与企业现有管理体系均无关，则由企业的</w:t>
      </w:r>
      <w:r>
        <w:rPr>
          <w:spacing w:val="-47"/>
          <w:szCs w:val="21"/>
        </w:rPr>
        <w:t xml:space="preserve"> </w:t>
      </w:r>
      <w:r>
        <w:rPr>
          <w:spacing w:val="-1"/>
          <w:szCs w:val="21"/>
        </w:rPr>
        <w:t>ESG</w:t>
      </w:r>
      <w:r>
        <w:rPr>
          <w:spacing w:val="-41"/>
          <w:szCs w:val="21"/>
        </w:rPr>
        <w:t xml:space="preserve"> </w:t>
      </w:r>
      <w:r>
        <w:rPr>
          <w:spacing w:val="-1"/>
          <w:szCs w:val="21"/>
        </w:rPr>
        <w:t>管理体系</w:t>
      </w:r>
      <w:r>
        <w:rPr>
          <w:spacing w:val="-2"/>
          <w:szCs w:val="21"/>
        </w:rPr>
        <w:t>予以应对。</w:t>
      </w:r>
    </w:p>
    <w:p w14:paraId="0AB92494">
      <w:pPr>
        <w:pStyle w:val="12"/>
        <w:spacing w:before="3" w:line="360" w:lineRule="auto"/>
        <w:ind w:right="76" w:firstLine="414"/>
        <w:rPr>
          <w:szCs w:val="21"/>
        </w:rPr>
      </w:pPr>
      <w:r>
        <w:rPr>
          <w:spacing w:val="-3"/>
          <w:szCs w:val="21"/>
        </w:rPr>
        <w:t>企业应策划、实施、控制和保持所需的过程，以确保ESG管理体系与现有相关管理体系之间实现</w:t>
      </w:r>
      <w:r>
        <w:rPr>
          <w:rFonts w:hint="eastAsia"/>
          <w:spacing w:val="-3"/>
          <w:szCs w:val="21"/>
        </w:rPr>
        <w:t>相互</w:t>
      </w:r>
      <w:r>
        <w:rPr>
          <w:spacing w:val="-5"/>
          <w:szCs w:val="21"/>
        </w:rPr>
        <w:t>对接和协同运行（如信息共享、目标协调、体系改进等</w:t>
      </w:r>
      <w:r>
        <w:rPr>
          <w:spacing w:val="-38"/>
          <w:szCs w:val="21"/>
        </w:rPr>
        <w:t>），</w:t>
      </w:r>
      <w:r>
        <w:rPr>
          <w:spacing w:val="-5"/>
          <w:szCs w:val="21"/>
        </w:rPr>
        <w:t>并</w:t>
      </w:r>
      <w:r>
        <w:rPr>
          <w:spacing w:val="-6"/>
          <w:szCs w:val="21"/>
        </w:rPr>
        <w:t>形成文件化信息，定期评审，保持更新，</w:t>
      </w:r>
      <w:r>
        <w:rPr>
          <w:szCs w:val="21"/>
        </w:rPr>
        <w:t>且与有关的利益相关方共享。措施包括（具体见</w:t>
      </w:r>
      <w:r>
        <w:rPr>
          <w:rFonts w:hint="eastAsia"/>
          <w:szCs w:val="21"/>
        </w:rPr>
        <w:t>本文件</w:t>
      </w:r>
      <w:r>
        <w:rPr>
          <w:szCs w:val="21"/>
        </w:rPr>
        <w:t>各对</w:t>
      </w:r>
      <w:r>
        <w:rPr>
          <w:spacing w:val="-1"/>
          <w:szCs w:val="21"/>
        </w:rPr>
        <w:t>应章节</w:t>
      </w:r>
      <w:r>
        <w:rPr>
          <w:spacing w:val="-13"/>
          <w:szCs w:val="21"/>
        </w:rPr>
        <w:t>）：</w:t>
      </w:r>
    </w:p>
    <w:p w14:paraId="7BBCF0AB">
      <w:pPr>
        <w:pStyle w:val="12"/>
        <w:numPr>
          <w:ilvl w:val="0"/>
          <w:numId w:val="6"/>
        </w:numPr>
        <w:spacing w:before="1" w:line="360" w:lineRule="auto"/>
        <w:ind w:firstLineChars="0"/>
        <w:rPr>
          <w:rFonts w:hint="eastAsia" w:ascii="Times New Roman" w:hAnsi="宋体" w:cs="宋体"/>
          <w:szCs w:val="21"/>
        </w:rPr>
      </w:pPr>
      <w:r>
        <w:rPr>
          <w:spacing w:val="-1"/>
          <w:szCs w:val="21"/>
        </w:rPr>
        <w:t>基于ESG制定企业的愿景、承诺、方针和目标；</w:t>
      </w:r>
    </w:p>
    <w:p w14:paraId="1A69C516">
      <w:pPr>
        <w:pStyle w:val="12"/>
        <w:numPr>
          <w:ilvl w:val="0"/>
          <w:numId w:val="6"/>
        </w:numPr>
        <w:spacing w:before="20" w:line="360" w:lineRule="auto"/>
        <w:ind w:firstLineChars="0"/>
        <w:rPr>
          <w:rFonts w:hint="eastAsia" w:ascii="Times New Roman" w:hAnsi="宋体" w:cs="宋体"/>
          <w:szCs w:val="21"/>
        </w:rPr>
      </w:pPr>
      <w:r>
        <w:rPr>
          <w:spacing w:val="-1"/>
          <w:szCs w:val="21"/>
        </w:rPr>
        <w:t>对管理体系现状进行评价；</w:t>
      </w:r>
    </w:p>
    <w:p w14:paraId="66BAA54C">
      <w:pPr>
        <w:pStyle w:val="12"/>
        <w:numPr>
          <w:ilvl w:val="0"/>
          <w:numId w:val="6"/>
        </w:numPr>
        <w:spacing w:before="25" w:line="360" w:lineRule="auto"/>
        <w:ind w:firstLineChars="0"/>
        <w:rPr>
          <w:rFonts w:hint="eastAsia" w:ascii="Times New Roman" w:hAnsi="宋体" w:cs="宋体"/>
          <w:szCs w:val="21"/>
        </w:rPr>
      </w:pPr>
      <w:r>
        <w:rPr>
          <w:spacing w:val="-1"/>
          <w:szCs w:val="21"/>
        </w:rPr>
        <w:t>确定和描述</w:t>
      </w:r>
      <w:r>
        <w:rPr>
          <w:spacing w:val="-47"/>
          <w:szCs w:val="21"/>
        </w:rPr>
        <w:t xml:space="preserve"> </w:t>
      </w:r>
      <w:r>
        <w:rPr>
          <w:spacing w:val="-1"/>
          <w:szCs w:val="21"/>
        </w:rPr>
        <w:t>ESG</w:t>
      </w:r>
      <w:r>
        <w:rPr>
          <w:spacing w:val="-41"/>
          <w:szCs w:val="21"/>
        </w:rPr>
        <w:t xml:space="preserve"> </w:t>
      </w:r>
      <w:r>
        <w:rPr>
          <w:spacing w:val="-1"/>
          <w:szCs w:val="21"/>
        </w:rPr>
        <w:t>管理体系涉及的所有过</w:t>
      </w:r>
      <w:r>
        <w:rPr>
          <w:spacing w:val="-2"/>
          <w:szCs w:val="21"/>
        </w:rPr>
        <w:t>程；</w:t>
      </w:r>
    </w:p>
    <w:p w14:paraId="21643951">
      <w:pPr>
        <w:pStyle w:val="12"/>
        <w:numPr>
          <w:ilvl w:val="0"/>
          <w:numId w:val="6"/>
        </w:numPr>
        <w:spacing w:before="20" w:line="360" w:lineRule="auto"/>
        <w:ind w:firstLineChars="0"/>
        <w:rPr>
          <w:rFonts w:hint="eastAsia" w:ascii="Times New Roman" w:hAnsi="宋体" w:cs="宋体"/>
          <w:szCs w:val="21"/>
        </w:rPr>
      </w:pPr>
      <w:r>
        <w:rPr>
          <w:spacing w:val="-1"/>
          <w:szCs w:val="21"/>
        </w:rPr>
        <w:t>制定工作程序，建立过程准则；</w:t>
      </w:r>
    </w:p>
    <w:p w14:paraId="1CF790B3">
      <w:pPr>
        <w:pStyle w:val="12"/>
        <w:numPr>
          <w:ilvl w:val="0"/>
          <w:numId w:val="6"/>
        </w:numPr>
        <w:spacing w:before="19" w:line="360" w:lineRule="auto"/>
        <w:ind w:firstLineChars="0"/>
        <w:rPr>
          <w:rFonts w:hint="eastAsia" w:ascii="Times New Roman" w:hAnsi="宋体" w:cs="宋体"/>
          <w:szCs w:val="21"/>
        </w:rPr>
      </w:pPr>
      <w:r>
        <w:rPr>
          <w:spacing w:val="-3"/>
          <w:szCs w:val="21"/>
        </w:rPr>
        <w:t>按照准则实施过程控制；</w:t>
      </w:r>
    </w:p>
    <w:p w14:paraId="6076E650">
      <w:pPr>
        <w:pStyle w:val="12"/>
        <w:numPr>
          <w:ilvl w:val="0"/>
          <w:numId w:val="6"/>
        </w:numPr>
        <w:spacing w:before="23" w:line="360" w:lineRule="auto"/>
        <w:ind w:firstLineChars="0"/>
        <w:rPr>
          <w:rFonts w:hint="eastAsia" w:ascii="Times New Roman" w:hAnsi="宋体" w:cs="宋体"/>
          <w:szCs w:val="21"/>
        </w:rPr>
      </w:pPr>
      <w:r>
        <w:rPr>
          <w:szCs w:val="21"/>
        </w:rPr>
        <w:t>保持和保留必要的文件化信息，以确保过程已按策</w:t>
      </w:r>
      <w:r>
        <w:rPr>
          <w:spacing w:val="-1"/>
          <w:szCs w:val="21"/>
        </w:rPr>
        <w:t>划得到实施；</w:t>
      </w:r>
    </w:p>
    <w:p w14:paraId="4C6E693F">
      <w:pPr>
        <w:pStyle w:val="12"/>
        <w:numPr>
          <w:ilvl w:val="0"/>
          <w:numId w:val="6"/>
        </w:numPr>
        <w:spacing w:before="20" w:line="360" w:lineRule="auto"/>
        <w:ind w:firstLineChars="0"/>
        <w:rPr>
          <w:rFonts w:hint="eastAsia" w:ascii="Times New Roman" w:hAnsi="宋体" w:cs="宋体"/>
          <w:szCs w:val="21"/>
        </w:rPr>
      </w:pPr>
      <w:r>
        <w:rPr>
          <w:spacing w:val="-1"/>
          <w:szCs w:val="21"/>
        </w:rPr>
        <w:t>有效回应各利益相关方对企业的反馈与期望；</w:t>
      </w:r>
    </w:p>
    <w:p w14:paraId="42C87C17">
      <w:pPr>
        <w:pStyle w:val="12"/>
        <w:numPr>
          <w:ilvl w:val="0"/>
          <w:numId w:val="6"/>
        </w:numPr>
        <w:spacing w:before="29" w:line="360" w:lineRule="auto"/>
        <w:ind w:firstLineChars="0"/>
      </w:pPr>
      <w:r>
        <w:rPr>
          <w:szCs w:val="21"/>
        </w:rPr>
        <w:t>开展管理体系的自我评价和独立评</w:t>
      </w:r>
      <w:r>
        <w:rPr>
          <w:spacing w:val="-1"/>
          <w:szCs w:val="21"/>
        </w:rPr>
        <w:t>价</w:t>
      </w:r>
      <w:r>
        <w:t>；</w:t>
      </w:r>
    </w:p>
    <w:p w14:paraId="204D4EE8">
      <w:pPr>
        <w:pStyle w:val="12"/>
        <w:numPr>
          <w:ilvl w:val="0"/>
          <w:numId w:val="6"/>
        </w:numPr>
        <w:spacing w:before="29" w:line="360" w:lineRule="auto"/>
        <w:ind w:firstLineChars="0"/>
      </w:pPr>
      <w:r>
        <w:t>运用数字化、智能化手段支持ESG数据的收集、分析、管理与披露。</w:t>
      </w:r>
    </w:p>
    <w:p w14:paraId="50D8D7DF">
      <w:pPr>
        <w:pStyle w:val="12"/>
        <w:spacing w:before="22" w:line="360" w:lineRule="auto"/>
        <w:ind w:firstLine="418"/>
        <w:rPr>
          <w:szCs w:val="21"/>
        </w:rPr>
      </w:pPr>
      <w:r>
        <w:rPr>
          <w:spacing w:val="-1"/>
          <w:szCs w:val="21"/>
        </w:rPr>
        <w:t>在多层级的企业结构中，企业应构建决策部署、监督管理和企业实施三级过程。</w:t>
      </w:r>
    </w:p>
    <w:p w14:paraId="29DE6BB1">
      <w:pPr>
        <w:pStyle w:val="28"/>
        <w:spacing w:before="240" w:after="240" w:line="360" w:lineRule="auto"/>
      </w:pPr>
      <w:bookmarkStart w:id="14" w:name="_Toc7240"/>
      <w:r>
        <w:t>领导作用和利益相关方参与</w:t>
      </w:r>
      <w:bookmarkEnd w:id="14"/>
    </w:p>
    <w:p w14:paraId="54D62B6F">
      <w:pPr>
        <w:pStyle w:val="3"/>
        <w:spacing w:before="262" w:line="360" w:lineRule="auto"/>
        <w:ind w:left="334" w:hanging="334"/>
        <w:rPr>
          <w:rFonts w:hint="eastAsia"/>
          <w:szCs w:val="21"/>
        </w:rPr>
      </w:pPr>
      <w:r>
        <w:rPr>
          <w:rFonts w:hint="eastAsia"/>
          <w:spacing w:val="-43"/>
          <w:position w:val="-1"/>
          <w:szCs w:val="21"/>
        </w:rPr>
        <w:t>5.1</w:t>
      </w:r>
      <w:r>
        <w:t xml:space="preserve">  </w:t>
      </w:r>
      <w:r>
        <w:rPr>
          <w:spacing w:val="-2"/>
          <w:szCs w:val="21"/>
        </w:rPr>
        <w:t>最高管理者作用与承诺</w:t>
      </w:r>
    </w:p>
    <w:p w14:paraId="374D1BC3">
      <w:pPr>
        <w:pStyle w:val="4"/>
        <w:widowControl/>
        <w:numPr>
          <w:ilvl w:val="0"/>
          <w:numId w:val="7"/>
        </w:numPr>
        <w:spacing w:before="144" w:line="360" w:lineRule="auto"/>
        <w:rPr>
          <w:rFonts w:ascii="Times New Roman"/>
          <w:szCs w:val="21"/>
        </w:rPr>
      </w:pPr>
      <w:r>
        <w:rPr>
          <w:spacing w:val="-1"/>
          <w:szCs w:val="21"/>
        </w:rPr>
        <w:t>最高管理者</w:t>
      </w:r>
    </w:p>
    <w:p w14:paraId="242EEAE6">
      <w:pPr>
        <w:pStyle w:val="12"/>
        <w:spacing w:before="139" w:line="360" w:lineRule="auto"/>
        <w:rPr>
          <w:szCs w:val="21"/>
        </w:rPr>
      </w:pPr>
      <w:r>
        <w:rPr>
          <w:szCs w:val="21"/>
        </w:rPr>
        <w:t>最高管理者应通过以下方式证实其在ESG管理体系方面的领</w:t>
      </w:r>
      <w:r>
        <w:rPr>
          <w:spacing w:val="-1"/>
          <w:szCs w:val="21"/>
        </w:rPr>
        <w:t>导作用和承诺：</w:t>
      </w:r>
    </w:p>
    <w:p w14:paraId="36F631FA">
      <w:pPr>
        <w:pStyle w:val="12"/>
        <w:numPr>
          <w:ilvl w:val="0"/>
          <w:numId w:val="8"/>
        </w:numPr>
        <w:spacing w:before="23" w:line="360" w:lineRule="auto"/>
        <w:ind w:firstLineChars="0"/>
        <w:rPr>
          <w:rFonts w:hint="eastAsia" w:ascii="Times New Roman" w:hAnsi="宋体" w:cs="宋体"/>
          <w:szCs w:val="21"/>
        </w:rPr>
      </w:pPr>
      <w:r>
        <w:rPr>
          <w:spacing w:val="-1"/>
          <w:szCs w:val="21"/>
        </w:rPr>
        <w:t>对防止不良影响和促进有益影响全面负责并担责；</w:t>
      </w:r>
    </w:p>
    <w:p w14:paraId="1DE8150C">
      <w:pPr>
        <w:pStyle w:val="12"/>
        <w:numPr>
          <w:ilvl w:val="0"/>
          <w:numId w:val="8"/>
        </w:numPr>
        <w:spacing w:before="21" w:line="360" w:lineRule="auto"/>
        <w:ind w:right="74" w:firstLineChars="0"/>
        <w:rPr>
          <w:rFonts w:hint="eastAsia" w:ascii="Times New Roman" w:hAnsi="宋体" w:cs="宋体"/>
          <w:szCs w:val="21"/>
        </w:rPr>
      </w:pPr>
      <w:r>
        <w:rPr>
          <w:spacing w:val="-2"/>
          <w:szCs w:val="21"/>
        </w:rPr>
        <w:t>审查和监管</w:t>
      </w:r>
      <w:r>
        <w:rPr>
          <w:spacing w:val="-47"/>
          <w:szCs w:val="21"/>
        </w:rPr>
        <w:t xml:space="preserve"> </w:t>
      </w:r>
      <w:r>
        <w:rPr>
          <w:spacing w:val="-2"/>
          <w:szCs w:val="21"/>
        </w:rPr>
        <w:t>ESG</w:t>
      </w:r>
      <w:r>
        <w:rPr>
          <w:spacing w:val="-46"/>
          <w:szCs w:val="21"/>
        </w:rPr>
        <w:t xml:space="preserve"> </w:t>
      </w:r>
      <w:r>
        <w:rPr>
          <w:spacing w:val="-2"/>
          <w:szCs w:val="21"/>
        </w:rPr>
        <w:t>相关风险和机遇的变化，确</w:t>
      </w:r>
      <w:r>
        <w:rPr>
          <w:spacing w:val="-3"/>
          <w:szCs w:val="21"/>
        </w:rPr>
        <w:t>保其纳入企业的发展方向和决策体系，并审批企业</w:t>
      </w:r>
      <w:r>
        <w:rPr>
          <w:szCs w:val="21"/>
        </w:rPr>
        <w:t xml:space="preserve"> </w:t>
      </w:r>
      <w:r>
        <w:rPr>
          <w:spacing w:val="-2"/>
          <w:szCs w:val="21"/>
        </w:rPr>
        <w:t>ESG</w:t>
      </w:r>
      <w:r>
        <w:rPr>
          <w:spacing w:val="-38"/>
          <w:szCs w:val="21"/>
        </w:rPr>
        <w:t xml:space="preserve"> </w:t>
      </w:r>
      <w:r>
        <w:rPr>
          <w:spacing w:val="-2"/>
          <w:szCs w:val="21"/>
        </w:rPr>
        <w:t>方针和目标；</w:t>
      </w:r>
    </w:p>
    <w:p w14:paraId="6B7C1CF0">
      <w:pPr>
        <w:pStyle w:val="12"/>
        <w:numPr>
          <w:ilvl w:val="0"/>
          <w:numId w:val="8"/>
        </w:numPr>
        <w:spacing w:before="19" w:line="360" w:lineRule="auto"/>
        <w:ind w:firstLineChars="0"/>
        <w:rPr>
          <w:rFonts w:hint="eastAsia" w:ascii="Times New Roman" w:hAnsi="宋体" w:cs="宋体"/>
          <w:szCs w:val="21"/>
        </w:rPr>
      </w:pPr>
      <w:r>
        <w:rPr>
          <w:spacing w:val="-2"/>
          <w:szCs w:val="21"/>
        </w:rPr>
        <w:t>确保</w:t>
      </w:r>
      <w:r>
        <w:rPr>
          <w:spacing w:val="-47"/>
          <w:szCs w:val="21"/>
        </w:rPr>
        <w:t xml:space="preserve"> </w:t>
      </w:r>
      <w:r>
        <w:rPr>
          <w:spacing w:val="-2"/>
          <w:szCs w:val="21"/>
        </w:rPr>
        <w:t>ESG</w:t>
      </w:r>
      <w:r>
        <w:rPr>
          <w:spacing w:val="-43"/>
          <w:szCs w:val="21"/>
        </w:rPr>
        <w:t xml:space="preserve"> </w:t>
      </w:r>
      <w:r>
        <w:rPr>
          <w:spacing w:val="-2"/>
          <w:szCs w:val="21"/>
        </w:rPr>
        <w:t>方针和相关目标得以建立；</w:t>
      </w:r>
    </w:p>
    <w:p w14:paraId="136F0A24">
      <w:pPr>
        <w:pStyle w:val="12"/>
        <w:numPr>
          <w:ilvl w:val="0"/>
          <w:numId w:val="8"/>
        </w:numPr>
        <w:spacing w:before="68" w:line="360" w:lineRule="auto"/>
        <w:ind w:firstLineChars="0"/>
        <w:rPr>
          <w:rFonts w:hint="eastAsia" w:ascii="Times New Roman" w:hAnsi="宋体" w:cs="宋体"/>
          <w:szCs w:val="21"/>
        </w:rPr>
      </w:pPr>
      <w:r>
        <w:rPr>
          <w:spacing w:val="-1"/>
          <w:szCs w:val="21"/>
        </w:rPr>
        <w:t>确保将</w:t>
      </w:r>
      <w:r>
        <w:rPr>
          <w:spacing w:val="-37"/>
          <w:szCs w:val="21"/>
        </w:rPr>
        <w:t xml:space="preserve"> </w:t>
      </w:r>
      <w:r>
        <w:rPr>
          <w:spacing w:val="-1"/>
          <w:szCs w:val="21"/>
        </w:rPr>
        <w:t>ESG</w:t>
      </w:r>
      <w:r>
        <w:rPr>
          <w:spacing w:val="-41"/>
          <w:szCs w:val="21"/>
        </w:rPr>
        <w:t xml:space="preserve"> </w:t>
      </w:r>
      <w:r>
        <w:rPr>
          <w:spacing w:val="-1"/>
          <w:szCs w:val="21"/>
        </w:rPr>
        <w:t>管理体系要求融入企业的各项业务过程；</w:t>
      </w:r>
    </w:p>
    <w:p w14:paraId="25E4D0BC">
      <w:pPr>
        <w:pStyle w:val="12"/>
        <w:numPr>
          <w:ilvl w:val="0"/>
          <w:numId w:val="8"/>
        </w:numPr>
        <w:spacing w:before="22" w:line="360" w:lineRule="auto"/>
        <w:ind w:firstLineChars="0"/>
        <w:rPr>
          <w:rFonts w:hint="eastAsia" w:ascii="Times New Roman" w:hAnsi="宋体" w:cs="宋体"/>
          <w:szCs w:val="21"/>
        </w:rPr>
      </w:pPr>
      <w:r>
        <w:rPr>
          <w:spacing w:val="-2"/>
          <w:szCs w:val="21"/>
        </w:rPr>
        <w:t>确保企业的其他相关管理体系能够与</w:t>
      </w:r>
      <w:r>
        <w:rPr>
          <w:spacing w:val="-34"/>
          <w:szCs w:val="21"/>
        </w:rPr>
        <w:t xml:space="preserve"> </w:t>
      </w:r>
      <w:r>
        <w:rPr>
          <w:spacing w:val="-2"/>
          <w:szCs w:val="21"/>
        </w:rPr>
        <w:t>ESG</w:t>
      </w:r>
      <w:r>
        <w:rPr>
          <w:spacing w:val="-41"/>
          <w:szCs w:val="21"/>
        </w:rPr>
        <w:t xml:space="preserve"> </w:t>
      </w:r>
      <w:r>
        <w:rPr>
          <w:spacing w:val="-2"/>
          <w:szCs w:val="21"/>
        </w:rPr>
        <w:t>管理体系相互对接和协同运行，并有效应对相关</w:t>
      </w:r>
      <w:r>
        <w:rPr>
          <w:spacing w:val="-46"/>
          <w:szCs w:val="21"/>
        </w:rPr>
        <w:t xml:space="preserve"> </w:t>
      </w:r>
      <w:r>
        <w:rPr>
          <w:spacing w:val="-2"/>
          <w:szCs w:val="21"/>
        </w:rPr>
        <w:t>ESG</w:t>
      </w:r>
      <w:r>
        <w:rPr>
          <w:szCs w:val="21"/>
        </w:rPr>
        <w:t xml:space="preserve"> </w:t>
      </w:r>
      <w:r>
        <w:rPr>
          <w:spacing w:val="-13"/>
          <w:szCs w:val="21"/>
        </w:rPr>
        <w:t>议题；</w:t>
      </w:r>
    </w:p>
    <w:p w14:paraId="562884FA">
      <w:pPr>
        <w:pStyle w:val="12"/>
        <w:numPr>
          <w:ilvl w:val="0"/>
          <w:numId w:val="8"/>
        </w:numPr>
        <w:spacing w:before="21" w:line="360" w:lineRule="auto"/>
        <w:ind w:firstLineChars="0"/>
        <w:rPr>
          <w:rFonts w:hint="eastAsia" w:ascii="Times New Roman" w:hAnsi="宋体" w:cs="宋体"/>
          <w:szCs w:val="21"/>
        </w:rPr>
      </w:pPr>
      <w:r>
        <w:rPr>
          <w:szCs w:val="21"/>
        </w:rPr>
        <w:t>确保可获得建立、实施、保持和改进</w:t>
      </w:r>
      <w:r>
        <w:rPr>
          <w:spacing w:val="-47"/>
          <w:szCs w:val="21"/>
        </w:rPr>
        <w:t xml:space="preserve"> </w:t>
      </w:r>
      <w:r>
        <w:rPr>
          <w:szCs w:val="21"/>
        </w:rPr>
        <w:t>ESG</w:t>
      </w:r>
      <w:r>
        <w:rPr>
          <w:spacing w:val="-41"/>
          <w:szCs w:val="21"/>
        </w:rPr>
        <w:t xml:space="preserve"> </w:t>
      </w:r>
      <w:r>
        <w:rPr>
          <w:spacing w:val="-1"/>
          <w:szCs w:val="21"/>
        </w:rPr>
        <w:t>管理体系所需的资源、能力和意识；</w:t>
      </w:r>
    </w:p>
    <w:p w14:paraId="6B824C00">
      <w:pPr>
        <w:pStyle w:val="12"/>
        <w:numPr>
          <w:ilvl w:val="0"/>
          <w:numId w:val="8"/>
        </w:numPr>
        <w:spacing w:before="20" w:line="360" w:lineRule="auto"/>
        <w:ind w:firstLineChars="0"/>
        <w:rPr>
          <w:rFonts w:hint="eastAsia" w:ascii="Times New Roman" w:hAnsi="宋体" w:cs="宋体"/>
          <w:szCs w:val="21"/>
        </w:rPr>
      </w:pPr>
      <w:r>
        <w:rPr>
          <w:spacing w:val="-1"/>
          <w:szCs w:val="21"/>
        </w:rPr>
        <w:t>就有效的</w:t>
      </w:r>
      <w:r>
        <w:rPr>
          <w:spacing w:val="-47"/>
          <w:szCs w:val="21"/>
        </w:rPr>
        <w:t xml:space="preserve"> </w:t>
      </w:r>
      <w:r>
        <w:rPr>
          <w:spacing w:val="-1"/>
          <w:szCs w:val="21"/>
        </w:rPr>
        <w:t>ESG</w:t>
      </w:r>
      <w:r>
        <w:rPr>
          <w:spacing w:val="-39"/>
          <w:szCs w:val="21"/>
        </w:rPr>
        <w:t xml:space="preserve"> </w:t>
      </w:r>
      <w:r>
        <w:rPr>
          <w:spacing w:val="-1"/>
          <w:szCs w:val="21"/>
        </w:rPr>
        <w:t>管理和符合</w:t>
      </w:r>
      <w:r>
        <w:rPr>
          <w:spacing w:val="-48"/>
          <w:szCs w:val="21"/>
        </w:rPr>
        <w:t xml:space="preserve"> </w:t>
      </w:r>
      <w:r>
        <w:rPr>
          <w:spacing w:val="-1"/>
          <w:szCs w:val="21"/>
        </w:rPr>
        <w:t>ESG</w:t>
      </w:r>
      <w:r>
        <w:rPr>
          <w:spacing w:val="-39"/>
          <w:szCs w:val="21"/>
        </w:rPr>
        <w:t xml:space="preserve"> </w:t>
      </w:r>
      <w:r>
        <w:rPr>
          <w:spacing w:val="-1"/>
          <w:szCs w:val="21"/>
        </w:rPr>
        <w:t>管理体系要求的重要性进</w:t>
      </w:r>
      <w:r>
        <w:rPr>
          <w:spacing w:val="-2"/>
          <w:szCs w:val="21"/>
        </w:rPr>
        <w:t>行沟通；</w:t>
      </w:r>
    </w:p>
    <w:p w14:paraId="00AA8C66">
      <w:pPr>
        <w:pStyle w:val="12"/>
        <w:numPr>
          <w:ilvl w:val="0"/>
          <w:numId w:val="8"/>
        </w:numPr>
        <w:spacing w:before="28" w:line="360" w:lineRule="auto"/>
        <w:ind w:firstLineChars="0"/>
        <w:rPr>
          <w:rFonts w:hint="eastAsia" w:ascii="Times New Roman" w:hAnsi="宋体" w:cs="宋体"/>
          <w:szCs w:val="21"/>
        </w:rPr>
      </w:pPr>
      <w:r>
        <w:rPr>
          <w:spacing w:val="-1"/>
          <w:szCs w:val="21"/>
        </w:rPr>
        <w:t>确保</w:t>
      </w:r>
      <w:r>
        <w:rPr>
          <w:spacing w:val="-41"/>
          <w:szCs w:val="21"/>
        </w:rPr>
        <w:t xml:space="preserve"> </w:t>
      </w:r>
      <w:r>
        <w:rPr>
          <w:spacing w:val="-1"/>
          <w:szCs w:val="21"/>
        </w:rPr>
        <w:t>ESG</w:t>
      </w:r>
      <w:r>
        <w:rPr>
          <w:spacing w:val="-39"/>
          <w:szCs w:val="21"/>
        </w:rPr>
        <w:t xml:space="preserve"> </w:t>
      </w:r>
      <w:r>
        <w:rPr>
          <w:spacing w:val="-1"/>
          <w:szCs w:val="21"/>
        </w:rPr>
        <w:t>管理体系实现其预期结果；</w:t>
      </w:r>
    </w:p>
    <w:p w14:paraId="29D8C3DA">
      <w:pPr>
        <w:pStyle w:val="12"/>
        <w:numPr>
          <w:ilvl w:val="0"/>
          <w:numId w:val="8"/>
        </w:numPr>
        <w:spacing w:before="20" w:line="360" w:lineRule="auto"/>
        <w:ind w:firstLineChars="0"/>
        <w:rPr>
          <w:rFonts w:hint="eastAsia" w:ascii="Times New Roman" w:hAnsi="宋体" w:cs="宋体"/>
          <w:szCs w:val="21"/>
        </w:rPr>
      </w:pPr>
      <w:r>
        <w:rPr>
          <w:spacing w:val="-1"/>
          <w:szCs w:val="21"/>
        </w:rPr>
        <w:t>确保并促进持续改进；</w:t>
      </w:r>
    </w:p>
    <w:p w14:paraId="7BDE4EC5">
      <w:pPr>
        <w:pStyle w:val="12"/>
        <w:numPr>
          <w:ilvl w:val="0"/>
          <w:numId w:val="8"/>
        </w:numPr>
        <w:spacing w:before="24" w:line="360" w:lineRule="auto"/>
        <w:ind w:firstLineChars="0"/>
        <w:rPr>
          <w:rFonts w:hint="eastAsia" w:ascii="Times New Roman" w:hAnsi="宋体" w:cs="宋体"/>
          <w:szCs w:val="21"/>
        </w:rPr>
      </w:pPr>
      <w:r>
        <w:rPr>
          <w:szCs w:val="21"/>
        </w:rPr>
        <w:t>支持其他相关管理人员证实在其职责范围内的领导作用，并为 ESG 管理</w:t>
      </w:r>
      <w:r>
        <w:rPr>
          <w:spacing w:val="-1"/>
          <w:szCs w:val="21"/>
        </w:rPr>
        <w:t>体系有效性做出的</w:t>
      </w:r>
      <w:r>
        <w:rPr>
          <w:rFonts w:hint="eastAsia"/>
          <w:spacing w:val="-1"/>
          <w:szCs w:val="21"/>
        </w:rPr>
        <w:t>贡献</w:t>
      </w:r>
      <w:r>
        <w:rPr>
          <w:spacing w:val="-4"/>
          <w:szCs w:val="21"/>
        </w:rPr>
        <w:t>；</w:t>
      </w:r>
    </w:p>
    <w:p w14:paraId="1A80D956">
      <w:pPr>
        <w:pStyle w:val="12"/>
        <w:numPr>
          <w:ilvl w:val="0"/>
          <w:numId w:val="8"/>
        </w:numPr>
        <w:spacing w:before="19" w:line="360" w:lineRule="auto"/>
        <w:ind w:firstLineChars="0"/>
        <w:rPr>
          <w:rFonts w:hint="eastAsia" w:ascii="Times New Roman" w:hAnsi="宋体" w:cs="宋体"/>
          <w:szCs w:val="21"/>
        </w:rPr>
      </w:pPr>
      <w:r>
        <w:rPr>
          <w:szCs w:val="21"/>
        </w:rPr>
        <w:t>保护员工及其他利益相关方不因报告事件、不良影响因素、风险而遭受报复；</w:t>
      </w:r>
    </w:p>
    <w:p w14:paraId="5C1E7A8D">
      <w:pPr>
        <w:pStyle w:val="12"/>
        <w:numPr>
          <w:ilvl w:val="0"/>
          <w:numId w:val="8"/>
        </w:numPr>
        <w:spacing w:before="24" w:line="360" w:lineRule="auto"/>
        <w:ind w:firstLineChars="0"/>
      </w:pPr>
      <w:r>
        <w:rPr>
          <w:spacing w:val="-1"/>
          <w:szCs w:val="21"/>
        </w:rPr>
        <w:t>确保企业建立和实施利益相关方的协商和参与的过程</w:t>
      </w:r>
      <w:r>
        <w:t>；</w:t>
      </w:r>
    </w:p>
    <w:p w14:paraId="185069E9">
      <w:pPr>
        <w:pStyle w:val="12"/>
        <w:numPr>
          <w:ilvl w:val="0"/>
          <w:numId w:val="8"/>
        </w:numPr>
        <w:spacing w:before="24" w:line="360" w:lineRule="auto"/>
        <w:ind w:firstLineChars="0"/>
        <w:rPr>
          <w:rFonts w:hint="eastAsia" w:ascii="Times New Roman" w:hAnsi="宋体" w:cs="宋体"/>
          <w:szCs w:val="21"/>
        </w:rPr>
      </w:pPr>
      <w:r>
        <w:t>确保企业建立可持续披露相关的信息收集、审核与内部控制机制，保障 ESG 报告信息的准确、完整和可验证。</w:t>
      </w:r>
    </w:p>
    <w:p w14:paraId="5FFBDEB1">
      <w:pPr>
        <w:pStyle w:val="12"/>
        <w:spacing w:before="16" w:line="360" w:lineRule="auto"/>
        <w:ind w:left="372" w:firstLine="416"/>
        <w:rPr>
          <w:rFonts w:hint="eastAsia" w:hAnsi="宋体" w:cs="宋体"/>
          <w:sz w:val="18"/>
          <w:szCs w:val="18"/>
        </w:rPr>
      </w:pPr>
      <w:r>
        <w:rPr>
          <w:bCs/>
          <w:spacing w:val="-2"/>
          <w:szCs w:val="18"/>
        </w:rPr>
        <w:t>注：</w:t>
      </w:r>
      <w:r>
        <w:rPr>
          <w:spacing w:val="-2"/>
          <w:szCs w:val="18"/>
        </w:rPr>
        <w:t>本文件所提及的</w:t>
      </w:r>
      <w:r>
        <w:rPr>
          <w:rFonts w:hint="eastAsia"/>
          <w:spacing w:val="-2"/>
          <w:szCs w:val="18"/>
        </w:rPr>
        <w:t>“业务”</w:t>
      </w:r>
      <w:r>
        <w:rPr>
          <w:spacing w:val="-2"/>
          <w:szCs w:val="18"/>
        </w:rPr>
        <w:t>可从广义上理解为涉及组织存在目的的那些核心活动。</w:t>
      </w:r>
    </w:p>
    <w:p w14:paraId="5C9B1E57">
      <w:pPr>
        <w:pStyle w:val="4"/>
        <w:widowControl/>
        <w:numPr>
          <w:ilvl w:val="0"/>
          <w:numId w:val="7"/>
        </w:numPr>
        <w:spacing w:before="121" w:line="360" w:lineRule="auto"/>
        <w:rPr>
          <w:rFonts w:ascii="Times New Roman"/>
          <w:szCs w:val="21"/>
        </w:rPr>
      </w:pPr>
      <w:r>
        <w:rPr>
          <w:spacing w:val="-1"/>
          <w:szCs w:val="21"/>
        </w:rPr>
        <w:t>ESG</w:t>
      </w:r>
      <w:r>
        <w:rPr>
          <w:spacing w:val="-39"/>
          <w:szCs w:val="21"/>
        </w:rPr>
        <w:t xml:space="preserve"> </w:t>
      </w:r>
      <w:r>
        <w:rPr>
          <w:spacing w:val="-1"/>
          <w:szCs w:val="21"/>
        </w:rPr>
        <w:t>文化</w:t>
      </w:r>
    </w:p>
    <w:p w14:paraId="45E7DAFA">
      <w:pPr>
        <w:pStyle w:val="12"/>
        <w:spacing w:before="143" w:line="360" w:lineRule="auto"/>
        <w:ind w:firstLine="418"/>
        <w:rPr>
          <w:szCs w:val="21"/>
        </w:rPr>
      </w:pPr>
      <w:r>
        <w:rPr>
          <w:spacing w:val="-1"/>
          <w:szCs w:val="21"/>
        </w:rPr>
        <w:t>企业应在其内部各个层级建立、维护并推广</w:t>
      </w:r>
      <w:r>
        <w:rPr>
          <w:spacing w:val="-46"/>
          <w:szCs w:val="21"/>
        </w:rPr>
        <w:t xml:space="preserve"> </w:t>
      </w:r>
      <w:r>
        <w:rPr>
          <w:spacing w:val="-1"/>
          <w:szCs w:val="21"/>
        </w:rPr>
        <w:t>ESG</w:t>
      </w:r>
      <w:r>
        <w:rPr>
          <w:spacing w:val="-43"/>
          <w:szCs w:val="21"/>
        </w:rPr>
        <w:t xml:space="preserve"> </w:t>
      </w:r>
      <w:r>
        <w:rPr>
          <w:spacing w:val="-1"/>
          <w:szCs w:val="21"/>
        </w:rPr>
        <w:t>文化，以支持</w:t>
      </w:r>
      <w:r>
        <w:rPr>
          <w:spacing w:val="-46"/>
          <w:szCs w:val="21"/>
        </w:rPr>
        <w:t xml:space="preserve"> </w:t>
      </w:r>
      <w:r>
        <w:rPr>
          <w:spacing w:val="-1"/>
          <w:szCs w:val="21"/>
        </w:rPr>
        <w:t>ES</w:t>
      </w:r>
      <w:r>
        <w:rPr>
          <w:spacing w:val="-2"/>
          <w:szCs w:val="21"/>
        </w:rPr>
        <w:t>G</w:t>
      </w:r>
      <w:r>
        <w:rPr>
          <w:spacing w:val="-41"/>
          <w:szCs w:val="21"/>
        </w:rPr>
        <w:t xml:space="preserve"> </w:t>
      </w:r>
      <w:r>
        <w:rPr>
          <w:spacing w:val="-2"/>
          <w:szCs w:val="21"/>
        </w:rPr>
        <w:t>管理体系达到预期结果。</w:t>
      </w:r>
    </w:p>
    <w:p w14:paraId="6AC88DD2">
      <w:pPr>
        <w:pStyle w:val="12"/>
        <w:spacing w:before="19" w:line="360" w:lineRule="auto"/>
        <w:ind w:firstLine="416"/>
        <w:rPr>
          <w:szCs w:val="21"/>
        </w:rPr>
      </w:pPr>
      <w:r>
        <w:rPr>
          <w:spacing w:val="-2"/>
          <w:szCs w:val="21"/>
        </w:rPr>
        <w:t>对于整个组织所要求的共同行为准则，最高管理者应做出积极的、</w:t>
      </w:r>
      <w:r>
        <w:rPr>
          <w:spacing w:val="-3"/>
          <w:szCs w:val="21"/>
        </w:rPr>
        <w:t>明示的、一致且持续的承诺，并</w:t>
      </w:r>
      <w:r>
        <w:rPr>
          <w:spacing w:val="-2"/>
          <w:szCs w:val="21"/>
        </w:rPr>
        <w:t>鼓励倡导和支持</w:t>
      </w:r>
      <w:r>
        <w:rPr>
          <w:spacing w:val="-35"/>
          <w:szCs w:val="21"/>
        </w:rPr>
        <w:t xml:space="preserve"> </w:t>
      </w:r>
      <w:r>
        <w:rPr>
          <w:spacing w:val="-2"/>
          <w:szCs w:val="21"/>
        </w:rPr>
        <w:t>ESG</w:t>
      </w:r>
      <w:r>
        <w:rPr>
          <w:spacing w:val="-45"/>
          <w:szCs w:val="21"/>
        </w:rPr>
        <w:t xml:space="preserve"> </w:t>
      </w:r>
      <w:r>
        <w:rPr>
          <w:spacing w:val="-2"/>
          <w:szCs w:val="21"/>
        </w:rPr>
        <w:t>文化的行为。</w:t>
      </w:r>
    </w:p>
    <w:p w14:paraId="2AF5ABCC">
      <w:pPr>
        <w:pStyle w:val="3"/>
        <w:spacing w:before="114" w:line="360" w:lineRule="auto"/>
        <w:ind w:left="418" w:hanging="418"/>
        <w:rPr>
          <w:rFonts w:hint="eastAsia"/>
          <w:szCs w:val="21"/>
        </w:rPr>
      </w:pPr>
      <w:r>
        <w:rPr>
          <w:spacing w:val="-1"/>
          <w:position w:val="2"/>
          <w:szCs w:val="22"/>
        </w:rPr>
        <w:t>5.2</w:t>
      </w:r>
      <w:r>
        <w:rPr>
          <w:spacing w:val="17"/>
          <w:position w:val="2"/>
          <w:szCs w:val="22"/>
        </w:rPr>
        <w:t xml:space="preserve">   </w:t>
      </w:r>
      <w:r>
        <w:rPr>
          <w:spacing w:val="-1"/>
          <w:szCs w:val="21"/>
        </w:rPr>
        <w:t>企业发展方向和决策体系</w:t>
      </w:r>
    </w:p>
    <w:p w14:paraId="2DCC8A5A">
      <w:pPr>
        <w:pStyle w:val="12"/>
        <w:spacing w:before="145" w:line="360" w:lineRule="auto"/>
        <w:rPr>
          <w:szCs w:val="21"/>
        </w:rPr>
      </w:pPr>
      <w:r>
        <w:rPr>
          <w:szCs w:val="21"/>
        </w:rPr>
        <w:t>企业应清楚、明确和充分地将其ESG管理理念反映到能表明其发展方向的宗旨、愿景、价值观和</w:t>
      </w:r>
      <w:r>
        <w:rPr>
          <w:rFonts w:hint="eastAsia"/>
          <w:szCs w:val="21"/>
        </w:rPr>
        <w:t>战略</w:t>
      </w:r>
      <w:r>
        <w:rPr>
          <w:szCs w:val="21"/>
        </w:rPr>
        <w:t>以及最高管理层的声明和行动之中，使ESG成为其政策、文化、战略、结构和运行的重要且有效的</w:t>
      </w:r>
      <w:r>
        <w:rPr>
          <w:rFonts w:hint="eastAsia"/>
          <w:szCs w:val="21"/>
        </w:rPr>
        <w:t>组成部分</w:t>
      </w:r>
      <w:r>
        <w:rPr>
          <w:spacing w:val="-2"/>
          <w:szCs w:val="21"/>
        </w:rPr>
        <w:t>。</w:t>
      </w:r>
    </w:p>
    <w:p w14:paraId="1AE45EFD">
      <w:pPr>
        <w:pStyle w:val="12"/>
        <w:spacing w:line="360" w:lineRule="auto"/>
        <w:rPr>
          <w:szCs w:val="21"/>
        </w:rPr>
      </w:pPr>
      <w:r>
        <w:rPr>
          <w:szCs w:val="21"/>
        </w:rPr>
        <w:t>企业发展方向应形成文件化信息，并为利益相</w:t>
      </w:r>
      <w:r>
        <w:rPr>
          <w:spacing w:val="-1"/>
          <w:szCs w:val="21"/>
        </w:rPr>
        <w:t>关方可获得。</w:t>
      </w:r>
    </w:p>
    <w:p w14:paraId="461CBD8B">
      <w:pPr>
        <w:pStyle w:val="12"/>
        <w:spacing w:before="21" w:line="360" w:lineRule="auto"/>
        <w:ind w:right="47" w:firstLine="418"/>
        <w:rPr>
          <w:szCs w:val="21"/>
        </w:rPr>
      </w:pPr>
      <w:r>
        <w:rPr>
          <w:spacing w:val="-1"/>
          <w:szCs w:val="21"/>
        </w:rPr>
        <w:t>企业应建立、实施和保持过程，定期评审其决策体系，以确保其决策过程能够充分考虑ESG</w:t>
      </w:r>
      <w:r>
        <w:rPr>
          <w:spacing w:val="-2"/>
          <w:szCs w:val="21"/>
        </w:rPr>
        <w:t>管理，</w:t>
      </w:r>
      <w:r>
        <w:rPr>
          <w:szCs w:val="21"/>
        </w:rPr>
        <w:t xml:space="preserve"> 并有效防止和控制不良影响、积极促进有益影响以及主</w:t>
      </w:r>
      <w:r>
        <w:rPr>
          <w:spacing w:val="-1"/>
          <w:szCs w:val="21"/>
        </w:rPr>
        <w:t>动改进其ESG绩效。</w:t>
      </w:r>
    </w:p>
    <w:p w14:paraId="57A048B9">
      <w:pPr>
        <w:pStyle w:val="3"/>
        <w:spacing w:before="114" w:line="360" w:lineRule="auto"/>
        <w:ind w:left="416" w:hanging="416"/>
        <w:rPr>
          <w:rFonts w:hint="eastAsia"/>
          <w:szCs w:val="21"/>
        </w:rPr>
      </w:pPr>
      <w:r>
        <w:rPr>
          <w:spacing w:val="-2"/>
          <w:position w:val="1"/>
          <w:szCs w:val="22"/>
        </w:rPr>
        <w:t>5.3</w:t>
      </w:r>
      <w:r>
        <w:rPr>
          <w:spacing w:val="15"/>
          <w:position w:val="1"/>
          <w:szCs w:val="22"/>
        </w:rPr>
        <w:t xml:space="preserve">   </w:t>
      </w:r>
      <w:r>
        <w:rPr>
          <w:spacing w:val="-2"/>
          <w:position w:val="-1"/>
          <w:szCs w:val="21"/>
        </w:rPr>
        <w:t>ESG</w:t>
      </w:r>
      <w:r>
        <w:rPr>
          <w:spacing w:val="-39"/>
          <w:position w:val="-1"/>
          <w:szCs w:val="21"/>
        </w:rPr>
        <w:t xml:space="preserve"> </w:t>
      </w:r>
      <w:r>
        <w:rPr>
          <w:spacing w:val="-2"/>
          <w:position w:val="-1"/>
          <w:szCs w:val="21"/>
        </w:rPr>
        <w:t>方针</w:t>
      </w:r>
    </w:p>
    <w:p w14:paraId="3B12C922">
      <w:pPr>
        <w:pStyle w:val="12"/>
        <w:spacing w:before="144" w:line="360" w:lineRule="auto"/>
        <w:ind w:firstLine="416"/>
        <w:rPr>
          <w:szCs w:val="21"/>
        </w:rPr>
      </w:pPr>
      <w:r>
        <w:rPr>
          <w:spacing w:val="-2"/>
          <w:szCs w:val="21"/>
        </w:rPr>
        <w:t>最高管理者应按以下要求建立、实施并保持企业ESG方针：</w:t>
      </w:r>
    </w:p>
    <w:p w14:paraId="5ABAF4B7">
      <w:pPr>
        <w:pStyle w:val="12"/>
        <w:numPr>
          <w:ilvl w:val="0"/>
          <w:numId w:val="9"/>
        </w:numPr>
        <w:spacing w:before="22" w:line="360" w:lineRule="auto"/>
        <w:ind w:firstLineChars="0"/>
        <w:rPr>
          <w:rFonts w:hint="eastAsia" w:ascii="Times New Roman" w:hAnsi="宋体" w:cs="宋体"/>
          <w:szCs w:val="21"/>
        </w:rPr>
      </w:pPr>
      <w:r>
        <w:rPr>
          <w:spacing w:val="-2"/>
          <w:szCs w:val="21"/>
        </w:rPr>
        <w:t>包括防止不良影响和促进有益影响的承诺，并适合于企业</w:t>
      </w:r>
      <w:r>
        <w:rPr>
          <w:spacing w:val="-3"/>
          <w:szCs w:val="21"/>
        </w:rPr>
        <w:t>的宗旨和规模、所处的环境，以及企</w:t>
      </w:r>
      <w:r>
        <w:rPr>
          <w:szCs w:val="21"/>
        </w:rPr>
        <w:t xml:space="preserve"> </w:t>
      </w:r>
      <w:r>
        <w:rPr>
          <w:spacing w:val="-2"/>
          <w:szCs w:val="21"/>
        </w:rPr>
        <w:t>业的</w:t>
      </w:r>
      <w:r>
        <w:rPr>
          <w:spacing w:val="-40"/>
          <w:szCs w:val="21"/>
        </w:rPr>
        <w:t xml:space="preserve"> </w:t>
      </w:r>
      <w:r>
        <w:rPr>
          <w:spacing w:val="-2"/>
          <w:szCs w:val="21"/>
        </w:rPr>
        <w:t>ESG</w:t>
      </w:r>
      <w:r>
        <w:rPr>
          <w:spacing w:val="-43"/>
          <w:szCs w:val="21"/>
        </w:rPr>
        <w:t xml:space="preserve"> </w:t>
      </w:r>
      <w:r>
        <w:rPr>
          <w:spacing w:val="-2"/>
          <w:szCs w:val="21"/>
        </w:rPr>
        <w:t>风险和机遇的特性；</w:t>
      </w:r>
    </w:p>
    <w:p w14:paraId="514B08BD">
      <w:pPr>
        <w:pStyle w:val="12"/>
        <w:numPr>
          <w:ilvl w:val="0"/>
          <w:numId w:val="9"/>
        </w:numPr>
        <w:spacing w:before="20" w:line="360" w:lineRule="auto"/>
        <w:ind w:firstLineChars="0"/>
        <w:rPr>
          <w:rFonts w:hint="eastAsia" w:ascii="Times New Roman" w:hAnsi="宋体" w:cs="宋体"/>
          <w:szCs w:val="21"/>
        </w:rPr>
      </w:pPr>
      <w:r>
        <w:rPr>
          <w:spacing w:val="-3"/>
          <w:szCs w:val="21"/>
        </w:rPr>
        <w:t>为制定</w:t>
      </w:r>
      <w:r>
        <w:rPr>
          <w:spacing w:val="-46"/>
          <w:szCs w:val="21"/>
        </w:rPr>
        <w:t xml:space="preserve"> </w:t>
      </w:r>
      <w:r>
        <w:rPr>
          <w:spacing w:val="-3"/>
          <w:szCs w:val="21"/>
        </w:rPr>
        <w:t>ESG 目标提供框架；</w:t>
      </w:r>
    </w:p>
    <w:p w14:paraId="469B28F4">
      <w:pPr>
        <w:pStyle w:val="12"/>
        <w:numPr>
          <w:ilvl w:val="0"/>
          <w:numId w:val="9"/>
        </w:numPr>
        <w:spacing w:before="24" w:line="360" w:lineRule="auto"/>
        <w:ind w:firstLineChars="0"/>
        <w:rPr>
          <w:rFonts w:hint="eastAsia" w:ascii="Times New Roman" w:hAnsi="宋体" w:cs="宋体"/>
          <w:szCs w:val="21"/>
        </w:rPr>
      </w:pPr>
      <w:r>
        <w:rPr>
          <w:szCs w:val="21"/>
        </w:rPr>
        <w:t>包含满足法律法规要求和其他要求的承</w:t>
      </w:r>
      <w:r>
        <w:rPr>
          <w:spacing w:val="-1"/>
          <w:szCs w:val="21"/>
        </w:rPr>
        <w:t>诺；</w:t>
      </w:r>
    </w:p>
    <w:p w14:paraId="497F00DE">
      <w:pPr>
        <w:pStyle w:val="12"/>
        <w:numPr>
          <w:ilvl w:val="0"/>
          <w:numId w:val="9"/>
        </w:numPr>
        <w:spacing w:before="19" w:line="360" w:lineRule="auto"/>
        <w:ind w:firstLineChars="0"/>
        <w:rPr>
          <w:rFonts w:hint="eastAsia" w:ascii="Times New Roman" w:hAnsi="宋体" w:cs="宋体"/>
          <w:szCs w:val="21"/>
        </w:rPr>
      </w:pPr>
      <w:r>
        <w:rPr>
          <w:spacing w:val="-1"/>
          <w:szCs w:val="21"/>
        </w:rPr>
        <w:t>包含消除不良影响因素和降低</w:t>
      </w:r>
      <w:r>
        <w:rPr>
          <w:spacing w:val="-37"/>
          <w:szCs w:val="21"/>
        </w:rPr>
        <w:t xml:space="preserve"> </w:t>
      </w:r>
      <w:r>
        <w:rPr>
          <w:spacing w:val="-1"/>
          <w:szCs w:val="21"/>
        </w:rPr>
        <w:t>ESG</w:t>
      </w:r>
      <w:r>
        <w:rPr>
          <w:spacing w:val="-43"/>
          <w:szCs w:val="21"/>
        </w:rPr>
        <w:t xml:space="preserve"> </w:t>
      </w:r>
      <w:r>
        <w:rPr>
          <w:spacing w:val="-1"/>
          <w:szCs w:val="21"/>
        </w:rPr>
        <w:t>风险的承诺；</w:t>
      </w:r>
    </w:p>
    <w:p w14:paraId="28511187">
      <w:pPr>
        <w:pStyle w:val="12"/>
        <w:numPr>
          <w:ilvl w:val="0"/>
          <w:numId w:val="9"/>
        </w:numPr>
        <w:spacing w:before="23" w:line="360" w:lineRule="auto"/>
        <w:ind w:firstLineChars="0"/>
        <w:rPr>
          <w:rFonts w:hint="eastAsia" w:ascii="Times New Roman" w:hAnsi="宋体" w:cs="宋体"/>
          <w:szCs w:val="21"/>
        </w:rPr>
      </w:pPr>
      <w:r>
        <w:rPr>
          <w:spacing w:val="-1"/>
          <w:szCs w:val="21"/>
        </w:rPr>
        <w:t>包含持续改进</w:t>
      </w:r>
      <w:r>
        <w:rPr>
          <w:spacing w:val="-47"/>
          <w:szCs w:val="21"/>
        </w:rPr>
        <w:t xml:space="preserve"> </w:t>
      </w:r>
      <w:r>
        <w:rPr>
          <w:spacing w:val="-1"/>
          <w:szCs w:val="21"/>
        </w:rPr>
        <w:t>ESG</w:t>
      </w:r>
      <w:r>
        <w:rPr>
          <w:spacing w:val="-38"/>
          <w:szCs w:val="21"/>
        </w:rPr>
        <w:t xml:space="preserve"> </w:t>
      </w:r>
      <w:r>
        <w:rPr>
          <w:spacing w:val="-1"/>
          <w:szCs w:val="21"/>
        </w:rPr>
        <w:t>管理体系的承</w:t>
      </w:r>
      <w:r>
        <w:rPr>
          <w:spacing w:val="-2"/>
          <w:szCs w:val="21"/>
        </w:rPr>
        <w:t>诺；</w:t>
      </w:r>
    </w:p>
    <w:p w14:paraId="491A2975">
      <w:pPr>
        <w:pStyle w:val="12"/>
        <w:numPr>
          <w:ilvl w:val="0"/>
          <w:numId w:val="9"/>
        </w:numPr>
        <w:spacing w:before="19" w:line="360" w:lineRule="auto"/>
        <w:ind w:firstLineChars="0"/>
        <w:rPr>
          <w:rFonts w:hint="eastAsia" w:ascii="Times New Roman" w:hAnsi="宋体" w:cs="宋体"/>
          <w:szCs w:val="21"/>
        </w:rPr>
      </w:pPr>
      <w:r>
        <w:rPr>
          <w:szCs w:val="21"/>
        </w:rPr>
        <w:t>包含利益相关方及其代表（若有）的协商和参与的承诺；</w:t>
      </w:r>
    </w:p>
    <w:p w14:paraId="0BB536F0">
      <w:pPr>
        <w:pStyle w:val="12"/>
        <w:numPr>
          <w:ilvl w:val="0"/>
          <w:numId w:val="9"/>
        </w:numPr>
        <w:spacing w:before="23" w:line="360" w:lineRule="auto"/>
        <w:ind w:firstLineChars="0"/>
        <w:rPr>
          <w:rFonts w:hint="eastAsia" w:ascii="Times New Roman" w:hAnsi="宋体" w:cs="宋体"/>
          <w:szCs w:val="21"/>
        </w:rPr>
      </w:pPr>
      <w:r>
        <w:rPr>
          <w:spacing w:val="-2"/>
          <w:szCs w:val="21"/>
        </w:rPr>
        <w:t>包含遵守</w:t>
      </w:r>
      <w:r>
        <w:rPr>
          <w:spacing w:val="-34"/>
          <w:szCs w:val="21"/>
        </w:rPr>
        <w:t xml:space="preserve"> </w:t>
      </w:r>
      <w:r>
        <w:rPr>
          <w:spacing w:val="-2"/>
          <w:szCs w:val="21"/>
        </w:rPr>
        <w:t>ESG</w:t>
      </w:r>
      <w:r>
        <w:rPr>
          <w:spacing w:val="-39"/>
          <w:szCs w:val="21"/>
        </w:rPr>
        <w:t xml:space="preserve"> </w:t>
      </w:r>
      <w:r>
        <w:rPr>
          <w:spacing w:val="-2"/>
          <w:szCs w:val="21"/>
        </w:rPr>
        <w:t>原则的承诺；</w:t>
      </w:r>
    </w:p>
    <w:p w14:paraId="420948F7">
      <w:pPr>
        <w:pStyle w:val="12"/>
        <w:numPr>
          <w:ilvl w:val="0"/>
          <w:numId w:val="9"/>
        </w:numPr>
        <w:spacing w:before="26" w:line="360" w:lineRule="auto"/>
        <w:ind w:firstLineChars="0"/>
        <w:rPr>
          <w:rFonts w:hint="eastAsia" w:ascii="Times New Roman" w:hAnsi="宋体" w:cs="宋体"/>
          <w:szCs w:val="21"/>
        </w:rPr>
      </w:pPr>
      <w:r>
        <w:rPr>
          <w:spacing w:val="-1"/>
          <w:szCs w:val="21"/>
        </w:rPr>
        <w:t>包含将</w:t>
      </w:r>
      <w:r>
        <w:rPr>
          <w:spacing w:val="-32"/>
          <w:szCs w:val="21"/>
        </w:rPr>
        <w:t xml:space="preserve"> </w:t>
      </w:r>
      <w:r>
        <w:rPr>
          <w:spacing w:val="-1"/>
          <w:szCs w:val="21"/>
        </w:rPr>
        <w:t>ESG</w:t>
      </w:r>
      <w:r>
        <w:rPr>
          <w:spacing w:val="-46"/>
          <w:szCs w:val="21"/>
        </w:rPr>
        <w:t xml:space="preserve"> </w:t>
      </w:r>
      <w:r>
        <w:rPr>
          <w:spacing w:val="-1"/>
          <w:szCs w:val="21"/>
        </w:rPr>
        <w:t>方针贯彻到企业其他业务过程和其他相关管理体系的承诺。</w:t>
      </w:r>
    </w:p>
    <w:p w14:paraId="7940F2E9">
      <w:pPr>
        <w:pStyle w:val="12"/>
        <w:spacing w:before="23" w:line="360" w:lineRule="auto"/>
        <w:ind w:firstLine="418"/>
        <w:rPr>
          <w:szCs w:val="21"/>
        </w:rPr>
      </w:pPr>
      <w:r>
        <w:rPr>
          <w:spacing w:val="-1"/>
          <w:szCs w:val="21"/>
        </w:rPr>
        <w:t>ESG方针应：</w:t>
      </w:r>
    </w:p>
    <w:p w14:paraId="4BB3C3EA">
      <w:pPr>
        <w:pStyle w:val="12"/>
        <w:numPr>
          <w:ilvl w:val="0"/>
          <w:numId w:val="10"/>
        </w:numPr>
        <w:spacing w:before="18" w:line="360" w:lineRule="auto"/>
        <w:ind w:firstLineChars="0"/>
        <w:rPr>
          <w:rFonts w:hint="eastAsia" w:ascii="Times New Roman" w:hAnsi="宋体" w:cs="宋体"/>
          <w:szCs w:val="21"/>
        </w:rPr>
      </w:pPr>
      <w:r>
        <w:rPr>
          <w:spacing w:val="-2"/>
          <w:szCs w:val="21"/>
        </w:rPr>
        <w:t>以文件化信息的形式予以保存及获取；</w:t>
      </w:r>
    </w:p>
    <w:p w14:paraId="4A6FB7CE">
      <w:pPr>
        <w:pStyle w:val="12"/>
        <w:numPr>
          <w:ilvl w:val="0"/>
          <w:numId w:val="10"/>
        </w:numPr>
        <w:spacing w:before="22" w:line="360" w:lineRule="auto"/>
        <w:ind w:firstLineChars="0"/>
        <w:rPr>
          <w:rFonts w:hint="eastAsia" w:ascii="Times New Roman" w:hAnsi="宋体" w:cs="宋体"/>
          <w:szCs w:val="21"/>
        </w:rPr>
      </w:pPr>
      <w:r>
        <w:rPr>
          <w:szCs w:val="21"/>
        </w:rPr>
        <w:t>在企业内得到沟通和应用，包括与企业其他业务过</w:t>
      </w:r>
      <w:r>
        <w:rPr>
          <w:spacing w:val="-1"/>
          <w:szCs w:val="21"/>
        </w:rPr>
        <w:t>程、其他相关管理体系</w:t>
      </w:r>
      <w:r>
        <w:rPr>
          <w:rFonts w:hint="eastAsia"/>
          <w:spacing w:val="-1"/>
          <w:szCs w:val="21"/>
        </w:rPr>
        <w:t>进行沟通</w:t>
      </w:r>
      <w:r>
        <w:rPr>
          <w:spacing w:val="-1"/>
          <w:szCs w:val="21"/>
        </w:rPr>
        <w:t>和应用；</w:t>
      </w:r>
    </w:p>
    <w:p w14:paraId="3AEB44D6">
      <w:pPr>
        <w:pStyle w:val="12"/>
        <w:numPr>
          <w:ilvl w:val="0"/>
          <w:numId w:val="10"/>
        </w:numPr>
        <w:spacing w:before="21" w:line="360" w:lineRule="auto"/>
        <w:ind w:firstLineChars="0"/>
        <w:rPr>
          <w:rFonts w:hint="eastAsia" w:ascii="Times New Roman" w:hAnsi="宋体" w:cs="宋体"/>
          <w:szCs w:val="21"/>
        </w:rPr>
      </w:pPr>
      <w:r>
        <w:rPr>
          <w:spacing w:val="-1"/>
          <w:szCs w:val="21"/>
        </w:rPr>
        <w:t>适宜时，可为外部相关方所获取；</w:t>
      </w:r>
    </w:p>
    <w:p w14:paraId="6EBC87E7">
      <w:pPr>
        <w:pStyle w:val="12"/>
        <w:numPr>
          <w:ilvl w:val="0"/>
          <w:numId w:val="10"/>
        </w:numPr>
        <w:spacing w:before="22" w:line="360" w:lineRule="auto"/>
        <w:ind w:firstLineChars="0"/>
        <w:rPr>
          <w:rFonts w:hint="eastAsia" w:ascii="Times New Roman" w:hAnsi="宋体" w:cs="宋体"/>
          <w:szCs w:val="21"/>
        </w:rPr>
      </w:pPr>
      <w:r>
        <w:rPr>
          <w:spacing w:val="-1"/>
          <w:szCs w:val="21"/>
        </w:rPr>
        <w:t>保持相关和适宜，可根据发展情况进行更新调整。</w:t>
      </w:r>
    </w:p>
    <w:p w14:paraId="51B691AB">
      <w:pPr>
        <w:pStyle w:val="3"/>
        <w:spacing w:before="140" w:line="360" w:lineRule="auto"/>
        <w:ind w:left="414" w:hanging="414"/>
        <w:rPr>
          <w:rFonts w:hint="eastAsia"/>
          <w:szCs w:val="21"/>
        </w:rPr>
      </w:pPr>
      <w:r>
        <w:rPr>
          <w:rFonts w:hint="eastAsia"/>
          <w:spacing w:val="-3"/>
          <w:position w:val="2"/>
          <w:szCs w:val="21"/>
        </w:rPr>
        <w:t>5.4</w:t>
      </w:r>
      <w:r>
        <w:rPr>
          <w:spacing w:val="15"/>
          <w:w w:val="101"/>
          <w:position w:val="2"/>
          <w:szCs w:val="21"/>
        </w:rPr>
        <w:t xml:space="preserve"> </w:t>
      </w:r>
      <w:r>
        <w:rPr>
          <w:spacing w:val="-3"/>
          <w:szCs w:val="21"/>
        </w:rPr>
        <w:t>企业的角色、职责和权限</w:t>
      </w:r>
    </w:p>
    <w:p w14:paraId="63FF248F">
      <w:pPr>
        <w:pStyle w:val="12"/>
        <w:spacing w:before="68" w:line="360" w:lineRule="auto"/>
        <w:ind w:firstLine="416"/>
        <w:rPr>
          <w:szCs w:val="21"/>
        </w:rPr>
      </w:pPr>
      <w:r>
        <w:rPr>
          <w:spacing w:val="-2"/>
          <w:szCs w:val="21"/>
        </w:rPr>
        <w:t>最高管理者应确保在ESG管理体系内，将ESG事项的决策、实施、监督、披</w:t>
      </w:r>
      <w:r>
        <w:rPr>
          <w:spacing w:val="-3"/>
          <w:szCs w:val="21"/>
        </w:rPr>
        <w:t>露的职责和权限（包括与</w:t>
      </w:r>
      <w:r>
        <w:rPr>
          <w:szCs w:val="21"/>
        </w:rPr>
        <w:t xml:space="preserve"> </w:t>
      </w:r>
      <w:r>
        <w:rPr>
          <w:spacing w:val="-2"/>
          <w:szCs w:val="21"/>
        </w:rPr>
        <w:t>相关管理体系相互对接的接口职责和权限）分配到企业内各层次并予以沟</w:t>
      </w:r>
      <w:r>
        <w:rPr>
          <w:spacing w:val="-3"/>
          <w:szCs w:val="21"/>
        </w:rPr>
        <w:t>通，且作为文件化信息予以保</w:t>
      </w:r>
      <w:r>
        <w:rPr>
          <w:szCs w:val="21"/>
        </w:rPr>
        <w:t xml:space="preserve"> 持。企业内每一层次的员工均应为其所控制部分承担ESG管理体系方面</w:t>
      </w:r>
      <w:r>
        <w:rPr>
          <w:spacing w:val="-1"/>
          <w:szCs w:val="21"/>
        </w:rPr>
        <w:t>的职责。</w:t>
      </w:r>
    </w:p>
    <w:p w14:paraId="4E2A812D">
      <w:pPr>
        <w:pStyle w:val="12"/>
        <w:spacing w:line="360" w:lineRule="auto"/>
        <w:rPr>
          <w:szCs w:val="18"/>
        </w:rPr>
      </w:pPr>
      <w:r>
        <w:rPr>
          <w:szCs w:val="18"/>
        </w:rPr>
        <w:t>注：尽管职责和权限可被分配，但最高管理者仍应为ESG管理体系的运行承担最终责任。</w:t>
      </w:r>
    </w:p>
    <w:p w14:paraId="4FAA8585">
      <w:pPr>
        <w:pStyle w:val="12"/>
        <w:spacing w:before="23" w:line="360" w:lineRule="auto"/>
        <w:ind w:firstLine="418"/>
        <w:rPr>
          <w:szCs w:val="21"/>
        </w:rPr>
      </w:pPr>
      <w:r>
        <w:rPr>
          <w:spacing w:val="-1"/>
          <w:szCs w:val="21"/>
        </w:rPr>
        <w:t>最高管理者应对下列事项分配职责和权限：</w:t>
      </w:r>
    </w:p>
    <w:p w14:paraId="5BD127EA">
      <w:pPr>
        <w:pStyle w:val="12"/>
        <w:numPr>
          <w:ilvl w:val="0"/>
          <w:numId w:val="11"/>
        </w:numPr>
        <w:spacing w:before="20" w:line="360" w:lineRule="auto"/>
        <w:ind w:firstLineChars="0"/>
        <w:rPr>
          <w:rFonts w:hint="eastAsia" w:ascii="Times New Roman" w:hAnsi="宋体" w:cs="宋体"/>
          <w:szCs w:val="21"/>
        </w:rPr>
      </w:pPr>
      <w:r>
        <w:rPr>
          <w:spacing w:val="-1"/>
          <w:szCs w:val="21"/>
        </w:rPr>
        <w:t>确保</w:t>
      </w:r>
      <w:r>
        <w:rPr>
          <w:spacing w:val="-42"/>
          <w:szCs w:val="21"/>
        </w:rPr>
        <w:t xml:space="preserve"> </w:t>
      </w:r>
      <w:r>
        <w:rPr>
          <w:spacing w:val="-1"/>
          <w:szCs w:val="21"/>
        </w:rPr>
        <w:t>ESG</w:t>
      </w:r>
      <w:r>
        <w:rPr>
          <w:spacing w:val="-39"/>
          <w:szCs w:val="21"/>
        </w:rPr>
        <w:t xml:space="preserve"> </w:t>
      </w:r>
      <w:r>
        <w:rPr>
          <w:spacing w:val="-1"/>
          <w:szCs w:val="21"/>
        </w:rPr>
        <w:t>管理体系符合本文件的要求；</w:t>
      </w:r>
    </w:p>
    <w:p w14:paraId="01F52BBB">
      <w:pPr>
        <w:pStyle w:val="12"/>
        <w:numPr>
          <w:ilvl w:val="0"/>
          <w:numId w:val="11"/>
        </w:numPr>
        <w:spacing w:before="23" w:line="360" w:lineRule="auto"/>
        <w:ind w:firstLineChars="0"/>
        <w:rPr>
          <w:rFonts w:hint="eastAsia" w:ascii="Times New Roman" w:hAnsi="宋体" w:cs="宋体"/>
          <w:szCs w:val="21"/>
        </w:rPr>
      </w:pPr>
      <w:r>
        <w:rPr>
          <w:rFonts w:hint="eastAsia"/>
          <w:spacing w:val="-3"/>
          <w:szCs w:val="21"/>
        </w:rPr>
        <w:t>确保人员</w:t>
      </w:r>
      <w:r>
        <w:rPr>
          <w:spacing w:val="-3"/>
          <w:szCs w:val="21"/>
        </w:rPr>
        <w:t>向最高管理者报告</w:t>
      </w:r>
      <w:r>
        <w:rPr>
          <w:spacing w:val="-47"/>
          <w:szCs w:val="21"/>
        </w:rPr>
        <w:t xml:space="preserve"> </w:t>
      </w:r>
      <w:r>
        <w:rPr>
          <w:spacing w:val="-3"/>
          <w:szCs w:val="21"/>
        </w:rPr>
        <w:t>ESG</w:t>
      </w:r>
      <w:r>
        <w:rPr>
          <w:spacing w:val="-38"/>
          <w:szCs w:val="21"/>
        </w:rPr>
        <w:t xml:space="preserve"> </w:t>
      </w:r>
      <w:r>
        <w:rPr>
          <w:spacing w:val="-3"/>
          <w:szCs w:val="21"/>
        </w:rPr>
        <w:t>管理体系的绩</w:t>
      </w:r>
      <w:r>
        <w:rPr>
          <w:spacing w:val="-4"/>
          <w:szCs w:val="21"/>
        </w:rPr>
        <w:t>效。</w:t>
      </w:r>
    </w:p>
    <w:p w14:paraId="359B51BE">
      <w:pPr>
        <w:pStyle w:val="12"/>
        <w:spacing w:before="21" w:line="360" w:lineRule="auto"/>
        <w:ind w:firstLine="414"/>
      </w:pPr>
      <w:r>
        <w:rPr>
          <w:spacing w:val="-3"/>
          <w:szCs w:val="21"/>
        </w:rPr>
        <w:t>企业治理机构（</w:t>
      </w:r>
      <w:r>
        <w:t>及其下设委员会或者其他类似机构</w:t>
      </w:r>
      <w:r>
        <w:rPr>
          <w:spacing w:val="-3"/>
          <w:szCs w:val="21"/>
        </w:rPr>
        <w:t>）应对企业</w:t>
      </w:r>
      <w:r>
        <w:rPr>
          <w:spacing w:val="-44"/>
          <w:szCs w:val="21"/>
        </w:rPr>
        <w:t xml:space="preserve"> </w:t>
      </w:r>
      <w:r>
        <w:rPr>
          <w:spacing w:val="-3"/>
          <w:szCs w:val="21"/>
        </w:rPr>
        <w:t>ESG</w:t>
      </w:r>
      <w:r>
        <w:rPr>
          <w:spacing w:val="-42"/>
          <w:szCs w:val="21"/>
        </w:rPr>
        <w:t xml:space="preserve"> </w:t>
      </w:r>
      <w:r>
        <w:rPr>
          <w:spacing w:val="-3"/>
          <w:szCs w:val="21"/>
        </w:rPr>
        <w:t>策略及报告承担责任，监督企业</w:t>
      </w:r>
      <w:r>
        <w:rPr>
          <w:spacing w:val="-47"/>
          <w:szCs w:val="21"/>
        </w:rPr>
        <w:t xml:space="preserve"> </w:t>
      </w:r>
      <w:r>
        <w:rPr>
          <w:spacing w:val="-3"/>
          <w:szCs w:val="21"/>
        </w:rPr>
        <w:t>ESG</w:t>
      </w:r>
      <w:r>
        <w:rPr>
          <w:spacing w:val="-46"/>
          <w:szCs w:val="21"/>
        </w:rPr>
        <w:t xml:space="preserve"> </w:t>
      </w:r>
      <w:r>
        <w:rPr>
          <w:spacing w:val="-3"/>
          <w:szCs w:val="21"/>
        </w:rPr>
        <w:t>相关事宜</w:t>
      </w:r>
      <w:r>
        <w:rPr>
          <w:szCs w:val="21"/>
        </w:rPr>
        <w:t>及其执行情况。</w:t>
      </w:r>
      <w:r>
        <w:t>企业宜在董事会层面设立 ESG （可持续发展）委员会或指定专门委员会，负责审议 ESG 战略、目标、重大议题评估结果及 ESG 报告。</w:t>
      </w:r>
    </w:p>
    <w:p w14:paraId="229BB155">
      <w:pPr>
        <w:pStyle w:val="12"/>
        <w:spacing w:before="21" w:line="360" w:lineRule="auto"/>
      </w:pPr>
      <w:r>
        <w:t>企业管理层宜设置ESG归口管理负责人（如可持续发展官/ESG负责人），确保其具备相应能力并向治理机构直接报告。</w:t>
      </w:r>
    </w:p>
    <w:p w14:paraId="49EEC30D">
      <w:pPr>
        <w:pStyle w:val="12"/>
        <w:spacing w:before="1" w:line="360" w:lineRule="auto"/>
        <w:ind w:firstLine="418"/>
        <w:rPr>
          <w:szCs w:val="21"/>
        </w:rPr>
      </w:pPr>
      <w:r>
        <w:rPr>
          <w:spacing w:val="-1"/>
          <w:szCs w:val="21"/>
        </w:rPr>
        <w:t>企业内其他层次部门的职责包括：</w:t>
      </w:r>
    </w:p>
    <w:p w14:paraId="67BD93E6">
      <w:pPr>
        <w:pStyle w:val="12"/>
        <w:numPr>
          <w:ilvl w:val="0"/>
          <w:numId w:val="12"/>
        </w:numPr>
        <w:spacing w:before="24" w:line="360" w:lineRule="auto"/>
        <w:ind w:right="31" w:firstLineChars="0"/>
        <w:rPr>
          <w:rFonts w:hint="eastAsia" w:ascii="Times New Roman" w:hAnsi="宋体" w:cs="宋体"/>
          <w:szCs w:val="21"/>
        </w:rPr>
      </w:pPr>
      <w:r>
        <w:rPr>
          <w:spacing w:val="-4"/>
          <w:szCs w:val="21"/>
        </w:rPr>
        <w:t>应设置专门部门或指定某个部门作为</w:t>
      </w:r>
      <w:r>
        <w:rPr>
          <w:spacing w:val="-35"/>
          <w:szCs w:val="21"/>
        </w:rPr>
        <w:t xml:space="preserve"> </w:t>
      </w:r>
      <w:r>
        <w:rPr>
          <w:spacing w:val="-4"/>
          <w:szCs w:val="21"/>
        </w:rPr>
        <w:t>ESG</w:t>
      </w:r>
      <w:r>
        <w:rPr>
          <w:spacing w:val="-44"/>
          <w:szCs w:val="21"/>
        </w:rPr>
        <w:t xml:space="preserve"> </w:t>
      </w:r>
      <w:r>
        <w:rPr>
          <w:spacing w:val="-4"/>
          <w:szCs w:val="21"/>
        </w:rPr>
        <w:t>工作归口部门。统筹</w:t>
      </w:r>
      <w:r>
        <w:rPr>
          <w:spacing w:val="-46"/>
          <w:szCs w:val="21"/>
        </w:rPr>
        <w:t xml:space="preserve"> </w:t>
      </w:r>
      <w:r>
        <w:rPr>
          <w:spacing w:val="-4"/>
          <w:szCs w:val="21"/>
        </w:rPr>
        <w:t>ESG</w:t>
      </w:r>
      <w:r>
        <w:rPr>
          <w:spacing w:val="-34"/>
          <w:szCs w:val="21"/>
        </w:rPr>
        <w:t xml:space="preserve"> </w:t>
      </w:r>
      <w:r>
        <w:rPr>
          <w:spacing w:val="-4"/>
          <w:szCs w:val="21"/>
        </w:rPr>
        <w:t>战略制度制定、实践融合、</w:t>
      </w:r>
      <w:r>
        <w:rPr>
          <w:szCs w:val="21"/>
        </w:rPr>
        <w:t xml:space="preserve"> </w:t>
      </w:r>
      <w:r>
        <w:rPr>
          <w:spacing w:val="-1"/>
          <w:szCs w:val="21"/>
        </w:rPr>
        <w:t>信息披露等工作；</w:t>
      </w:r>
    </w:p>
    <w:p w14:paraId="6EDFD803">
      <w:pPr>
        <w:pStyle w:val="12"/>
        <w:numPr>
          <w:ilvl w:val="0"/>
          <w:numId w:val="12"/>
        </w:numPr>
        <w:spacing w:before="23" w:line="360" w:lineRule="auto"/>
        <w:ind w:right="2" w:firstLineChars="0"/>
        <w:rPr>
          <w:rFonts w:hint="eastAsia" w:ascii="Times New Roman" w:hAnsi="宋体" w:cs="宋体"/>
          <w:szCs w:val="21"/>
        </w:rPr>
      </w:pPr>
      <w:r>
        <w:rPr>
          <w:spacing w:val="-6"/>
          <w:szCs w:val="21"/>
        </w:rPr>
        <w:t>除归口部门外，企业内其他部门作为协同部门，应根据自身的控制部分承担职责，负责相关</w:t>
      </w:r>
      <w:r>
        <w:rPr>
          <w:spacing w:val="-32"/>
          <w:szCs w:val="21"/>
        </w:rPr>
        <w:t xml:space="preserve"> </w:t>
      </w:r>
      <w:r>
        <w:rPr>
          <w:spacing w:val="-6"/>
          <w:szCs w:val="21"/>
        </w:rPr>
        <w:t>ESG</w:t>
      </w:r>
      <w:r>
        <w:rPr>
          <w:szCs w:val="21"/>
        </w:rPr>
        <w:t xml:space="preserve"> </w:t>
      </w:r>
      <w:r>
        <w:rPr>
          <w:spacing w:val="-1"/>
          <w:szCs w:val="21"/>
        </w:rPr>
        <w:t>具体事宜的执行与推进，定期向负责机构汇报工作进度，并审视</w:t>
      </w:r>
      <w:r>
        <w:rPr>
          <w:spacing w:val="-32"/>
          <w:szCs w:val="21"/>
        </w:rPr>
        <w:t xml:space="preserve"> </w:t>
      </w:r>
      <w:r>
        <w:rPr>
          <w:spacing w:val="-1"/>
          <w:szCs w:val="21"/>
        </w:rPr>
        <w:t>ESG</w:t>
      </w:r>
      <w:r>
        <w:rPr>
          <w:spacing w:val="-43"/>
          <w:szCs w:val="21"/>
        </w:rPr>
        <w:t xml:space="preserve"> </w:t>
      </w:r>
      <w:r>
        <w:rPr>
          <w:spacing w:val="-1"/>
          <w:szCs w:val="21"/>
        </w:rPr>
        <w:t>风险与机遇；</w:t>
      </w:r>
    </w:p>
    <w:p w14:paraId="1C6ED5CA">
      <w:pPr>
        <w:pStyle w:val="12"/>
        <w:numPr>
          <w:ilvl w:val="0"/>
          <w:numId w:val="12"/>
        </w:numPr>
        <w:spacing w:before="23" w:line="360" w:lineRule="auto"/>
        <w:ind w:firstLineChars="0"/>
        <w:rPr>
          <w:rFonts w:hint="eastAsia" w:ascii="Times New Roman" w:hAnsi="宋体" w:cs="宋体"/>
          <w:szCs w:val="21"/>
        </w:rPr>
      </w:pPr>
      <w:r>
        <w:rPr>
          <w:spacing w:val="-1"/>
          <w:szCs w:val="21"/>
        </w:rPr>
        <w:t>所属企业（适用时）按照</w:t>
      </w:r>
      <w:r>
        <w:rPr>
          <w:spacing w:val="-49"/>
          <w:szCs w:val="21"/>
        </w:rPr>
        <w:t xml:space="preserve"> </w:t>
      </w:r>
      <w:r>
        <w:rPr>
          <w:spacing w:val="-1"/>
          <w:szCs w:val="21"/>
        </w:rPr>
        <w:t>ESG</w:t>
      </w:r>
      <w:r>
        <w:rPr>
          <w:spacing w:val="-39"/>
          <w:szCs w:val="21"/>
        </w:rPr>
        <w:t xml:space="preserve"> </w:t>
      </w:r>
      <w:r>
        <w:rPr>
          <w:spacing w:val="-1"/>
          <w:szCs w:val="21"/>
        </w:rPr>
        <w:t>管理制度和工作过程开展相关工作。</w:t>
      </w:r>
    </w:p>
    <w:p w14:paraId="630C7308">
      <w:pPr>
        <w:pStyle w:val="3"/>
        <w:spacing w:before="141" w:line="360" w:lineRule="auto"/>
        <w:ind w:left="418" w:hanging="418"/>
        <w:rPr>
          <w:rFonts w:hint="eastAsia"/>
          <w:szCs w:val="21"/>
        </w:rPr>
      </w:pPr>
      <w:r>
        <w:rPr>
          <w:spacing w:val="-1"/>
          <w:position w:val="2"/>
          <w:szCs w:val="22"/>
        </w:rPr>
        <w:t>5.5</w:t>
      </w:r>
      <w:r>
        <w:rPr>
          <w:spacing w:val="18"/>
          <w:position w:val="2"/>
          <w:szCs w:val="22"/>
        </w:rPr>
        <w:t xml:space="preserve">   </w:t>
      </w:r>
      <w:r>
        <w:rPr>
          <w:spacing w:val="-1"/>
          <w:szCs w:val="21"/>
        </w:rPr>
        <w:t>利益相关方的协商和参与</w:t>
      </w:r>
    </w:p>
    <w:p w14:paraId="6FA5F323">
      <w:pPr>
        <w:pStyle w:val="12"/>
        <w:spacing w:before="143" w:line="360" w:lineRule="auto"/>
        <w:rPr>
          <w:szCs w:val="21"/>
        </w:rPr>
      </w:pPr>
      <w:r>
        <w:rPr>
          <w:szCs w:val="21"/>
        </w:rPr>
        <w:t>企业应建立、实施和保持过程，用于在ESG管理体系的开发、策划、实施、绩效评价和改进措施中</w:t>
      </w:r>
      <w:r>
        <w:rPr>
          <w:spacing w:val="1"/>
          <w:szCs w:val="21"/>
        </w:rPr>
        <w:t xml:space="preserve"> </w:t>
      </w:r>
      <w:r>
        <w:rPr>
          <w:szCs w:val="21"/>
        </w:rPr>
        <w:t>与有关的利益相关方及其代表（若有）的协商和</w:t>
      </w:r>
      <w:r>
        <w:rPr>
          <w:spacing w:val="-1"/>
          <w:szCs w:val="21"/>
        </w:rPr>
        <w:t>参与。企业应：</w:t>
      </w:r>
    </w:p>
    <w:p w14:paraId="4C6D81DF">
      <w:pPr>
        <w:pStyle w:val="12"/>
        <w:numPr>
          <w:ilvl w:val="0"/>
          <w:numId w:val="13"/>
        </w:numPr>
        <w:spacing w:before="1" w:line="360" w:lineRule="auto"/>
        <w:ind w:firstLineChars="0"/>
        <w:rPr>
          <w:rFonts w:hint="eastAsia" w:ascii="Times New Roman" w:hAnsi="宋体" w:cs="宋体"/>
          <w:szCs w:val="21"/>
        </w:rPr>
      </w:pPr>
      <w:r>
        <w:rPr>
          <w:szCs w:val="21"/>
        </w:rPr>
        <w:t>为协商和参与提供必要的机制、时间、培训和资源；</w:t>
      </w:r>
    </w:p>
    <w:p w14:paraId="201C211B">
      <w:pPr>
        <w:pStyle w:val="12"/>
        <w:spacing w:line="360" w:lineRule="auto"/>
        <w:ind w:firstLine="416"/>
        <w:rPr>
          <w:szCs w:val="18"/>
        </w:rPr>
      </w:pPr>
      <w:r>
        <w:rPr>
          <w:spacing w:val="-2"/>
          <w:szCs w:val="18"/>
        </w:rPr>
        <w:t>注：利益相关方代表可视为一种协商和参与机制。</w:t>
      </w:r>
    </w:p>
    <w:p w14:paraId="722EBB28">
      <w:pPr>
        <w:pStyle w:val="12"/>
        <w:numPr>
          <w:ilvl w:val="0"/>
          <w:numId w:val="13"/>
        </w:numPr>
        <w:spacing w:before="23" w:line="360" w:lineRule="auto"/>
        <w:ind w:firstLineChars="0"/>
        <w:rPr>
          <w:rFonts w:hint="eastAsia" w:ascii="Times New Roman" w:hAnsi="宋体" w:cs="宋体"/>
          <w:szCs w:val="21"/>
        </w:rPr>
      </w:pPr>
      <w:r>
        <w:rPr>
          <w:szCs w:val="21"/>
        </w:rPr>
        <w:t>及时提供访问清晰</w:t>
      </w:r>
      <w:r>
        <w:rPr>
          <w:rFonts w:hint="eastAsia"/>
          <w:szCs w:val="21"/>
        </w:rPr>
        <w:t>、</w:t>
      </w:r>
      <w:r>
        <w:rPr>
          <w:szCs w:val="21"/>
        </w:rPr>
        <w:t>易于理解的并与</w:t>
      </w:r>
      <w:r>
        <w:rPr>
          <w:spacing w:val="-46"/>
          <w:szCs w:val="21"/>
        </w:rPr>
        <w:t xml:space="preserve"> </w:t>
      </w:r>
      <w:r>
        <w:rPr>
          <w:szCs w:val="21"/>
        </w:rPr>
        <w:t>ESG</w:t>
      </w:r>
      <w:r>
        <w:rPr>
          <w:spacing w:val="-41"/>
          <w:szCs w:val="21"/>
        </w:rPr>
        <w:t xml:space="preserve"> </w:t>
      </w:r>
      <w:r>
        <w:rPr>
          <w:szCs w:val="21"/>
        </w:rPr>
        <w:t>管理</w:t>
      </w:r>
      <w:r>
        <w:rPr>
          <w:spacing w:val="-1"/>
          <w:szCs w:val="21"/>
        </w:rPr>
        <w:t>体系相关信息的途径；</w:t>
      </w:r>
    </w:p>
    <w:p w14:paraId="05CEF023">
      <w:pPr>
        <w:pStyle w:val="12"/>
        <w:numPr>
          <w:ilvl w:val="0"/>
          <w:numId w:val="13"/>
        </w:numPr>
        <w:spacing w:before="25" w:line="360" w:lineRule="auto"/>
        <w:ind w:right="11" w:firstLineChars="0"/>
        <w:rPr>
          <w:rFonts w:hint="eastAsia" w:ascii="Times New Roman" w:hAnsi="宋体" w:cs="宋体"/>
          <w:szCs w:val="21"/>
        </w:rPr>
      </w:pPr>
      <w:r>
        <w:rPr>
          <w:spacing w:val="-3"/>
          <w:szCs w:val="21"/>
        </w:rPr>
        <w:t>确定和消除妨碍参与的障碍或壁垒，并尽可能减少那些难以消除的障碍或壁垒（如消除信息不</w:t>
      </w:r>
      <w:r>
        <w:rPr>
          <w:spacing w:val="14"/>
          <w:szCs w:val="21"/>
        </w:rPr>
        <w:t xml:space="preserve"> </w:t>
      </w:r>
      <w:r>
        <w:rPr>
          <w:spacing w:val="-2"/>
          <w:szCs w:val="21"/>
        </w:rPr>
        <w:t>对称等</w:t>
      </w:r>
      <w:r>
        <w:rPr>
          <w:spacing w:val="-1"/>
          <w:szCs w:val="21"/>
        </w:rPr>
        <w:t>）；</w:t>
      </w:r>
    </w:p>
    <w:p w14:paraId="6EDF12E7">
      <w:pPr>
        <w:pStyle w:val="12"/>
        <w:spacing w:line="360" w:lineRule="auto"/>
        <w:ind w:firstLine="416"/>
        <w:rPr>
          <w:szCs w:val="18"/>
        </w:rPr>
      </w:pPr>
      <w:r>
        <w:rPr>
          <w:spacing w:val="-2"/>
          <w:szCs w:val="18"/>
        </w:rPr>
        <w:t>注：障碍和壁垒可包括：未回应利益相关方的意见和建议；语言或读写障碍；报复或威胁报复，以及不</w:t>
      </w:r>
      <w:r>
        <w:rPr>
          <w:spacing w:val="-3"/>
          <w:szCs w:val="18"/>
        </w:rPr>
        <w:t>鼓励或惩罚利益相关方参与的政策或惯例等。</w:t>
      </w:r>
    </w:p>
    <w:p w14:paraId="7EE51DDA">
      <w:pPr>
        <w:pStyle w:val="12"/>
        <w:numPr>
          <w:ilvl w:val="0"/>
          <w:numId w:val="13"/>
        </w:numPr>
        <w:spacing w:before="2" w:line="360" w:lineRule="auto"/>
        <w:ind w:firstLineChars="0"/>
        <w:rPr>
          <w:rFonts w:hint="eastAsia" w:ascii="Times New Roman" w:hAnsi="宋体" w:cs="宋体"/>
          <w:szCs w:val="21"/>
        </w:rPr>
      </w:pPr>
      <w:r>
        <w:rPr>
          <w:szCs w:val="21"/>
        </w:rPr>
        <w:t>强调与利益相关方在如下方面的协</w:t>
      </w:r>
      <w:r>
        <w:rPr>
          <w:spacing w:val="-1"/>
          <w:szCs w:val="21"/>
        </w:rPr>
        <w:t>商：</w:t>
      </w:r>
    </w:p>
    <w:p w14:paraId="36B730CD">
      <w:pPr>
        <w:pStyle w:val="12"/>
        <w:numPr>
          <w:ilvl w:val="0"/>
          <w:numId w:val="14"/>
        </w:numPr>
        <w:spacing w:before="21" w:line="360" w:lineRule="auto"/>
        <w:ind w:firstLineChars="0"/>
        <w:rPr>
          <w:rFonts w:hint="eastAsia" w:ascii="Times New Roman" w:hAnsi="宋体" w:cs="宋体"/>
          <w:szCs w:val="21"/>
        </w:rPr>
      </w:pPr>
      <w:r>
        <w:rPr>
          <w:spacing w:val="-1"/>
          <w:szCs w:val="21"/>
        </w:rPr>
        <w:t>确定利益相关方的需求和期望（见</w:t>
      </w:r>
      <w:r>
        <w:rPr>
          <w:spacing w:val="-44"/>
          <w:szCs w:val="21"/>
        </w:rPr>
        <w:t xml:space="preserve"> </w:t>
      </w:r>
      <w:r>
        <w:rPr>
          <w:spacing w:val="-1"/>
          <w:szCs w:val="21"/>
        </w:rPr>
        <w:t>4</w:t>
      </w:r>
      <w:r>
        <w:rPr>
          <w:spacing w:val="-2"/>
          <w:szCs w:val="21"/>
        </w:rPr>
        <w:t>.</w:t>
      </w:r>
      <w:r>
        <w:rPr>
          <w:rFonts w:hint="eastAsia"/>
          <w:spacing w:val="-2"/>
          <w:szCs w:val="21"/>
        </w:rPr>
        <w:t>3</w:t>
      </w:r>
      <w:r>
        <w:rPr>
          <w:spacing w:val="-13"/>
          <w:szCs w:val="21"/>
        </w:rPr>
        <w:t>）；</w:t>
      </w:r>
    </w:p>
    <w:p w14:paraId="2CD80503">
      <w:pPr>
        <w:pStyle w:val="12"/>
        <w:numPr>
          <w:ilvl w:val="0"/>
          <w:numId w:val="14"/>
        </w:numPr>
        <w:spacing w:before="20" w:line="360" w:lineRule="auto"/>
        <w:ind w:firstLineChars="0"/>
        <w:rPr>
          <w:rFonts w:hint="eastAsia" w:ascii="Times New Roman" w:hAnsi="宋体" w:cs="宋体"/>
          <w:szCs w:val="21"/>
        </w:rPr>
      </w:pPr>
      <w:r>
        <w:rPr>
          <w:spacing w:val="-2"/>
          <w:szCs w:val="21"/>
        </w:rPr>
        <w:t>建立</w:t>
      </w:r>
      <w:r>
        <w:rPr>
          <w:spacing w:val="-46"/>
          <w:szCs w:val="21"/>
        </w:rPr>
        <w:t xml:space="preserve"> </w:t>
      </w:r>
      <w:r>
        <w:rPr>
          <w:spacing w:val="-2"/>
          <w:szCs w:val="21"/>
        </w:rPr>
        <w:t>ESG</w:t>
      </w:r>
      <w:r>
        <w:rPr>
          <w:spacing w:val="-44"/>
          <w:szCs w:val="21"/>
        </w:rPr>
        <w:t xml:space="preserve"> </w:t>
      </w:r>
      <w:r>
        <w:rPr>
          <w:spacing w:val="-2"/>
          <w:szCs w:val="21"/>
        </w:rPr>
        <w:t>方针（见</w:t>
      </w:r>
      <w:r>
        <w:rPr>
          <w:spacing w:val="-39"/>
          <w:szCs w:val="21"/>
        </w:rPr>
        <w:t xml:space="preserve"> </w:t>
      </w:r>
      <w:r>
        <w:rPr>
          <w:spacing w:val="-2"/>
          <w:szCs w:val="21"/>
        </w:rPr>
        <w:t>5.3</w:t>
      </w:r>
      <w:r>
        <w:rPr>
          <w:spacing w:val="-13"/>
          <w:szCs w:val="21"/>
        </w:rPr>
        <w:t>）；</w:t>
      </w:r>
    </w:p>
    <w:p w14:paraId="76450413">
      <w:pPr>
        <w:pStyle w:val="12"/>
        <w:numPr>
          <w:ilvl w:val="0"/>
          <w:numId w:val="14"/>
        </w:numPr>
        <w:spacing w:before="22" w:line="360" w:lineRule="auto"/>
        <w:ind w:firstLineChars="0"/>
        <w:rPr>
          <w:rFonts w:hint="eastAsia" w:ascii="Times New Roman" w:hAnsi="宋体" w:cs="宋体"/>
          <w:szCs w:val="21"/>
        </w:rPr>
      </w:pPr>
      <w:r>
        <w:rPr>
          <w:spacing w:val="-1"/>
          <w:szCs w:val="21"/>
        </w:rPr>
        <w:t>适用时，分配企业的角色、职责和权限（见</w:t>
      </w:r>
      <w:r>
        <w:rPr>
          <w:spacing w:val="-38"/>
          <w:szCs w:val="21"/>
        </w:rPr>
        <w:t xml:space="preserve"> </w:t>
      </w:r>
      <w:r>
        <w:rPr>
          <w:spacing w:val="-1"/>
          <w:szCs w:val="21"/>
        </w:rPr>
        <w:t>5.4</w:t>
      </w:r>
      <w:r>
        <w:rPr>
          <w:spacing w:val="-9"/>
          <w:szCs w:val="21"/>
        </w:rPr>
        <w:t>）；</w:t>
      </w:r>
    </w:p>
    <w:p w14:paraId="50BA51C0">
      <w:pPr>
        <w:pStyle w:val="12"/>
        <w:numPr>
          <w:ilvl w:val="0"/>
          <w:numId w:val="14"/>
        </w:numPr>
        <w:spacing w:before="21" w:line="360" w:lineRule="auto"/>
        <w:ind w:firstLineChars="0"/>
        <w:rPr>
          <w:rFonts w:hint="eastAsia" w:ascii="Times New Roman" w:hAnsi="宋体" w:cs="宋体"/>
          <w:szCs w:val="21"/>
        </w:rPr>
      </w:pPr>
      <w:r>
        <w:rPr>
          <w:spacing w:val="2"/>
          <w:szCs w:val="21"/>
        </w:rPr>
        <w:t>可行时，确定企业</w:t>
      </w:r>
      <w:r>
        <w:rPr>
          <w:spacing w:val="-46"/>
          <w:szCs w:val="21"/>
        </w:rPr>
        <w:t xml:space="preserve"> </w:t>
      </w:r>
      <w:r>
        <w:rPr>
          <w:szCs w:val="21"/>
        </w:rPr>
        <w:t>ESG</w:t>
      </w:r>
      <w:r>
        <w:rPr>
          <w:spacing w:val="-43"/>
          <w:szCs w:val="21"/>
        </w:rPr>
        <w:t xml:space="preserve"> </w:t>
      </w:r>
      <w:r>
        <w:rPr>
          <w:spacing w:val="2"/>
          <w:szCs w:val="21"/>
        </w:rPr>
        <w:t>议题（见6.1</w:t>
      </w:r>
      <w:r>
        <w:rPr>
          <w:spacing w:val="-13"/>
          <w:szCs w:val="21"/>
        </w:rPr>
        <w:t>）；</w:t>
      </w:r>
    </w:p>
    <w:p w14:paraId="16DF0E8A">
      <w:pPr>
        <w:pStyle w:val="12"/>
        <w:numPr>
          <w:ilvl w:val="0"/>
          <w:numId w:val="14"/>
        </w:numPr>
        <w:spacing w:before="23" w:line="360" w:lineRule="auto"/>
        <w:ind w:firstLineChars="0"/>
        <w:rPr>
          <w:rFonts w:hint="eastAsia" w:ascii="Times New Roman" w:hAnsi="宋体" w:cs="宋体"/>
          <w:szCs w:val="21"/>
        </w:rPr>
      </w:pPr>
      <w:r>
        <w:rPr>
          <w:spacing w:val="2"/>
          <w:szCs w:val="21"/>
        </w:rPr>
        <w:t>确定如何满足法律法规要求和其他要求</w:t>
      </w:r>
      <w:r>
        <w:rPr>
          <w:spacing w:val="1"/>
          <w:szCs w:val="21"/>
        </w:rPr>
        <w:t>（见6.2.3</w:t>
      </w:r>
      <w:r>
        <w:rPr>
          <w:spacing w:val="-13"/>
          <w:szCs w:val="21"/>
        </w:rPr>
        <w:t>）；</w:t>
      </w:r>
    </w:p>
    <w:p w14:paraId="063D8B2B">
      <w:pPr>
        <w:pStyle w:val="12"/>
        <w:numPr>
          <w:ilvl w:val="0"/>
          <w:numId w:val="14"/>
        </w:numPr>
        <w:spacing w:before="20" w:line="360" w:lineRule="auto"/>
        <w:ind w:firstLineChars="0"/>
        <w:rPr>
          <w:rFonts w:hint="eastAsia" w:ascii="Times New Roman" w:hAnsi="宋体" w:cs="宋体"/>
          <w:szCs w:val="21"/>
        </w:rPr>
      </w:pPr>
      <w:r>
        <w:rPr>
          <w:spacing w:val="-1"/>
          <w:szCs w:val="21"/>
        </w:rPr>
        <w:t>制定</w:t>
      </w:r>
      <w:r>
        <w:rPr>
          <w:spacing w:val="-46"/>
          <w:szCs w:val="21"/>
        </w:rPr>
        <w:t xml:space="preserve"> </w:t>
      </w:r>
      <w:r>
        <w:rPr>
          <w:spacing w:val="-1"/>
          <w:szCs w:val="21"/>
        </w:rPr>
        <w:t>ESG 目标并为其实现进行策划（见6.3</w:t>
      </w:r>
      <w:r>
        <w:rPr>
          <w:spacing w:val="-4"/>
          <w:szCs w:val="21"/>
        </w:rPr>
        <w:t>）；</w:t>
      </w:r>
    </w:p>
    <w:p w14:paraId="0210AB98">
      <w:pPr>
        <w:pStyle w:val="12"/>
        <w:numPr>
          <w:ilvl w:val="0"/>
          <w:numId w:val="14"/>
        </w:numPr>
        <w:spacing w:before="22" w:line="360" w:lineRule="auto"/>
        <w:ind w:firstLineChars="0"/>
        <w:rPr>
          <w:rFonts w:hint="eastAsia" w:ascii="Times New Roman" w:hAnsi="宋体" w:cs="宋体"/>
          <w:szCs w:val="21"/>
        </w:rPr>
      </w:pPr>
      <w:r>
        <w:rPr>
          <w:spacing w:val="2"/>
          <w:szCs w:val="21"/>
        </w:rPr>
        <w:t>确定对供应链的适用控制（见8.2</w:t>
      </w:r>
      <w:r>
        <w:rPr>
          <w:spacing w:val="-10"/>
          <w:szCs w:val="21"/>
        </w:rPr>
        <w:t>）；</w:t>
      </w:r>
    </w:p>
    <w:p w14:paraId="549397D2">
      <w:pPr>
        <w:pStyle w:val="12"/>
        <w:numPr>
          <w:ilvl w:val="0"/>
          <w:numId w:val="14"/>
        </w:numPr>
        <w:spacing w:before="22" w:line="360" w:lineRule="auto"/>
        <w:ind w:firstLineChars="0"/>
        <w:rPr>
          <w:rFonts w:hint="eastAsia" w:ascii="Times New Roman" w:hAnsi="宋体" w:cs="宋体"/>
          <w:szCs w:val="21"/>
        </w:rPr>
      </w:pPr>
      <w:r>
        <w:rPr>
          <w:szCs w:val="21"/>
        </w:rPr>
        <w:t>确定所需监视、测量、分析和绩效</w:t>
      </w:r>
      <w:r>
        <w:rPr>
          <w:spacing w:val="-1"/>
          <w:szCs w:val="21"/>
        </w:rPr>
        <w:t>评价的内容（见</w:t>
      </w:r>
      <w:r>
        <w:rPr>
          <w:spacing w:val="-44"/>
          <w:szCs w:val="21"/>
        </w:rPr>
        <w:t xml:space="preserve"> </w:t>
      </w:r>
      <w:r>
        <w:rPr>
          <w:spacing w:val="-1"/>
          <w:szCs w:val="21"/>
        </w:rPr>
        <w:t>9.1</w:t>
      </w:r>
      <w:r>
        <w:rPr>
          <w:spacing w:val="-13"/>
          <w:szCs w:val="21"/>
        </w:rPr>
        <w:t>）；</w:t>
      </w:r>
    </w:p>
    <w:p w14:paraId="3D343692">
      <w:pPr>
        <w:pStyle w:val="12"/>
        <w:numPr>
          <w:ilvl w:val="0"/>
          <w:numId w:val="14"/>
        </w:numPr>
        <w:spacing w:before="23" w:line="360" w:lineRule="auto"/>
        <w:ind w:firstLineChars="0"/>
        <w:rPr>
          <w:rFonts w:hint="eastAsia" w:ascii="Times New Roman" w:hAnsi="宋体" w:cs="宋体"/>
          <w:szCs w:val="21"/>
        </w:rPr>
      </w:pPr>
      <w:r>
        <w:rPr>
          <w:spacing w:val="2"/>
          <w:szCs w:val="21"/>
        </w:rPr>
        <w:t>策划、建立、实施和保持审核方案（见9.2.2</w:t>
      </w:r>
      <w:r>
        <w:rPr>
          <w:spacing w:val="-13"/>
          <w:szCs w:val="21"/>
        </w:rPr>
        <w:t>）；</w:t>
      </w:r>
    </w:p>
    <w:p w14:paraId="171E635F">
      <w:pPr>
        <w:pStyle w:val="12"/>
        <w:numPr>
          <w:ilvl w:val="0"/>
          <w:numId w:val="14"/>
        </w:numPr>
        <w:spacing w:before="20" w:line="360" w:lineRule="auto"/>
        <w:ind w:firstLineChars="0"/>
        <w:rPr>
          <w:rFonts w:hint="eastAsia" w:ascii="Times New Roman" w:hAnsi="宋体" w:cs="宋体"/>
          <w:szCs w:val="21"/>
        </w:rPr>
      </w:pPr>
      <w:r>
        <w:rPr>
          <w:spacing w:val="-3"/>
          <w:szCs w:val="21"/>
        </w:rPr>
        <w:t>确保持续改进（见</w:t>
      </w:r>
      <w:r>
        <w:rPr>
          <w:spacing w:val="-18"/>
          <w:szCs w:val="21"/>
        </w:rPr>
        <w:t xml:space="preserve"> </w:t>
      </w:r>
      <w:r>
        <w:rPr>
          <w:spacing w:val="-3"/>
          <w:szCs w:val="21"/>
        </w:rPr>
        <w:t>10.3）。</w:t>
      </w:r>
    </w:p>
    <w:p w14:paraId="03D6EF4F">
      <w:pPr>
        <w:pStyle w:val="12"/>
        <w:numPr>
          <w:ilvl w:val="0"/>
          <w:numId w:val="13"/>
        </w:numPr>
        <w:spacing w:before="21" w:line="360" w:lineRule="auto"/>
        <w:ind w:firstLineChars="0"/>
        <w:rPr>
          <w:rFonts w:hint="eastAsia" w:ascii="Times New Roman" w:hAnsi="宋体" w:cs="宋体"/>
          <w:szCs w:val="21"/>
        </w:rPr>
      </w:pPr>
      <w:r>
        <w:rPr>
          <w:spacing w:val="-2"/>
          <w:szCs w:val="21"/>
        </w:rPr>
        <w:t>强调利益相关方在如下方面的参与：</w:t>
      </w:r>
    </w:p>
    <w:p w14:paraId="67A75B3A">
      <w:pPr>
        <w:pStyle w:val="12"/>
        <w:numPr>
          <w:ilvl w:val="0"/>
          <w:numId w:val="15"/>
        </w:numPr>
        <w:spacing w:before="22" w:line="360" w:lineRule="auto"/>
        <w:ind w:firstLineChars="0"/>
        <w:rPr>
          <w:rFonts w:hint="eastAsia" w:ascii="Times New Roman" w:hAnsi="宋体" w:cs="宋体"/>
          <w:szCs w:val="21"/>
        </w:rPr>
      </w:pPr>
      <w:r>
        <w:rPr>
          <w:spacing w:val="-1"/>
          <w:szCs w:val="21"/>
        </w:rPr>
        <w:t>确定利益相关方的协商和参与机制</w:t>
      </w:r>
      <w:r>
        <w:rPr>
          <w:spacing w:val="-2"/>
          <w:szCs w:val="21"/>
        </w:rPr>
        <w:t>（见</w:t>
      </w:r>
      <w:r>
        <w:rPr>
          <w:spacing w:val="-39"/>
          <w:szCs w:val="21"/>
        </w:rPr>
        <w:t xml:space="preserve"> </w:t>
      </w:r>
      <w:r>
        <w:rPr>
          <w:spacing w:val="-2"/>
          <w:szCs w:val="21"/>
        </w:rPr>
        <w:t>5.5</w:t>
      </w:r>
      <w:r>
        <w:rPr>
          <w:spacing w:val="-13"/>
          <w:szCs w:val="21"/>
        </w:rPr>
        <w:t>）；</w:t>
      </w:r>
    </w:p>
    <w:p w14:paraId="1A639C62">
      <w:pPr>
        <w:pStyle w:val="12"/>
        <w:numPr>
          <w:ilvl w:val="0"/>
          <w:numId w:val="15"/>
        </w:numPr>
        <w:spacing w:before="21" w:line="360" w:lineRule="auto"/>
        <w:ind w:firstLineChars="0"/>
        <w:rPr>
          <w:rFonts w:hint="eastAsia" w:ascii="Times New Roman" w:hAnsi="宋体" w:cs="宋体"/>
          <w:szCs w:val="21"/>
        </w:rPr>
      </w:pPr>
      <w:r>
        <w:rPr>
          <w:spacing w:val="3"/>
          <w:szCs w:val="21"/>
        </w:rPr>
        <w:t>辨识不良影响因素并评价风险和机遇（见6.2.1和</w:t>
      </w:r>
      <w:r>
        <w:rPr>
          <w:spacing w:val="-44"/>
          <w:szCs w:val="21"/>
        </w:rPr>
        <w:t xml:space="preserve"> </w:t>
      </w:r>
      <w:r>
        <w:rPr>
          <w:spacing w:val="2"/>
          <w:szCs w:val="21"/>
        </w:rPr>
        <w:t>6.2.2</w:t>
      </w:r>
      <w:r>
        <w:rPr>
          <w:spacing w:val="-13"/>
          <w:szCs w:val="21"/>
        </w:rPr>
        <w:t>）；</w:t>
      </w:r>
    </w:p>
    <w:p w14:paraId="7A732D0C">
      <w:pPr>
        <w:pStyle w:val="12"/>
        <w:numPr>
          <w:ilvl w:val="0"/>
          <w:numId w:val="15"/>
        </w:numPr>
        <w:spacing w:before="24" w:line="360" w:lineRule="auto"/>
        <w:ind w:firstLineChars="0"/>
        <w:rPr>
          <w:rFonts w:hint="eastAsia" w:ascii="Times New Roman" w:hAnsi="宋体" w:cs="宋体"/>
          <w:szCs w:val="21"/>
        </w:rPr>
      </w:pPr>
      <w:r>
        <w:rPr>
          <w:spacing w:val="1"/>
          <w:szCs w:val="21"/>
        </w:rPr>
        <w:t>确定消除不良影响因素和降低</w:t>
      </w:r>
      <w:r>
        <w:rPr>
          <w:spacing w:val="-46"/>
          <w:szCs w:val="21"/>
        </w:rPr>
        <w:t xml:space="preserve"> </w:t>
      </w:r>
      <w:r>
        <w:rPr>
          <w:szCs w:val="21"/>
        </w:rPr>
        <w:t>ESG</w:t>
      </w:r>
      <w:r>
        <w:rPr>
          <w:spacing w:val="-43"/>
          <w:szCs w:val="21"/>
        </w:rPr>
        <w:t xml:space="preserve"> </w:t>
      </w:r>
      <w:r>
        <w:rPr>
          <w:spacing w:val="1"/>
          <w:szCs w:val="21"/>
        </w:rPr>
        <w:t>风险的措施（见6.2.4</w:t>
      </w:r>
      <w:r>
        <w:rPr>
          <w:spacing w:val="-11"/>
          <w:szCs w:val="21"/>
        </w:rPr>
        <w:t>）；</w:t>
      </w:r>
    </w:p>
    <w:p w14:paraId="2F941035">
      <w:pPr>
        <w:pStyle w:val="12"/>
        <w:numPr>
          <w:ilvl w:val="0"/>
          <w:numId w:val="15"/>
        </w:numPr>
        <w:spacing w:before="20" w:line="360" w:lineRule="auto"/>
        <w:ind w:firstLineChars="0"/>
        <w:rPr>
          <w:rFonts w:hint="eastAsia" w:ascii="Times New Roman" w:hAnsi="宋体" w:cs="宋体"/>
          <w:szCs w:val="21"/>
        </w:rPr>
      </w:pPr>
      <w:r>
        <w:rPr>
          <w:szCs w:val="21"/>
        </w:rPr>
        <w:t>确定能力要求、培训需求、培训和</w:t>
      </w:r>
      <w:r>
        <w:rPr>
          <w:spacing w:val="-1"/>
          <w:szCs w:val="21"/>
        </w:rPr>
        <w:t>培训效果评价（见</w:t>
      </w:r>
      <w:r>
        <w:rPr>
          <w:spacing w:val="-38"/>
          <w:szCs w:val="21"/>
        </w:rPr>
        <w:t xml:space="preserve"> </w:t>
      </w:r>
      <w:r>
        <w:rPr>
          <w:spacing w:val="-1"/>
          <w:szCs w:val="21"/>
        </w:rPr>
        <w:t>7.2</w:t>
      </w:r>
      <w:r>
        <w:rPr>
          <w:spacing w:val="-13"/>
          <w:szCs w:val="21"/>
        </w:rPr>
        <w:t>）；</w:t>
      </w:r>
    </w:p>
    <w:p w14:paraId="5E3E9BFE">
      <w:pPr>
        <w:pStyle w:val="12"/>
        <w:numPr>
          <w:ilvl w:val="0"/>
          <w:numId w:val="15"/>
        </w:numPr>
        <w:spacing w:before="24" w:line="360" w:lineRule="auto"/>
        <w:ind w:firstLineChars="0"/>
        <w:rPr>
          <w:rFonts w:hint="eastAsia" w:ascii="Times New Roman" w:hAnsi="宋体" w:cs="宋体"/>
          <w:szCs w:val="21"/>
        </w:rPr>
      </w:pPr>
      <w:r>
        <w:rPr>
          <w:spacing w:val="-1"/>
          <w:szCs w:val="21"/>
        </w:rPr>
        <w:t>确定沟通的内容和方式（见</w:t>
      </w:r>
      <w:r>
        <w:rPr>
          <w:spacing w:val="-39"/>
          <w:szCs w:val="21"/>
        </w:rPr>
        <w:t xml:space="preserve"> </w:t>
      </w:r>
      <w:r>
        <w:rPr>
          <w:spacing w:val="-1"/>
          <w:szCs w:val="21"/>
        </w:rPr>
        <w:t>7.4</w:t>
      </w:r>
      <w:r>
        <w:rPr>
          <w:spacing w:val="-12"/>
          <w:szCs w:val="21"/>
        </w:rPr>
        <w:t>）；</w:t>
      </w:r>
    </w:p>
    <w:p w14:paraId="22F337D7">
      <w:pPr>
        <w:pStyle w:val="12"/>
        <w:numPr>
          <w:ilvl w:val="0"/>
          <w:numId w:val="15"/>
        </w:numPr>
        <w:spacing w:before="20" w:line="360" w:lineRule="auto"/>
        <w:ind w:firstLineChars="0"/>
        <w:rPr>
          <w:rFonts w:hint="eastAsia" w:ascii="Times New Roman" w:hAnsi="宋体" w:cs="宋体"/>
          <w:szCs w:val="21"/>
        </w:rPr>
      </w:pPr>
      <w:r>
        <w:rPr>
          <w:spacing w:val="1"/>
          <w:szCs w:val="21"/>
        </w:rPr>
        <w:t>确定控制措施及其有效的实施和应用（见8.1</w:t>
      </w:r>
      <w:r>
        <w:rPr>
          <w:spacing w:val="-45"/>
          <w:szCs w:val="21"/>
        </w:rPr>
        <w:t xml:space="preserve"> </w:t>
      </w:r>
      <w:r>
        <w:rPr>
          <w:spacing w:val="1"/>
          <w:szCs w:val="21"/>
        </w:rPr>
        <w:t>和</w:t>
      </w:r>
      <w:r>
        <w:rPr>
          <w:spacing w:val="-43"/>
          <w:szCs w:val="21"/>
        </w:rPr>
        <w:t xml:space="preserve"> </w:t>
      </w:r>
      <w:r>
        <w:rPr>
          <w:spacing w:val="1"/>
          <w:szCs w:val="21"/>
        </w:rPr>
        <w:t>8.2</w:t>
      </w:r>
      <w:r>
        <w:rPr>
          <w:spacing w:val="-11"/>
          <w:szCs w:val="21"/>
        </w:rPr>
        <w:t>）；</w:t>
      </w:r>
    </w:p>
    <w:p w14:paraId="67B20167">
      <w:pPr>
        <w:pStyle w:val="12"/>
        <w:numPr>
          <w:ilvl w:val="0"/>
          <w:numId w:val="15"/>
        </w:numPr>
        <w:spacing w:before="22" w:line="360" w:lineRule="auto"/>
        <w:ind w:firstLineChars="0"/>
        <w:rPr>
          <w:rFonts w:hint="eastAsia" w:ascii="Times New Roman" w:hAnsi="宋体" w:cs="宋体"/>
          <w:szCs w:val="21"/>
        </w:rPr>
      </w:pPr>
      <w:r>
        <w:rPr>
          <w:spacing w:val="-1"/>
          <w:szCs w:val="21"/>
        </w:rPr>
        <w:t>调查事件和不符合并确定纠正措施（见</w:t>
      </w:r>
      <w:r>
        <w:rPr>
          <w:spacing w:val="-28"/>
          <w:szCs w:val="21"/>
        </w:rPr>
        <w:t xml:space="preserve"> </w:t>
      </w:r>
      <w:r>
        <w:rPr>
          <w:spacing w:val="-1"/>
          <w:szCs w:val="21"/>
        </w:rPr>
        <w:t>10</w:t>
      </w:r>
      <w:r>
        <w:rPr>
          <w:spacing w:val="-2"/>
          <w:szCs w:val="21"/>
        </w:rPr>
        <w:t>.2）。</w:t>
      </w:r>
    </w:p>
    <w:p w14:paraId="32ECC581">
      <w:pPr>
        <w:pStyle w:val="12"/>
        <w:spacing w:line="360" w:lineRule="auto"/>
        <w:ind w:firstLine="416"/>
        <w:rPr>
          <w:szCs w:val="18"/>
        </w:rPr>
      </w:pPr>
      <w:r>
        <w:rPr>
          <w:spacing w:val="-2"/>
          <w:szCs w:val="18"/>
        </w:rPr>
        <w:t>注：需认识到，若可行，向利益相关方免费提供培训以及在工作时间内向员工提供培训，可以消除员工</w:t>
      </w:r>
      <w:r>
        <w:rPr>
          <w:spacing w:val="-3"/>
          <w:szCs w:val="18"/>
        </w:rPr>
        <w:t>及其他利益</w:t>
      </w:r>
      <w:r>
        <w:rPr>
          <w:szCs w:val="18"/>
        </w:rPr>
        <w:t xml:space="preserve"> </w:t>
      </w:r>
      <w:r>
        <w:rPr>
          <w:spacing w:val="-3"/>
          <w:szCs w:val="18"/>
        </w:rPr>
        <w:t>相关方参与的重大障碍。</w:t>
      </w:r>
    </w:p>
    <w:p w14:paraId="4061ADB8">
      <w:pPr>
        <w:pStyle w:val="28"/>
        <w:spacing w:before="240" w:after="240" w:line="360" w:lineRule="auto"/>
      </w:pPr>
      <w:bookmarkStart w:id="15" w:name="_Toc3418"/>
      <w:r>
        <w:t>策划</w:t>
      </w:r>
      <w:bookmarkEnd w:id="15"/>
    </w:p>
    <w:p w14:paraId="7E524D19">
      <w:pPr>
        <w:pStyle w:val="3"/>
        <w:spacing w:before="68" w:line="360" w:lineRule="auto"/>
        <w:rPr>
          <w:rFonts w:hint="eastAsia"/>
        </w:rPr>
      </w:pPr>
      <w:r>
        <w:t>6.</w:t>
      </w:r>
      <w:r>
        <w:rPr>
          <w:rFonts w:hint="eastAsia"/>
        </w:rPr>
        <w:t>1 ESG</w:t>
      </w:r>
      <w:r>
        <w:t>议题与风险机遇</w:t>
      </w:r>
      <w:r>
        <w:rPr>
          <w:spacing w:val="5"/>
          <w:position w:val="2"/>
          <w:szCs w:val="21"/>
        </w:rPr>
        <w:t xml:space="preserve">   </w:t>
      </w:r>
    </w:p>
    <w:p w14:paraId="3664AF72">
      <w:pPr>
        <w:pStyle w:val="4"/>
        <w:widowControl/>
        <w:numPr>
          <w:ilvl w:val="0"/>
          <w:numId w:val="16"/>
        </w:numPr>
        <w:spacing w:before="68" w:line="360" w:lineRule="auto"/>
        <w:rPr>
          <w:rFonts w:ascii="Times New Roman"/>
          <w:szCs w:val="21"/>
        </w:rPr>
      </w:pPr>
      <w:r>
        <w:rPr>
          <w:spacing w:val="-10"/>
          <w:szCs w:val="21"/>
        </w:rPr>
        <w:t>辨别ESG</w:t>
      </w:r>
      <w:r>
        <w:rPr>
          <w:spacing w:val="-46"/>
          <w:szCs w:val="21"/>
        </w:rPr>
        <w:t xml:space="preserve"> </w:t>
      </w:r>
      <w:r>
        <w:rPr>
          <w:spacing w:val="-10"/>
          <w:szCs w:val="21"/>
        </w:rPr>
        <w:t>议题</w:t>
      </w:r>
    </w:p>
    <w:p w14:paraId="4FAB6987">
      <w:pPr>
        <w:pStyle w:val="12"/>
        <w:spacing w:before="143" w:line="360" w:lineRule="auto"/>
        <w:ind w:right="74" w:firstLine="416"/>
        <w:rPr>
          <w:szCs w:val="21"/>
        </w:rPr>
      </w:pPr>
      <w:r>
        <w:rPr>
          <w:spacing w:val="-2"/>
          <w:szCs w:val="21"/>
        </w:rPr>
        <w:t>企业应建立、实施和保持工作过程和制度，根据确定的</w:t>
      </w:r>
      <w:r>
        <w:rPr>
          <w:spacing w:val="-3"/>
          <w:szCs w:val="21"/>
        </w:rPr>
        <w:t>外部需求和期望，通过调查问卷、访谈等</w:t>
      </w:r>
      <w:r>
        <w:rPr>
          <w:rFonts w:hint="eastAsia"/>
          <w:spacing w:val="-3"/>
          <w:szCs w:val="21"/>
        </w:rPr>
        <w:t>形式</w:t>
      </w:r>
      <w:r>
        <w:rPr>
          <w:spacing w:val="-4"/>
          <w:szCs w:val="21"/>
        </w:rPr>
        <w:t>，收集、识别</w:t>
      </w:r>
      <w:r>
        <w:t>企业ESG</w:t>
      </w:r>
      <w:r>
        <w:rPr>
          <w:spacing w:val="-4"/>
          <w:szCs w:val="21"/>
        </w:rPr>
        <w:t>议题，开展重要性分析和</w:t>
      </w:r>
      <w:r>
        <w:rPr>
          <w:spacing w:val="-5"/>
          <w:szCs w:val="21"/>
        </w:rPr>
        <w:t>排序，确定企业在ESG方面的重要</w:t>
      </w:r>
      <w:r>
        <w:t>性</w:t>
      </w:r>
      <w:r>
        <w:rPr>
          <w:spacing w:val="-5"/>
          <w:szCs w:val="21"/>
        </w:rPr>
        <w:t>议题，</w:t>
      </w:r>
      <w:r>
        <w:rPr>
          <w:spacing w:val="-7"/>
          <w:szCs w:val="21"/>
        </w:rPr>
        <w:t>过程包括：</w:t>
      </w:r>
    </w:p>
    <w:p w14:paraId="7DFC33F6">
      <w:pPr>
        <w:pStyle w:val="12"/>
        <w:numPr>
          <w:ilvl w:val="0"/>
          <w:numId w:val="17"/>
        </w:numPr>
        <w:spacing w:before="2" w:line="360" w:lineRule="auto"/>
        <w:ind w:right="73" w:firstLineChars="0"/>
      </w:pPr>
      <w:r>
        <w:rPr>
          <w:spacing w:val="-4"/>
          <w:szCs w:val="21"/>
        </w:rPr>
        <w:t>识别相关</w:t>
      </w:r>
      <w:r>
        <w:rPr>
          <w:spacing w:val="-42"/>
          <w:szCs w:val="21"/>
        </w:rPr>
        <w:t xml:space="preserve"> </w:t>
      </w:r>
      <w:r>
        <w:rPr>
          <w:spacing w:val="-4"/>
          <w:szCs w:val="21"/>
        </w:rPr>
        <w:t>ESG</w:t>
      </w:r>
      <w:r>
        <w:rPr>
          <w:spacing w:val="-42"/>
          <w:szCs w:val="21"/>
        </w:rPr>
        <w:t xml:space="preserve"> </w:t>
      </w:r>
      <w:r>
        <w:rPr>
          <w:spacing w:val="-4"/>
          <w:szCs w:val="21"/>
        </w:rPr>
        <w:t>议题。</w:t>
      </w:r>
      <w:r>
        <w:t>企业应基于自身活动及业务关系、外部环境影响、主要受影响的利益相关方等维度，识别企业ESG议题。企业可参考使用《</w:t>
      </w:r>
      <w:r>
        <w:rPr>
          <w:rFonts w:hint="eastAsia"/>
          <w:spacing w:val="-1"/>
          <w:szCs w:val="21"/>
        </w:rPr>
        <w:t>T/XXX XXXX—XXXX</w:t>
      </w:r>
      <w:r>
        <w:rPr>
          <w:spacing w:val="-24"/>
          <w:szCs w:val="21"/>
        </w:rPr>
        <w:t xml:space="preserve"> </w:t>
      </w:r>
      <w:r>
        <w:rPr>
          <w:spacing w:val="-1"/>
          <w:szCs w:val="21"/>
        </w:rPr>
        <w:t>中国汽车行业</w:t>
      </w:r>
      <w:r>
        <w:rPr>
          <w:spacing w:val="-49"/>
          <w:szCs w:val="21"/>
        </w:rPr>
        <w:t xml:space="preserve"> </w:t>
      </w:r>
      <w:r>
        <w:rPr>
          <w:spacing w:val="-1"/>
          <w:szCs w:val="21"/>
        </w:rPr>
        <w:t>ESG</w:t>
      </w:r>
      <w:r>
        <w:rPr>
          <w:spacing w:val="-44"/>
          <w:szCs w:val="21"/>
        </w:rPr>
        <w:t xml:space="preserve"> </w:t>
      </w:r>
      <w:r>
        <w:rPr>
          <w:spacing w:val="-1"/>
          <w:szCs w:val="21"/>
        </w:rPr>
        <w:t>信息披露指南</w:t>
      </w:r>
      <w:r>
        <w:t>》《</w:t>
      </w:r>
      <w:r>
        <w:rPr>
          <w:rFonts w:hint="eastAsia"/>
        </w:rPr>
        <w:t>T/XXX XXXX—XXXX</w:t>
      </w:r>
      <w:r>
        <w:t xml:space="preserve"> 中国汽车行业 ESG 评价指南》中建议的议题作为议题清单基础，通过尽职调查、风险管理等内部流程，以及整理相关监管政策、规则、行业标准及发展趋势、同业分析等方式识别重要性议题，完善议题清单</w:t>
      </w:r>
      <w:r>
        <w:rPr>
          <w:rFonts w:hint="eastAsia"/>
        </w:rPr>
        <w:t>。</w:t>
      </w:r>
    </w:p>
    <w:p w14:paraId="4F624EFD">
      <w:pPr>
        <w:pStyle w:val="12"/>
        <w:numPr>
          <w:ilvl w:val="0"/>
          <w:numId w:val="17"/>
        </w:numPr>
        <w:spacing w:before="17" w:line="360" w:lineRule="auto"/>
        <w:ind w:right="73" w:firstLineChars="0"/>
      </w:pPr>
      <w:r>
        <w:t>议题双重</w:t>
      </w:r>
      <w:r>
        <w:rPr>
          <w:spacing w:val="-2"/>
          <w:szCs w:val="21"/>
        </w:rPr>
        <w:t>重要性评估</w:t>
      </w:r>
      <w:r>
        <w:rPr>
          <w:rFonts w:hint="eastAsia"/>
          <w:spacing w:val="-2"/>
          <w:szCs w:val="21"/>
        </w:rPr>
        <w:t>。企业</w:t>
      </w:r>
      <w:r>
        <w:t>应从</w:t>
      </w:r>
      <w:r>
        <w:rPr>
          <w:rFonts w:hint="eastAsia"/>
        </w:rPr>
        <w:t>“影响重要性”</w:t>
      </w:r>
      <w:r>
        <w:t>和</w:t>
      </w:r>
      <w:r>
        <w:rPr>
          <w:rFonts w:hint="eastAsia"/>
        </w:rPr>
        <w:t>“财务重要性”</w:t>
      </w:r>
      <w:r>
        <w:t>两个方面识别分析议题的重要性，并说明分析的过程及结果，形成文件化信息。</w:t>
      </w:r>
    </w:p>
    <w:p w14:paraId="097D2C09">
      <w:pPr>
        <w:pStyle w:val="12"/>
        <w:numPr>
          <w:ilvl w:val="0"/>
          <w:numId w:val="17"/>
        </w:numPr>
        <w:spacing w:before="22" w:line="360" w:lineRule="auto"/>
        <w:ind w:right="74" w:firstLineChars="0"/>
        <w:rPr>
          <w:rFonts w:hint="eastAsia" w:ascii="Times New Roman" w:hAnsi="宋体" w:cs="宋体"/>
          <w:szCs w:val="21"/>
        </w:rPr>
      </w:pPr>
      <w:r>
        <w:t>议题</w:t>
      </w:r>
      <w:r>
        <w:rPr>
          <w:spacing w:val="-2"/>
          <w:szCs w:val="21"/>
        </w:rPr>
        <w:t>确认。企业治理机构（董事会或类似机构及其下</w:t>
      </w:r>
      <w:r>
        <w:rPr>
          <w:spacing w:val="-3"/>
          <w:szCs w:val="21"/>
        </w:rPr>
        <w:t>设委员会，如有）或负责人对识别出的议题及</w:t>
      </w:r>
      <w:r>
        <w:rPr>
          <w:szCs w:val="21"/>
        </w:rPr>
        <w:t xml:space="preserve"> </w:t>
      </w:r>
      <w:r>
        <w:rPr>
          <w:spacing w:val="-1"/>
          <w:szCs w:val="21"/>
        </w:rPr>
        <w:t>排序进行确认，以纳入经营策略；</w:t>
      </w:r>
    </w:p>
    <w:p w14:paraId="220F0CDE">
      <w:pPr>
        <w:pStyle w:val="12"/>
        <w:numPr>
          <w:ilvl w:val="0"/>
          <w:numId w:val="17"/>
        </w:numPr>
        <w:spacing w:before="23" w:line="360" w:lineRule="auto"/>
        <w:ind w:right="73" w:firstLineChars="0"/>
      </w:pPr>
      <w:r>
        <w:t>议题</w:t>
      </w:r>
      <w:r>
        <w:rPr>
          <w:spacing w:val="-2"/>
          <w:szCs w:val="21"/>
        </w:rPr>
        <w:t>回顾。企业应定期收集内外部利益相关方对议题回</w:t>
      </w:r>
      <w:r>
        <w:rPr>
          <w:spacing w:val="-3"/>
          <w:szCs w:val="21"/>
        </w:rPr>
        <w:t>应实施效果的反馈，为下一次议题调整做准</w:t>
      </w:r>
      <w:r>
        <w:rPr>
          <w:spacing w:val="-10"/>
          <w:szCs w:val="21"/>
        </w:rPr>
        <w:t>备。</w:t>
      </w:r>
    </w:p>
    <w:p w14:paraId="366D71F2">
      <w:pPr>
        <w:pStyle w:val="4"/>
        <w:widowControl/>
        <w:numPr>
          <w:ilvl w:val="0"/>
          <w:numId w:val="16"/>
        </w:numPr>
        <w:spacing w:before="23" w:line="360" w:lineRule="auto"/>
        <w:ind w:right="73"/>
      </w:pPr>
      <w:r>
        <w:rPr>
          <w:rFonts w:hint="eastAsia"/>
        </w:rPr>
        <w:t>确定</w:t>
      </w:r>
      <w:r>
        <w:t>风险与机遇</w:t>
      </w:r>
    </w:p>
    <w:p w14:paraId="1FB92DD4">
      <w:pPr>
        <w:pStyle w:val="12"/>
        <w:spacing w:before="23" w:line="360" w:lineRule="auto"/>
        <w:ind w:right="73"/>
      </w:pPr>
      <w:r>
        <w:t>企业宜在建立、实施、保持和持续改进 ESG 管理体系的过程中，系统识别与其宗旨、战略和愿景相关的 ESG 风险与机遇。风险与机遇宜在以下背景下确定：</w:t>
      </w:r>
    </w:p>
    <w:p w14:paraId="1E1FDA7C">
      <w:pPr>
        <w:pStyle w:val="12"/>
        <w:numPr>
          <w:ilvl w:val="0"/>
          <w:numId w:val="18"/>
        </w:numPr>
        <w:spacing w:before="23" w:line="360" w:lineRule="auto"/>
        <w:ind w:right="73" w:firstLineChars="0"/>
      </w:pPr>
      <w:r>
        <w:t>ESG 因素及其相关影响；</w:t>
      </w:r>
    </w:p>
    <w:p w14:paraId="470D90ED">
      <w:pPr>
        <w:pStyle w:val="12"/>
        <w:numPr>
          <w:ilvl w:val="0"/>
          <w:numId w:val="18"/>
        </w:numPr>
        <w:spacing w:before="23" w:line="360" w:lineRule="auto"/>
        <w:ind w:right="73" w:firstLineChars="0"/>
      </w:pPr>
      <w:r>
        <w:t>双重重要性（参见 3.18 ）；</w:t>
      </w:r>
    </w:p>
    <w:p w14:paraId="6E7DB1AE">
      <w:pPr>
        <w:pStyle w:val="12"/>
        <w:numPr>
          <w:ilvl w:val="0"/>
          <w:numId w:val="18"/>
        </w:numPr>
        <w:spacing w:before="23" w:line="360" w:lineRule="auto"/>
        <w:ind w:right="73" w:firstLineChars="0"/>
      </w:pPr>
      <w:r>
        <w:t>影响的显著性与影响程度；</w:t>
      </w:r>
    </w:p>
    <w:p w14:paraId="67165B64">
      <w:pPr>
        <w:pStyle w:val="12"/>
        <w:numPr>
          <w:ilvl w:val="0"/>
          <w:numId w:val="18"/>
        </w:numPr>
        <w:spacing w:before="23" w:line="360" w:lineRule="auto"/>
        <w:ind w:right="73" w:firstLineChars="0"/>
      </w:pPr>
      <w:r>
        <w:t>直接</w:t>
      </w:r>
      <w:r>
        <w:rPr>
          <w:spacing w:val="-10"/>
          <w:szCs w:val="21"/>
        </w:rPr>
        <w:t>影响</w:t>
      </w:r>
      <w:r>
        <w:t>及间接影响；</w:t>
      </w:r>
    </w:p>
    <w:p w14:paraId="5FBCFCD8">
      <w:pPr>
        <w:pStyle w:val="12"/>
        <w:numPr>
          <w:ilvl w:val="0"/>
          <w:numId w:val="18"/>
        </w:numPr>
        <w:spacing w:before="23" w:line="360" w:lineRule="auto"/>
        <w:ind w:right="73" w:firstLineChars="0"/>
      </w:pPr>
      <w:r>
        <w:t>利益相关方对风险与机遇的看法；</w:t>
      </w:r>
    </w:p>
    <w:p w14:paraId="703CCB6C">
      <w:pPr>
        <w:pStyle w:val="12"/>
        <w:numPr>
          <w:ilvl w:val="0"/>
          <w:numId w:val="18"/>
        </w:numPr>
        <w:spacing w:before="23" w:line="360" w:lineRule="auto"/>
        <w:ind w:right="73" w:firstLineChars="0"/>
      </w:pPr>
      <w:r>
        <w:t>机遇及其带来的</w:t>
      </w:r>
      <w:r>
        <w:rPr>
          <w:spacing w:val="-10"/>
          <w:szCs w:val="21"/>
        </w:rPr>
        <w:t>益处</w:t>
      </w:r>
      <w:r>
        <w:t>。</w:t>
      </w:r>
    </w:p>
    <w:p w14:paraId="6754F015">
      <w:pPr>
        <w:pStyle w:val="12"/>
        <w:spacing w:before="23" w:line="360" w:lineRule="auto"/>
        <w:ind w:right="73"/>
      </w:pPr>
      <w:r>
        <w:t>企业宜将基于战略、风险与机遇的 ESG 方法融入其各项活动，并在短期、中期和长期内对负面及正面影响进行有效且连贯的规划与管理。</w:t>
      </w:r>
    </w:p>
    <w:p w14:paraId="408B4D97">
      <w:pPr>
        <w:pStyle w:val="12"/>
        <w:spacing w:before="23" w:line="360" w:lineRule="auto"/>
        <w:ind w:right="73"/>
      </w:pPr>
      <w:r>
        <w:t>企业风险与机遇的确定宜从整个组织、产品与服务的全生命周期，以及价值链的各个方面（包括内部与外部）统筹考量。</w:t>
      </w:r>
    </w:p>
    <w:p w14:paraId="3B2C6C47">
      <w:pPr>
        <w:pStyle w:val="12"/>
        <w:spacing w:before="23" w:line="360" w:lineRule="auto"/>
        <w:ind w:right="73"/>
      </w:pPr>
      <w:r>
        <w:t>影响、风险与机遇的具体识别、评价与应对措施，参照 6.2 的规定执行。</w:t>
      </w:r>
    </w:p>
    <w:p w14:paraId="3242B224">
      <w:pPr>
        <w:pStyle w:val="4"/>
        <w:widowControl/>
        <w:numPr>
          <w:ilvl w:val="0"/>
          <w:numId w:val="16"/>
        </w:numPr>
        <w:spacing w:before="23" w:line="360" w:lineRule="auto"/>
        <w:ind w:right="73"/>
      </w:pPr>
      <w:r>
        <w:t>风险与机遇管理</w:t>
      </w:r>
    </w:p>
    <w:p w14:paraId="43B8DA75">
      <w:pPr>
        <w:pStyle w:val="12"/>
        <w:spacing w:before="23" w:line="360" w:lineRule="auto"/>
        <w:ind w:right="73"/>
      </w:pPr>
      <w:r>
        <w:t>为确保对 ESG 实施基于风险与机遇的最优管理，企业宜按以下方法学</w:t>
      </w:r>
      <w:r>
        <w:rPr>
          <w:rFonts w:hint="eastAsia"/>
        </w:rPr>
        <w:t>框架</w:t>
      </w:r>
      <w:r>
        <w:t>建立、实施并保持其风险与机遇管理流程，并按</w:t>
      </w:r>
      <w:r>
        <w:rPr>
          <w:rFonts w:hint="eastAsia"/>
        </w:rPr>
        <w:t>本文件</w:t>
      </w:r>
      <w:r>
        <w:t>其他章节的具体规定开展相应活动。</w:t>
      </w:r>
    </w:p>
    <w:p w14:paraId="25A18A01">
      <w:pPr>
        <w:pStyle w:val="12"/>
        <w:numPr>
          <w:ilvl w:val="0"/>
          <w:numId w:val="19"/>
        </w:numPr>
        <w:spacing w:before="23" w:line="360" w:lineRule="auto"/>
        <w:ind w:right="73" w:firstLineChars="0"/>
      </w:pPr>
      <w:r>
        <w:t>制定企业的 ESG 战略与优先事项</w:t>
      </w:r>
    </w:p>
    <w:p w14:paraId="4138177D">
      <w:pPr>
        <w:pStyle w:val="12"/>
        <w:spacing w:before="23" w:line="360" w:lineRule="auto"/>
        <w:ind w:right="73"/>
      </w:pPr>
      <w:r>
        <w:t>企业宜将 ESG 风险与机遇管理纳入企业整体战略规划与年度经营计划，明确 ESG 优先事项及其与企业发展战略的一致性，并将其作为 ESG 目标设定（ 6.3）和资源配置（ 7.1）的前置输入。</w:t>
      </w:r>
    </w:p>
    <w:p w14:paraId="1FE9E90F">
      <w:pPr>
        <w:pStyle w:val="12"/>
        <w:numPr>
          <w:ilvl w:val="0"/>
          <w:numId w:val="19"/>
        </w:numPr>
        <w:spacing w:before="23" w:line="360" w:lineRule="auto"/>
        <w:ind w:right="73"/>
      </w:pPr>
      <w:r>
        <w:t>ESG 风险与机遇识别</w:t>
      </w:r>
    </w:p>
    <w:p w14:paraId="6B9EA556">
      <w:pPr>
        <w:pStyle w:val="12"/>
        <w:spacing w:before="23" w:line="360" w:lineRule="auto"/>
        <w:ind w:right="73"/>
      </w:pPr>
      <w:r>
        <w:t>企业宜识别与其 ESG 因素相关的具体风险与机遇，包括对企业自身及其利益相关方可能产生的影响（6.2.2.1、6.2.2.2 ）。</w:t>
      </w:r>
    </w:p>
    <w:p w14:paraId="4039B99F">
      <w:pPr>
        <w:pStyle w:val="12"/>
        <w:numPr>
          <w:ilvl w:val="0"/>
          <w:numId w:val="19"/>
        </w:numPr>
        <w:spacing w:before="23" w:line="360" w:lineRule="auto"/>
        <w:ind w:right="73"/>
      </w:pPr>
      <w:r>
        <w:t>ESG 风险与机遇评估</w:t>
      </w:r>
    </w:p>
    <w:p w14:paraId="0192D977">
      <w:pPr>
        <w:pStyle w:val="12"/>
        <w:spacing w:before="23" w:line="360" w:lineRule="auto"/>
        <w:ind w:right="73"/>
      </w:pPr>
      <w:r>
        <w:t>企业宜分析风险与机遇出现的概率与时机，并评估其在短期、中期和长期内对企业成果的影响，包括对所有利益相关方可能产生的影响。具体评价按 6.2.2 的规定执行。</w:t>
      </w:r>
    </w:p>
    <w:p w14:paraId="79AD4F64">
      <w:pPr>
        <w:pStyle w:val="12"/>
        <w:numPr>
          <w:ilvl w:val="0"/>
          <w:numId w:val="19"/>
        </w:numPr>
        <w:spacing w:before="23" w:line="360" w:lineRule="auto"/>
        <w:ind w:right="73"/>
      </w:pPr>
      <w:r>
        <w:t>ESG 风险与机遇应对</w:t>
      </w:r>
    </w:p>
    <w:p w14:paraId="08CBB322">
      <w:pPr>
        <w:pStyle w:val="12"/>
        <w:spacing w:before="23" w:line="360" w:lineRule="auto"/>
        <w:ind w:right="73"/>
      </w:pPr>
      <w:r>
        <w:t>企业宜在其风险与机遇承受能力范围内，选择适当的应对策略（如接受、适应、规避、升级、创新、缓解、监控、降低、转移等），并部署必要的工具（包括相关成果物、控制措施、政策、程序等）有效应对 ESG 风险与机遇。具体应对措施按 6.2.4 的规定策划与实施。</w:t>
      </w:r>
    </w:p>
    <w:p w14:paraId="09A3CB7D">
      <w:pPr>
        <w:pStyle w:val="12"/>
        <w:numPr>
          <w:ilvl w:val="0"/>
          <w:numId w:val="19"/>
        </w:numPr>
        <w:spacing w:before="23" w:line="360" w:lineRule="auto"/>
        <w:ind w:right="73"/>
      </w:pPr>
      <w:r>
        <w:t>ESG 风险与机遇的监测与报告</w:t>
      </w:r>
    </w:p>
    <w:p w14:paraId="6BC22D5C">
      <w:pPr>
        <w:pStyle w:val="12"/>
        <w:spacing w:before="23" w:line="360" w:lineRule="auto"/>
        <w:ind w:right="73"/>
      </w:pPr>
      <w:r>
        <w:t>企业宜对其 ESG 风险与机遇实施系统化、持续性的监测，确定并定期开展审查，以监控其状态并识别任何超出承受能力范围的事项；按规定向企业治理机构（或最高管理者）提交报告，并在适当时间向相关监管机构及其他利益相关方报告。具体监测、报告、评审与改进按 9.1、9.2、9.3、9.4 的规定执行。</w:t>
      </w:r>
    </w:p>
    <w:p w14:paraId="1353100C">
      <w:pPr>
        <w:pStyle w:val="3"/>
        <w:spacing w:before="141" w:line="360" w:lineRule="auto"/>
        <w:rPr>
          <w:rFonts w:hint="eastAsia"/>
          <w:szCs w:val="21"/>
        </w:rPr>
      </w:pPr>
      <w:r>
        <w:rPr>
          <w:position w:val="2"/>
          <w:szCs w:val="21"/>
        </w:rPr>
        <w:t>6.2</w:t>
      </w:r>
      <w:r>
        <w:rPr>
          <w:spacing w:val="18"/>
          <w:position w:val="2"/>
          <w:szCs w:val="21"/>
        </w:rPr>
        <w:t xml:space="preserve">   </w:t>
      </w:r>
      <w:r>
        <w:rPr>
          <w:szCs w:val="21"/>
        </w:rPr>
        <w:t>风险和机遇的</w:t>
      </w:r>
      <w:r>
        <w:t>具体</w:t>
      </w:r>
      <w:r>
        <w:rPr>
          <w:szCs w:val="21"/>
        </w:rPr>
        <w:t>识别和应对措施</w:t>
      </w:r>
    </w:p>
    <w:p w14:paraId="749B45F1">
      <w:pPr>
        <w:pStyle w:val="4"/>
        <w:widowControl/>
        <w:numPr>
          <w:ilvl w:val="0"/>
          <w:numId w:val="20"/>
        </w:numPr>
        <w:spacing w:before="143" w:line="360" w:lineRule="auto"/>
        <w:rPr>
          <w:rFonts w:ascii="Times New Roman"/>
          <w:szCs w:val="21"/>
        </w:rPr>
      </w:pPr>
      <w:r>
        <w:rPr>
          <w:spacing w:val="-2"/>
          <w:szCs w:val="21"/>
        </w:rPr>
        <w:t>总则</w:t>
      </w:r>
    </w:p>
    <w:p w14:paraId="03D7277D">
      <w:pPr>
        <w:pStyle w:val="12"/>
        <w:spacing w:before="141" w:line="360" w:lineRule="auto"/>
        <w:ind w:firstLine="418"/>
        <w:rPr>
          <w:szCs w:val="21"/>
        </w:rPr>
      </w:pPr>
      <w:r>
        <w:rPr>
          <w:spacing w:val="-1"/>
          <w:szCs w:val="21"/>
        </w:rPr>
        <w:t>为确保实现企业ESG管理体系目标，在策划ESG管理体系时，企业应考虑内外部环境、相关方需求、</w:t>
      </w:r>
      <w:r>
        <w:rPr>
          <w:spacing w:val="17"/>
          <w:szCs w:val="21"/>
        </w:rPr>
        <w:t xml:space="preserve"> </w:t>
      </w:r>
      <w:r>
        <w:rPr>
          <w:szCs w:val="21"/>
        </w:rPr>
        <w:t>法律法规要求、管理体系范围和潜在紧急情况所对应的ESG议题及其优先事项，防止或减少其在环境、</w:t>
      </w:r>
      <w:r>
        <w:rPr>
          <w:spacing w:val="4"/>
          <w:szCs w:val="21"/>
        </w:rPr>
        <w:t xml:space="preserve"> </w:t>
      </w:r>
      <w:r>
        <w:rPr>
          <w:szCs w:val="21"/>
        </w:rPr>
        <w:t>社会、治理等方面的不良影响，以实现ESG管理体系</w:t>
      </w:r>
      <w:r>
        <w:rPr>
          <w:spacing w:val="-1"/>
          <w:szCs w:val="21"/>
        </w:rPr>
        <w:t>的持续改进。</w:t>
      </w:r>
    </w:p>
    <w:p w14:paraId="7012A07A">
      <w:pPr>
        <w:pStyle w:val="12"/>
        <w:spacing w:before="1" w:line="360" w:lineRule="auto"/>
        <w:ind w:right="74"/>
        <w:rPr>
          <w:szCs w:val="21"/>
        </w:rPr>
      </w:pPr>
      <w:r>
        <w:rPr>
          <w:szCs w:val="21"/>
        </w:rPr>
        <w:t>在策划ESG管理体系如何应对风险和机遇时，企业</w:t>
      </w:r>
      <w:r>
        <w:rPr>
          <w:rFonts w:hint="eastAsia"/>
          <w:szCs w:val="21"/>
        </w:rPr>
        <w:t>应</w:t>
      </w:r>
      <w:r>
        <w:rPr>
          <w:szCs w:val="21"/>
        </w:rPr>
        <w:t>考虑：环境、社会、治理中不良影响因素的</w:t>
      </w:r>
      <w:r>
        <w:rPr>
          <w:spacing w:val="-2"/>
          <w:szCs w:val="21"/>
        </w:rPr>
        <w:t>辨别、风险和机遇</w:t>
      </w:r>
      <w:r>
        <w:rPr>
          <w:rFonts w:hint="eastAsia"/>
          <w:spacing w:val="-2"/>
          <w:szCs w:val="21"/>
        </w:rPr>
        <w:t>、</w:t>
      </w:r>
      <w:r>
        <w:rPr>
          <w:spacing w:val="-2"/>
          <w:szCs w:val="21"/>
        </w:rPr>
        <w:t>法律法规要求及其他要求。在策划过程时，应结合企</w:t>
      </w:r>
      <w:r>
        <w:rPr>
          <w:spacing w:val="-3"/>
          <w:szCs w:val="21"/>
        </w:rPr>
        <w:t>业及其过程（包括相关</w:t>
      </w:r>
      <w:r>
        <w:rPr>
          <w:rFonts w:hint="eastAsia"/>
          <w:spacing w:val="-3"/>
          <w:szCs w:val="21"/>
        </w:rPr>
        <w:t>管理体系</w:t>
      </w:r>
      <w:r>
        <w:rPr>
          <w:spacing w:val="-2"/>
          <w:szCs w:val="21"/>
        </w:rPr>
        <w:t>及其过程）或ESG管理体系的变更</w:t>
      </w:r>
      <w:r>
        <w:rPr>
          <w:rFonts w:hint="eastAsia"/>
          <w:spacing w:val="-2"/>
          <w:szCs w:val="21"/>
        </w:rPr>
        <w:t>，来</w:t>
      </w:r>
      <w:r>
        <w:rPr>
          <w:spacing w:val="-2"/>
          <w:szCs w:val="21"/>
        </w:rPr>
        <w:t>确定与ESG管理体系预期结果有关的风险和机遇。对于所</w:t>
      </w:r>
      <w:r>
        <w:rPr>
          <w:spacing w:val="-3"/>
          <w:szCs w:val="21"/>
        </w:rPr>
        <w:t>策划的变</w:t>
      </w:r>
      <w:r>
        <w:rPr>
          <w:szCs w:val="21"/>
        </w:rPr>
        <w:t xml:space="preserve"> </w:t>
      </w:r>
      <w:r>
        <w:rPr>
          <w:spacing w:val="-2"/>
          <w:szCs w:val="21"/>
        </w:rPr>
        <w:t>更，无论是永久性的还是临时性的，这种评价均应在变更实施前进行。同时</w:t>
      </w:r>
      <w:r>
        <w:rPr>
          <w:rFonts w:hint="eastAsia"/>
          <w:spacing w:val="-2"/>
          <w:szCs w:val="21"/>
        </w:rPr>
        <w:t>，企业</w:t>
      </w:r>
      <w:r>
        <w:rPr>
          <w:spacing w:val="-3"/>
          <w:szCs w:val="21"/>
        </w:rPr>
        <w:t>应识别</w:t>
      </w:r>
      <w:r>
        <w:rPr>
          <w:rFonts w:hint="eastAsia"/>
          <w:spacing w:val="-3"/>
          <w:szCs w:val="21"/>
        </w:rPr>
        <w:t>并</w:t>
      </w:r>
      <w:r>
        <w:rPr>
          <w:spacing w:val="-3"/>
          <w:szCs w:val="21"/>
        </w:rPr>
        <w:t>应对环境、</w:t>
      </w:r>
      <w:r>
        <w:rPr>
          <w:rFonts w:hint="eastAsia"/>
          <w:spacing w:val="-3"/>
          <w:szCs w:val="21"/>
        </w:rPr>
        <w:t>社会</w:t>
      </w:r>
      <w:r>
        <w:rPr>
          <w:szCs w:val="21"/>
        </w:rPr>
        <w:t>、治理中风险和机遇</w:t>
      </w:r>
      <w:r>
        <w:rPr>
          <w:rFonts w:hint="eastAsia"/>
          <w:szCs w:val="21"/>
        </w:rPr>
        <w:t>的过程</w:t>
      </w:r>
      <w:r>
        <w:rPr>
          <w:szCs w:val="21"/>
        </w:rPr>
        <w:t>和措施</w:t>
      </w:r>
      <w:r>
        <w:rPr>
          <w:rFonts w:hint="eastAsia"/>
          <w:szCs w:val="21"/>
        </w:rPr>
        <w:t>，并将其</w:t>
      </w:r>
      <w:r>
        <w:rPr>
          <w:szCs w:val="21"/>
        </w:rPr>
        <w:t>文件化</w:t>
      </w:r>
      <w:r>
        <w:rPr>
          <w:rFonts w:hint="eastAsia"/>
          <w:szCs w:val="21"/>
        </w:rPr>
        <w:t>，</w:t>
      </w:r>
      <w:r>
        <w:rPr>
          <w:szCs w:val="21"/>
        </w:rPr>
        <w:t>让人确信这些过程和措施可按策划执行。</w:t>
      </w:r>
    </w:p>
    <w:p w14:paraId="15A35FC2">
      <w:pPr>
        <w:pStyle w:val="4"/>
        <w:widowControl/>
        <w:numPr>
          <w:ilvl w:val="0"/>
          <w:numId w:val="20"/>
        </w:numPr>
        <w:spacing w:before="115" w:line="360" w:lineRule="auto"/>
        <w:rPr>
          <w:rFonts w:ascii="Times New Roman"/>
          <w:szCs w:val="21"/>
        </w:rPr>
      </w:pPr>
      <w:r>
        <w:rPr>
          <w:szCs w:val="21"/>
        </w:rPr>
        <w:t>不良影响因素的辨别、风险和机</w:t>
      </w:r>
      <w:r>
        <w:rPr>
          <w:spacing w:val="-1"/>
          <w:szCs w:val="21"/>
        </w:rPr>
        <w:t>遇的评价</w:t>
      </w:r>
    </w:p>
    <w:p w14:paraId="379D5DA2">
      <w:pPr>
        <w:pStyle w:val="5"/>
        <w:widowControl/>
        <w:numPr>
          <w:ilvl w:val="0"/>
          <w:numId w:val="21"/>
        </w:numPr>
        <w:spacing w:before="143"/>
        <w:rPr>
          <w:b w:val="0"/>
          <w:bCs w:val="0"/>
          <w:sz w:val="21"/>
          <w:szCs w:val="21"/>
        </w:rPr>
      </w:pPr>
      <w:r>
        <w:rPr>
          <w:b w:val="0"/>
          <w:bCs w:val="0"/>
          <w:spacing w:val="-1"/>
          <w:sz w:val="21"/>
          <w:szCs w:val="21"/>
        </w:rPr>
        <w:t>不良影响因素的辨别</w:t>
      </w:r>
    </w:p>
    <w:p w14:paraId="2B1DE69F">
      <w:pPr>
        <w:pStyle w:val="12"/>
        <w:spacing w:before="143" w:line="360" w:lineRule="auto"/>
        <w:ind w:right="73"/>
        <w:rPr>
          <w:szCs w:val="21"/>
        </w:rPr>
      </w:pPr>
      <w:r>
        <w:rPr>
          <w:szCs w:val="21"/>
        </w:rPr>
        <w:t>企业应建立持续对自身在环境、社会、治理的决策和活动中，与所认定的重要ESG议题有关的</w:t>
      </w:r>
      <w:r>
        <w:rPr>
          <w:rFonts w:hint="eastAsia"/>
          <w:szCs w:val="21"/>
        </w:rPr>
        <w:t>不良影响因素的</w:t>
      </w:r>
      <w:r>
        <w:rPr>
          <w:spacing w:val="-1"/>
          <w:szCs w:val="21"/>
        </w:rPr>
        <w:t>辨别过程，以便评价、优先排序并消除不良影响因素或降低ESG风险。</w:t>
      </w:r>
    </w:p>
    <w:p w14:paraId="35252247">
      <w:pPr>
        <w:pStyle w:val="12"/>
        <w:spacing w:before="1" w:line="360" w:lineRule="auto"/>
        <w:ind w:firstLine="418"/>
        <w:rPr>
          <w:szCs w:val="21"/>
        </w:rPr>
      </w:pPr>
      <w:r>
        <w:rPr>
          <w:spacing w:val="-1"/>
          <w:szCs w:val="21"/>
        </w:rPr>
        <w:t>不良影响因素辨识需考虑（但不限于</w:t>
      </w:r>
      <w:r>
        <w:rPr>
          <w:spacing w:val="-8"/>
          <w:szCs w:val="21"/>
        </w:rPr>
        <w:t>）：</w:t>
      </w:r>
    </w:p>
    <w:p w14:paraId="6CA0C054">
      <w:pPr>
        <w:pStyle w:val="12"/>
        <w:numPr>
          <w:ilvl w:val="0"/>
          <w:numId w:val="22"/>
        </w:numPr>
        <w:spacing w:before="21" w:line="360" w:lineRule="auto"/>
        <w:ind w:firstLineChars="0"/>
        <w:rPr>
          <w:rFonts w:hint="eastAsia" w:ascii="Times New Roman" w:hAnsi="宋体" w:cs="宋体"/>
          <w:szCs w:val="21"/>
        </w:rPr>
      </w:pPr>
      <w:r>
        <w:rPr>
          <w:spacing w:val="-3"/>
          <w:szCs w:val="21"/>
        </w:rPr>
        <w:t>企业对</w:t>
      </w:r>
      <w:r>
        <w:rPr>
          <w:spacing w:val="-38"/>
          <w:szCs w:val="21"/>
        </w:rPr>
        <w:t xml:space="preserve"> </w:t>
      </w:r>
      <w:r>
        <w:rPr>
          <w:spacing w:val="-3"/>
          <w:szCs w:val="21"/>
        </w:rPr>
        <w:t>ESG</w:t>
      </w:r>
      <w:r>
        <w:rPr>
          <w:spacing w:val="-44"/>
          <w:szCs w:val="21"/>
        </w:rPr>
        <w:t xml:space="preserve"> </w:t>
      </w:r>
      <w:r>
        <w:rPr>
          <w:spacing w:val="-3"/>
          <w:szCs w:val="21"/>
        </w:rPr>
        <w:t>理念的理解；</w:t>
      </w:r>
    </w:p>
    <w:p w14:paraId="6DFF3BBE">
      <w:pPr>
        <w:pStyle w:val="12"/>
        <w:numPr>
          <w:ilvl w:val="0"/>
          <w:numId w:val="22"/>
        </w:numPr>
        <w:spacing w:before="23" w:line="360" w:lineRule="auto"/>
        <w:ind w:right="74" w:firstLineChars="0"/>
        <w:rPr>
          <w:rFonts w:hint="eastAsia" w:ascii="Times New Roman" w:hAnsi="宋体" w:cs="宋体"/>
          <w:szCs w:val="21"/>
        </w:rPr>
      </w:pPr>
      <w:r>
        <w:rPr>
          <w:spacing w:val="-2"/>
          <w:szCs w:val="21"/>
        </w:rPr>
        <w:t>法律法规要求（包括道路交通安全、产品质量管理、排放物处理等</w:t>
      </w:r>
      <w:r>
        <w:rPr>
          <w:spacing w:val="-3"/>
          <w:szCs w:val="21"/>
        </w:rPr>
        <w:t>）和其他要求（包括职业操</w:t>
      </w:r>
      <w:r>
        <w:rPr>
          <w:szCs w:val="21"/>
        </w:rPr>
        <w:t xml:space="preserve"> </w:t>
      </w:r>
      <w:r>
        <w:rPr>
          <w:spacing w:val="-1"/>
          <w:szCs w:val="21"/>
        </w:rPr>
        <w:t>守、社会道德、商业伦理、文化习俗、宗教信仰等</w:t>
      </w:r>
      <w:r>
        <w:rPr>
          <w:spacing w:val="-7"/>
          <w:szCs w:val="21"/>
        </w:rPr>
        <w:t>）；</w:t>
      </w:r>
    </w:p>
    <w:p w14:paraId="73A3D125">
      <w:pPr>
        <w:pStyle w:val="12"/>
        <w:numPr>
          <w:ilvl w:val="0"/>
          <w:numId w:val="22"/>
        </w:numPr>
        <w:spacing w:before="23" w:line="360" w:lineRule="auto"/>
        <w:ind w:firstLineChars="0"/>
        <w:rPr>
          <w:rFonts w:hint="eastAsia" w:ascii="Times New Roman" w:hAnsi="宋体" w:cs="宋体"/>
          <w:szCs w:val="21"/>
        </w:rPr>
      </w:pPr>
      <w:r>
        <w:rPr>
          <w:szCs w:val="21"/>
        </w:rPr>
        <w:t>在常规和非常规的活动和状态下存在或所产生的不良影响因素；</w:t>
      </w:r>
    </w:p>
    <w:p w14:paraId="6E9B72A6">
      <w:pPr>
        <w:pStyle w:val="12"/>
        <w:numPr>
          <w:ilvl w:val="0"/>
          <w:numId w:val="22"/>
        </w:numPr>
        <w:spacing w:before="19" w:line="360" w:lineRule="auto"/>
        <w:ind w:firstLineChars="0"/>
        <w:rPr>
          <w:rFonts w:hint="eastAsia" w:ascii="Times New Roman" w:hAnsi="宋体" w:cs="宋体"/>
          <w:szCs w:val="21"/>
        </w:rPr>
      </w:pPr>
      <w:r>
        <w:rPr>
          <w:spacing w:val="-1"/>
          <w:szCs w:val="21"/>
        </w:rPr>
        <w:t>企业内外部以往相关事件（包括紧急情况）及其原因；</w:t>
      </w:r>
    </w:p>
    <w:p w14:paraId="5C8A2E08">
      <w:pPr>
        <w:pStyle w:val="12"/>
        <w:numPr>
          <w:ilvl w:val="0"/>
          <w:numId w:val="22"/>
        </w:numPr>
        <w:spacing w:before="24" w:line="360" w:lineRule="auto"/>
        <w:ind w:right="74" w:firstLineChars="0"/>
        <w:rPr>
          <w:rFonts w:hint="eastAsia" w:ascii="Times New Roman" w:hAnsi="宋体" w:cs="宋体"/>
          <w:szCs w:val="21"/>
        </w:rPr>
      </w:pPr>
      <w:r>
        <w:rPr>
          <w:spacing w:val="-2"/>
          <w:szCs w:val="21"/>
        </w:rPr>
        <w:t>综合考虑企业产品安全、质量、环境、健康、</w:t>
      </w:r>
      <w:r>
        <w:rPr>
          <w:spacing w:val="-3"/>
          <w:szCs w:val="21"/>
        </w:rPr>
        <w:t>组织、社会和经济等所有对安全有潜在影响的要</w:t>
      </w:r>
      <w:r>
        <w:rPr>
          <w:szCs w:val="21"/>
        </w:rPr>
        <w:t xml:space="preserve"> </w:t>
      </w:r>
      <w:r>
        <w:rPr>
          <w:spacing w:val="-3"/>
          <w:szCs w:val="21"/>
        </w:rPr>
        <w:t>素及其相互影响和作用；</w:t>
      </w:r>
    </w:p>
    <w:p w14:paraId="3C14E01E">
      <w:pPr>
        <w:pStyle w:val="12"/>
        <w:numPr>
          <w:ilvl w:val="0"/>
          <w:numId w:val="22"/>
        </w:numPr>
        <w:spacing w:before="23" w:line="360" w:lineRule="auto"/>
        <w:ind w:firstLineChars="0"/>
        <w:rPr>
          <w:rFonts w:hint="eastAsia" w:ascii="Times New Roman" w:hAnsi="宋体" w:cs="宋体"/>
          <w:szCs w:val="21"/>
        </w:rPr>
      </w:pPr>
      <w:r>
        <w:rPr>
          <w:szCs w:val="21"/>
        </w:rPr>
        <w:t>利益相关方（包括所识别或发现的利益相关方与企业之间的信息不对称、矛盾和分歧</w:t>
      </w:r>
      <w:r>
        <w:rPr>
          <w:spacing w:val="1"/>
          <w:szCs w:val="21"/>
        </w:rPr>
        <w:t>）；</w:t>
      </w:r>
    </w:p>
    <w:p w14:paraId="07E6B85E">
      <w:pPr>
        <w:pStyle w:val="12"/>
        <w:numPr>
          <w:ilvl w:val="0"/>
          <w:numId w:val="22"/>
        </w:numPr>
        <w:spacing w:before="21" w:line="360" w:lineRule="auto"/>
        <w:ind w:firstLineChars="0"/>
        <w:rPr>
          <w:rFonts w:hint="eastAsia" w:ascii="Times New Roman" w:hAnsi="宋体" w:cs="宋体"/>
          <w:szCs w:val="21"/>
        </w:rPr>
      </w:pPr>
      <w:r>
        <w:rPr>
          <w:spacing w:val="-1"/>
          <w:szCs w:val="21"/>
        </w:rPr>
        <w:t>企业运行的过程和活动以及</w:t>
      </w:r>
      <w:r>
        <w:rPr>
          <w:spacing w:val="-30"/>
          <w:szCs w:val="21"/>
        </w:rPr>
        <w:t xml:space="preserve"> </w:t>
      </w:r>
      <w:r>
        <w:rPr>
          <w:spacing w:val="-1"/>
          <w:szCs w:val="21"/>
        </w:rPr>
        <w:t>ESG</w:t>
      </w:r>
      <w:r>
        <w:rPr>
          <w:spacing w:val="-41"/>
          <w:szCs w:val="21"/>
        </w:rPr>
        <w:t xml:space="preserve"> </w:t>
      </w:r>
      <w:r>
        <w:rPr>
          <w:spacing w:val="-1"/>
          <w:szCs w:val="21"/>
        </w:rPr>
        <w:t>管理体系的实际或建议的变更；</w:t>
      </w:r>
    </w:p>
    <w:p w14:paraId="393B9CFB">
      <w:pPr>
        <w:pStyle w:val="12"/>
        <w:numPr>
          <w:ilvl w:val="0"/>
          <w:numId w:val="22"/>
        </w:numPr>
        <w:spacing w:before="29" w:line="360" w:lineRule="auto"/>
        <w:ind w:firstLineChars="0"/>
        <w:rPr>
          <w:rFonts w:hint="eastAsia" w:ascii="Times New Roman" w:hAnsi="宋体" w:cs="宋体"/>
          <w:szCs w:val="21"/>
        </w:rPr>
      </w:pPr>
      <w:r>
        <w:rPr>
          <w:szCs w:val="21"/>
        </w:rPr>
        <w:t>与不良影响因素有关的知识和信息、法律法规要求</w:t>
      </w:r>
      <w:r>
        <w:rPr>
          <w:spacing w:val="-1"/>
          <w:szCs w:val="21"/>
        </w:rPr>
        <w:t>或其他要求的变更。</w:t>
      </w:r>
    </w:p>
    <w:p w14:paraId="3F0210D1">
      <w:pPr>
        <w:pStyle w:val="12"/>
        <w:spacing w:before="20" w:line="360" w:lineRule="auto"/>
        <w:ind w:firstLine="418"/>
        <w:rPr>
          <w:szCs w:val="21"/>
        </w:rPr>
      </w:pPr>
      <w:r>
        <w:rPr>
          <w:spacing w:val="-1"/>
          <w:szCs w:val="21"/>
        </w:rPr>
        <w:t>该过程的输出应形成文件化信息，定期评审，保持更新，并与有关的利益相关方共享。</w:t>
      </w:r>
    </w:p>
    <w:p w14:paraId="4D4BEE47">
      <w:pPr>
        <w:pStyle w:val="5"/>
        <w:widowControl/>
        <w:numPr>
          <w:ilvl w:val="0"/>
          <w:numId w:val="21"/>
        </w:numPr>
        <w:spacing w:before="143"/>
        <w:rPr>
          <w:b w:val="0"/>
          <w:bCs w:val="0"/>
          <w:spacing w:val="-1"/>
          <w:sz w:val="21"/>
          <w:szCs w:val="21"/>
        </w:rPr>
      </w:pPr>
      <w:r>
        <w:rPr>
          <w:b w:val="0"/>
          <w:bCs w:val="0"/>
          <w:spacing w:val="-1"/>
          <w:sz w:val="21"/>
          <w:szCs w:val="21"/>
        </w:rPr>
        <w:t>ESG 风险和ESG 管理体系其他风险的评价</w:t>
      </w:r>
    </w:p>
    <w:p w14:paraId="7500F727">
      <w:pPr>
        <w:pStyle w:val="5"/>
        <w:numPr>
          <w:ilvl w:val="0"/>
          <w:numId w:val="21"/>
        </w:numPr>
        <w:spacing w:before="143"/>
        <w:rPr>
          <w:b w:val="0"/>
          <w:bCs w:val="0"/>
          <w:spacing w:val="-1"/>
          <w:sz w:val="21"/>
          <w:szCs w:val="21"/>
        </w:rPr>
        <w:sectPr>
          <w:footerReference r:id="rId9" w:type="default"/>
          <w:pgSz w:w="11907" w:h="16839"/>
          <w:pgMar w:top="1716" w:right="1054" w:bottom="1340" w:left="1424" w:header="1391" w:footer="1106" w:gutter="0"/>
          <w:pgNumType w:start="1"/>
          <w:cols w:space="720" w:num="1"/>
        </w:sectPr>
      </w:pPr>
    </w:p>
    <w:p w14:paraId="41167972">
      <w:pPr>
        <w:pStyle w:val="12"/>
        <w:spacing w:before="68" w:line="360" w:lineRule="auto"/>
        <w:ind w:right="55"/>
        <w:rPr>
          <w:szCs w:val="21"/>
        </w:rPr>
      </w:pPr>
      <w:r>
        <w:rPr>
          <w:szCs w:val="21"/>
        </w:rPr>
        <w:t>企业应建立、实施和保持过程，以评价已辨识不良影响因素的ESG风险，同时</w:t>
      </w:r>
      <w:r>
        <w:rPr>
          <w:rFonts w:hint="eastAsia"/>
          <w:szCs w:val="21"/>
        </w:rPr>
        <w:t>应</w:t>
      </w:r>
      <w:r>
        <w:rPr>
          <w:szCs w:val="21"/>
        </w:rPr>
        <w:t>考虑现有控制的</w:t>
      </w:r>
      <w:r>
        <w:rPr>
          <w:spacing w:val="1"/>
          <w:szCs w:val="21"/>
        </w:rPr>
        <w:t xml:space="preserve"> </w:t>
      </w:r>
      <w:r>
        <w:rPr>
          <w:spacing w:val="-2"/>
          <w:szCs w:val="21"/>
        </w:rPr>
        <w:t>有效性；企业还应确定和评价与建立、实施、运行和保持ESG管理体系相关的其他风险。有关E</w:t>
      </w:r>
      <w:r>
        <w:rPr>
          <w:spacing w:val="-3"/>
          <w:szCs w:val="21"/>
        </w:rPr>
        <w:t>SG方法和</w:t>
      </w:r>
      <w:r>
        <w:rPr>
          <w:szCs w:val="21"/>
        </w:rPr>
        <w:t xml:space="preserve"> </w:t>
      </w:r>
      <w:r>
        <w:rPr>
          <w:spacing w:val="-2"/>
          <w:szCs w:val="21"/>
        </w:rPr>
        <w:t>准则应保持和保留文件化信息。</w:t>
      </w:r>
    </w:p>
    <w:p w14:paraId="163DE202">
      <w:pPr>
        <w:pStyle w:val="12"/>
        <w:spacing w:line="360" w:lineRule="auto"/>
        <w:ind w:firstLine="418"/>
        <w:rPr>
          <w:szCs w:val="21"/>
        </w:rPr>
      </w:pPr>
      <w:r>
        <w:rPr>
          <w:spacing w:val="-1"/>
          <w:szCs w:val="21"/>
        </w:rPr>
        <w:t>ESG管理体系的风险评价考虑包括：</w:t>
      </w:r>
    </w:p>
    <w:p w14:paraId="5F14272A">
      <w:pPr>
        <w:pStyle w:val="12"/>
        <w:numPr>
          <w:ilvl w:val="0"/>
          <w:numId w:val="23"/>
        </w:numPr>
        <w:spacing w:before="21" w:line="360" w:lineRule="auto"/>
        <w:ind w:firstLineChars="0"/>
        <w:rPr>
          <w:rFonts w:hint="eastAsia" w:ascii="Times New Roman" w:hAnsi="宋体" w:cs="宋体"/>
          <w:szCs w:val="21"/>
        </w:rPr>
      </w:pPr>
      <w:r>
        <w:rPr>
          <w:szCs w:val="21"/>
        </w:rPr>
        <w:t>产品安全、质量、环境（包括气候变化）、职业健康与安全、员工和社区等各方面风</w:t>
      </w:r>
      <w:r>
        <w:rPr>
          <w:spacing w:val="-1"/>
          <w:szCs w:val="21"/>
        </w:rPr>
        <w:t>险；</w:t>
      </w:r>
    </w:p>
    <w:p w14:paraId="232F5831">
      <w:pPr>
        <w:pStyle w:val="12"/>
        <w:numPr>
          <w:ilvl w:val="0"/>
          <w:numId w:val="23"/>
        </w:numPr>
        <w:spacing w:before="23" w:line="360" w:lineRule="auto"/>
        <w:ind w:firstLineChars="0"/>
        <w:rPr>
          <w:rFonts w:hint="eastAsia" w:ascii="Times New Roman" w:hAnsi="宋体" w:cs="宋体"/>
          <w:szCs w:val="21"/>
        </w:rPr>
      </w:pPr>
      <w:r>
        <w:rPr>
          <w:spacing w:val="-2"/>
          <w:szCs w:val="21"/>
        </w:rPr>
        <w:t>企业经营发生重要变化；</w:t>
      </w:r>
    </w:p>
    <w:p w14:paraId="6A5712C9">
      <w:pPr>
        <w:pStyle w:val="12"/>
        <w:numPr>
          <w:ilvl w:val="0"/>
          <w:numId w:val="23"/>
        </w:numPr>
        <w:spacing w:before="18" w:line="360" w:lineRule="auto"/>
        <w:ind w:firstLineChars="0"/>
        <w:rPr>
          <w:rFonts w:hint="eastAsia" w:ascii="Times New Roman" w:hAnsi="宋体" w:cs="宋体"/>
          <w:szCs w:val="21"/>
        </w:rPr>
      </w:pPr>
      <w:r>
        <w:rPr>
          <w:szCs w:val="21"/>
        </w:rPr>
        <w:t>与受日常活动（如工作量和工作场所的变化）影响的</w:t>
      </w:r>
      <w:r>
        <w:rPr>
          <w:spacing w:val="-1"/>
          <w:szCs w:val="21"/>
        </w:rPr>
        <w:t>员工持续协商；</w:t>
      </w:r>
    </w:p>
    <w:p w14:paraId="297891B2">
      <w:pPr>
        <w:pStyle w:val="12"/>
        <w:numPr>
          <w:ilvl w:val="0"/>
          <w:numId w:val="23"/>
        </w:numPr>
        <w:spacing w:before="22" w:line="360" w:lineRule="auto"/>
        <w:ind w:firstLineChars="0"/>
        <w:rPr>
          <w:rFonts w:hint="eastAsia" w:ascii="Times New Roman" w:hAnsi="宋体" w:cs="宋体"/>
          <w:szCs w:val="21"/>
        </w:rPr>
      </w:pPr>
      <w:r>
        <w:rPr>
          <w:spacing w:val="-2"/>
          <w:szCs w:val="21"/>
        </w:rPr>
        <w:t>受企业影响的社区和其他外部利益相关方的意见；</w:t>
      </w:r>
    </w:p>
    <w:p w14:paraId="117A29FE">
      <w:pPr>
        <w:pStyle w:val="12"/>
        <w:numPr>
          <w:ilvl w:val="0"/>
          <w:numId w:val="23"/>
        </w:numPr>
        <w:spacing w:before="20" w:line="360" w:lineRule="auto"/>
        <w:ind w:right="55" w:firstLineChars="0"/>
        <w:rPr>
          <w:rFonts w:hint="eastAsia" w:ascii="Times New Roman" w:hAnsi="宋体" w:cs="宋体"/>
          <w:szCs w:val="21"/>
        </w:rPr>
      </w:pPr>
      <w:r>
        <w:rPr>
          <w:spacing w:val="-3"/>
          <w:szCs w:val="21"/>
        </w:rPr>
        <w:t>对新的法律法规要求和其他要求（如监管改革、与</w:t>
      </w:r>
      <w:r>
        <w:rPr>
          <w:spacing w:val="-29"/>
          <w:szCs w:val="21"/>
        </w:rPr>
        <w:t xml:space="preserve"> </w:t>
      </w:r>
      <w:r>
        <w:rPr>
          <w:spacing w:val="-3"/>
          <w:szCs w:val="21"/>
        </w:rPr>
        <w:t>ESG</w:t>
      </w:r>
      <w:r>
        <w:rPr>
          <w:spacing w:val="-44"/>
          <w:szCs w:val="21"/>
        </w:rPr>
        <w:t xml:space="preserve"> </w:t>
      </w:r>
      <w:r>
        <w:rPr>
          <w:spacing w:val="-3"/>
          <w:szCs w:val="21"/>
        </w:rPr>
        <w:t>有关的集体协议的修订）进行监视和</w:t>
      </w:r>
      <w:r>
        <w:rPr>
          <w:rFonts w:hint="eastAsia"/>
          <w:spacing w:val="-3"/>
          <w:szCs w:val="21"/>
        </w:rPr>
        <w:t>沟通</w:t>
      </w:r>
      <w:r>
        <w:rPr>
          <w:spacing w:val="-14"/>
          <w:szCs w:val="21"/>
        </w:rPr>
        <w:t>；</w:t>
      </w:r>
    </w:p>
    <w:p w14:paraId="16A99DF6">
      <w:pPr>
        <w:pStyle w:val="12"/>
        <w:numPr>
          <w:ilvl w:val="0"/>
          <w:numId w:val="23"/>
        </w:numPr>
        <w:spacing w:before="20" w:line="360" w:lineRule="auto"/>
        <w:ind w:firstLineChars="0"/>
        <w:rPr>
          <w:rFonts w:hint="eastAsia" w:ascii="Times New Roman" w:hAnsi="宋体" w:cs="宋体"/>
          <w:szCs w:val="21"/>
        </w:rPr>
      </w:pPr>
      <w:r>
        <w:rPr>
          <w:spacing w:val="-1"/>
          <w:szCs w:val="21"/>
        </w:rPr>
        <w:t>若本公司人员不具备相关能力，应聘用外部专业机构或专家；</w:t>
      </w:r>
    </w:p>
    <w:p w14:paraId="041DB20C">
      <w:pPr>
        <w:pStyle w:val="12"/>
        <w:numPr>
          <w:ilvl w:val="0"/>
          <w:numId w:val="23"/>
        </w:numPr>
        <w:spacing w:before="21" w:line="360" w:lineRule="auto"/>
        <w:ind w:firstLineChars="0"/>
        <w:rPr>
          <w:rFonts w:hint="eastAsia" w:ascii="Times New Roman" w:hAnsi="宋体" w:cs="宋体"/>
          <w:szCs w:val="21"/>
        </w:rPr>
      </w:pPr>
      <w:r>
        <w:rPr>
          <w:spacing w:val="-3"/>
          <w:szCs w:val="21"/>
        </w:rPr>
        <w:t>供应链存在的风险；</w:t>
      </w:r>
    </w:p>
    <w:p w14:paraId="02443B5F">
      <w:pPr>
        <w:pStyle w:val="12"/>
        <w:numPr>
          <w:ilvl w:val="0"/>
          <w:numId w:val="23"/>
        </w:numPr>
        <w:spacing w:before="30" w:line="360" w:lineRule="auto"/>
        <w:ind w:right="55" w:firstLineChars="0"/>
        <w:rPr>
          <w:rFonts w:hint="eastAsia" w:ascii="Times New Roman" w:hAnsi="宋体" w:cs="宋体"/>
          <w:szCs w:val="21"/>
        </w:rPr>
      </w:pPr>
      <w:r>
        <w:rPr>
          <w:spacing w:val="-2"/>
          <w:szCs w:val="21"/>
        </w:rPr>
        <w:t>确保资源、能力和意识满足当前和变化的需求（如针对道路交通安全文化开</w:t>
      </w:r>
      <w:r>
        <w:rPr>
          <w:spacing w:val="-3"/>
          <w:szCs w:val="21"/>
        </w:rPr>
        <w:t>展培训、车联网</w:t>
      </w:r>
      <w:r>
        <w:rPr>
          <w:rFonts w:hint="eastAsia"/>
          <w:spacing w:val="-3"/>
          <w:szCs w:val="21"/>
        </w:rPr>
        <w:t>技术创新</w:t>
      </w:r>
      <w:r>
        <w:rPr>
          <w:spacing w:val="-2"/>
          <w:szCs w:val="21"/>
        </w:rPr>
        <w:t>等）。</w:t>
      </w:r>
    </w:p>
    <w:p w14:paraId="0EA66A28">
      <w:pPr>
        <w:pStyle w:val="5"/>
        <w:widowControl/>
        <w:numPr>
          <w:ilvl w:val="0"/>
          <w:numId w:val="21"/>
        </w:numPr>
        <w:spacing w:before="143"/>
        <w:rPr>
          <w:b w:val="0"/>
          <w:bCs w:val="0"/>
          <w:spacing w:val="-1"/>
          <w:sz w:val="21"/>
          <w:szCs w:val="21"/>
        </w:rPr>
      </w:pPr>
      <w:r>
        <w:rPr>
          <w:b w:val="0"/>
          <w:bCs w:val="0"/>
          <w:spacing w:val="-1"/>
          <w:sz w:val="21"/>
          <w:szCs w:val="21"/>
        </w:rPr>
        <w:t>ESG 机遇和ESG 管理体系其他机遇的评价</w:t>
      </w:r>
    </w:p>
    <w:p w14:paraId="21432E51">
      <w:pPr>
        <w:pStyle w:val="12"/>
        <w:spacing w:before="139" w:line="360" w:lineRule="auto"/>
        <w:rPr>
          <w:szCs w:val="21"/>
        </w:rPr>
      </w:pPr>
      <w:r>
        <w:rPr>
          <w:szCs w:val="21"/>
        </w:rPr>
        <w:t>企业应建立、实施和保持过程，以评价提升 ESG 绩效的机遇，以及考虑消除不良影响因素和降低</w:t>
      </w:r>
      <w:r>
        <w:rPr>
          <w:spacing w:val="1"/>
          <w:szCs w:val="21"/>
        </w:rPr>
        <w:t xml:space="preserve"> </w:t>
      </w:r>
      <w:r>
        <w:rPr>
          <w:szCs w:val="21"/>
        </w:rPr>
        <w:t>ESG</w:t>
      </w:r>
      <w:r>
        <w:rPr>
          <w:spacing w:val="-24"/>
          <w:szCs w:val="21"/>
        </w:rPr>
        <w:t xml:space="preserve"> </w:t>
      </w:r>
      <w:r>
        <w:rPr>
          <w:szCs w:val="21"/>
        </w:rPr>
        <w:t>风险的机遇，在其影响范围内促进有益影响的</w:t>
      </w:r>
      <w:r>
        <w:rPr>
          <w:spacing w:val="-30"/>
          <w:szCs w:val="21"/>
        </w:rPr>
        <w:t xml:space="preserve"> </w:t>
      </w:r>
      <w:r>
        <w:rPr>
          <w:szCs w:val="21"/>
        </w:rPr>
        <w:t>ES</w:t>
      </w:r>
      <w:r>
        <w:rPr>
          <w:spacing w:val="-1"/>
          <w:szCs w:val="21"/>
        </w:rPr>
        <w:t>G</w:t>
      </w:r>
      <w:r>
        <w:rPr>
          <w:spacing w:val="-26"/>
          <w:szCs w:val="21"/>
        </w:rPr>
        <w:t xml:space="preserve"> </w:t>
      </w:r>
      <w:r>
        <w:rPr>
          <w:spacing w:val="-1"/>
          <w:szCs w:val="21"/>
        </w:rPr>
        <w:t>机遇（如政策机遇、环境机遇、社会机遇等</w:t>
      </w:r>
      <w:r>
        <w:rPr>
          <w:spacing w:val="-24"/>
          <w:szCs w:val="21"/>
        </w:rPr>
        <w:t>），</w:t>
      </w:r>
      <w:r>
        <w:rPr>
          <w:szCs w:val="21"/>
        </w:rPr>
        <w:t xml:space="preserve"> </w:t>
      </w:r>
      <w:r>
        <w:rPr>
          <w:spacing w:val="-1"/>
          <w:szCs w:val="21"/>
        </w:rPr>
        <w:t>改进并提升</w:t>
      </w:r>
      <w:r>
        <w:rPr>
          <w:spacing w:val="-47"/>
          <w:szCs w:val="21"/>
        </w:rPr>
        <w:t xml:space="preserve"> </w:t>
      </w:r>
      <w:r>
        <w:rPr>
          <w:spacing w:val="-1"/>
          <w:szCs w:val="21"/>
        </w:rPr>
        <w:t>ESG</w:t>
      </w:r>
      <w:r>
        <w:rPr>
          <w:spacing w:val="-42"/>
          <w:szCs w:val="21"/>
        </w:rPr>
        <w:t xml:space="preserve"> </w:t>
      </w:r>
      <w:r>
        <w:rPr>
          <w:spacing w:val="-1"/>
          <w:szCs w:val="21"/>
        </w:rPr>
        <w:t>管理体系的其他机遇。</w:t>
      </w:r>
    </w:p>
    <w:p w14:paraId="2954A33B">
      <w:pPr>
        <w:pStyle w:val="4"/>
        <w:widowControl/>
        <w:numPr>
          <w:ilvl w:val="0"/>
          <w:numId w:val="20"/>
        </w:numPr>
        <w:spacing w:before="118" w:line="360" w:lineRule="auto"/>
        <w:rPr>
          <w:rFonts w:ascii="Times New Roman"/>
          <w:szCs w:val="21"/>
        </w:rPr>
      </w:pPr>
      <w:r>
        <w:rPr>
          <w:spacing w:val="-1"/>
          <w:szCs w:val="21"/>
        </w:rPr>
        <w:t>法律法规要求和其他要求的确定</w:t>
      </w:r>
    </w:p>
    <w:p w14:paraId="2F06E50D">
      <w:pPr>
        <w:pStyle w:val="12"/>
        <w:spacing w:before="143" w:line="360" w:lineRule="auto"/>
        <w:ind w:right="57" w:firstLine="414"/>
        <w:rPr>
          <w:szCs w:val="21"/>
        </w:rPr>
      </w:pPr>
      <w:r>
        <w:rPr>
          <w:spacing w:val="-3"/>
          <w:szCs w:val="21"/>
        </w:rPr>
        <w:t>企业在建立过程时，应识别</w:t>
      </w:r>
      <w:r>
        <w:rPr>
          <w:rFonts w:hint="eastAsia"/>
          <w:spacing w:val="-3"/>
          <w:szCs w:val="21"/>
        </w:rPr>
        <w:t>并分析</w:t>
      </w:r>
      <w:r>
        <w:rPr>
          <w:spacing w:val="-3"/>
          <w:szCs w:val="21"/>
        </w:rPr>
        <w:t>适用于自身的</w:t>
      </w:r>
      <w:r>
        <w:rPr>
          <w:spacing w:val="-36"/>
          <w:szCs w:val="21"/>
        </w:rPr>
        <w:t xml:space="preserve"> </w:t>
      </w:r>
      <w:r>
        <w:rPr>
          <w:spacing w:val="-3"/>
          <w:szCs w:val="21"/>
        </w:rPr>
        <w:t>ESG</w:t>
      </w:r>
      <w:r>
        <w:rPr>
          <w:spacing w:val="-43"/>
          <w:szCs w:val="21"/>
        </w:rPr>
        <w:t xml:space="preserve"> </w:t>
      </w:r>
      <w:r>
        <w:rPr>
          <w:spacing w:val="-3"/>
          <w:szCs w:val="21"/>
        </w:rPr>
        <w:t>相关最新法律法规</w:t>
      </w:r>
      <w:r>
        <w:t>、标准规范以及</w:t>
      </w:r>
      <w:r>
        <w:rPr>
          <w:spacing w:val="-3"/>
          <w:szCs w:val="21"/>
        </w:rPr>
        <w:t>其他要求。在实施、保持和持续改进过程时，应遵照法律法规</w:t>
      </w:r>
      <w:r>
        <w:t>、标准规范以及</w:t>
      </w:r>
      <w:r>
        <w:rPr>
          <w:spacing w:val="-3"/>
          <w:szCs w:val="21"/>
        </w:rPr>
        <w:t>其他要求，即</w:t>
      </w:r>
      <w:r>
        <w:rPr>
          <w:spacing w:val="-30"/>
          <w:szCs w:val="21"/>
        </w:rPr>
        <w:t xml:space="preserve"> </w:t>
      </w:r>
      <w:r>
        <w:rPr>
          <w:spacing w:val="-3"/>
          <w:szCs w:val="21"/>
        </w:rPr>
        <w:t>ESG</w:t>
      </w:r>
      <w:r>
        <w:rPr>
          <w:spacing w:val="-41"/>
          <w:szCs w:val="21"/>
        </w:rPr>
        <w:t xml:space="preserve"> </w:t>
      </w:r>
      <w:r>
        <w:rPr>
          <w:spacing w:val="-3"/>
          <w:szCs w:val="21"/>
        </w:rPr>
        <w:t>管理的基础性工作需</w:t>
      </w:r>
      <w:r>
        <w:rPr>
          <w:rFonts w:hint="eastAsia"/>
          <w:spacing w:val="-3"/>
          <w:szCs w:val="21"/>
        </w:rPr>
        <w:t>全过</w:t>
      </w:r>
      <w:r>
        <w:rPr>
          <w:spacing w:val="-3"/>
          <w:szCs w:val="21"/>
        </w:rPr>
        <w:t>程考虑法律法规</w:t>
      </w:r>
      <w:r>
        <w:t>、标准规范以及</w:t>
      </w:r>
      <w:r>
        <w:rPr>
          <w:spacing w:val="-3"/>
          <w:szCs w:val="21"/>
        </w:rPr>
        <w:t>其他要求，以依法合规为基础，严格遵守法律法规规定的</w:t>
      </w:r>
      <w:r>
        <w:rPr>
          <w:spacing w:val="-42"/>
          <w:szCs w:val="21"/>
        </w:rPr>
        <w:t xml:space="preserve"> </w:t>
      </w:r>
      <w:r>
        <w:rPr>
          <w:spacing w:val="-3"/>
          <w:szCs w:val="21"/>
        </w:rPr>
        <w:t>ESG</w:t>
      </w:r>
      <w:r>
        <w:rPr>
          <w:spacing w:val="-43"/>
          <w:szCs w:val="21"/>
        </w:rPr>
        <w:t xml:space="preserve"> </w:t>
      </w:r>
      <w:r>
        <w:rPr>
          <w:spacing w:val="-3"/>
          <w:szCs w:val="21"/>
        </w:rPr>
        <w:t>要求和义务，并按照企业</w:t>
      </w:r>
      <w:r>
        <w:rPr>
          <w:spacing w:val="-47"/>
          <w:szCs w:val="21"/>
        </w:rPr>
        <w:t xml:space="preserve"> </w:t>
      </w:r>
      <w:r>
        <w:rPr>
          <w:spacing w:val="-3"/>
          <w:szCs w:val="21"/>
        </w:rPr>
        <w:t>ESG</w:t>
      </w:r>
      <w:r>
        <w:rPr>
          <w:spacing w:val="-41"/>
          <w:szCs w:val="21"/>
        </w:rPr>
        <w:t xml:space="preserve"> </w:t>
      </w:r>
      <w:r>
        <w:rPr>
          <w:spacing w:val="-3"/>
          <w:szCs w:val="21"/>
        </w:rPr>
        <w:t>管理体系及其他</w:t>
      </w:r>
      <w:r>
        <w:rPr>
          <w:spacing w:val="-1"/>
          <w:szCs w:val="21"/>
        </w:rPr>
        <w:t>要求确定和获取适用于利益相关方的不良影响因素和</w:t>
      </w:r>
      <w:r>
        <w:rPr>
          <w:spacing w:val="-47"/>
          <w:szCs w:val="21"/>
        </w:rPr>
        <w:t xml:space="preserve"> </w:t>
      </w:r>
      <w:r>
        <w:rPr>
          <w:spacing w:val="-1"/>
          <w:szCs w:val="21"/>
        </w:rPr>
        <w:t>ESG</w:t>
      </w:r>
      <w:r>
        <w:rPr>
          <w:spacing w:val="-45"/>
          <w:szCs w:val="21"/>
        </w:rPr>
        <w:t xml:space="preserve"> </w:t>
      </w:r>
      <w:r>
        <w:rPr>
          <w:spacing w:val="-1"/>
          <w:szCs w:val="21"/>
        </w:rPr>
        <w:t>风险的</w:t>
      </w:r>
      <w:r>
        <w:rPr>
          <w:rFonts w:hint="eastAsia"/>
          <w:spacing w:val="-1"/>
          <w:szCs w:val="21"/>
        </w:rPr>
        <w:t>相关要求</w:t>
      </w:r>
      <w:r>
        <w:rPr>
          <w:spacing w:val="-1"/>
          <w:szCs w:val="21"/>
        </w:rPr>
        <w:t>。</w:t>
      </w:r>
    </w:p>
    <w:p w14:paraId="368DFCAA">
      <w:pPr>
        <w:pStyle w:val="12"/>
        <w:spacing w:before="1" w:line="360" w:lineRule="auto"/>
        <w:rPr>
          <w:szCs w:val="21"/>
        </w:rPr>
      </w:pPr>
      <w:r>
        <w:rPr>
          <w:szCs w:val="21"/>
        </w:rPr>
        <w:t>企业应保持和保留有关法律法规和其他要求的文件化信息，</w:t>
      </w:r>
      <w:r>
        <w:rPr>
          <w:spacing w:val="-1"/>
          <w:szCs w:val="21"/>
        </w:rPr>
        <w:t>并实时更新。</w:t>
      </w:r>
    </w:p>
    <w:p w14:paraId="0022D08A">
      <w:pPr>
        <w:pStyle w:val="4"/>
        <w:widowControl/>
        <w:numPr>
          <w:ilvl w:val="0"/>
          <w:numId w:val="20"/>
        </w:numPr>
        <w:spacing w:before="142" w:line="360" w:lineRule="auto"/>
        <w:rPr>
          <w:rFonts w:ascii="Times New Roman"/>
          <w:szCs w:val="21"/>
        </w:rPr>
      </w:pPr>
      <w:r>
        <w:rPr>
          <w:spacing w:val="-1"/>
          <w:szCs w:val="21"/>
        </w:rPr>
        <w:t>措施的策划</w:t>
      </w:r>
    </w:p>
    <w:p w14:paraId="52A6FC3F">
      <w:pPr>
        <w:pStyle w:val="12"/>
        <w:spacing w:before="140" w:line="360" w:lineRule="auto"/>
        <w:ind w:right="55" w:firstLine="414"/>
        <w:rPr>
          <w:szCs w:val="21"/>
        </w:rPr>
      </w:pPr>
      <w:r>
        <w:rPr>
          <w:spacing w:val="-3"/>
          <w:szCs w:val="21"/>
        </w:rPr>
        <w:t>企业措施的策划旨在实现</w:t>
      </w:r>
      <w:r>
        <w:rPr>
          <w:spacing w:val="-38"/>
          <w:szCs w:val="21"/>
        </w:rPr>
        <w:t xml:space="preserve"> </w:t>
      </w:r>
      <w:r>
        <w:rPr>
          <w:spacing w:val="-3"/>
          <w:szCs w:val="21"/>
        </w:rPr>
        <w:t>ESG</w:t>
      </w:r>
      <w:r>
        <w:rPr>
          <w:spacing w:val="-39"/>
          <w:szCs w:val="21"/>
        </w:rPr>
        <w:t xml:space="preserve"> </w:t>
      </w:r>
      <w:r>
        <w:rPr>
          <w:spacing w:val="-3"/>
          <w:szCs w:val="21"/>
        </w:rPr>
        <w:t>管理体系的预期成果，策划过程中应考虑</w:t>
      </w:r>
      <w:r>
        <w:t>影响、</w:t>
      </w:r>
      <w:r>
        <w:rPr>
          <w:spacing w:val="-3"/>
          <w:szCs w:val="21"/>
        </w:rPr>
        <w:t>风险和机遇因素，采取相应</w:t>
      </w:r>
      <w:r>
        <w:rPr>
          <w:spacing w:val="-2"/>
          <w:szCs w:val="21"/>
        </w:rPr>
        <w:t>的控制措施，并融入企业的发展规划、业务经营和日常管理等过程中，在</w:t>
      </w:r>
      <w:r>
        <w:rPr>
          <w:spacing w:val="-3"/>
          <w:szCs w:val="21"/>
        </w:rPr>
        <w:t>措施的策划中，应考虑控制的</w:t>
      </w:r>
      <w:r>
        <w:rPr>
          <w:szCs w:val="21"/>
        </w:rPr>
        <w:t>层级和</w:t>
      </w:r>
      <w:r>
        <w:rPr>
          <w:spacing w:val="-46"/>
          <w:szCs w:val="21"/>
        </w:rPr>
        <w:t xml:space="preserve"> </w:t>
      </w:r>
      <w:r>
        <w:rPr>
          <w:szCs w:val="21"/>
        </w:rPr>
        <w:t>ESG</w:t>
      </w:r>
      <w:r>
        <w:rPr>
          <w:spacing w:val="-42"/>
          <w:szCs w:val="21"/>
        </w:rPr>
        <w:t xml:space="preserve"> </w:t>
      </w:r>
      <w:r>
        <w:rPr>
          <w:szCs w:val="21"/>
        </w:rPr>
        <w:t>管理体系的输出、最佳实践、</w:t>
      </w:r>
      <w:r>
        <w:rPr>
          <w:spacing w:val="-1"/>
          <w:szCs w:val="21"/>
        </w:rPr>
        <w:t>可选技术方案以及财务、运行和经营等要求。</w:t>
      </w:r>
    </w:p>
    <w:p w14:paraId="6B27ECFB">
      <w:pPr>
        <w:pStyle w:val="3"/>
        <w:spacing w:before="119" w:line="360" w:lineRule="auto"/>
        <w:ind w:left="412" w:hanging="412"/>
        <w:rPr>
          <w:rFonts w:hint="eastAsia"/>
          <w:szCs w:val="21"/>
        </w:rPr>
      </w:pPr>
      <w:r>
        <w:rPr>
          <w:spacing w:val="-4"/>
          <w:position w:val="2"/>
          <w:szCs w:val="21"/>
        </w:rPr>
        <w:t>6.3</w:t>
      </w:r>
      <w:r>
        <w:rPr>
          <w:spacing w:val="22"/>
          <w:position w:val="2"/>
          <w:szCs w:val="21"/>
        </w:rPr>
        <w:t xml:space="preserve">   </w:t>
      </w:r>
      <w:r>
        <w:rPr>
          <w:spacing w:val="-4"/>
          <w:szCs w:val="21"/>
        </w:rPr>
        <w:t>ESG 目标及其实现的策划</w:t>
      </w:r>
    </w:p>
    <w:p w14:paraId="75BB3737">
      <w:pPr>
        <w:pStyle w:val="4"/>
        <w:widowControl/>
        <w:numPr>
          <w:ilvl w:val="0"/>
          <w:numId w:val="24"/>
        </w:numPr>
        <w:spacing w:before="141" w:line="360" w:lineRule="auto"/>
        <w:rPr>
          <w:rFonts w:ascii="Times New Roman"/>
          <w:szCs w:val="21"/>
        </w:rPr>
      </w:pPr>
      <w:r>
        <w:rPr>
          <w:spacing w:val="-4"/>
          <w:szCs w:val="21"/>
        </w:rPr>
        <w:t>ESG 目标</w:t>
      </w:r>
    </w:p>
    <w:p w14:paraId="2A4237B0">
      <w:pPr>
        <w:pStyle w:val="12"/>
        <w:spacing w:before="139" w:line="360" w:lineRule="auto"/>
        <w:ind w:right="55" w:firstLine="412"/>
        <w:rPr>
          <w:szCs w:val="21"/>
        </w:rPr>
      </w:pPr>
      <w:r>
        <w:rPr>
          <w:spacing w:val="-4"/>
          <w:szCs w:val="21"/>
        </w:rPr>
        <w:t>企业制定</w:t>
      </w:r>
      <w:r>
        <w:rPr>
          <w:spacing w:val="-47"/>
          <w:szCs w:val="21"/>
        </w:rPr>
        <w:t xml:space="preserve"> </w:t>
      </w:r>
      <w:r>
        <w:rPr>
          <w:spacing w:val="-4"/>
          <w:szCs w:val="21"/>
        </w:rPr>
        <w:t>ESG 目标旨在保持和改进</w:t>
      </w:r>
      <w:r>
        <w:rPr>
          <w:spacing w:val="-46"/>
          <w:szCs w:val="21"/>
        </w:rPr>
        <w:t xml:space="preserve"> </w:t>
      </w:r>
      <w:r>
        <w:rPr>
          <w:spacing w:val="-4"/>
          <w:szCs w:val="21"/>
        </w:rPr>
        <w:t>ESG</w:t>
      </w:r>
      <w:r>
        <w:rPr>
          <w:spacing w:val="-39"/>
          <w:szCs w:val="21"/>
        </w:rPr>
        <w:t xml:space="preserve"> </w:t>
      </w:r>
      <w:r>
        <w:rPr>
          <w:spacing w:val="-4"/>
          <w:szCs w:val="21"/>
        </w:rPr>
        <w:t>管理体系以及</w:t>
      </w:r>
      <w:r>
        <w:rPr>
          <w:spacing w:val="-46"/>
          <w:szCs w:val="21"/>
        </w:rPr>
        <w:t xml:space="preserve"> </w:t>
      </w:r>
      <w:r>
        <w:rPr>
          <w:spacing w:val="-4"/>
          <w:szCs w:val="21"/>
        </w:rPr>
        <w:t>ESG</w:t>
      </w:r>
      <w:r>
        <w:rPr>
          <w:spacing w:val="-43"/>
          <w:szCs w:val="21"/>
        </w:rPr>
        <w:t xml:space="preserve"> </w:t>
      </w:r>
      <w:r>
        <w:rPr>
          <w:spacing w:val="-4"/>
          <w:szCs w:val="21"/>
        </w:rPr>
        <w:t>绩效。ESG 目标宜与</w:t>
      </w:r>
      <w:r>
        <w:t>影响、</w:t>
      </w:r>
      <w:r>
        <w:rPr>
          <w:spacing w:val="-4"/>
          <w:szCs w:val="21"/>
        </w:rPr>
        <w:t>风险和机遇以及</w:t>
      </w:r>
      <w:r>
        <w:rPr>
          <w:spacing w:val="-5"/>
          <w:szCs w:val="21"/>
        </w:rPr>
        <w:t>企业</w:t>
      </w:r>
      <w:r>
        <w:rPr>
          <w:spacing w:val="-3"/>
          <w:szCs w:val="21"/>
        </w:rPr>
        <w:t>所识别的、实现</w:t>
      </w:r>
      <w:r>
        <w:rPr>
          <w:spacing w:val="-31"/>
          <w:szCs w:val="21"/>
        </w:rPr>
        <w:t xml:space="preserve"> </w:t>
      </w:r>
      <w:r>
        <w:rPr>
          <w:spacing w:val="-3"/>
          <w:szCs w:val="21"/>
        </w:rPr>
        <w:t>ESG</w:t>
      </w:r>
      <w:r>
        <w:rPr>
          <w:spacing w:val="-39"/>
          <w:szCs w:val="21"/>
        </w:rPr>
        <w:t xml:space="preserve"> </w:t>
      </w:r>
      <w:r>
        <w:rPr>
          <w:spacing w:val="-3"/>
          <w:szCs w:val="21"/>
        </w:rPr>
        <w:t>管理体系预期结果所必需的绩效准则相关。企业应根据所确定的</w:t>
      </w:r>
      <w:r>
        <w:t>ESG</w:t>
      </w:r>
      <w:r>
        <w:rPr>
          <w:spacing w:val="-3"/>
          <w:szCs w:val="21"/>
        </w:rPr>
        <w:t>议题，在相</w:t>
      </w:r>
      <w:r>
        <w:rPr>
          <w:spacing w:val="-4"/>
          <w:szCs w:val="21"/>
        </w:rPr>
        <w:t>关职能、层次和</w:t>
      </w:r>
      <w:r>
        <w:rPr>
          <w:spacing w:val="-37"/>
          <w:szCs w:val="21"/>
        </w:rPr>
        <w:t xml:space="preserve"> </w:t>
      </w:r>
      <w:r>
        <w:rPr>
          <w:spacing w:val="-4"/>
          <w:szCs w:val="21"/>
        </w:rPr>
        <w:t>ESG</w:t>
      </w:r>
      <w:r>
        <w:rPr>
          <w:spacing w:val="-39"/>
          <w:szCs w:val="21"/>
        </w:rPr>
        <w:t xml:space="preserve"> </w:t>
      </w:r>
      <w:r>
        <w:rPr>
          <w:spacing w:val="-4"/>
          <w:szCs w:val="21"/>
        </w:rPr>
        <w:t>管理体系所需的过程</w:t>
      </w:r>
      <w:r>
        <w:rPr>
          <w:rFonts w:hint="eastAsia"/>
          <w:spacing w:val="-4"/>
          <w:szCs w:val="21"/>
        </w:rPr>
        <w:t>中建立</w:t>
      </w:r>
      <w:r>
        <w:rPr>
          <w:spacing w:val="-4"/>
          <w:szCs w:val="21"/>
        </w:rPr>
        <w:t>与议题相对应的</w:t>
      </w:r>
      <w:r>
        <w:rPr>
          <w:spacing w:val="-46"/>
          <w:szCs w:val="21"/>
        </w:rPr>
        <w:t xml:space="preserve"> </w:t>
      </w:r>
      <w:r>
        <w:rPr>
          <w:spacing w:val="-4"/>
          <w:szCs w:val="21"/>
        </w:rPr>
        <w:t>ESG 目标。ESG 目标应与</w:t>
      </w:r>
      <w:r>
        <w:rPr>
          <w:spacing w:val="-46"/>
          <w:szCs w:val="21"/>
        </w:rPr>
        <w:t xml:space="preserve"> </w:t>
      </w:r>
      <w:r>
        <w:rPr>
          <w:spacing w:val="-4"/>
          <w:szCs w:val="21"/>
        </w:rPr>
        <w:t>ESG</w:t>
      </w:r>
      <w:r>
        <w:rPr>
          <w:spacing w:val="-43"/>
          <w:szCs w:val="21"/>
        </w:rPr>
        <w:t xml:space="preserve"> </w:t>
      </w:r>
      <w:r>
        <w:rPr>
          <w:spacing w:val="-4"/>
          <w:szCs w:val="21"/>
        </w:rPr>
        <w:t>方针保持一</w:t>
      </w:r>
      <w:r>
        <w:rPr>
          <w:spacing w:val="-1"/>
          <w:szCs w:val="21"/>
        </w:rPr>
        <w:t>致，并与增强重要利益相关方的满意度相关。</w:t>
      </w:r>
    </w:p>
    <w:p w14:paraId="495F1468">
      <w:pPr>
        <w:pStyle w:val="12"/>
        <w:spacing w:before="4" w:line="360" w:lineRule="auto"/>
        <w:ind w:right="55" w:firstLine="416"/>
        <w:rPr>
          <w:szCs w:val="21"/>
        </w:rPr>
      </w:pPr>
      <w:r>
        <w:rPr>
          <w:spacing w:val="-2"/>
          <w:szCs w:val="21"/>
        </w:rPr>
        <w:t>ESG 目标应进行监控并测量，测量的指标可以是定性或定量的，定性测量可以</w:t>
      </w:r>
      <w:r>
        <w:rPr>
          <w:spacing w:val="-3"/>
          <w:szCs w:val="21"/>
        </w:rPr>
        <w:t>是粗略的估计（如从</w:t>
      </w:r>
      <w:r>
        <w:rPr>
          <w:spacing w:val="-2"/>
          <w:szCs w:val="21"/>
        </w:rPr>
        <w:t>调查、访谈或</w:t>
      </w:r>
      <w:r>
        <w:rPr>
          <w:rFonts w:hint="eastAsia"/>
          <w:spacing w:val="-2"/>
          <w:szCs w:val="21"/>
        </w:rPr>
        <w:t>与利益</w:t>
      </w:r>
      <w:r>
        <w:rPr>
          <w:spacing w:val="-2"/>
          <w:szCs w:val="21"/>
        </w:rPr>
        <w:t>相关方沟通中所获得的结果等</w:t>
      </w:r>
      <w:r>
        <w:rPr>
          <w:spacing w:val="-10"/>
          <w:szCs w:val="21"/>
        </w:rPr>
        <w:t>），</w:t>
      </w:r>
      <w:r>
        <w:rPr>
          <w:spacing w:val="-2"/>
          <w:szCs w:val="21"/>
        </w:rPr>
        <w:t>定量测量通常涉及为目标或事件赋值（如事件的</w:t>
      </w:r>
      <w:r>
        <w:rPr>
          <w:rFonts w:hint="eastAsia"/>
          <w:spacing w:val="-2"/>
          <w:szCs w:val="21"/>
        </w:rPr>
        <w:t>频率</w:t>
      </w:r>
      <w:r>
        <w:rPr>
          <w:spacing w:val="-2"/>
          <w:szCs w:val="21"/>
        </w:rPr>
        <w:t>、类型、严重程度或数量等）。ESG 目标测量的结果应进行分析、评价和改进。</w:t>
      </w:r>
    </w:p>
    <w:p w14:paraId="5F9EBFD5">
      <w:pPr>
        <w:pStyle w:val="12"/>
        <w:spacing w:line="360" w:lineRule="auto"/>
        <w:ind w:firstLine="414"/>
        <w:rPr>
          <w:szCs w:val="21"/>
        </w:rPr>
      </w:pPr>
      <w:r>
        <w:rPr>
          <w:spacing w:val="-3"/>
          <w:szCs w:val="21"/>
        </w:rPr>
        <w:t>ESG 目标应能够予以沟通，并在适当时予以更新。</w:t>
      </w:r>
    </w:p>
    <w:p w14:paraId="6832375A">
      <w:pPr>
        <w:pStyle w:val="4"/>
        <w:widowControl/>
        <w:numPr>
          <w:ilvl w:val="0"/>
          <w:numId w:val="24"/>
        </w:numPr>
        <w:spacing w:before="140" w:line="360" w:lineRule="auto"/>
        <w:rPr>
          <w:rFonts w:ascii="Times New Roman"/>
          <w:szCs w:val="21"/>
        </w:rPr>
      </w:pPr>
      <w:r>
        <w:rPr>
          <w:spacing w:val="-4"/>
          <w:szCs w:val="21"/>
        </w:rPr>
        <w:t>策划实现</w:t>
      </w:r>
      <w:r>
        <w:rPr>
          <w:spacing w:val="-31"/>
          <w:szCs w:val="21"/>
        </w:rPr>
        <w:t xml:space="preserve"> </w:t>
      </w:r>
      <w:r>
        <w:rPr>
          <w:spacing w:val="-4"/>
          <w:szCs w:val="21"/>
        </w:rPr>
        <w:t>ESG 目标的措施</w:t>
      </w:r>
    </w:p>
    <w:p w14:paraId="698263E4">
      <w:pPr>
        <w:pStyle w:val="12"/>
        <w:spacing w:before="145" w:line="360" w:lineRule="auto"/>
        <w:ind w:right="55"/>
        <w:rPr>
          <w:szCs w:val="21"/>
        </w:rPr>
      </w:pPr>
      <w:r>
        <w:rPr>
          <w:szCs w:val="21"/>
        </w:rPr>
        <w:t xml:space="preserve">企业在确定ESG目标前要与利益相关方充分沟通，考虑其需求和期望，基于目标的设定原则，为实 </w:t>
      </w:r>
      <w:r>
        <w:rPr>
          <w:spacing w:val="-1"/>
          <w:szCs w:val="21"/>
        </w:rPr>
        <w:t>现目标进行单独策划或整体策划。</w:t>
      </w:r>
    </w:p>
    <w:p w14:paraId="4A3F06C2">
      <w:pPr>
        <w:pStyle w:val="12"/>
        <w:spacing w:line="360" w:lineRule="auto"/>
        <w:ind w:firstLine="416"/>
        <w:rPr>
          <w:szCs w:val="21"/>
        </w:rPr>
      </w:pPr>
      <w:r>
        <w:rPr>
          <w:spacing w:val="-2"/>
          <w:szCs w:val="21"/>
        </w:rPr>
        <w:t>措施为：</w:t>
      </w:r>
    </w:p>
    <w:p w14:paraId="6EF30DA6">
      <w:pPr>
        <w:pStyle w:val="12"/>
        <w:numPr>
          <w:ilvl w:val="0"/>
          <w:numId w:val="25"/>
        </w:numPr>
        <w:spacing w:before="19" w:line="360" w:lineRule="auto"/>
        <w:ind w:firstLineChars="0"/>
        <w:rPr>
          <w:rFonts w:hint="eastAsia" w:ascii="Times New Roman" w:hAnsi="宋体" w:cs="宋体"/>
          <w:szCs w:val="21"/>
        </w:rPr>
      </w:pPr>
      <w:r>
        <w:rPr>
          <w:szCs w:val="21"/>
        </w:rPr>
        <w:t>设定具体的目标和指标，指标可以是战略性的、战术性的或运行层</w:t>
      </w:r>
      <w:r>
        <w:rPr>
          <w:spacing w:val="-1"/>
          <w:szCs w:val="21"/>
        </w:rPr>
        <w:t>面的；</w:t>
      </w:r>
    </w:p>
    <w:p w14:paraId="7D5F9CF3">
      <w:pPr>
        <w:pStyle w:val="12"/>
        <w:numPr>
          <w:ilvl w:val="0"/>
          <w:numId w:val="25"/>
        </w:numPr>
        <w:spacing w:before="68" w:line="360" w:lineRule="auto"/>
        <w:ind w:firstLineChars="0"/>
        <w:rPr>
          <w:rFonts w:hint="eastAsia" w:ascii="Times New Roman" w:hAnsi="宋体" w:cs="宋体"/>
          <w:szCs w:val="21"/>
        </w:rPr>
      </w:pPr>
      <w:r>
        <w:rPr>
          <w:spacing w:val="-1"/>
          <w:szCs w:val="21"/>
        </w:rPr>
        <w:t>明确</w:t>
      </w:r>
      <w:r>
        <w:rPr>
          <w:spacing w:val="-47"/>
          <w:szCs w:val="21"/>
        </w:rPr>
        <w:t xml:space="preserve"> </w:t>
      </w:r>
      <w:r>
        <w:rPr>
          <w:spacing w:val="-1"/>
          <w:szCs w:val="21"/>
        </w:rPr>
        <w:t>ESG</w:t>
      </w:r>
      <w:r>
        <w:rPr>
          <w:spacing w:val="-39"/>
          <w:szCs w:val="21"/>
        </w:rPr>
        <w:t xml:space="preserve"> </w:t>
      </w:r>
      <w:r>
        <w:rPr>
          <w:spacing w:val="-1"/>
          <w:szCs w:val="21"/>
        </w:rPr>
        <w:t>管理体系的要求和义务；</w:t>
      </w:r>
    </w:p>
    <w:p w14:paraId="58151C06">
      <w:pPr>
        <w:pStyle w:val="12"/>
        <w:numPr>
          <w:ilvl w:val="0"/>
          <w:numId w:val="25"/>
        </w:numPr>
        <w:spacing w:before="22" w:line="360" w:lineRule="auto"/>
        <w:ind w:firstLineChars="0"/>
        <w:rPr>
          <w:rFonts w:hint="eastAsia" w:ascii="Times New Roman" w:hAnsi="宋体" w:cs="宋体"/>
          <w:szCs w:val="21"/>
        </w:rPr>
      </w:pPr>
      <w:r>
        <w:rPr>
          <w:spacing w:val="-1"/>
          <w:szCs w:val="21"/>
        </w:rPr>
        <w:t>任命企业各层级负责人；</w:t>
      </w:r>
    </w:p>
    <w:p w14:paraId="3CE0F4DC">
      <w:pPr>
        <w:pStyle w:val="12"/>
        <w:numPr>
          <w:ilvl w:val="0"/>
          <w:numId w:val="25"/>
        </w:numPr>
        <w:spacing w:before="20" w:line="360" w:lineRule="auto"/>
        <w:ind w:firstLineChars="0"/>
        <w:rPr>
          <w:rFonts w:hint="eastAsia" w:ascii="Times New Roman" w:hAnsi="宋体" w:cs="宋体"/>
          <w:szCs w:val="21"/>
        </w:rPr>
      </w:pPr>
      <w:r>
        <w:rPr>
          <w:spacing w:val="-1"/>
          <w:szCs w:val="21"/>
        </w:rPr>
        <w:t>安排各相关机构、业务活动、管理活动；</w:t>
      </w:r>
    </w:p>
    <w:p w14:paraId="1D1E7E3B">
      <w:pPr>
        <w:pStyle w:val="12"/>
        <w:numPr>
          <w:ilvl w:val="0"/>
          <w:numId w:val="25"/>
        </w:numPr>
        <w:spacing w:before="23" w:line="360" w:lineRule="auto"/>
        <w:ind w:firstLineChars="0"/>
        <w:rPr>
          <w:rFonts w:hint="eastAsia" w:ascii="Times New Roman" w:hAnsi="宋体" w:cs="宋体"/>
          <w:szCs w:val="21"/>
        </w:rPr>
      </w:pPr>
      <w:r>
        <w:rPr>
          <w:spacing w:val="-1"/>
          <w:szCs w:val="21"/>
        </w:rPr>
        <w:t>确定开始时间和持续时间；</w:t>
      </w:r>
    </w:p>
    <w:p w14:paraId="35DD5CE6">
      <w:pPr>
        <w:pStyle w:val="12"/>
        <w:numPr>
          <w:ilvl w:val="0"/>
          <w:numId w:val="25"/>
        </w:numPr>
        <w:spacing w:before="20" w:line="360" w:lineRule="auto"/>
        <w:ind w:right="2" w:firstLineChars="0"/>
        <w:rPr>
          <w:rFonts w:hint="eastAsia" w:ascii="Times New Roman" w:hAnsi="宋体" w:cs="宋体"/>
          <w:szCs w:val="21"/>
        </w:rPr>
      </w:pPr>
      <w:r>
        <w:rPr>
          <w:spacing w:val="-3"/>
          <w:szCs w:val="21"/>
        </w:rPr>
        <w:t>具体的操作步骤和方法，评价结果，用于监</w:t>
      </w:r>
      <w:r>
        <w:rPr>
          <w:spacing w:val="-4"/>
          <w:szCs w:val="21"/>
        </w:rPr>
        <w:t>视的参数，将实现</w:t>
      </w:r>
      <w:r>
        <w:rPr>
          <w:spacing w:val="-47"/>
          <w:szCs w:val="21"/>
        </w:rPr>
        <w:t xml:space="preserve"> </w:t>
      </w:r>
      <w:r>
        <w:rPr>
          <w:spacing w:val="-4"/>
          <w:szCs w:val="21"/>
        </w:rPr>
        <w:t>ESG 目标的措施融入其业务过程</w:t>
      </w:r>
      <w:r>
        <w:rPr>
          <w:spacing w:val="-1"/>
          <w:szCs w:val="21"/>
        </w:rPr>
        <w:t>（如采购和投资实践、人力资源管理、产品质量与安全管理等</w:t>
      </w:r>
      <w:r>
        <w:rPr>
          <w:spacing w:val="8"/>
          <w:szCs w:val="21"/>
        </w:rPr>
        <w:t>）；</w:t>
      </w:r>
    </w:p>
    <w:p w14:paraId="0841B7A1">
      <w:pPr>
        <w:pStyle w:val="12"/>
        <w:numPr>
          <w:ilvl w:val="0"/>
          <w:numId w:val="25"/>
        </w:numPr>
        <w:spacing w:before="20" w:line="360" w:lineRule="auto"/>
        <w:ind w:firstLineChars="0"/>
        <w:rPr>
          <w:rFonts w:hint="eastAsia" w:ascii="Times New Roman" w:hAnsi="宋体" w:cs="宋体"/>
          <w:szCs w:val="21"/>
        </w:rPr>
      </w:pPr>
      <w:r>
        <w:rPr>
          <w:szCs w:val="21"/>
        </w:rPr>
        <w:t>需要的人员、财务、设备、基础设施数量</w:t>
      </w:r>
      <w:r>
        <w:rPr>
          <w:spacing w:val="-1"/>
          <w:szCs w:val="21"/>
        </w:rPr>
        <w:t>和能力支持等。</w:t>
      </w:r>
    </w:p>
    <w:p w14:paraId="5C2E4752">
      <w:pPr>
        <w:pStyle w:val="12"/>
        <w:spacing w:before="29" w:line="360" w:lineRule="auto"/>
        <w:ind w:firstLine="418"/>
        <w:rPr>
          <w:szCs w:val="21"/>
        </w:rPr>
      </w:pPr>
      <w:r>
        <w:rPr>
          <w:spacing w:val="-1"/>
          <w:szCs w:val="21"/>
        </w:rPr>
        <w:t>企业应保持和保留ESG目标和实现ESG目标的策划的文件化信息。</w:t>
      </w:r>
    </w:p>
    <w:p w14:paraId="7672F897">
      <w:pPr>
        <w:pStyle w:val="28"/>
        <w:spacing w:before="240" w:after="240" w:line="360" w:lineRule="auto"/>
      </w:pPr>
      <w:bookmarkStart w:id="16" w:name="_Toc24210"/>
      <w:r>
        <w:t>支持</w:t>
      </w:r>
      <w:bookmarkEnd w:id="16"/>
    </w:p>
    <w:p w14:paraId="33B7B6F6">
      <w:pPr>
        <w:pStyle w:val="3"/>
        <w:spacing w:before="261" w:line="360" w:lineRule="auto"/>
        <w:ind w:left="406" w:hanging="406"/>
        <w:rPr>
          <w:rFonts w:hint="eastAsia"/>
          <w:szCs w:val="21"/>
        </w:rPr>
      </w:pPr>
      <w:r>
        <w:rPr>
          <w:rFonts w:hint="eastAsia"/>
          <w:spacing w:val="-7"/>
          <w:szCs w:val="16"/>
        </w:rPr>
        <w:t xml:space="preserve">7.1 </w:t>
      </w:r>
      <w:r>
        <w:rPr>
          <w:spacing w:val="-7"/>
          <w:szCs w:val="21"/>
        </w:rPr>
        <w:t>资源</w:t>
      </w:r>
    </w:p>
    <w:p w14:paraId="29F2C9D2">
      <w:pPr>
        <w:pStyle w:val="12"/>
        <w:spacing w:before="144" w:line="360" w:lineRule="auto"/>
        <w:rPr>
          <w:szCs w:val="21"/>
        </w:rPr>
      </w:pPr>
      <w:r>
        <w:rPr>
          <w:szCs w:val="21"/>
        </w:rPr>
        <w:t>企业应确定并提供建立、实施、保持和持续改进ESG管理</w:t>
      </w:r>
      <w:r>
        <w:rPr>
          <w:spacing w:val="-1"/>
          <w:szCs w:val="21"/>
        </w:rPr>
        <w:t>体系所需的资源。</w:t>
      </w:r>
    </w:p>
    <w:p w14:paraId="62353795">
      <w:pPr>
        <w:pStyle w:val="12"/>
        <w:spacing w:before="20" w:line="360" w:lineRule="auto"/>
        <w:ind w:firstLine="414"/>
        <w:rPr>
          <w:szCs w:val="21"/>
        </w:rPr>
      </w:pPr>
      <w:r>
        <w:rPr>
          <w:rFonts w:hint="eastAsia"/>
          <w:bCs/>
          <w:spacing w:val="-3"/>
          <w:szCs w:val="21"/>
        </w:rPr>
        <w:t>注：</w:t>
      </w:r>
      <w:r>
        <w:rPr>
          <w:spacing w:val="-3"/>
          <w:szCs w:val="21"/>
        </w:rPr>
        <w:t>充足的资源及其有效管理能为</w:t>
      </w:r>
      <w:r>
        <w:rPr>
          <w:spacing w:val="-37"/>
          <w:szCs w:val="21"/>
        </w:rPr>
        <w:t xml:space="preserve"> </w:t>
      </w:r>
      <w:r>
        <w:rPr>
          <w:spacing w:val="-3"/>
          <w:szCs w:val="21"/>
        </w:rPr>
        <w:t>ESG</w:t>
      </w:r>
      <w:r>
        <w:rPr>
          <w:spacing w:val="-39"/>
          <w:szCs w:val="21"/>
        </w:rPr>
        <w:t xml:space="preserve"> </w:t>
      </w:r>
      <w:r>
        <w:rPr>
          <w:spacing w:val="-3"/>
          <w:szCs w:val="21"/>
        </w:rPr>
        <w:t>管理体系的执行、维护和改进提供强有力的支持与保障，强化企</w:t>
      </w:r>
      <w:r>
        <w:rPr>
          <w:szCs w:val="21"/>
        </w:rPr>
        <w:t xml:space="preserve"> </w:t>
      </w:r>
      <w:r>
        <w:rPr>
          <w:spacing w:val="-7"/>
          <w:szCs w:val="21"/>
        </w:rPr>
        <w:t>业的能力建设，持续提高利益相关方满意度。这些资源包括基础设施和工作环境、人力资源、信息知识、</w:t>
      </w:r>
      <w:r>
        <w:rPr>
          <w:spacing w:val="-1"/>
          <w:szCs w:val="21"/>
        </w:rPr>
        <w:t>国际合作、财务资源、科技研发以及供方与外部技术支持单位</w:t>
      </w:r>
      <w:r>
        <w:t>，以及支持ESG数据采集、核算、分析和披露的信息系统与数字化工具</w:t>
      </w:r>
      <w:r>
        <w:rPr>
          <w:spacing w:val="-1"/>
          <w:szCs w:val="21"/>
        </w:rPr>
        <w:t>等。</w:t>
      </w:r>
    </w:p>
    <w:p w14:paraId="2EA2351C">
      <w:pPr>
        <w:pStyle w:val="3"/>
        <w:spacing w:before="117" w:line="360" w:lineRule="auto"/>
        <w:ind w:left="424" w:hanging="424"/>
        <w:rPr>
          <w:rFonts w:hint="eastAsia"/>
          <w:szCs w:val="21"/>
        </w:rPr>
      </w:pPr>
      <w:r>
        <w:rPr>
          <w:rFonts w:hint="eastAsia"/>
          <w:spacing w:val="2"/>
          <w:szCs w:val="16"/>
        </w:rPr>
        <w:t xml:space="preserve">7.2 </w:t>
      </w:r>
      <w:r>
        <w:rPr>
          <w:spacing w:val="2"/>
          <w:szCs w:val="21"/>
        </w:rPr>
        <w:t>能力</w:t>
      </w:r>
    </w:p>
    <w:p w14:paraId="1FDC2ED1">
      <w:pPr>
        <w:pStyle w:val="12"/>
        <w:spacing w:before="141" w:line="360" w:lineRule="auto"/>
        <w:ind w:firstLine="414"/>
        <w:rPr>
          <w:szCs w:val="21"/>
        </w:rPr>
      </w:pPr>
      <w:r>
        <w:rPr>
          <w:spacing w:val="-3"/>
          <w:szCs w:val="21"/>
        </w:rPr>
        <w:t>企业应：</w:t>
      </w:r>
    </w:p>
    <w:p w14:paraId="5CFCD1E1">
      <w:pPr>
        <w:pStyle w:val="12"/>
        <w:numPr>
          <w:ilvl w:val="0"/>
          <w:numId w:val="26"/>
        </w:numPr>
        <w:spacing w:before="20" w:line="360" w:lineRule="auto"/>
        <w:ind w:firstLineChars="0"/>
        <w:rPr>
          <w:rFonts w:hint="eastAsia" w:ascii="Times New Roman" w:hAnsi="宋体" w:cs="宋体"/>
          <w:szCs w:val="21"/>
        </w:rPr>
      </w:pPr>
      <w:r>
        <w:rPr>
          <w:spacing w:val="-1"/>
          <w:szCs w:val="21"/>
        </w:rPr>
        <w:t>确定影响或可能影响其</w:t>
      </w:r>
      <w:r>
        <w:rPr>
          <w:spacing w:val="-32"/>
          <w:szCs w:val="21"/>
        </w:rPr>
        <w:t xml:space="preserve"> </w:t>
      </w:r>
      <w:r>
        <w:rPr>
          <w:spacing w:val="-1"/>
          <w:szCs w:val="21"/>
        </w:rPr>
        <w:t>ESG</w:t>
      </w:r>
      <w:r>
        <w:rPr>
          <w:spacing w:val="-41"/>
          <w:szCs w:val="21"/>
        </w:rPr>
        <w:t xml:space="preserve"> </w:t>
      </w:r>
      <w:r>
        <w:rPr>
          <w:spacing w:val="-1"/>
          <w:szCs w:val="21"/>
        </w:rPr>
        <w:t>绩效的员工所</w:t>
      </w:r>
      <w:r>
        <w:rPr>
          <w:rFonts w:hint="eastAsia"/>
          <w:spacing w:val="-1"/>
          <w:szCs w:val="21"/>
        </w:rPr>
        <w:t>应</w:t>
      </w:r>
      <w:r>
        <w:rPr>
          <w:spacing w:val="-1"/>
          <w:szCs w:val="21"/>
        </w:rPr>
        <w:t>具备的能力；</w:t>
      </w:r>
    </w:p>
    <w:p w14:paraId="6A0C894A">
      <w:pPr>
        <w:pStyle w:val="12"/>
        <w:numPr>
          <w:ilvl w:val="0"/>
          <w:numId w:val="26"/>
        </w:numPr>
        <w:spacing w:before="19" w:line="360" w:lineRule="auto"/>
        <w:ind w:firstLineChars="0"/>
        <w:rPr>
          <w:rFonts w:hint="eastAsia" w:ascii="Times New Roman" w:hAnsi="宋体" w:cs="宋体"/>
          <w:szCs w:val="21"/>
        </w:rPr>
      </w:pPr>
      <w:r>
        <w:rPr>
          <w:spacing w:val="-2"/>
          <w:szCs w:val="21"/>
        </w:rPr>
        <w:t>基于适当的教育、培训或经历，确保员工具备胜任工作的能力（</w:t>
      </w:r>
      <w:r>
        <w:rPr>
          <w:spacing w:val="-3"/>
          <w:szCs w:val="21"/>
        </w:rPr>
        <w:t>包括辨识与其工作相关的不良</w:t>
      </w:r>
      <w:r>
        <w:rPr>
          <w:szCs w:val="21"/>
        </w:rPr>
        <w:t xml:space="preserve"> </w:t>
      </w:r>
      <w:r>
        <w:rPr>
          <w:spacing w:val="-1"/>
          <w:szCs w:val="21"/>
        </w:rPr>
        <w:t>影响因素的能力</w:t>
      </w:r>
      <w:r>
        <w:rPr>
          <w:spacing w:val="-12"/>
          <w:szCs w:val="21"/>
        </w:rPr>
        <w:t>）；</w:t>
      </w:r>
    </w:p>
    <w:p w14:paraId="7DFBD2F1">
      <w:pPr>
        <w:pStyle w:val="12"/>
        <w:numPr>
          <w:ilvl w:val="0"/>
          <w:numId w:val="26"/>
        </w:numPr>
        <w:spacing w:before="21" w:line="360" w:lineRule="auto"/>
        <w:ind w:firstLineChars="0"/>
        <w:rPr>
          <w:rFonts w:hint="eastAsia" w:ascii="Times New Roman" w:hAnsi="宋体" w:cs="宋体"/>
          <w:szCs w:val="21"/>
        </w:rPr>
      </w:pPr>
      <w:r>
        <w:rPr>
          <w:szCs w:val="21"/>
        </w:rPr>
        <w:t>在适当时，采取适当措施以获得和保持所</w:t>
      </w:r>
      <w:r>
        <w:rPr>
          <w:rFonts w:hint="eastAsia"/>
          <w:szCs w:val="21"/>
        </w:rPr>
        <w:t>需要</w:t>
      </w:r>
      <w:r>
        <w:rPr>
          <w:szCs w:val="21"/>
        </w:rPr>
        <w:t>的能力，并评价所采取措施的有效性；</w:t>
      </w:r>
    </w:p>
    <w:p w14:paraId="40D85971">
      <w:pPr>
        <w:pStyle w:val="12"/>
        <w:numPr>
          <w:ilvl w:val="0"/>
          <w:numId w:val="26"/>
        </w:numPr>
        <w:spacing w:before="23" w:line="360" w:lineRule="auto"/>
        <w:ind w:firstLineChars="0"/>
        <w:rPr>
          <w:rFonts w:hint="eastAsia" w:ascii="Times New Roman" w:hAnsi="宋体" w:cs="宋体"/>
          <w:szCs w:val="21"/>
        </w:rPr>
      </w:pPr>
      <w:r>
        <w:rPr>
          <w:szCs w:val="21"/>
        </w:rPr>
        <w:t>保留适当的文件化信息作为能力证</w:t>
      </w:r>
      <w:r>
        <w:rPr>
          <w:spacing w:val="-1"/>
          <w:szCs w:val="21"/>
        </w:rPr>
        <w:t>据。</w:t>
      </w:r>
    </w:p>
    <w:p w14:paraId="46EC217C">
      <w:pPr>
        <w:pStyle w:val="12"/>
        <w:spacing w:line="360" w:lineRule="auto"/>
        <w:ind w:firstLine="412"/>
        <w:jc w:val="left"/>
        <w:rPr>
          <w:szCs w:val="18"/>
        </w:rPr>
      </w:pPr>
      <w:r>
        <w:rPr>
          <w:spacing w:val="-4"/>
          <w:szCs w:val="18"/>
        </w:rPr>
        <w:t>注：适当措施可包括：向现有所雇人员提供培训、指导或重新分配工作；外</w:t>
      </w:r>
      <w:r>
        <w:rPr>
          <w:spacing w:val="-5"/>
          <w:szCs w:val="18"/>
        </w:rPr>
        <w:t>聘或将工作承包给能胜任工作的人员</w:t>
      </w:r>
      <w:r>
        <w:t>；以及供应商、合作伙伴的人员</w:t>
      </w:r>
      <w:r>
        <w:rPr>
          <w:spacing w:val="-5"/>
          <w:szCs w:val="18"/>
        </w:rPr>
        <w:t>等。</w:t>
      </w:r>
    </w:p>
    <w:p w14:paraId="6BCD7F4A">
      <w:pPr>
        <w:pStyle w:val="3"/>
        <w:spacing w:before="144" w:line="360" w:lineRule="auto"/>
        <w:ind w:left="422" w:hanging="422"/>
        <w:rPr>
          <w:rFonts w:hint="eastAsia"/>
          <w:szCs w:val="21"/>
        </w:rPr>
      </w:pPr>
      <w:r>
        <w:rPr>
          <w:rFonts w:hint="eastAsia"/>
          <w:spacing w:val="1"/>
          <w:szCs w:val="21"/>
        </w:rPr>
        <w:t xml:space="preserve">7.3 </w:t>
      </w:r>
      <w:r>
        <w:rPr>
          <w:spacing w:val="1"/>
          <w:szCs w:val="21"/>
        </w:rPr>
        <w:t>意识</w:t>
      </w:r>
    </w:p>
    <w:p w14:paraId="459933A4">
      <w:pPr>
        <w:pStyle w:val="12"/>
        <w:spacing w:before="142" w:line="360" w:lineRule="auto"/>
        <w:rPr>
          <w:szCs w:val="21"/>
        </w:rPr>
      </w:pPr>
      <w:r>
        <w:rPr>
          <w:szCs w:val="21"/>
        </w:rPr>
        <w:t>最高管理层应具备正确的ESG意识，准确理解ESG的</w:t>
      </w:r>
      <w:r>
        <w:rPr>
          <w:spacing w:val="-1"/>
          <w:szCs w:val="21"/>
        </w:rPr>
        <w:t>内涵，充分意识到：</w:t>
      </w:r>
    </w:p>
    <w:p w14:paraId="215EFADD">
      <w:pPr>
        <w:pStyle w:val="12"/>
        <w:numPr>
          <w:ilvl w:val="0"/>
          <w:numId w:val="27"/>
        </w:numPr>
        <w:spacing w:before="20" w:line="360" w:lineRule="auto"/>
        <w:ind w:firstLineChars="0"/>
        <w:rPr>
          <w:rFonts w:hint="eastAsia" w:ascii="Times New Roman" w:hAnsi="宋体" w:cs="宋体"/>
          <w:szCs w:val="21"/>
        </w:rPr>
      </w:pPr>
      <w:r>
        <w:rPr>
          <w:rFonts w:hint="eastAsia"/>
          <w:spacing w:val="-1"/>
          <w:szCs w:val="21"/>
        </w:rPr>
        <w:t>提</w:t>
      </w:r>
      <w:r>
        <w:rPr>
          <w:spacing w:val="-1"/>
          <w:szCs w:val="21"/>
        </w:rPr>
        <w:t>升 ESG 管理水平对于企业生存和发展的重要战略意义；</w:t>
      </w:r>
    </w:p>
    <w:p w14:paraId="53CAB36C">
      <w:pPr>
        <w:pStyle w:val="12"/>
        <w:numPr>
          <w:ilvl w:val="0"/>
          <w:numId w:val="27"/>
        </w:numPr>
        <w:spacing w:before="22" w:line="360" w:lineRule="auto"/>
        <w:ind w:firstLineChars="0"/>
        <w:rPr>
          <w:rFonts w:hint="eastAsia" w:ascii="Times New Roman" w:hAnsi="宋体" w:cs="宋体"/>
          <w:szCs w:val="21"/>
        </w:rPr>
      </w:pPr>
      <w:r>
        <w:rPr>
          <w:spacing w:val="-2"/>
          <w:szCs w:val="21"/>
        </w:rPr>
        <w:t>企业建立和保持</w:t>
      </w:r>
      <w:r>
        <w:rPr>
          <w:spacing w:val="-37"/>
          <w:szCs w:val="21"/>
        </w:rPr>
        <w:t xml:space="preserve"> </w:t>
      </w:r>
      <w:r>
        <w:rPr>
          <w:spacing w:val="-2"/>
          <w:szCs w:val="21"/>
        </w:rPr>
        <w:t>ESG</w:t>
      </w:r>
      <w:r>
        <w:rPr>
          <w:spacing w:val="-41"/>
          <w:szCs w:val="21"/>
        </w:rPr>
        <w:t xml:space="preserve"> </w:t>
      </w:r>
      <w:r>
        <w:rPr>
          <w:spacing w:val="-2"/>
          <w:szCs w:val="21"/>
        </w:rPr>
        <w:t>管理体系的必要性；</w:t>
      </w:r>
    </w:p>
    <w:p w14:paraId="2252067C">
      <w:pPr>
        <w:pStyle w:val="12"/>
        <w:numPr>
          <w:ilvl w:val="0"/>
          <w:numId w:val="27"/>
        </w:numPr>
        <w:spacing w:before="20" w:line="360" w:lineRule="auto"/>
        <w:ind w:firstLineChars="0"/>
        <w:rPr>
          <w:rFonts w:hint="eastAsia" w:ascii="Times New Roman" w:hAnsi="宋体" w:cs="宋体"/>
          <w:szCs w:val="21"/>
        </w:rPr>
      </w:pPr>
      <w:r>
        <w:rPr>
          <w:spacing w:val="-1"/>
          <w:szCs w:val="21"/>
        </w:rPr>
        <w:t>基于</w:t>
      </w:r>
      <w:r>
        <w:rPr>
          <w:spacing w:val="-46"/>
          <w:szCs w:val="21"/>
        </w:rPr>
        <w:t xml:space="preserve"> </w:t>
      </w:r>
      <w:r>
        <w:rPr>
          <w:spacing w:val="-1"/>
          <w:szCs w:val="21"/>
        </w:rPr>
        <w:t>ESG</w:t>
      </w:r>
      <w:r>
        <w:rPr>
          <w:spacing w:val="-27"/>
          <w:szCs w:val="21"/>
        </w:rPr>
        <w:t xml:space="preserve"> </w:t>
      </w:r>
      <w:r>
        <w:rPr>
          <w:spacing w:val="-1"/>
          <w:szCs w:val="21"/>
        </w:rPr>
        <w:t>的企业现有管理体系的融</w:t>
      </w:r>
      <w:r>
        <w:rPr>
          <w:spacing w:val="-2"/>
          <w:szCs w:val="21"/>
        </w:rPr>
        <w:t>合和一体化的重要作用和意义。</w:t>
      </w:r>
    </w:p>
    <w:p w14:paraId="3FCF8B21">
      <w:pPr>
        <w:pStyle w:val="12"/>
        <w:spacing w:before="22" w:line="360" w:lineRule="auto"/>
        <w:ind w:firstLine="416"/>
        <w:rPr>
          <w:szCs w:val="21"/>
        </w:rPr>
      </w:pPr>
      <w:r>
        <w:rPr>
          <w:spacing w:val="-2"/>
          <w:szCs w:val="21"/>
        </w:rPr>
        <w:t>企业内各层次的员工应正确认识和理解ESG，并意识到：</w:t>
      </w:r>
    </w:p>
    <w:p w14:paraId="181940CA">
      <w:pPr>
        <w:pStyle w:val="12"/>
        <w:numPr>
          <w:ilvl w:val="0"/>
          <w:numId w:val="28"/>
        </w:numPr>
        <w:spacing w:before="21" w:line="360" w:lineRule="auto"/>
        <w:ind w:firstLineChars="0"/>
        <w:rPr>
          <w:rFonts w:hint="eastAsia" w:ascii="Times New Roman" w:hAnsi="宋体" w:cs="宋体"/>
          <w:szCs w:val="21"/>
        </w:rPr>
      </w:pPr>
      <w:r>
        <w:rPr>
          <w:spacing w:val="-3"/>
          <w:szCs w:val="21"/>
        </w:rPr>
        <w:t>与各自活动相关的</w:t>
      </w:r>
      <w:r>
        <w:rPr>
          <w:spacing w:val="-33"/>
          <w:szCs w:val="21"/>
        </w:rPr>
        <w:t xml:space="preserve"> </w:t>
      </w:r>
      <w:r>
        <w:rPr>
          <w:spacing w:val="-3"/>
          <w:szCs w:val="21"/>
        </w:rPr>
        <w:t>ESG</w:t>
      </w:r>
      <w:r>
        <w:rPr>
          <w:spacing w:val="-42"/>
          <w:szCs w:val="21"/>
        </w:rPr>
        <w:t xml:space="preserve"> </w:t>
      </w:r>
      <w:r>
        <w:rPr>
          <w:spacing w:val="-3"/>
          <w:szCs w:val="21"/>
        </w:rPr>
        <w:t>议题；</w:t>
      </w:r>
    </w:p>
    <w:p w14:paraId="1BD74A05">
      <w:pPr>
        <w:pStyle w:val="12"/>
        <w:numPr>
          <w:ilvl w:val="0"/>
          <w:numId w:val="28"/>
        </w:numPr>
        <w:spacing w:before="22" w:line="360" w:lineRule="auto"/>
        <w:ind w:firstLineChars="0"/>
        <w:rPr>
          <w:rFonts w:hint="eastAsia" w:ascii="Times New Roman" w:hAnsi="宋体" w:cs="宋体"/>
          <w:szCs w:val="21"/>
        </w:rPr>
      </w:pPr>
      <w:r>
        <w:rPr>
          <w:spacing w:val="2"/>
          <w:szCs w:val="21"/>
        </w:rPr>
        <w:t>企业的</w:t>
      </w:r>
      <w:r>
        <w:rPr>
          <w:szCs w:val="21"/>
        </w:rPr>
        <w:t>ESG</w:t>
      </w:r>
      <w:r>
        <w:rPr>
          <w:spacing w:val="-46"/>
          <w:szCs w:val="21"/>
        </w:rPr>
        <w:t xml:space="preserve"> </w:t>
      </w:r>
      <w:r>
        <w:rPr>
          <w:spacing w:val="2"/>
          <w:szCs w:val="21"/>
        </w:rPr>
        <w:t>方针和目标；</w:t>
      </w:r>
    </w:p>
    <w:p w14:paraId="2D3F63FB">
      <w:pPr>
        <w:pStyle w:val="12"/>
        <w:numPr>
          <w:ilvl w:val="0"/>
          <w:numId w:val="28"/>
        </w:numPr>
        <w:spacing w:before="19" w:line="360" w:lineRule="auto"/>
        <w:ind w:firstLineChars="0"/>
        <w:rPr>
          <w:rFonts w:hint="eastAsia" w:ascii="Times New Roman" w:hAnsi="宋体" w:cs="宋体"/>
          <w:szCs w:val="21"/>
        </w:rPr>
      </w:pPr>
      <w:r>
        <w:rPr>
          <w:spacing w:val="-2"/>
          <w:szCs w:val="21"/>
        </w:rPr>
        <w:t>其对</w:t>
      </w:r>
      <w:r>
        <w:rPr>
          <w:spacing w:val="-41"/>
          <w:szCs w:val="21"/>
        </w:rPr>
        <w:t xml:space="preserve"> </w:t>
      </w:r>
      <w:r>
        <w:rPr>
          <w:spacing w:val="-2"/>
          <w:szCs w:val="21"/>
        </w:rPr>
        <w:t>ESG</w:t>
      </w:r>
      <w:r>
        <w:rPr>
          <w:spacing w:val="-39"/>
          <w:szCs w:val="21"/>
        </w:rPr>
        <w:t xml:space="preserve"> </w:t>
      </w:r>
      <w:r>
        <w:rPr>
          <w:spacing w:val="-2"/>
          <w:szCs w:val="21"/>
        </w:rPr>
        <w:t>管理体系有效性的贡献作用，包括提升</w:t>
      </w:r>
      <w:r>
        <w:rPr>
          <w:spacing w:val="-47"/>
          <w:szCs w:val="21"/>
        </w:rPr>
        <w:t xml:space="preserve"> </w:t>
      </w:r>
      <w:r>
        <w:rPr>
          <w:spacing w:val="-2"/>
          <w:szCs w:val="21"/>
        </w:rPr>
        <w:t>ESG</w:t>
      </w:r>
      <w:r>
        <w:rPr>
          <w:spacing w:val="-40"/>
          <w:szCs w:val="21"/>
        </w:rPr>
        <w:t xml:space="preserve"> </w:t>
      </w:r>
      <w:r>
        <w:rPr>
          <w:spacing w:val="-2"/>
          <w:szCs w:val="21"/>
        </w:rPr>
        <w:t>绩效的益处；</w:t>
      </w:r>
    </w:p>
    <w:p w14:paraId="73EB5691">
      <w:pPr>
        <w:pStyle w:val="12"/>
        <w:numPr>
          <w:ilvl w:val="0"/>
          <w:numId w:val="28"/>
        </w:numPr>
        <w:spacing w:before="22" w:line="360" w:lineRule="auto"/>
        <w:ind w:firstLineChars="0"/>
        <w:rPr>
          <w:rFonts w:hint="eastAsia" w:ascii="Times New Roman" w:hAnsi="宋体" w:cs="宋体"/>
          <w:szCs w:val="21"/>
        </w:rPr>
      </w:pPr>
      <w:r>
        <w:rPr>
          <w:spacing w:val="-2"/>
          <w:szCs w:val="21"/>
        </w:rPr>
        <w:t>不符合</w:t>
      </w:r>
      <w:r>
        <w:rPr>
          <w:spacing w:val="-40"/>
          <w:szCs w:val="21"/>
        </w:rPr>
        <w:t xml:space="preserve"> </w:t>
      </w:r>
      <w:r>
        <w:rPr>
          <w:spacing w:val="-2"/>
          <w:szCs w:val="21"/>
        </w:rPr>
        <w:t>ESG</w:t>
      </w:r>
      <w:r>
        <w:rPr>
          <w:spacing w:val="-42"/>
          <w:szCs w:val="21"/>
        </w:rPr>
        <w:t xml:space="preserve"> </w:t>
      </w:r>
      <w:r>
        <w:rPr>
          <w:spacing w:val="-2"/>
          <w:szCs w:val="21"/>
        </w:rPr>
        <w:t>管理体系要求的影响和潜在后果；</w:t>
      </w:r>
    </w:p>
    <w:p w14:paraId="2664F655">
      <w:pPr>
        <w:pStyle w:val="12"/>
        <w:numPr>
          <w:ilvl w:val="0"/>
          <w:numId w:val="28"/>
        </w:numPr>
        <w:spacing w:before="20" w:line="360" w:lineRule="auto"/>
        <w:ind w:firstLineChars="0"/>
        <w:rPr>
          <w:rFonts w:hint="eastAsia" w:ascii="Times New Roman" w:hAnsi="宋体" w:cs="宋体"/>
          <w:szCs w:val="21"/>
        </w:rPr>
      </w:pPr>
      <w:r>
        <w:rPr>
          <w:spacing w:val="-2"/>
          <w:szCs w:val="21"/>
        </w:rPr>
        <w:t>与其相关的事件和调查结果；</w:t>
      </w:r>
    </w:p>
    <w:p w14:paraId="0A4AE5E3">
      <w:pPr>
        <w:pStyle w:val="12"/>
        <w:numPr>
          <w:ilvl w:val="0"/>
          <w:numId w:val="28"/>
        </w:numPr>
        <w:spacing w:before="22" w:line="360" w:lineRule="auto"/>
        <w:ind w:firstLineChars="0"/>
        <w:rPr>
          <w:rFonts w:hint="eastAsia" w:ascii="Times New Roman" w:hAnsi="宋体" w:cs="宋体"/>
          <w:szCs w:val="21"/>
        </w:rPr>
      </w:pPr>
      <w:r>
        <w:rPr>
          <w:spacing w:val="-1"/>
          <w:szCs w:val="21"/>
        </w:rPr>
        <w:t>与其相关的不良影响因素、ESG</w:t>
      </w:r>
      <w:r>
        <w:rPr>
          <w:spacing w:val="-40"/>
          <w:szCs w:val="21"/>
        </w:rPr>
        <w:t xml:space="preserve"> </w:t>
      </w:r>
      <w:r>
        <w:rPr>
          <w:spacing w:val="-1"/>
          <w:szCs w:val="21"/>
        </w:rPr>
        <w:t>风险和所确定的措施。</w:t>
      </w:r>
    </w:p>
    <w:p w14:paraId="7661E21E">
      <w:pPr>
        <w:pStyle w:val="3"/>
        <w:numPr>
          <w:ilvl w:val="255"/>
          <w:numId w:val="0"/>
        </w:numPr>
        <w:spacing w:before="141" w:line="360" w:lineRule="auto"/>
        <w:rPr>
          <w:rFonts w:hint="eastAsia" w:ascii="Times New Roman"/>
          <w:szCs w:val="21"/>
        </w:rPr>
      </w:pPr>
      <w:r>
        <w:rPr>
          <w:rFonts w:hint="eastAsia"/>
          <w:szCs w:val="22"/>
        </w:rPr>
        <w:t xml:space="preserve">7.4 </w:t>
      </w:r>
      <w:r>
        <w:rPr>
          <w:szCs w:val="21"/>
        </w:rPr>
        <w:t>沟通</w:t>
      </w:r>
    </w:p>
    <w:p w14:paraId="242CA2FE">
      <w:pPr>
        <w:pStyle w:val="12"/>
        <w:spacing w:before="151" w:line="360" w:lineRule="auto"/>
        <w:ind w:firstLine="414"/>
        <w:rPr>
          <w:szCs w:val="21"/>
        </w:rPr>
      </w:pPr>
      <w:r>
        <w:rPr>
          <w:spacing w:val="-3"/>
          <w:szCs w:val="21"/>
        </w:rPr>
        <w:t>企业应建立并实施与</w:t>
      </w:r>
      <w:r>
        <w:rPr>
          <w:spacing w:val="-36"/>
          <w:szCs w:val="21"/>
        </w:rPr>
        <w:t xml:space="preserve"> </w:t>
      </w:r>
      <w:r>
        <w:rPr>
          <w:spacing w:val="-3"/>
          <w:szCs w:val="21"/>
        </w:rPr>
        <w:t>ESG</w:t>
      </w:r>
      <w:r>
        <w:rPr>
          <w:spacing w:val="-41"/>
          <w:szCs w:val="21"/>
        </w:rPr>
        <w:t xml:space="preserve"> </w:t>
      </w:r>
      <w:r>
        <w:rPr>
          <w:spacing w:val="-3"/>
          <w:szCs w:val="21"/>
        </w:rPr>
        <w:t>管理体系相关的内外部交流沟通的过程，包括明确沟通的目标、对象、</w:t>
      </w:r>
      <w:r>
        <w:rPr>
          <w:rFonts w:hint="eastAsia"/>
          <w:spacing w:val="-3"/>
          <w:szCs w:val="21"/>
        </w:rPr>
        <w:t>内容</w:t>
      </w:r>
      <w:r>
        <w:rPr>
          <w:spacing w:val="-5"/>
          <w:szCs w:val="21"/>
        </w:rPr>
        <w:t>与方式。</w:t>
      </w:r>
    </w:p>
    <w:p w14:paraId="5F75BB1F">
      <w:pPr>
        <w:pStyle w:val="12"/>
        <w:spacing w:before="1" w:line="360" w:lineRule="auto"/>
        <w:ind w:firstLine="418"/>
        <w:rPr>
          <w:szCs w:val="21"/>
        </w:rPr>
      </w:pPr>
      <w:r>
        <w:rPr>
          <w:spacing w:val="-1"/>
          <w:szCs w:val="21"/>
        </w:rPr>
        <w:t>当考虑沟通需求时，企业</w:t>
      </w:r>
      <w:r>
        <w:rPr>
          <w:rFonts w:hint="eastAsia"/>
          <w:spacing w:val="-1"/>
          <w:szCs w:val="21"/>
        </w:rPr>
        <w:t>应</w:t>
      </w:r>
      <w:r>
        <w:rPr>
          <w:spacing w:val="-1"/>
          <w:szCs w:val="21"/>
        </w:rPr>
        <w:t>考虑各种差异（如性别、语言、文化、读写能力、残障等）。</w:t>
      </w:r>
    </w:p>
    <w:p w14:paraId="42986DBA">
      <w:pPr>
        <w:pStyle w:val="12"/>
        <w:spacing w:before="23" w:line="360" w:lineRule="auto"/>
        <w:ind w:firstLine="414"/>
        <w:rPr>
          <w:szCs w:val="21"/>
        </w:rPr>
      </w:pPr>
      <w:r>
        <w:rPr>
          <w:spacing w:val="-3"/>
          <w:szCs w:val="21"/>
        </w:rPr>
        <w:t>当建立沟通过程时，企业应确保内外部利益相关方的观点被考虑，并考虑合规性责任，确保所交流的信息与</w:t>
      </w:r>
      <w:r>
        <w:rPr>
          <w:spacing w:val="-35"/>
          <w:szCs w:val="21"/>
        </w:rPr>
        <w:t xml:space="preserve"> </w:t>
      </w:r>
      <w:r>
        <w:rPr>
          <w:spacing w:val="-3"/>
          <w:szCs w:val="21"/>
        </w:rPr>
        <w:t>ESG</w:t>
      </w:r>
      <w:r>
        <w:rPr>
          <w:spacing w:val="-38"/>
          <w:szCs w:val="21"/>
        </w:rPr>
        <w:t xml:space="preserve"> </w:t>
      </w:r>
      <w:r>
        <w:rPr>
          <w:spacing w:val="-3"/>
          <w:szCs w:val="21"/>
        </w:rPr>
        <w:t>管理体系所产生的信息一致且可靠。</w:t>
      </w:r>
    </w:p>
    <w:p w14:paraId="6CB64DC3">
      <w:pPr>
        <w:pStyle w:val="12"/>
        <w:spacing w:line="360" w:lineRule="auto"/>
      </w:pPr>
      <w:r>
        <w:rPr>
          <w:szCs w:val="21"/>
        </w:rPr>
        <w:t>企业应对与</w:t>
      </w:r>
      <w:r>
        <w:rPr>
          <w:spacing w:val="-47"/>
          <w:szCs w:val="21"/>
        </w:rPr>
        <w:t xml:space="preserve"> </w:t>
      </w:r>
      <w:r>
        <w:rPr>
          <w:szCs w:val="21"/>
        </w:rPr>
        <w:t>ESG</w:t>
      </w:r>
      <w:r>
        <w:rPr>
          <w:spacing w:val="-41"/>
          <w:szCs w:val="21"/>
        </w:rPr>
        <w:t xml:space="preserve"> </w:t>
      </w:r>
      <w:r>
        <w:rPr>
          <w:szCs w:val="21"/>
        </w:rPr>
        <w:t>管理体系相关的信息做出回</w:t>
      </w:r>
      <w:r>
        <w:rPr>
          <w:spacing w:val="-1"/>
          <w:szCs w:val="21"/>
        </w:rPr>
        <w:t>应。适当时，应保留文件化信息作为沟通的证据。</w:t>
      </w:r>
    </w:p>
    <w:p w14:paraId="28D21FD6">
      <w:pPr>
        <w:pStyle w:val="12"/>
        <w:spacing w:line="360" w:lineRule="auto"/>
        <w:rPr>
          <w:szCs w:val="21"/>
        </w:rPr>
      </w:pPr>
      <w:r>
        <w:t>企业应按监管要求及自身承诺，定期编制和发布可持续发展报告。</w:t>
      </w:r>
    </w:p>
    <w:p w14:paraId="201C2119">
      <w:pPr>
        <w:pStyle w:val="4"/>
        <w:widowControl/>
        <w:numPr>
          <w:ilvl w:val="0"/>
          <w:numId w:val="29"/>
        </w:numPr>
        <w:spacing w:before="140" w:line="360" w:lineRule="auto"/>
        <w:rPr>
          <w:rFonts w:ascii="Times New Roman"/>
          <w:szCs w:val="21"/>
        </w:rPr>
      </w:pPr>
      <w:r>
        <w:rPr>
          <w:spacing w:val="-3"/>
          <w:szCs w:val="21"/>
        </w:rPr>
        <w:t>内部沟通</w:t>
      </w:r>
    </w:p>
    <w:p w14:paraId="722E7314">
      <w:pPr>
        <w:pStyle w:val="12"/>
        <w:spacing w:before="68" w:line="360" w:lineRule="auto"/>
        <w:ind w:firstLine="418"/>
        <w:rPr>
          <w:szCs w:val="21"/>
        </w:rPr>
      </w:pPr>
      <w:r>
        <w:rPr>
          <w:spacing w:val="-1"/>
          <w:szCs w:val="21"/>
        </w:rPr>
        <w:t>企业应开展与</w:t>
      </w:r>
      <w:r>
        <w:rPr>
          <w:spacing w:val="-47"/>
          <w:szCs w:val="21"/>
        </w:rPr>
        <w:t xml:space="preserve"> </w:t>
      </w:r>
      <w:r>
        <w:rPr>
          <w:spacing w:val="-1"/>
          <w:szCs w:val="21"/>
        </w:rPr>
        <w:t>ESG</w:t>
      </w:r>
      <w:r>
        <w:rPr>
          <w:spacing w:val="-39"/>
          <w:szCs w:val="21"/>
        </w:rPr>
        <w:t xml:space="preserve"> </w:t>
      </w:r>
      <w:r>
        <w:rPr>
          <w:spacing w:val="-1"/>
          <w:szCs w:val="21"/>
        </w:rPr>
        <w:t>管理体系相关的内部沟通，</w:t>
      </w:r>
      <w:r>
        <w:rPr>
          <w:spacing w:val="-2"/>
          <w:szCs w:val="21"/>
        </w:rPr>
        <w:t>包括：</w:t>
      </w:r>
    </w:p>
    <w:p w14:paraId="7B01AC8A">
      <w:pPr>
        <w:pStyle w:val="12"/>
        <w:numPr>
          <w:ilvl w:val="0"/>
          <w:numId w:val="30"/>
        </w:numPr>
        <w:spacing w:before="22" w:line="360" w:lineRule="auto"/>
        <w:ind w:firstLineChars="0"/>
        <w:rPr>
          <w:rFonts w:hint="eastAsia" w:ascii="Times New Roman" w:hAnsi="宋体" w:cs="宋体"/>
          <w:szCs w:val="21"/>
        </w:rPr>
      </w:pPr>
      <w:r>
        <w:rPr>
          <w:spacing w:val="-1"/>
          <w:szCs w:val="21"/>
        </w:rPr>
        <w:t>建立与ESG管理沟通相匹配的沟通渠道、机制和工作过程，保证沟通的有效性；</w:t>
      </w:r>
    </w:p>
    <w:p w14:paraId="0A452817">
      <w:pPr>
        <w:pStyle w:val="12"/>
        <w:numPr>
          <w:ilvl w:val="0"/>
          <w:numId w:val="30"/>
        </w:numPr>
        <w:spacing w:before="20" w:line="360" w:lineRule="auto"/>
        <w:ind w:right="33" w:firstLineChars="0"/>
        <w:rPr>
          <w:rFonts w:hint="eastAsia" w:ascii="Times New Roman" w:hAnsi="宋体" w:cs="宋体"/>
          <w:szCs w:val="21"/>
        </w:rPr>
      </w:pPr>
      <w:r>
        <w:rPr>
          <w:spacing w:val="-3"/>
          <w:szCs w:val="21"/>
        </w:rPr>
        <w:t>在企业内部各层次和职</w:t>
      </w:r>
      <w:r>
        <w:rPr>
          <w:rFonts w:hint="eastAsia"/>
          <w:spacing w:val="-3"/>
          <w:szCs w:val="21"/>
        </w:rPr>
        <w:t>能之</w:t>
      </w:r>
      <w:r>
        <w:rPr>
          <w:spacing w:val="-3"/>
          <w:szCs w:val="21"/>
        </w:rPr>
        <w:t>间就体系运行和改进等问题进行沟通，保证</w:t>
      </w:r>
      <w:r>
        <w:rPr>
          <w:spacing w:val="-49"/>
          <w:szCs w:val="21"/>
        </w:rPr>
        <w:t xml:space="preserve"> </w:t>
      </w:r>
      <w:r>
        <w:rPr>
          <w:spacing w:val="-4"/>
          <w:szCs w:val="21"/>
        </w:rPr>
        <w:t>ESG</w:t>
      </w:r>
      <w:r>
        <w:rPr>
          <w:spacing w:val="-41"/>
          <w:szCs w:val="21"/>
        </w:rPr>
        <w:t xml:space="preserve"> </w:t>
      </w:r>
      <w:r>
        <w:rPr>
          <w:spacing w:val="-4"/>
          <w:szCs w:val="21"/>
        </w:rPr>
        <w:t>管理体系正常运转；</w:t>
      </w:r>
    </w:p>
    <w:p w14:paraId="1A1FBADF">
      <w:pPr>
        <w:pStyle w:val="12"/>
        <w:numPr>
          <w:ilvl w:val="0"/>
          <w:numId w:val="30"/>
        </w:numPr>
        <w:spacing w:before="22" w:line="360" w:lineRule="auto"/>
        <w:ind w:firstLineChars="0"/>
        <w:rPr>
          <w:rFonts w:hint="eastAsia" w:ascii="Times New Roman" w:hAnsi="宋体" w:cs="宋体"/>
          <w:szCs w:val="21"/>
        </w:rPr>
      </w:pPr>
      <w:r>
        <w:rPr>
          <w:szCs w:val="21"/>
        </w:rPr>
        <w:t>采取合理的沟通方法和措施，确保沟通过程能促使企业</w:t>
      </w:r>
      <w:r>
        <w:rPr>
          <w:rFonts w:hint="eastAsia"/>
          <w:szCs w:val="21"/>
        </w:rPr>
        <w:t>内部人员</w:t>
      </w:r>
      <w:r>
        <w:rPr>
          <w:szCs w:val="21"/>
        </w:rPr>
        <w:t xml:space="preserve">持续改进 ESG </w:t>
      </w:r>
      <w:r>
        <w:rPr>
          <w:spacing w:val="-1"/>
          <w:szCs w:val="21"/>
        </w:rPr>
        <w:t>管理做出</w:t>
      </w:r>
      <w:r>
        <w:rPr>
          <w:rFonts w:hint="eastAsia"/>
          <w:spacing w:val="-1"/>
          <w:szCs w:val="21"/>
        </w:rPr>
        <w:t>贡献</w:t>
      </w:r>
      <w:r>
        <w:rPr>
          <w:spacing w:val="-10"/>
          <w:szCs w:val="21"/>
        </w:rPr>
        <w:t>。</w:t>
      </w:r>
    </w:p>
    <w:p w14:paraId="4E50BF8C">
      <w:pPr>
        <w:pStyle w:val="4"/>
        <w:widowControl/>
        <w:numPr>
          <w:ilvl w:val="0"/>
          <w:numId w:val="29"/>
        </w:numPr>
        <w:spacing w:before="141" w:line="360" w:lineRule="auto"/>
        <w:rPr>
          <w:rFonts w:ascii="Times New Roman"/>
          <w:szCs w:val="21"/>
        </w:rPr>
      </w:pPr>
      <w:r>
        <w:rPr>
          <w:spacing w:val="-1"/>
          <w:szCs w:val="21"/>
        </w:rPr>
        <w:t>外部沟通</w:t>
      </w:r>
    </w:p>
    <w:p w14:paraId="0AD14317">
      <w:pPr>
        <w:pStyle w:val="12"/>
        <w:spacing w:before="139" w:line="360" w:lineRule="auto"/>
        <w:ind w:firstLine="414"/>
        <w:rPr>
          <w:szCs w:val="21"/>
        </w:rPr>
      </w:pPr>
      <w:r>
        <w:rPr>
          <w:spacing w:val="-3"/>
          <w:szCs w:val="21"/>
        </w:rPr>
        <w:t>根据企业的实际沟通和参与过程，以及合规性责任的要求，企业应就与</w:t>
      </w:r>
      <w:r>
        <w:rPr>
          <w:spacing w:val="-33"/>
          <w:szCs w:val="21"/>
        </w:rPr>
        <w:t xml:space="preserve"> </w:t>
      </w:r>
      <w:r>
        <w:rPr>
          <w:spacing w:val="-3"/>
          <w:szCs w:val="21"/>
        </w:rPr>
        <w:t>ESG</w:t>
      </w:r>
      <w:r>
        <w:rPr>
          <w:spacing w:val="-41"/>
          <w:szCs w:val="21"/>
        </w:rPr>
        <w:t xml:space="preserve"> </w:t>
      </w:r>
      <w:r>
        <w:rPr>
          <w:spacing w:val="-3"/>
          <w:szCs w:val="21"/>
        </w:rPr>
        <w:t>管理体系相关的信息与</w:t>
      </w:r>
      <w:r>
        <w:rPr>
          <w:spacing w:val="-2"/>
          <w:szCs w:val="21"/>
        </w:rPr>
        <w:t>外部利益相关方进行沟通，包括利用媒体平台发布信息</w:t>
      </w:r>
      <w:r>
        <w:rPr>
          <w:spacing w:val="-3"/>
          <w:szCs w:val="21"/>
        </w:rPr>
        <w:t>、外部利益相关方沟通会、发布</w:t>
      </w:r>
      <w:r>
        <w:rPr>
          <w:spacing w:val="-46"/>
          <w:szCs w:val="21"/>
        </w:rPr>
        <w:t xml:space="preserve"> </w:t>
      </w:r>
      <w:r>
        <w:rPr>
          <w:spacing w:val="-3"/>
          <w:szCs w:val="21"/>
        </w:rPr>
        <w:t>ESG</w:t>
      </w:r>
      <w:r>
        <w:rPr>
          <w:spacing w:val="-46"/>
          <w:szCs w:val="21"/>
        </w:rPr>
        <w:t xml:space="preserve"> </w:t>
      </w:r>
      <w:r>
        <w:rPr>
          <w:spacing w:val="-3"/>
          <w:szCs w:val="21"/>
        </w:rPr>
        <w:t>报告或专项</w:t>
      </w:r>
      <w:r>
        <w:rPr>
          <w:spacing w:val="-1"/>
          <w:szCs w:val="21"/>
        </w:rPr>
        <w:t>报告等方式。</w:t>
      </w:r>
    </w:p>
    <w:p w14:paraId="19078C0B">
      <w:pPr>
        <w:pStyle w:val="3"/>
        <w:spacing w:before="116" w:line="360" w:lineRule="auto"/>
        <w:ind w:left="418" w:hanging="418"/>
        <w:rPr>
          <w:rFonts w:hint="eastAsia"/>
          <w:szCs w:val="21"/>
        </w:rPr>
      </w:pPr>
      <w:r>
        <w:rPr>
          <w:spacing w:val="-1"/>
          <w:position w:val="1"/>
          <w:szCs w:val="22"/>
        </w:rPr>
        <w:t>7.5</w:t>
      </w:r>
      <w:r>
        <w:rPr>
          <w:spacing w:val="14"/>
          <w:position w:val="1"/>
          <w:szCs w:val="22"/>
        </w:rPr>
        <w:t xml:space="preserve">   </w:t>
      </w:r>
      <w:r>
        <w:rPr>
          <w:spacing w:val="-1"/>
          <w:szCs w:val="21"/>
        </w:rPr>
        <w:t>文件化信息</w:t>
      </w:r>
    </w:p>
    <w:p w14:paraId="51944ECC">
      <w:pPr>
        <w:pStyle w:val="12"/>
        <w:spacing w:before="143" w:line="360" w:lineRule="auto"/>
        <w:ind w:firstLine="412"/>
        <w:rPr>
          <w:szCs w:val="21"/>
        </w:rPr>
      </w:pPr>
      <w:r>
        <w:rPr>
          <w:spacing w:val="-4"/>
          <w:szCs w:val="21"/>
        </w:rPr>
        <w:t>企业的</w:t>
      </w:r>
      <w:r>
        <w:rPr>
          <w:spacing w:val="-42"/>
          <w:szCs w:val="21"/>
        </w:rPr>
        <w:t xml:space="preserve"> </w:t>
      </w:r>
      <w:r>
        <w:rPr>
          <w:spacing w:val="-4"/>
          <w:szCs w:val="21"/>
        </w:rPr>
        <w:t>ESG</w:t>
      </w:r>
      <w:r>
        <w:rPr>
          <w:spacing w:val="-41"/>
          <w:szCs w:val="21"/>
        </w:rPr>
        <w:t xml:space="preserve"> </w:t>
      </w:r>
      <w:r>
        <w:rPr>
          <w:spacing w:val="-4"/>
          <w:szCs w:val="21"/>
        </w:rPr>
        <w:t>管理体系应包括：</w:t>
      </w:r>
    </w:p>
    <w:p w14:paraId="419FC8EB">
      <w:pPr>
        <w:pStyle w:val="12"/>
        <w:numPr>
          <w:ilvl w:val="0"/>
          <w:numId w:val="31"/>
        </w:numPr>
        <w:spacing w:before="20" w:line="360" w:lineRule="auto"/>
        <w:ind w:firstLineChars="0"/>
        <w:rPr>
          <w:rFonts w:hint="eastAsia" w:ascii="Times New Roman" w:hAnsi="宋体" w:cs="宋体"/>
          <w:szCs w:val="21"/>
        </w:rPr>
      </w:pPr>
      <w:r>
        <w:rPr>
          <w:spacing w:val="-3"/>
          <w:szCs w:val="21"/>
        </w:rPr>
        <w:t>本文件要求的文件化信息；</w:t>
      </w:r>
    </w:p>
    <w:p w14:paraId="29EBACEC">
      <w:pPr>
        <w:pStyle w:val="12"/>
        <w:numPr>
          <w:ilvl w:val="0"/>
          <w:numId w:val="31"/>
        </w:numPr>
        <w:spacing w:before="23" w:line="360" w:lineRule="auto"/>
        <w:ind w:firstLineChars="0"/>
        <w:rPr>
          <w:rFonts w:hint="eastAsia" w:ascii="Times New Roman" w:hAnsi="宋体" w:cs="宋体"/>
          <w:szCs w:val="21"/>
        </w:rPr>
      </w:pPr>
      <w:r>
        <w:rPr>
          <w:spacing w:val="-1"/>
          <w:szCs w:val="21"/>
        </w:rPr>
        <w:t>保证企业</w:t>
      </w:r>
      <w:r>
        <w:rPr>
          <w:spacing w:val="-44"/>
          <w:szCs w:val="21"/>
        </w:rPr>
        <w:t xml:space="preserve"> </w:t>
      </w:r>
      <w:r>
        <w:rPr>
          <w:spacing w:val="-1"/>
          <w:szCs w:val="21"/>
        </w:rPr>
        <w:t>ESG</w:t>
      </w:r>
      <w:r>
        <w:rPr>
          <w:spacing w:val="-39"/>
          <w:szCs w:val="21"/>
        </w:rPr>
        <w:t xml:space="preserve"> </w:t>
      </w:r>
      <w:r>
        <w:rPr>
          <w:spacing w:val="-1"/>
          <w:szCs w:val="21"/>
        </w:rPr>
        <w:t>管理体系有效性必需的文件化信息。</w:t>
      </w:r>
    </w:p>
    <w:p w14:paraId="5155B37F">
      <w:pPr>
        <w:pStyle w:val="12"/>
        <w:spacing w:line="360" w:lineRule="auto"/>
        <w:rPr>
          <w:szCs w:val="18"/>
        </w:rPr>
      </w:pPr>
      <w:r>
        <w:rPr>
          <w:szCs w:val="18"/>
        </w:rPr>
        <w:t>注：不同企业的ESG管理体系文件化信息的复杂程度可能不同，取决于：企业的规模</w:t>
      </w:r>
      <w:r>
        <w:rPr>
          <w:spacing w:val="-1"/>
          <w:szCs w:val="18"/>
        </w:rPr>
        <w:t>和其自身活动、过程、产品/</w:t>
      </w:r>
      <w:r>
        <w:rPr>
          <w:rFonts w:hint="eastAsia"/>
          <w:spacing w:val="-1"/>
          <w:szCs w:val="18"/>
        </w:rPr>
        <w:t>服务类型；</w:t>
      </w:r>
      <w:r>
        <w:rPr>
          <w:spacing w:val="-1"/>
          <w:szCs w:val="18"/>
        </w:rPr>
        <w:t>企业的活动和过程及其与重要利益相关方关系的复杂程度；企业文化与人员能力。</w:t>
      </w:r>
    </w:p>
    <w:p w14:paraId="5FD40034">
      <w:pPr>
        <w:pStyle w:val="4"/>
        <w:widowControl/>
        <w:numPr>
          <w:ilvl w:val="0"/>
          <w:numId w:val="32"/>
        </w:numPr>
        <w:spacing w:before="118" w:line="360" w:lineRule="auto"/>
        <w:rPr>
          <w:rFonts w:ascii="Times New Roman"/>
          <w:szCs w:val="21"/>
        </w:rPr>
      </w:pPr>
      <w:r>
        <w:rPr>
          <w:spacing w:val="-1"/>
          <w:szCs w:val="21"/>
        </w:rPr>
        <w:t>创建与更新</w:t>
      </w:r>
    </w:p>
    <w:p w14:paraId="6318A866">
      <w:pPr>
        <w:pStyle w:val="12"/>
        <w:spacing w:before="144" w:line="360" w:lineRule="auto"/>
        <w:ind w:firstLine="414"/>
        <w:rPr>
          <w:szCs w:val="21"/>
        </w:rPr>
      </w:pPr>
      <w:r>
        <w:rPr>
          <w:spacing w:val="-3"/>
          <w:szCs w:val="21"/>
        </w:rPr>
        <w:t>当编制和更新文件化信息时，企业应确保适当的识别和描述（例如：标题、日期、编制人或参考</w:t>
      </w:r>
      <w:r>
        <w:rPr>
          <w:rFonts w:hint="eastAsia"/>
          <w:spacing w:val="-3"/>
          <w:szCs w:val="21"/>
        </w:rPr>
        <w:t>号码</w:t>
      </w:r>
      <w:r>
        <w:rPr>
          <w:spacing w:val="-9"/>
          <w:szCs w:val="21"/>
        </w:rPr>
        <w:t>），</w:t>
      </w:r>
      <w:r>
        <w:rPr>
          <w:spacing w:val="-2"/>
          <w:szCs w:val="21"/>
        </w:rPr>
        <w:t>格式（例如：语言、软件版本、图示）及媒介（例如：纸质或电子）适宜性及充分性的评估</w:t>
      </w:r>
      <w:r>
        <w:rPr>
          <w:rFonts w:hint="eastAsia"/>
          <w:spacing w:val="-2"/>
          <w:szCs w:val="21"/>
        </w:rPr>
        <w:t>与批准</w:t>
      </w:r>
      <w:r>
        <w:rPr>
          <w:spacing w:val="-10"/>
          <w:szCs w:val="21"/>
        </w:rPr>
        <w:t>。</w:t>
      </w:r>
    </w:p>
    <w:p w14:paraId="44014545">
      <w:pPr>
        <w:pStyle w:val="4"/>
        <w:widowControl/>
        <w:numPr>
          <w:ilvl w:val="0"/>
          <w:numId w:val="32"/>
        </w:numPr>
        <w:spacing w:before="114" w:line="360" w:lineRule="auto"/>
        <w:rPr>
          <w:rFonts w:ascii="Times New Roman"/>
          <w:szCs w:val="21"/>
        </w:rPr>
      </w:pPr>
      <w:r>
        <w:rPr>
          <w:spacing w:val="-1"/>
          <w:szCs w:val="21"/>
        </w:rPr>
        <w:t>文件</w:t>
      </w:r>
      <w:r>
        <w:rPr>
          <w:rFonts w:hint="eastAsia"/>
          <w:spacing w:val="-1"/>
          <w:szCs w:val="21"/>
        </w:rPr>
        <w:t>化</w:t>
      </w:r>
      <w:r>
        <w:rPr>
          <w:spacing w:val="-1"/>
          <w:szCs w:val="21"/>
        </w:rPr>
        <w:t>信息的控制</w:t>
      </w:r>
    </w:p>
    <w:p w14:paraId="7FCB3756">
      <w:pPr>
        <w:pStyle w:val="12"/>
        <w:spacing w:before="141" w:line="360" w:lineRule="auto"/>
        <w:ind w:firstLine="418"/>
        <w:rPr>
          <w:szCs w:val="21"/>
        </w:rPr>
      </w:pPr>
      <w:r>
        <w:rPr>
          <w:spacing w:val="-1"/>
          <w:szCs w:val="21"/>
        </w:rPr>
        <w:t>ESG</w:t>
      </w:r>
      <w:r>
        <w:rPr>
          <w:spacing w:val="-26"/>
          <w:szCs w:val="21"/>
        </w:rPr>
        <w:t xml:space="preserve"> </w:t>
      </w:r>
      <w:r>
        <w:rPr>
          <w:spacing w:val="-1"/>
          <w:szCs w:val="21"/>
        </w:rPr>
        <w:t>管理体系和本文件要求的文件化信息应受控，以确保：</w:t>
      </w:r>
    </w:p>
    <w:p w14:paraId="3216E530">
      <w:pPr>
        <w:pStyle w:val="12"/>
        <w:numPr>
          <w:ilvl w:val="0"/>
          <w:numId w:val="33"/>
        </w:numPr>
        <w:spacing w:before="23" w:line="360" w:lineRule="auto"/>
        <w:ind w:firstLineChars="0"/>
        <w:rPr>
          <w:rFonts w:hint="eastAsia" w:ascii="Times New Roman" w:hAnsi="宋体" w:cs="宋体"/>
          <w:szCs w:val="21"/>
        </w:rPr>
      </w:pPr>
      <w:r>
        <w:rPr>
          <w:spacing w:val="-1"/>
          <w:szCs w:val="21"/>
        </w:rPr>
        <w:t>在需要的地点和时间，它是可用的和适宜使用的；</w:t>
      </w:r>
    </w:p>
    <w:p w14:paraId="33634186">
      <w:pPr>
        <w:pStyle w:val="12"/>
        <w:numPr>
          <w:ilvl w:val="0"/>
          <w:numId w:val="33"/>
        </w:numPr>
        <w:spacing w:before="20" w:line="360" w:lineRule="auto"/>
        <w:ind w:firstLineChars="0"/>
        <w:rPr>
          <w:rFonts w:hint="eastAsia" w:ascii="Times New Roman" w:hAnsi="宋体" w:cs="宋体"/>
          <w:szCs w:val="21"/>
        </w:rPr>
      </w:pPr>
      <w:r>
        <w:rPr>
          <w:szCs w:val="21"/>
        </w:rPr>
        <w:t>它是充分受保护的（例如：免受丧失保密性、使用不当、</w:t>
      </w:r>
      <w:r>
        <w:rPr>
          <w:spacing w:val="-1"/>
          <w:szCs w:val="21"/>
        </w:rPr>
        <w:t>或失去完整性）。</w:t>
      </w:r>
    </w:p>
    <w:p w14:paraId="01D5786B">
      <w:pPr>
        <w:pStyle w:val="12"/>
        <w:spacing w:before="24" w:line="360" w:lineRule="auto"/>
        <w:ind w:firstLine="416"/>
        <w:rPr>
          <w:szCs w:val="21"/>
        </w:rPr>
      </w:pPr>
      <w:r>
        <w:rPr>
          <w:spacing w:val="-2"/>
          <w:szCs w:val="21"/>
        </w:rPr>
        <w:t>对于文件化信息的控制，企业应进行以下活动：发行、批准、检索</w:t>
      </w:r>
      <w:r>
        <w:rPr>
          <w:spacing w:val="-3"/>
          <w:szCs w:val="21"/>
        </w:rPr>
        <w:t>和使用，保存和防护，包括易识</w:t>
      </w:r>
      <w:r>
        <w:rPr>
          <w:spacing w:val="-2"/>
          <w:szCs w:val="21"/>
        </w:rPr>
        <w:t>别，变更的控制（例如：版本的管理</w:t>
      </w:r>
      <w:r>
        <w:rPr>
          <w:spacing w:val="9"/>
          <w:szCs w:val="21"/>
        </w:rPr>
        <w:t>），</w:t>
      </w:r>
      <w:r>
        <w:rPr>
          <w:spacing w:val="-2"/>
          <w:szCs w:val="21"/>
        </w:rPr>
        <w:t>收回和处置等。</w:t>
      </w:r>
    </w:p>
    <w:p w14:paraId="75793FF7">
      <w:pPr>
        <w:pStyle w:val="12"/>
        <w:spacing w:before="1" w:line="360" w:lineRule="auto"/>
        <w:ind w:firstLine="418"/>
        <w:rPr>
          <w:szCs w:val="21"/>
        </w:rPr>
      </w:pPr>
      <w:r>
        <w:rPr>
          <w:spacing w:val="-1"/>
          <w:szCs w:val="21"/>
        </w:rPr>
        <w:t>企业所确定的策划和运行</w:t>
      </w:r>
      <w:r>
        <w:rPr>
          <w:spacing w:val="-33"/>
          <w:szCs w:val="21"/>
        </w:rPr>
        <w:t xml:space="preserve"> </w:t>
      </w:r>
      <w:r>
        <w:rPr>
          <w:spacing w:val="-1"/>
          <w:szCs w:val="21"/>
        </w:rPr>
        <w:t>ESG</w:t>
      </w:r>
      <w:r>
        <w:rPr>
          <w:spacing w:val="-39"/>
          <w:szCs w:val="21"/>
        </w:rPr>
        <w:t xml:space="preserve"> </w:t>
      </w:r>
      <w:r>
        <w:rPr>
          <w:spacing w:val="-1"/>
          <w:szCs w:val="21"/>
        </w:rPr>
        <w:t>管理体系所需的外来文件信息，应得到适当的识别和控制。</w:t>
      </w:r>
    </w:p>
    <w:p w14:paraId="4797CF2F">
      <w:pPr>
        <w:pStyle w:val="28"/>
        <w:spacing w:before="240" w:after="240" w:line="360" w:lineRule="auto"/>
      </w:pPr>
      <w:bookmarkStart w:id="17" w:name="_Toc28432"/>
      <w:r>
        <w:t>运行</w:t>
      </w:r>
      <w:bookmarkEnd w:id="17"/>
    </w:p>
    <w:p w14:paraId="25F41092">
      <w:pPr>
        <w:pStyle w:val="3"/>
        <w:spacing w:before="264" w:line="360" w:lineRule="auto"/>
        <w:ind w:left="414" w:hanging="414"/>
        <w:rPr>
          <w:rFonts w:hint="eastAsia"/>
          <w:szCs w:val="21"/>
        </w:rPr>
      </w:pPr>
      <w:r>
        <w:rPr>
          <w:rFonts w:hint="eastAsia"/>
          <w:spacing w:val="-3"/>
          <w:position w:val="2"/>
          <w:szCs w:val="16"/>
        </w:rPr>
        <w:t>8.1</w:t>
      </w:r>
      <w:r>
        <w:rPr>
          <w:spacing w:val="6"/>
          <w:position w:val="2"/>
          <w:szCs w:val="16"/>
        </w:rPr>
        <w:t xml:space="preserve">  </w:t>
      </w:r>
      <w:r>
        <w:rPr>
          <w:spacing w:val="-3"/>
          <w:szCs w:val="21"/>
        </w:rPr>
        <w:t>运行策划和控制</w:t>
      </w:r>
    </w:p>
    <w:p w14:paraId="1F2C8A5B">
      <w:pPr>
        <w:pStyle w:val="4"/>
        <w:widowControl/>
        <w:numPr>
          <w:ilvl w:val="0"/>
          <w:numId w:val="34"/>
        </w:numPr>
        <w:spacing w:before="141" w:line="360" w:lineRule="auto"/>
        <w:rPr>
          <w:rFonts w:ascii="Times New Roman"/>
          <w:szCs w:val="21"/>
        </w:rPr>
      </w:pPr>
      <w:r>
        <w:rPr>
          <w:spacing w:val="-2"/>
          <w:szCs w:val="21"/>
        </w:rPr>
        <w:t>总则</w:t>
      </w:r>
    </w:p>
    <w:p w14:paraId="0AC48C52">
      <w:pPr>
        <w:pStyle w:val="12"/>
        <w:spacing w:before="144" w:line="360" w:lineRule="auto"/>
        <w:ind w:firstLine="416"/>
        <w:rPr>
          <w:szCs w:val="21"/>
        </w:rPr>
      </w:pPr>
      <w:r>
        <w:rPr>
          <w:spacing w:val="-2"/>
          <w:szCs w:val="21"/>
        </w:rPr>
        <w:t>为了满足企业</w:t>
      </w:r>
      <w:r>
        <w:rPr>
          <w:spacing w:val="-45"/>
          <w:szCs w:val="21"/>
        </w:rPr>
        <w:t xml:space="preserve"> </w:t>
      </w:r>
      <w:r>
        <w:rPr>
          <w:spacing w:val="-2"/>
          <w:szCs w:val="21"/>
        </w:rPr>
        <w:t>ESG</w:t>
      </w:r>
      <w:r>
        <w:rPr>
          <w:spacing w:val="-39"/>
          <w:szCs w:val="21"/>
        </w:rPr>
        <w:t xml:space="preserve"> </w:t>
      </w:r>
      <w:r>
        <w:rPr>
          <w:spacing w:val="-2"/>
          <w:szCs w:val="21"/>
        </w:rPr>
        <w:t>管理体系要求和实施第6</w:t>
      </w:r>
      <w:r>
        <w:rPr>
          <w:spacing w:val="-36"/>
          <w:szCs w:val="21"/>
        </w:rPr>
        <w:t xml:space="preserve"> </w:t>
      </w:r>
      <w:r>
        <w:rPr>
          <w:spacing w:val="-2"/>
          <w:szCs w:val="21"/>
        </w:rPr>
        <w:t>章所确定的措施，企业应策划、实施、控制和保持所需</w:t>
      </w:r>
      <w:r>
        <w:rPr>
          <w:spacing w:val="-8"/>
          <w:szCs w:val="21"/>
        </w:rPr>
        <w:t>的过程，通过：</w:t>
      </w:r>
    </w:p>
    <w:p w14:paraId="3147CF4D">
      <w:pPr>
        <w:pStyle w:val="12"/>
        <w:numPr>
          <w:ilvl w:val="0"/>
          <w:numId w:val="35"/>
        </w:numPr>
        <w:spacing w:before="1" w:line="360" w:lineRule="auto"/>
        <w:ind w:firstLineChars="0"/>
        <w:rPr>
          <w:rFonts w:hint="eastAsia" w:ascii="Times New Roman" w:hAnsi="宋体" w:cs="宋体"/>
          <w:szCs w:val="21"/>
        </w:rPr>
      </w:pPr>
      <w:r>
        <w:rPr>
          <w:spacing w:val="-5"/>
          <w:szCs w:val="21"/>
        </w:rPr>
        <w:t>建立过程准则；</w:t>
      </w:r>
    </w:p>
    <w:p w14:paraId="2AE88894">
      <w:pPr>
        <w:pStyle w:val="12"/>
        <w:numPr>
          <w:ilvl w:val="0"/>
          <w:numId w:val="35"/>
        </w:numPr>
        <w:spacing w:before="19" w:line="360" w:lineRule="auto"/>
        <w:ind w:firstLineChars="0"/>
        <w:rPr>
          <w:rFonts w:hint="eastAsia" w:ascii="Times New Roman" w:hAnsi="宋体" w:cs="宋体"/>
          <w:szCs w:val="21"/>
        </w:rPr>
      </w:pPr>
      <w:r>
        <w:rPr>
          <w:spacing w:val="-2"/>
          <w:szCs w:val="21"/>
        </w:rPr>
        <w:t>按照准则实施过程控制；</w:t>
      </w:r>
    </w:p>
    <w:p w14:paraId="35CC53CF">
      <w:pPr>
        <w:pStyle w:val="12"/>
        <w:numPr>
          <w:ilvl w:val="0"/>
          <w:numId w:val="35"/>
        </w:numPr>
        <w:spacing w:before="19" w:line="360" w:lineRule="auto"/>
        <w:ind w:firstLineChars="0"/>
        <w:rPr>
          <w:rFonts w:hint="eastAsia" w:ascii="Times New Roman" w:hAnsi="宋体" w:cs="宋体"/>
          <w:szCs w:val="21"/>
        </w:rPr>
      </w:pPr>
      <w:r>
        <w:rPr>
          <w:szCs w:val="21"/>
        </w:rPr>
        <w:t>保持和保留必要的文件化信息，以确信过程已按策划得到实施。</w:t>
      </w:r>
    </w:p>
    <w:p w14:paraId="7AB7EEF5">
      <w:pPr>
        <w:pStyle w:val="12"/>
        <w:spacing w:before="23" w:line="360" w:lineRule="auto"/>
        <w:rPr>
          <w:szCs w:val="21"/>
        </w:rPr>
      </w:pPr>
      <w:r>
        <w:rPr>
          <w:szCs w:val="21"/>
        </w:rPr>
        <w:t>企业应规定相互联系的过程如何在不同部门间过渡</w:t>
      </w:r>
      <w:r>
        <w:rPr>
          <w:spacing w:val="-1"/>
          <w:szCs w:val="21"/>
        </w:rPr>
        <w:t>、衔接并最终完成，避免重叠、冲突或遗漏。</w:t>
      </w:r>
    </w:p>
    <w:p w14:paraId="7D572722">
      <w:pPr>
        <w:pStyle w:val="12"/>
        <w:spacing w:before="20" w:line="360" w:lineRule="auto"/>
        <w:ind w:firstLine="416"/>
        <w:rPr>
          <w:szCs w:val="21"/>
        </w:rPr>
      </w:pPr>
      <w:r>
        <w:rPr>
          <w:spacing w:val="-2"/>
          <w:szCs w:val="21"/>
        </w:rPr>
        <w:t>企业应在策划、实施、控制和保持所需的过程时，考虑对</w:t>
      </w:r>
      <w:r>
        <w:rPr>
          <w:spacing w:val="-3"/>
          <w:szCs w:val="21"/>
        </w:rPr>
        <w:t>所有运营活动以及产品生产制造到回收</w:t>
      </w:r>
      <w:r>
        <w:rPr>
          <w:rFonts w:hint="eastAsia"/>
          <w:spacing w:val="-3"/>
          <w:szCs w:val="21"/>
        </w:rPr>
        <w:t>处置</w:t>
      </w:r>
      <w:r>
        <w:rPr>
          <w:spacing w:val="-2"/>
          <w:szCs w:val="21"/>
        </w:rPr>
        <w:t>所有阶段（包括但不限于原材料获取、设计、生产、装配、运输、经销、使</w:t>
      </w:r>
      <w:r>
        <w:rPr>
          <w:spacing w:val="-3"/>
          <w:szCs w:val="21"/>
        </w:rPr>
        <w:t>用、回收</w:t>
      </w:r>
      <w:r>
        <w:t>、</w:t>
      </w:r>
      <w:r>
        <w:rPr>
          <w:spacing w:val="-3"/>
          <w:szCs w:val="21"/>
        </w:rPr>
        <w:t>处置等）进行</w:t>
      </w:r>
      <w:r>
        <w:rPr>
          <w:rFonts w:hint="eastAsia"/>
          <w:spacing w:val="-3"/>
          <w:szCs w:val="21"/>
        </w:rPr>
        <w:t>全生命周期管理</w:t>
      </w:r>
      <w:r>
        <w:rPr>
          <w:spacing w:val="-4"/>
          <w:szCs w:val="21"/>
        </w:rPr>
        <w:t>：</w:t>
      </w:r>
    </w:p>
    <w:p w14:paraId="1385468E">
      <w:pPr>
        <w:pStyle w:val="12"/>
        <w:numPr>
          <w:ilvl w:val="0"/>
          <w:numId w:val="36"/>
        </w:numPr>
        <w:spacing w:before="1" w:line="360" w:lineRule="auto"/>
        <w:ind w:firstLineChars="0"/>
        <w:rPr>
          <w:rFonts w:hint="eastAsia" w:ascii="Times New Roman" w:hAnsi="宋体" w:cs="宋体"/>
          <w:szCs w:val="21"/>
        </w:rPr>
      </w:pPr>
      <w:r>
        <w:rPr>
          <w:spacing w:val="-3"/>
          <w:szCs w:val="21"/>
        </w:rPr>
        <w:t>适当时，制定控制措施，确保在产品或服务的设计和开发过程中，落实其</w:t>
      </w:r>
      <w:r>
        <w:rPr>
          <w:spacing w:val="-42"/>
          <w:szCs w:val="21"/>
        </w:rPr>
        <w:t xml:space="preserve"> </w:t>
      </w:r>
      <w:r>
        <w:rPr>
          <w:spacing w:val="-3"/>
          <w:szCs w:val="21"/>
        </w:rPr>
        <w:t>ESG</w:t>
      </w:r>
      <w:r>
        <w:rPr>
          <w:spacing w:val="-45"/>
          <w:szCs w:val="21"/>
        </w:rPr>
        <w:t xml:space="preserve"> </w:t>
      </w:r>
      <w:r>
        <w:rPr>
          <w:spacing w:val="-3"/>
          <w:szCs w:val="21"/>
        </w:rPr>
        <w:t>要求，并考虑</w:t>
      </w:r>
      <w:r>
        <w:rPr>
          <w:rFonts w:hint="eastAsia"/>
          <w:spacing w:val="-3"/>
          <w:szCs w:val="21"/>
        </w:rPr>
        <w:t>生命周期</w:t>
      </w:r>
      <w:r>
        <w:rPr>
          <w:spacing w:val="-4"/>
          <w:szCs w:val="21"/>
        </w:rPr>
        <w:t>的每一阶段；</w:t>
      </w:r>
    </w:p>
    <w:p w14:paraId="7AF06B28">
      <w:pPr>
        <w:pStyle w:val="12"/>
        <w:numPr>
          <w:ilvl w:val="0"/>
          <w:numId w:val="36"/>
        </w:numPr>
        <w:spacing w:before="22" w:line="360" w:lineRule="auto"/>
        <w:ind w:firstLineChars="0"/>
        <w:rPr>
          <w:rFonts w:hint="eastAsia" w:ascii="Times New Roman" w:hAnsi="宋体" w:cs="宋体"/>
          <w:szCs w:val="21"/>
        </w:rPr>
      </w:pPr>
      <w:r>
        <w:rPr>
          <w:szCs w:val="21"/>
        </w:rPr>
        <w:t>适当时，确定产品和服务</w:t>
      </w:r>
      <w:r>
        <w:t>采</w:t>
      </w:r>
      <w:r>
        <w:rPr>
          <w:szCs w:val="21"/>
        </w:rPr>
        <w:t>购的</w:t>
      </w:r>
      <w:r>
        <w:rPr>
          <w:spacing w:val="-39"/>
          <w:szCs w:val="21"/>
        </w:rPr>
        <w:t xml:space="preserve"> </w:t>
      </w:r>
      <w:r>
        <w:rPr>
          <w:szCs w:val="21"/>
        </w:rPr>
        <w:t>ESG</w:t>
      </w:r>
      <w:r>
        <w:rPr>
          <w:spacing w:val="-45"/>
          <w:szCs w:val="21"/>
        </w:rPr>
        <w:t xml:space="preserve"> </w:t>
      </w:r>
      <w:r>
        <w:rPr>
          <w:szCs w:val="21"/>
        </w:rPr>
        <w:t>要求；</w:t>
      </w:r>
    </w:p>
    <w:p w14:paraId="744BD8DC">
      <w:pPr>
        <w:pStyle w:val="12"/>
        <w:numPr>
          <w:ilvl w:val="0"/>
          <w:numId w:val="36"/>
        </w:numPr>
        <w:spacing w:before="20" w:line="360" w:lineRule="auto"/>
        <w:ind w:firstLineChars="0"/>
        <w:rPr>
          <w:rFonts w:hint="eastAsia" w:ascii="Times New Roman" w:hAnsi="宋体" w:cs="宋体"/>
          <w:szCs w:val="21"/>
        </w:rPr>
      </w:pPr>
      <w:r>
        <w:rPr>
          <w:spacing w:val="-1"/>
          <w:szCs w:val="21"/>
        </w:rPr>
        <w:t>与外部供方（包括合同方）沟通企业的相关</w:t>
      </w:r>
      <w:r>
        <w:rPr>
          <w:spacing w:val="-45"/>
          <w:szCs w:val="21"/>
        </w:rPr>
        <w:t xml:space="preserve"> </w:t>
      </w:r>
      <w:r>
        <w:rPr>
          <w:spacing w:val="-1"/>
          <w:szCs w:val="21"/>
        </w:rPr>
        <w:t>ESG</w:t>
      </w:r>
      <w:r>
        <w:rPr>
          <w:spacing w:val="-43"/>
          <w:szCs w:val="21"/>
        </w:rPr>
        <w:t xml:space="preserve"> </w:t>
      </w:r>
      <w:r>
        <w:rPr>
          <w:spacing w:val="-1"/>
          <w:szCs w:val="21"/>
        </w:rPr>
        <w:t>要求；</w:t>
      </w:r>
    </w:p>
    <w:p w14:paraId="1CCB6F87">
      <w:pPr>
        <w:pStyle w:val="12"/>
        <w:numPr>
          <w:ilvl w:val="0"/>
          <w:numId w:val="36"/>
        </w:numPr>
        <w:spacing w:before="69" w:line="360" w:lineRule="auto"/>
        <w:ind w:right="63" w:firstLineChars="0"/>
        <w:rPr>
          <w:rFonts w:hint="eastAsia" w:ascii="Times New Roman" w:hAnsi="宋体" w:cs="宋体"/>
          <w:szCs w:val="21"/>
        </w:rPr>
      </w:pPr>
      <w:r>
        <w:rPr>
          <w:spacing w:val="2"/>
          <w:szCs w:val="21"/>
        </w:rPr>
        <w:t>考虑提供与其产品和服务的运输或交付、使用、寿命结束后处置相关的</w:t>
      </w:r>
      <w:r>
        <w:rPr>
          <w:spacing w:val="1"/>
          <w:szCs w:val="21"/>
        </w:rPr>
        <w:t>潜在重大环境影响的</w:t>
      </w:r>
      <w:r>
        <w:rPr>
          <w:spacing w:val="-1"/>
          <w:szCs w:val="21"/>
        </w:rPr>
        <w:t>信息的需求。</w:t>
      </w:r>
    </w:p>
    <w:p w14:paraId="43824E68">
      <w:pPr>
        <w:pStyle w:val="12"/>
        <w:spacing w:line="360" w:lineRule="auto"/>
        <w:ind w:firstLine="418"/>
        <w:rPr>
          <w:szCs w:val="21"/>
        </w:rPr>
      </w:pPr>
      <w:r>
        <w:rPr>
          <w:spacing w:val="-1"/>
          <w:szCs w:val="21"/>
        </w:rPr>
        <w:t>在多雇主工作场所，企业应与其他组织协调</w:t>
      </w:r>
      <w:r>
        <w:rPr>
          <w:rFonts w:hint="eastAsia"/>
          <w:spacing w:val="-1"/>
          <w:szCs w:val="21"/>
        </w:rPr>
        <w:t xml:space="preserve">其 </w:t>
      </w:r>
      <w:r>
        <w:rPr>
          <w:spacing w:val="-1"/>
          <w:szCs w:val="21"/>
        </w:rPr>
        <w:t>ESG</w:t>
      </w:r>
      <w:r>
        <w:rPr>
          <w:spacing w:val="-39"/>
          <w:szCs w:val="21"/>
        </w:rPr>
        <w:t xml:space="preserve"> </w:t>
      </w:r>
      <w:r>
        <w:rPr>
          <w:spacing w:val="-1"/>
          <w:szCs w:val="21"/>
        </w:rPr>
        <w:t>管理体系的</w:t>
      </w:r>
      <w:r>
        <w:rPr>
          <w:spacing w:val="-2"/>
          <w:szCs w:val="21"/>
        </w:rPr>
        <w:t>相关部分。</w:t>
      </w:r>
    </w:p>
    <w:p w14:paraId="7906C6BE">
      <w:pPr>
        <w:pStyle w:val="4"/>
        <w:widowControl/>
        <w:numPr>
          <w:ilvl w:val="0"/>
          <w:numId w:val="34"/>
        </w:numPr>
        <w:spacing w:before="142" w:line="360" w:lineRule="auto"/>
        <w:rPr>
          <w:rFonts w:ascii="Times New Roman"/>
          <w:szCs w:val="21"/>
        </w:rPr>
      </w:pPr>
      <w:r>
        <w:rPr>
          <w:spacing w:val="-1"/>
          <w:szCs w:val="21"/>
        </w:rPr>
        <w:t>消除不良影响因素和降低</w:t>
      </w:r>
      <w:r>
        <w:rPr>
          <w:spacing w:val="-40"/>
          <w:szCs w:val="21"/>
        </w:rPr>
        <w:t xml:space="preserve"> </w:t>
      </w:r>
      <w:r>
        <w:rPr>
          <w:spacing w:val="-1"/>
          <w:szCs w:val="21"/>
        </w:rPr>
        <w:t>ESG</w:t>
      </w:r>
      <w:r>
        <w:rPr>
          <w:spacing w:val="-44"/>
          <w:szCs w:val="21"/>
        </w:rPr>
        <w:t xml:space="preserve"> </w:t>
      </w:r>
      <w:r>
        <w:rPr>
          <w:spacing w:val="-1"/>
          <w:szCs w:val="21"/>
        </w:rPr>
        <w:t>风险</w:t>
      </w:r>
    </w:p>
    <w:p w14:paraId="1403547F">
      <w:pPr>
        <w:pStyle w:val="12"/>
        <w:spacing w:before="140" w:line="360" w:lineRule="auto"/>
        <w:ind w:firstLine="416"/>
        <w:rPr>
          <w:szCs w:val="21"/>
        </w:rPr>
      </w:pPr>
      <w:r>
        <w:rPr>
          <w:spacing w:val="-2"/>
          <w:szCs w:val="21"/>
        </w:rPr>
        <w:t>企业应通过采用下列控制层级，建立、实施和保持用于消除不良影响因素和降低</w:t>
      </w:r>
      <w:r>
        <w:rPr>
          <w:spacing w:val="-24"/>
          <w:szCs w:val="21"/>
        </w:rPr>
        <w:t xml:space="preserve"> </w:t>
      </w:r>
      <w:r>
        <w:rPr>
          <w:spacing w:val="-2"/>
          <w:szCs w:val="21"/>
        </w:rPr>
        <w:t>ESG</w:t>
      </w:r>
      <w:r>
        <w:rPr>
          <w:spacing w:val="-40"/>
          <w:szCs w:val="21"/>
        </w:rPr>
        <w:t xml:space="preserve"> </w:t>
      </w:r>
      <w:r>
        <w:rPr>
          <w:spacing w:val="-2"/>
          <w:szCs w:val="21"/>
        </w:rPr>
        <w:t>风险的过程：</w:t>
      </w:r>
    </w:p>
    <w:p w14:paraId="5ECD4E26">
      <w:pPr>
        <w:pStyle w:val="12"/>
        <w:numPr>
          <w:ilvl w:val="0"/>
          <w:numId w:val="37"/>
        </w:numPr>
        <w:spacing w:before="23" w:line="360" w:lineRule="auto"/>
        <w:ind w:firstLineChars="0"/>
        <w:rPr>
          <w:rFonts w:hint="eastAsia" w:ascii="Times New Roman" w:hAnsi="宋体" w:cs="宋体"/>
          <w:szCs w:val="21"/>
        </w:rPr>
      </w:pPr>
      <w:r>
        <w:rPr>
          <w:spacing w:val="-4"/>
          <w:szCs w:val="21"/>
        </w:rPr>
        <w:t>消除不良影响因素；</w:t>
      </w:r>
    </w:p>
    <w:p w14:paraId="053BE29F">
      <w:pPr>
        <w:pStyle w:val="12"/>
        <w:numPr>
          <w:ilvl w:val="0"/>
          <w:numId w:val="37"/>
        </w:numPr>
        <w:spacing w:before="20" w:line="360" w:lineRule="auto"/>
        <w:ind w:firstLineChars="0"/>
        <w:rPr>
          <w:rFonts w:hint="eastAsia" w:ascii="Times New Roman" w:hAnsi="宋体" w:cs="宋体"/>
          <w:szCs w:val="21"/>
        </w:rPr>
      </w:pPr>
      <w:r>
        <w:rPr>
          <w:spacing w:val="-1"/>
          <w:szCs w:val="21"/>
        </w:rPr>
        <w:t>用较小</w:t>
      </w:r>
      <w:r>
        <w:rPr>
          <w:spacing w:val="-36"/>
          <w:szCs w:val="21"/>
        </w:rPr>
        <w:t xml:space="preserve"> </w:t>
      </w:r>
      <w:r>
        <w:rPr>
          <w:spacing w:val="-1"/>
          <w:szCs w:val="21"/>
        </w:rPr>
        <w:t>ESG</w:t>
      </w:r>
      <w:r>
        <w:rPr>
          <w:spacing w:val="-43"/>
          <w:szCs w:val="21"/>
        </w:rPr>
        <w:t xml:space="preserve"> </w:t>
      </w:r>
      <w:r>
        <w:rPr>
          <w:spacing w:val="-1"/>
          <w:szCs w:val="21"/>
        </w:rPr>
        <w:t>不良影响的措施替代；</w:t>
      </w:r>
    </w:p>
    <w:p w14:paraId="6571A6EE">
      <w:pPr>
        <w:pStyle w:val="12"/>
        <w:numPr>
          <w:ilvl w:val="0"/>
          <w:numId w:val="37"/>
        </w:numPr>
        <w:spacing w:before="22" w:line="360" w:lineRule="auto"/>
        <w:ind w:firstLineChars="0"/>
        <w:rPr>
          <w:rFonts w:hint="eastAsia" w:ascii="Times New Roman" w:hAnsi="宋体" w:cs="宋体"/>
          <w:szCs w:val="21"/>
        </w:rPr>
      </w:pPr>
      <w:r>
        <w:rPr>
          <w:spacing w:val="-2"/>
          <w:szCs w:val="21"/>
        </w:rPr>
        <w:t>使用工程控制措施和重新组织工作；</w:t>
      </w:r>
    </w:p>
    <w:p w14:paraId="541DE901">
      <w:pPr>
        <w:pStyle w:val="12"/>
        <w:numPr>
          <w:ilvl w:val="0"/>
          <w:numId w:val="37"/>
        </w:numPr>
        <w:spacing w:before="21" w:line="360" w:lineRule="auto"/>
        <w:ind w:firstLineChars="0"/>
        <w:rPr>
          <w:rFonts w:hint="eastAsia" w:ascii="Times New Roman" w:hAnsi="宋体" w:cs="宋体"/>
          <w:szCs w:val="21"/>
        </w:rPr>
      </w:pPr>
      <w:r>
        <w:rPr>
          <w:szCs w:val="21"/>
        </w:rPr>
        <w:t>使用管理控制措施，包括培训和机制完</w:t>
      </w:r>
      <w:r>
        <w:rPr>
          <w:spacing w:val="-1"/>
          <w:szCs w:val="21"/>
        </w:rPr>
        <w:t>善。</w:t>
      </w:r>
    </w:p>
    <w:p w14:paraId="1A809E76">
      <w:pPr>
        <w:pStyle w:val="4"/>
        <w:widowControl/>
        <w:numPr>
          <w:ilvl w:val="0"/>
          <w:numId w:val="34"/>
        </w:numPr>
        <w:spacing w:before="141" w:line="360" w:lineRule="auto"/>
        <w:rPr>
          <w:rFonts w:ascii="Times New Roman"/>
          <w:szCs w:val="21"/>
        </w:rPr>
      </w:pPr>
      <w:r>
        <w:rPr>
          <w:spacing w:val="-1"/>
          <w:szCs w:val="21"/>
        </w:rPr>
        <w:t>变更管理</w:t>
      </w:r>
    </w:p>
    <w:p w14:paraId="534BD933">
      <w:pPr>
        <w:pStyle w:val="12"/>
        <w:spacing w:before="144" w:line="360" w:lineRule="auto"/>
        <w:ind w:right="58" w:firstLine="414"/>
        <w:rPr>
          <w:szCs w:val="21"/>
        </w:rPr>
      </w:pPr>
      <w:r>
        <w:rPr>
          <w:spacing w:val="-3"/>
          <w:szCs w:val="21"/>
        </w:rPr>
        <w:t>企业应建立过程，用于实施和控制所策划的、影响</w:t>
      </w:r>
      <w:r>
        <w:rPr>
          <w:spacing w:val="-39"/>
          <w:szCs w:val="21"/>
        </w:rPr>
        <w:t xml:space="preserve"> </w:t>
      </w:r>
      <w:r>
        <w:rPr>
          <w:spacing w:val="-3"/>
          <w:szCs w:val="21"/>
        </w:rPr>
        <w:t>ESG</w:t>
      </w:r>
      <w:r>
        <w:rPr>
          <w:spacing w:val="-40"/>
          <w:szCs w:val="21"/>
        </w:rPr>
        <w:t xml:space="preserve"> </w:t>
      </w:r>
      <w:r>
        <w:rPr>
          <w:spacing w:val="-3"/>
          <w:szCs w:val="21"/>
        </w:rPr>
        <w:t>绩效的临时性和永久性变更。这些变更包括</w:t>
      </w:r>
      <w:r>
        <w:rPr>
          <w:szCs w:val="21"/>
        </w:rPr>
        <w:t xml:space="preserve"> </w:t>
      </w:r>
      <w:r>
        <w:rPr>
          <w:spacing w:val="-3"/>
          <w:szCs w:val="21"/>
        </w:rPr>
        <w:t>（但不限于</w:t>
      </w:r>
      <w:r>
        <w:rPr>
          <w:spacing w:val="-11"/>
          <w:szCs w:val="21"/>
        </w:rPr>
        <w:t>）：</w:t>
      </w:r>
    </w:p>
    <w:p w14:paraId="1FD86C8B">
      <w:pPr>
        <w:pStyle w:val="12"/>
        <w:numPr>
          <w:ilvl w:val="0"/>
          <w:numId w:val="38"/>
        </w:numPr>
        <w:spacing w:before="1" w:line="360" w:lineRule="auto"/>
        <w:ind w:firstLineChars="0"/>
        <w:rPr>
          <w:rFonts w:hint="eastAsia" w:ascii="Times New Roman" w:hAnsi="宋体" w:cs="宋体"/>
          <w:szCs w:val="21"/>
        </w:rPr>
      </w:pPr>
      <w:r>
        <w:rPr>
          <w:szCs w:val="21"/>
        </w:rPr>
        <w:t>新的产品、服务和过程，或对现有产品、服务和过</w:t>
      </w:r>
      <w:r>
        <w:rPr>
          <w:spacing w:val="-1"/>
          <w:szCs w:val="21"/>
        </w:rPr>
        <w:t>程的变更，包括（但不限于</w:t>
      </w:r>
      <w:r>
        <w:rPr>
          <w:spacing w:val="-8"/>
          <w:szCs w:val="21"/>
        </w:rPr>
        <w:t>）：</w:t>
      </w:r>
    </w:p>
    <w:p w14:paraId="4CC8E35E">
      <w:pPr>
        <w:pStyle w:val="12"/>
        <w:spacing w:before="20" w:line="360" w:lineRule="auto"/>
        <w:ind w:firstLine="418"/>
        <w:rPr>
          <w:szCs w:val="21"/>
        </w:rPr>
      </w:pPr>
      <w:r>
        <w:rPr>
          <w:spacing w:val="-1"/>
          <w:szCs w:val="21"/>
        </w:rPr>
        <w:t>——工作场所的位置、周边环境和可能影响</w:t>
      </w:r>
      <w:r>
        <w:rPr>
          <w:spacing w:val="-2"/>
          <w:szCs w:val="21"/>
        </w:rPr>
        <w:t>的环境；</w:t>
      </w:r>
    </w:p>
    <w:p w14:paraId="51C762F1">
      <w:pPr>
        <w:pStyle w:val="12"/>
        <w:spacing w:before="23" w:line="360" w:lineRule="auto"/>
        <w:ind w:firstLine="412"/>
        <w:rPr>
          <w:szCs w:val="21"/>
        </w:rPr>
      </w:pPr>
      <w:r>
        <w:rPr>
          <w:spacing w:val="-4"/>
          <w:szCs w:val="21"/>
        </w:rPr>
        <w:t>——工作组织；</w:t>
      </w:r>
    </w:p>
    <w:p w14:paraId="692B9090">
      <w:pPr>
        <w:pStyle w:val="12"/>
        <w:spacing w:before="19" w:line="360" w:lineRule="auto"/>
        <w:ind w:firstLine="412"/>
        <w:rPr>
          <w:szCs w:val="21"/>
        </w:rPr>
      </w:pPr>
      <w:r>
        <w:rPr>
          <w:spacing w:val="-4"/>
          <w:szCs w:val="21"/>
        </w:rPr>
        <w:t>——工作条件；</w:t>
      </w:r>
    </w:p>
    <w:p w14:paraId="4755DC6C">
      <w:pPr>
        <w:pStyle w:val="12"/>
        <w:spacing w:before="22" w:line="360" w:lineRule="auto"/>
        <w:rPr>
          <w:szCs w:val="21"/>
        </w:rPr>
      </w:pPr>
      <w:r>
        <w:rPr>
          <w:szCs w:val="21"/>
        </w:rPr>
        <w:t>——设施设备的条件、位置、周边环境和可能影响的环境；</w:t>
      </w:r>
    </w:p>
    <w:p w14:paraId="43F5FB98">
      <w:pPr>
        <w:pStyle w:val="12"/>
        <w:spacing w:before="20" w:line="360" w:lineRule="auto"/>
        <w:ind w:firstLine="412"/>
        <w:rPr>
          <w:szCs w:val="21"/>
        </w:rPr>
      </w:pPr>
      <w:r>
        <w:rPr>
          <w:spacing w:val="-4"/>
          <w:szCs w:val="21"/>
        </w:rPr>
        <w:t>——人力资源；</w:t>
      </w:r>
    </w:p>
    <w:p w14:paraId="4EC1C052">
      <w:pPr>
        <w:pStyle w:val="12"/>
        <w:spacing w:before="23" w:line="360" w:lineRule="auto"/>
        <w:ind w:firstLine="418"/>
        <w:rPr>
          <w:szCs w:val="21"/>
        </w:rPr>
      </w:pPr>
      <w:r>
        <w:rPr>
          <w:spacing w:val="-1"/>
          <w:szCs w:val="21"/>
        </w:rPr>
        <w:t>——作业对象(指零件、原材料等)。</w:t>
      </w:r>
    </w:p>
    <w:p w14:paraId="79FBFC47">
      <w:pPr>
        <w:pStyle w:val="12"/>
        <w:numPr>
          <w:ilvl w:val="0"/>
          <w:numId w:val="38"/>
        </w:numPr>
        <w:spacing w:before="20" w:line="360" w:lineRule="auto"/>
        <w:ind w:firstLineChars="0"/>
        <w:rPr>
          <w:rFonts w:hint="eastAsia" w:ascii="Times New Roman" w:hAnsi="宋体" w:cs="宋体"/>
          <w:szCs w:val="21"/>
        </w:rPr>
      </w:pPr>
      <w:r>
        <w:rPr>
          <w:szCs w:val="21"/>
        </w:rPr>
        <w:t>法律法规要求和其他要求的变更；</w:t>
      </w:r>
    </w:p>
    <w:p w14:paraId="530A1E9C">
      <w:pPr>
        <w:pStyle w:val="12"/>
        <w:numPr>
          <w:ilvl w:val="0"/>
          <w:numId w:val="38"/>
        </w:numPr>
        <w:spacing w:before="22" w:line="360" w:lineRule="auto"/>
        <w:ind w:firstLineChars="0"/>
        <w:rPr>
          <w:rFonts w:hint="eastAsia" w:ascii="Times New Roman" w:hAnsi="宋体" w:cs="宋体"/>
          <w:szCs w:val="21"/>
        </w:rPr>
      </w:pPr>
      <w:r>
        <w:rPr>
          <w:spacing w:val="-1"/>
          <w:szCs w:val="21"/>
        </w:rPr>
        <w:t>有关不良影响因素和</w:t>
      </w:r>
      <w:r>
        <w:rPr>
          <w:spacing w:val="-33"/>
          <w:szCs w:val="21"/>
        </w:rPr>
        <w:t xml:space="preserve"> </w:t>
      </w:r>
      <w:r>
        <w:rPr>
          <w:spacing w:val="-1"/>
          <w:szCs w:val="21"/>
        </w:rPr>
        <w:t>ESG</w:t>
      </w:r>
      <w:r>
        <w:rPr>
          <w:spacing w:val="-45"/>
          <w:szCs w:val="21"/>
        </w:rPr>
        <w:t xml:space="preserve"> </w:t>
      </w:r>
      <w:r>
        <w:rPr>
          <w:spacing w:val="-1"/>
          <w:szCs w:val="21"/>
        </w:rPr>
        <w:t>风险的知识或信息的变更；</w:t>
      </w:r>
    </w:p>
    <w:p w14:paraId="46453963">
      <w:pPr>
        <w:pStyle w:val="12"/>
        <w:numPr>
          <w:ilvl w:val="0"/>
          <w:numId w:val="38"/>
        </w:numPr>
        <w:spacing w:before="20" w:line="360" w:lineRule="auto"/>
        <w:ind w:firstLineChars="0"/>
        <w:rPr>
          <w:rFonts w:hint="eastAsia" w:ascii="Times New Roman" w:hAnsi="宋体" w:cs="宋体"/>
          <w:szCs w:val="21"/>
        </w:rPr>
      </w:pPr>
      <w:r>
        <w:rPr>
          <w:spacing w:val="-4"/>
          <w:szCs w:val="21"/>
        </w:rPr>
        <w:t>知识和技术的发展。</w:t>
      </w:r>
    </w:p>
    <w:p w14:paraId="68B76853">
      <w:pPr>
        <w:pStyle w:val="12"/>
        <w:spacing w:before="23" w:line="360" w:lineRule="auto"/>
        <w:ind w:firstLine="418"/>
        <w:rPr>
          <w:szCs w:val="21"/>
        </w:rPr>
      </w:pPr>
      <w:r>
        <w:rPr>
          <w:spacing w:val="-1"/>
          <w:szCs w:val="21"/>
        </w:rPr>
        <w:t>企业应评审非预期变更的后果，必要时采取措施，以减少任何</w:t>
      </w:r>
      <w:r>
        <w:rPr>
          <w:spacing w:val="-33"/>
          <w:szCs w:val="21"/>
        </w:rPr>
        <w:t xml:space="preserve"> </w:t>
      </w:r>
      <w:r>
        <w:rPr>
          <w:spacing w:val="-1"/>
          <w:szCs w:val="21"/>
        </w:rPr>
        <w:t>ESG</w:t>
      </w:r>
      <w:r>
        <w:rPr>
          <w:spacing w:val="-43"/>
          <w:szCs w:val="21"/>
        </w:rPr>
        <w:t xml:space="preserve"> </w:t>
      </w:r>
      <w:r>
        <w:rPr>
          <w:spacing w:val="-1"/>
          <w:szCs w:val="21"/>
        </w:rPr>
        <w:t>不良影响。</w:t>
      </w:r>
    </w:p>
    <w:p w14:paraId="5F2A1E6E">
      <w:pPr>
        <w:pStyle w:val="12"/>
        <w:spacing w:before="20" w:line="360" w:lineRule="auto"/>
        <w:ind w:right="56" w:firstLine="416"/>
        <w:rPr>
          <w:szCs w:val="21"/>
        </w:rPr>
      </w:pPr>
      <w:r>
        <w:rPr>
          <w:spacing w:val="-2"/>
          <w:szCs w:val="21"/>
        </w:rPr>
        <w:t>企业应保留文件化信息，包括有关更改评审的结果、授权</w:t>
      </w:r>
      <w:r>
        <w:rPr>
          <w:spacing w:val="-3"/>
          <w:szCs w:val="21"/>
        </w:rPr>
        <w:t>进行更改的人员以及根据评审所采取的</w:t>
      </w:r>
      <w:r>
        <w:rPr>
          <w:rFonts w:hint="eastAsia"/>
          <w:spacing w:val="-3"/>
          <w:szCs w:val="21"/>
        </w:rPr>
        <w:t>必要措施</w:t>
      </w:r>
      <w:r>
        <w:rPr>
          <w:spacing w:val="-2"/>
          <w:szCs w:val="21"/>
        </w:rPr>
        <w:t>。</w:t>
      </w:r>
    </w:p>
    <w:p w14:paraId="6DDE397A">
      <w:pPr>
        <w:pStyle w:val="12"/>
        <w:spacing w:line="360" w:lineRule="auto"/>
        <w:ind w:firstLine="416"/>
        <w:rPr>
          <w:szCs w:val="18"/>
        </w:rPr>
      </w:pPr>
      <w:r>
        <w:rPr>
          <w:spacing w:val="-2"/>
          <w:szCs w:val="18"/>
        </w:rPr>
        <w:t>注：变更可带来风险和机遇。</w:t>
      </w:r>
    </w:p>
    <w:p w14:paraId="014FDD28">
      <w:pPr>
        <w:pStyle w:val="3"/>
        <w:spacing w:before="144" w:line="360" w:lineRule="auto"/>
        <w:ind w:left="422" w:hanging="422"/>
        <w:rPr>
          <w:rFonts w:hint="eastAsia"/>
          <w:szCs w:val="21"/>
        </w:rPr>
      </w:pPr>
      <w:r>
        <w:rPr>
          <w:rFonts w:hint="eastAsia"/>
          <w:spacing w:val="1"/>
          <w:position w:val="1"/>
          <w:szCs w:val="16"/>
        </w:rPr>
        <w:t xml:space="preserve">8.2 </w:t>
      </w:r>
      <w:r>
        <w:rPr>
          <w:spacing w:val="1"/>
          <w:position w:val="-1"/>
          <w:szCs w:val="21"/>
        </w:rPr>
        <w:t>供应链管理</w:t>
      </w:r>
    </w:p>
    <w:p w14:paraId="6FE4074B">
      <w:pPr>
        <w:pStyle w:val="12"/>
        <w:spacing w:before="140" w:line="360" w:lineRule="auto"/>
        <w:ind w:right="56" w:firstLine="414"/>
        <w:rPr>
          <w:szCs w:val="21"/>
        </w:rPr>
      </w:pPr>
      <w:r>
        <w:rPr>
          <w:spacing w:val="-3"/>
          <w:szCs w:val="21"/>
        </w:rPr>
        <w:t>企业负有对供应链在</w:t>
      </w:r>
      <w:r>
        <w:rPr>
          <w:spacing w:val="-32"/>
          <w:szCs w:val="21"/>
        </w:rPr>
        <w:t xml:space="preserve"> </w:t>
      </w:r>
      <w:r>
        <w:rPr>
          <w:spacing w:val="-3"/>
          <w:szCs w:val="21"/>
        </w:rPr>
        <w:t>ESG</w:t>
      </w:r>
      <w:r>
        <w:rPr>
          <w:spacing w:val="-45"/>
          <w:szCs w:val="21"/>
        </w:rPr>
        <w:t xml:space="preserve"> </w:t>
      </w:r>
      <w:r>
        <w:rPr>
          <w:spacing w:val="-3"/>
          <w:szCs w:val="21"/>
        </w:rPr>
        <w:t>方面管理办法和表现进行尽责管理和调查的责任，其应建立、实施和保持</w:t>
      </w:r>
      <w:r>
        <w:rPr>
          <w:spacing w:val="-2"/>
          <w:szCs w:val="21"/>
        </w:rPr>
        <w:t>供应商管理过程，以辨识由供应商的相关活动</w:t>
      </w:r>
      <w:r>
        <w:rPr>
          <w:spacing w:val="-3"/>
          <w:szCs w:val="21"/>
        </w:rPr>
        <w:t>和运行所产生的不良影响因素并评价和控制</w:t>
      </w:r>
      <w:r>
        <w:rPr>
          <w:spacing w:val="-47"/>
          <w:szCs w:val="21"/>
        </w:rPr>
        <w:t xml:space="preserve"> </w:t>
      </w:r>
      <w:r>
        <w:rPr>
          <w:spacing w:val="-3"/>
          <w:szCs w:val="21"/>
        </w:rPr>
        <w:t>ESG</w:t>
      </w:r>
      <w:r>
        <w:rPr>
          <w:spacing w:val="-43"/>
          <w:szCs w:val="21"/>
        </w:rPr>
        <w:t xml:space="preserve"> </w:t>
      </w:r>
      <w:r>
        <w:rPr>
          <w:spacing w:val="-3"/>
          <w:szCs w:val="21"/>
        </w:rPr>
        <w:t>风险，从</w:t>
      </w:r>
      <w:r>
        <w:rPr>
          <w:rFonts w:hint="eastAsia"/>
          <w:spacing w:val="-3"/>
          <w:szCs w:val="21"/>
        </w:rPr>
        <w:t>影响或可能影响其</w:t>
      </w:r>
      <w:r>
        <w:rPr>
          <w:spacing w:val="-2"/>
          <w:szCs w:val="21"/>
        </w:rPr>
        <w:t>ESG绩效的供应链中选择和评估供应商及其他利益相关方，确保其符合ESG管理体系要求。</w:t>
      </w:r>
    </w:p>
    <w:p w14:paraId="19F8B831">
      <w:pPr>
        <w:pStyle w:val="12"/>
        <w:spacing w:before="2" w:line="360" w:lineRule="auto"/>
        <w:ind w:right="56" w:firstLine="412"/>
      </w:pPr>
      <w:r>
        <w:rPr>
          <w:spacing w:val="-4"/>
          <w:szCs w:val="21"/>
        </w:rPr>
        <w:t>企业在编制招标文件和其他采购文件时，应涵盖支持实现企业</w:t>
      </w:r>
      <w:r>
        <w:rPr>
          <w:spacing w:val="-29"/>
          <w:szCs w:val="21"/>
        </w:rPr>
        <w:t xml:space="preserve"> </w:t>
      </w:r>
      <w:r>
        <w:rPr>
          <w:spacing w:val="-4"/>
          <w:szCs w:val="21"/>
        </w:rPr>
        <w:t>ESG 目标和运营规划安排的要求。</w:t>
      </w:r>
      <w:r>
        <w:rPr>
          <w:rFonts w:hint="eastAsia"/>
          <w:spacing w:val="-4"/>
          <w:szCs w:val="21"/>
        </w:rPr>
        <w:t>这些</w:t>
      </w:r>
      <w:r>
        <w:rPr>
          <w:spacing w:val="1"/>
          <w:szCs w:val="21"/>
        </w:rPr>
        <w:t>要求可能与供应商及其产品和/或服务的</w:t>
      </w:r>
      <w:r>
        <w:rPr>
          <w:rFonts w:hint="eastAsia"/>
          <w:spacing w:val="1"/>
          <w:szCs w:val="21"/>
        </w:rPr>
        <w:t>ESG 绩效有关，并在供应商的选择过程中应将其与其他标准</w:t>
      </w:r>
      <w:r>
        <w:rPr>
          <w:szCs w:val="21"/>
        </w:rPr>
        <w:t>一同考虑。如企业不采用正式招标程序，应确保</w:t>
      </w:r>
      <w:r>
        <w:rPr>
          <w:rFonts w:hint="eastAsia"/>
          <w:szCs w:val="21"/>
        </w:rPr>
        <w:t>其在</w:t>
      </w:r>
      <w:r>
        <w:rPr>
          <w:szCs w:val="21"/>
        </w:rPr>
        <w:t>供应商选择和评价过程中考虑到 ESG 管理的相关</w:t>
      </w:r>
      <w:r>
        <w:rPr>
          <w:rFonts w:hint="eastAsia"/>
          <w:szCs w:val="21"/>
        </w:rPr>
        <w:t>因素</w:t>
      </w:r>
      <w:r>
        <w:rPr>
          <w:spacing w:val="-10"/>
          <w:szCs w:val="21"/>
        </w:rPr>
        <w:t>。</w:t>
      </w:r>
    </w:p>
    <w:p w14:paraId="75BEFD0D">
      <w:pPr>
        <w:pStyle w:val="12"/>
        <w:spacing w:before="2" w:line="360" w:lineRule="auto"/>
        <w:ind w:right="56"/>
        <w:rPr>
          <w:szCs w:val="21"/>
        </w:rPr>
      </w:pPr>
      <w:r>
        <w:t>企业宜建立供应商碳排放数据收集机制，获取产品与服务相关碳足迹数据，支撑范围三温室气体核算与产品碳足迹管理。</w:t>
      </w:r>
    </w:p>
    <w:p w14:paraId="3AFEBFFA">
      <w:pPr>
        <w:pStyle w:val="12"/>
        <w:spacing w:before="1" w:line="360" w:lineRule="auto"/>
        <w:ind w:firstLine="418"/>
        <w:rPr>
          <w:szCs w:val="21"/>
        </w:rPr>
      </w:pPr>
      <w:r>
        <w:rPr>
          <w:spacing w:val="-1"/>
          <w:szCs w:val="21"/>
        </w:rPr>
        <w:t>企业应保持和保留这些活动的文件化信息。</w:t>
      </w:r>
    </w:p>
    <w:p w14:paraId="5A17B528">
      <w:pPr>
        <w:pStyle w:val="3"/>
        <w:spacing w:before="140" w:line="360" w:lineRule="auto"/>
        <w:ind w:left="422" w:hanging="422"/>
        <w:rPr>
          <w:rFonts w:hint="eastAsia"/>
          <w:szCs w:val="21"/>
        </w:rPr>
      </w:pPr>
      <w:r>
        <w:rPr>
          <w:spacing w:val="1"/>
          <w:position w:val="2"/>
          <w:szCs w:val="16"/>
        </w:rPr>
        <w:t xml:space="preserve">8.3 </w:t>
      </w:r>
      <w:r>
        <w:rPr>
          <w:spacing w:val="1"/>
          <w:szCs w:val="21"/>
        </w:rPr>
        <w:t>应急准备和响应</w:t>
      </w:r>
    </w:p>
    <w:p w14:paraId="5A8DA97B">
      <w:pPr>
        <w:pStyle w:val="12"/>
        <w:spacing w:before="141" w:line="360" w:lineRule="auto"/>
        <w:ind w:right="57" w:firstLine="414"/>
        <w:rPr>
          <w:szCs w:val="21"/>
        </w:rPr>
      </w:pPr>
      <w:r>
        <w:rPr>
          <w:spacing w:val="-3"/>
          <w:szCs w:val="21"/>
        </w:rPr>
        <w:t>为了对</w:t>
      </w:r>
      <w:r>
        <w:rPr>
          <w:spacing w:val="-42"/>
          <w:szCs w:val="21"/>
        </w:rPr>
        <w:t xml:space="preserve"> </w:t>
      </w:r>
      <w:r>
        <w:rPr>
          <w:spacing w:val="-3"/>
          <w:szCs w:val="21"/>
        </w:rPr>
        <w:t>6.2.2</w:t>
      </w:r>
      <w:r>
        <w:rPr>
          <w:spacing w:val="-25"/>
          <w:szCs w:val="21"/>
        </w:rPr>
        <w:t xml:space="preserve"> </w:t>
      </w:r>
      <w:r>
        <w:rPr>
          <w:spacing w:val="-3"/>
          <w:szCs w:val="21"/>
        </w:rPr>
        <w:t>中所识别的潜在紧急情况进行应急准备并做出响应，企业应建立、实</w:t>
      </w:r>
      <w:r>
        <w:rPr>
          <w:spacing w:val="-4"/>
          <w:szCs w:val="21"/>
        </w:rPr>
        <w:t>施和保持所需的</w:t>
      </w:r>
      <w:r>
        <w:rPr>
          <w:szCs w:val="21"/>
        </w:rPr>
        <w:t xml:space="preserve"> </w:t>
      </w:r>
      <w:r>
        <w:rPr>
          <w:spacing w:val="-1"/>
          <w:szCs w:val="21"/>
        </w:rPr>
        <w:t>过程，包括：</w:t>
      </w:r>
    </w:p>
    <w:p w14:paraId="07ABA762">
      <w:pPr>
        <w:pStyle w:val="12"/>
        <w:numPr>
          <w:ilvl w:val="0"/>
          <w:numId w:val="39"/>
        </w:numPr>
        <w:spacing w:before="2" w:line="360" w:lineRule="auto"/>
        <w:ind w:right="59" w:firstLineChars="0"/>
        <w:rPr>
          <w:rFonts w:hint="eastAsia" w:ascii="Times New Roman" w:hAnsi="宋体" w:cs="宋体"/>
          <w:szCs w:val="21"/>
        </w:rPr>
      </w:pPr>
      <w:r>
        <w:rPr>
          <w:spacing w:val="-2"/>
          <w:szCs w:val="21"/>
        </w:rPr>
        <w:t>针对紧急情况建立所策划的响应，包括提供技术支持、</w:t>
      </w:r>
      <w:r>
        <w:rPr>
          <w:spacing w:val="-3"/>
          <w:szCs w:val="21"/>
        </w:rPr>
        <w:t>影响控制、紧急通知、新闻发布、利益相</w:t>
      </w:r>
      <w:r>
        <w:rPr>
          <w:szCs w:val="21"/>
        </w:rPr>
        <w:t xml:space="preserve"> </w:t>
      </w:r>
      <w:r>
        <w:rPr>
          <w:spacing w:val="-2"/>
          <w:szCs w:val="21"/>
        </w:rPr>
        <w:t>关方沟通、信息披露、法律支持、舆情监测与回应等；</w:t>
      </w:r>
    </w:p>
    <w:p w14:paraId="5F4109F4">
      <w:pPr>
        <w:pStyle w:val="12"/>
        <w:numPr>
          <w:ilvl w:val="0"/>
          <w:numId w:val="39"/>
        </w:numPr>
        <w:spacing w:before="20" w:line="360" w:lineRule="auto"/>
        <w:ind w:firstLineChars="0"/>
        <w:rPr>
          <w:rFonts w:hint="eastAsia" w:ascii="Times New Roman" w:hAnsi="宋体" w:cs="宋体"/>
          <w:szCs w:val="21"/>
        </w:rPr>
      </w:pPr>
      <w:r>
        <w:rPr>
          <w:spacing w:val="-2"/>
          <w:szCs w:val="21"/>
        </w:rPr>
        <w:t>为策划的响应提供培训和专业指导；</w:t>
      </w:r>
    </w:p>
    <w:p w14:paraId="5D27CE0D">
      <w:pPr>
        <w:pStyle w:val="12"/>
        <w:numPr>
          <w:ilvl w:val="0"/>
          <w:numId w:val="39"/>
        </w:numPr>
        <w:spacing w:before="23" w:line="360" w:lineRule="auto"/>
        <w:ind w:firstLineChars="0"/>
        <w:rPr>
          <w:rFonts w:hint="eastAsia" w:ascii="Times New Roman" w:hAnsi="宋体" w:cs="宋体"/>
          <w:szCs w:val="21"/>
        </w:rPr>
      </w:pPr>
      <w:r>
        <w:rPr>
          <w:spacing w:val="-1"/>
          <w:szCs w:val="21"/>
        </w:rPr>
        <w:t>定期测试和演练所策划的响应能力，必要时对所有有关利益相关方实施有关过</w:t>
      </w:r>
      <w:r>
        <w:rPr>
          <w:spacing w:val="-2"/>
          <w:szCs w:val="21"/>
        </w:rPr>
        <w:t>程；</w:t>
      </w:r>
    </w:p>
    <w:p w14:paraId="5B189E97">
      <w:pPr>
        <w:pStyle w:val="12"/>
        <w:numPr>
          <w:ilvl w:val="0"/>
          <w:numId w:val="39"/>
        </w:numPr>
        <w:spacing w:before="20" w:line="360" w:lineRule="auto"/>
        <w:ind w:firstLineChars="0"/>
        <w:rPr>
          <w:rFonts w:hint="eastAsia" w:ascii="Times New Roman" w:hAnsi="宋体" w:cs="宋体"/>
          <w:szCs w:val="21"/>
        </w:rPr>
      </w:pPr>
      <w:r>
        <w:rPr>
          <w:spacing w:val="-1"/>
          <w:szCs w:val="21"/>
        </w:rPr>
        <w:t>评价绩效，必要时（包括在测试后，尤其在紧急情况发生后）修订所策划的响</w:t>
      </w:r>
      <w:r>
        <w:rPr>
          <w:spacing w:val="-2"/>
          <w:szCs w:val="21"/>
        </w:rPr>
        <w:t>应；</w:t>
      </w:r>
    </w:p>
    <w:p w14:paraId="5A88E6D6">
      <w:pPr>
        <w:pStyle w:val="12"/>
        <w:numPr>
          <w:ilvl w:val="0"/>
          <w:numId w:val="39"/>
        </w:numPr>
        <w:spacing w:before="68" w:line="360" w:lineRule="auto"/>
        <w:ind w:firstLineChars="0"/>
        <w:rPr>
          <w:rFonts w:hint="eastAsia" w:ascii="Times New Roman" w:hAnsi="宋体" w:cs="宋体"/>
          <w:szCs w:val="21"/>
        </w:rPr>
      </w:pPr>
      <w:r>
        <w:rPr>
          <w:spacing w:val="-1"/>
          <w:szCs w:val="21"/>
        </w:rPr>
        <w:t>与有关的利益相关方沟通并提供相关信息；</w:t>
      </w:r>
    </w:p>
    <w:p w14:paraId="510C93BB">
      <w:pPr>
        <w:pStyle w:val="12"/>
        <w:numPr>
          <w:ilvl w:val="0"/>
          <w:numId w:val="39"/>
        </w:numPr>
        <w:spacing w:before="24" w:line="360" w:lineRule="auto"/>
        <w:ind w:right="1056" w:firstLineChars="0"/>
        <w:rPr>
          <w:rFonts w:hint="eastAsia" w:ascii="Times New Roman" w:hAnsi="宋体" w:cs="宋体"/>
          <w:szCs w:val="21"/>
        </w:rPr>
      </w:pPr>
      <w:r>
        <w:rPr>
          <w:rFonts w:hint="eastAsia"/>
          <w:spacing w:val="-1"/>
          <w:szCs w:val="21"/>
        </w:rPr>
        <w:t>应</w:t>
      </w:r>
      <w:r>
        <w:rPr>
          <w:spacing w:val="-1"/>
          <w:szCs w:val="21"/>
        </w:rPr>
        <w:t>考虑所有有关利益相关方的需求和能力，适当时确保其参与制定所策划的响应。</w:t>
      </w:r>
      <w:r>
        <w:rPr>
          <w:spacing w:val="1"/>
          <w:szCs w:val="21"/>
        </w:rPr>
        <w:t xml:space="preserve"> </w:t>
      </w:r>
      <w:r>
        <w:rPr>
          <w:spacing w:val="-1"/>
          <w:szCs w:val="21"/>
        </w:rPr>
        <w:t>企业应保持和保留关于响应潜在紧急情况的过程和计划的文件化信息。</w:t>
      </w:r>
    </w:p>
    <w:p w14:paraId="6A8C4DAA">
      <w:pPr>
        <w:pStyle w:val="3"/>
        <w:spacing w:before="142" w:line="360" w:lineRule="auto"/>
        <w:rPr>
          <w:rFonts w:hint="eastAsia"/>
          <w:szCs w:val="21"/>
        </w:rPr>
      </w:pPr>
      <w:r>
        <w:rPr>
          <w:position w:val="2"/>
          <w:szCs w:val="22"/>
        </w:rPr>
        <w:t>8.4</w:t>
      </w:r>
      <w:r>
        <w:rPr>
          <w:spacing w:val="11"/>
          <w:position w:val="2"/>
          <w:szCs w:val="22"/>
        </w:rPr>
        <w:t xml:space="preserve">   </w:t>
      </w:r>
      <w:r>
        <w:rPr>
          <w:szCs w:val="21"/>
        </w:rPr>
        <w:t>处理矛盾和分歧</w:t>
      </w:r>
    </w:p>
    <w:p w14:paraId="238C5FB5">
      <w:pPr>
        <w:pStyle w:val="12"/>
        <w:spacing w:before="141" w:line="360" w:lineRule="auto"/>
        <w:ind w:right="74" w:firstLine="416"/>
        <w:rPr>
          <w:szCs w:val="21"/>
        </w:rPr>
      </w:pPr>
      <w:r>
        <w:rPr>
          <w:spacing w:val="-2"/>
          <w:szCs w:val="21"/>
        </w:rPr>
        <w:t>企业应建立、实施和保持用于处理与利益相关方的矛盾或</w:t>
      </w:r>
      <w:r>
        <w:rPr>
          <w:spacing w:val="-3"/>
          <w:szCs w:val="21"/>
        </w:rPr>
        <w:t>分歧的过程，并使其文件化且为利益相关</w:t>
      </w:r>
      <w:r>
        <w:rPr>
          <w:szCs w:val="21"/>
        </w:rPr>
        <w:t xml:space="preserve"> </w:t>
      </w:r>
      <w:r>
        <w:rPr>
          <w:spacing w:val="-1"/>
          <w:szCs w:val="21"/>
        </w:rPr>
        <w:t>方可获得。该过程应适合矛盾或分歧的类型并对受影响的利益相关方有用，并应考虑：</w:t>
      </w:r>
    </w:p>
    <w:p w14:paraId="5B405A46">
      <w:pPr>
        <w:pStyle w:val="12"/>
        <w:spacing w:before="1" w:line="360" w:lineRule="auto"/>
        <w:ind w:firstLine="416"/>
        <w:rPr>
          <w:szCs w:val="21"/>
        </w:rPr>
      </w:pPr>
      <w:r>
        <w:rPr>
          <w:spacing w:val="-2"/>
          <w:szCs w:val="21"/>
        </w:rPr>
        <w:t>——相关法律法规要求和其他要求；</w:t>
      </w:r>
    </w:p>
    <w:p w14:paraId="4ED4201F">
      <w:pPr>
        <w:pStyle w:val="12"/>
        <w:spacing w:before="131" w:line="360" w:lineRule="auto"/>
        <w:rPr>
          <w:szCs w:val="21"/>
        </w:rPr>
      </w:pPr>
      <w:r>
        <w:rPr>
          <w:szCs w:val="21"/>
        </w:rPr>
        <w:t>——信息公正、透明、开放与法律规定的信息公开限制之间的平衡；</w:t>
      </w:r>
    </w:p>
    <w:p w14:paraId="3AE1264B">
      <w:pPr>
        <w:pStyle w:val="12"/>
        <w:spacing w:before="150" w:line="360" w:lineRule="auto"/>
        <w:ind w:firstLine="418"/>
        <w:rPr>
          <w:szCs w:val="21"/>
        </w:rPr>
      </w:pPr>
      <w:r>
        <w:rPr>
          <w:spacing w:val="-1"/>
          <w:szCs w:val="21"/>
        </w:rPr>
        <w:t>——与受影响的利益相关方直接讨论；</w:t>
      </w:r>
    </w:p>
    <w:p w14:paraId="6A86EDB3">
      <w:pPr>
        <w:pStyle w:val="12"/>
        <w:spacing w:before="38" w:line="360" w:lineRule="auto"/>
        <w:ind w:firstLine="414"/>
        <w:rPr>
          <w:szCs w:val="21"/>
        </w:rPr>
      </w:pPr>
      <w:r>
        <w:rPr>
          <w:spacing w:val="-3"/>
          <w:szCs w:val="21"/>
        </w:rPr>
        <w:t>——为消除误解提供书面信息；</w:t>
      </w:r>
    </w:p>
    <w:p w14:paraId="5559DFCA">
      <w:pPr>
        <w:pStyle w:val="12"/>
        <w:spacing w:before="21" w:line="360" w:lineRule="auto"/>
        <w:ind w:firstLine="418"/>
        <w:rPr>
          <w:szCs w:val="21"/>
        </w:rPr>
      </w:pPr>
      <w:r>
        <w:rPr>
          <w:spacing w:val="-1"/>
          <w:szCs w:val="21"/>
        </w:rPr>
        <w:t>——为利益相关方和企业各自表达观点及寻求解决办法提供合适机会（如论坛</w:t>
      </w:r>
      <w:r>
        <w:rPr>
          <w:szCs w:val="21"/>
        </w:rPr>
        <w:t>）；</w:t>
      </w:r>
    </w:p>
    <w:p w14:paraId="73EB3A92">
      <w:pPr>
        <w:pStyle w:val="12"/>
        <w:spacing w:before="24" w:line="360" w:lineRule="auto"/>
        <w:ind w:firstLine="418"/>
        <w:rPr>
          <w:szCs w:val="21"/>
        </w:rPr>
      </w:pPr>
      <w:r>
        <w:rPr>
          <w:spacing w:val="-1"/>
          <w:szCs w:val="21"/>
        </w:rPr>
        <w:t>——正式的投诉处理程序；</w:t>
      </w:r>
    </w:p>
    <w:p w14:paraId="2232EC5A">
      <w:pPr>
        <w:pStyle w:val="12"/>
        <w:spacing w:before="20" w:line="360" w:lineRule="auto"/>
        <w:ind w:firstLine="418"/>
        <w:rPr>
          <w:szCs w:val="21"/>
        </w:rPr>
      </w:pPr>
      <w:r>
        <w:rPr>
          <w:spacing w:val="-1"/>
          <w:szCs w:val="21"/>
        </w:rPr>
        <w:t>——调解或</w:t>
      </w:r>
      <w:r>
        <w:t>仲裁</w:t>
      </w:r>
      <w:r>
        <w:rPr>
          <w:spacing w:val="-1"/>
          <w:szCs w:val="21"/>
        </w:rPr>
        <w:t>程序；</w:t>
      </w:r>
    </w:p>
    <w:p w14:paraId="16A1EF2C">
      <w:pPr>
        <w:pStyle w:val="12"/>
        <w:spacing w:before="22" w:line="360" w:lineRule="auto"/>
        <w:ind w:firstLine="416"/>
        <w:rPr>
          <w:szCs w:val="21"/>
        </w:rPr>
      </w:pPr>
      <w:r>
        <w:rPr>
          <w:spacing w:val="-2"/>
          <w:szCs w:val="21"/>
        </w:rPr>
        <w:t>——确保能报告不道德行为而无须担心遭到报复；</w:t>
      </w:r>
    </w:p>
    <w:p w14:paraId="5D61207B">
      <w:pPr>
        <w:pStyle w:val="12"/>
        <w:spacing w:before="21" w:line="360" w:lineRule="auto"/>
        <w:ind w:firstLine="418"/>
        <w:rPr>
          <w:szCs w:val="21"/>
        </w:rPr>
      </w:pPr>
      <w:r>
        <w:rPr>
          <w:spacing w:val="-1"/>
          <w:szCs w:val="21"/>
        </w:rPr>
        <w:t>——处理不满的其他类型的程序。</w:t>
      </w:r>
    </w:p>
    <w:p w14:paraId="7228030B">
      <w:pPr>
        <w:pStyle w:val="12"/>
        <w:spacing w:line="360" w:lineRule="auto"/>
        <w:rPr>
          <w:szCs w:val="18"/>
        </w:rPr>
      </w:pPr>
      <w:r>
        <w:rPr>
          <w:szCs w:val="18"/>
        </w:rPr>
        <w:t>注：企业产生矛盾或分歧的利益相关方可能是单个或多个利益相</w:t>
      </w:r>
      <w:r>
        <w:rPr>
          <w:spacing w:val="-1"/>
          <w:szCs w:val="18"/>
        </w:rPr>
        <w:t>关方，也可能是一个或几个利益相关方群体。</w:t>
      </w:r>
    </w:p>
    <w:p w14:paraId="0409C093">
      <w:pPr>
        <w:pStyle w:val="12"/>
        <w:spacing w:before="25" w:line="360" w:lineRule="auto"/>
        <w:ind w:right="85" w:firstLine="424"/>
        <w:rPr>
          <w:szCs w:val="21"/>
        </w:rPr>
      </w:pPr>
      <w:r>
        <w:rPr>
          <w:spacing w:val="2"/>
          <w:szCs w:val="21"/>
        </w:rPr>
        <w:t>当矛盾或分歧涉及相关管理体系时，上述过程还应能将相关信息反馈给相关管理体系的有关过程</w:t>
      </w:r>
      <w:r>
        <w:rPr>
          <w:szCs w:val="21"/>
        </w:rPr>
        <w:t xml:space="preserve"> </w:t>
      </w:r>
      <w:r>
        <w:rPr>
          <w:spacing w:val="-6"/>
          <w:szCs w:val="21"/>
        </w:rPr>
        <w:t>予以应对。</w:t>
      </w:r>
    </w:p>
    <w:p w14:paraId="052D7962">
      <w:pPr>
        <w:pStyle w:val="28"/>
        <w:spacing w:before="240" w:after="240" w:line="360" w:lineRule="auto"/>
      </w:pPr>
      <w:bookmarkStart w:id="18" w:name="bookmark18"/>
      <w:bookmarkEnd w:id="18"/>
      <w:bookmarkStart w:id="19" w:name="_Toc7379"/>
      <w:r>
        <w:t>绩效评价</w:t>
      </w:r>
      <w:bookmarkEnd w:id="19"/>
    </w:p>
    <w:p w14:paraId="3C965DFF">
      <w:pPr>
        <w:pStyle w:val="3"/>
        <w:numPr>
          <w:ilvl w:val="0"/>
          <w:numId w:val="40"/>
        </w:numPr>
        <w:spacing w:before="263" w:line="360" w:lineRule="auto"/>
        <w:ind w:firstLineChars="0"/>
        <w:rPr>
          <w:rFonts w:hint="eastAsia" w:ascii="Times New Roman"/>
          <w:szCs w:val="21"/>
        </w:rPr>
      </w:pPr>
      <w:r>
        <w:rPr>
          <w:spacing w:val="-2"/>
          <w:szCs w:val="21"/>
        </w:rPr>
        <w:t>监视、测量、分析和绩效评价</w:t>
      </w:r>
    </w:p>
    <w:p w14:paraId="6FA0DEB8">
      <w:pPr>
        <w:pStyle w:val="4"/>
        <w:widowControl/>
        <w:numPr>
          <w:ilvl w:val="0"/>
          <w:numId w:val="41"/>
        </w:numPr>
        <w:spacing w:before="144" w:line="360" w:lineRule="auto"/>
        <w:rPr>
          <w:rFonts w:ascii="Times New Roman"/>
          <w:szCs w:val="21"/>
        </w:rPr>
      </w:pPr>
      <w:r>
        <w:rPr>
          <w:szCs w:val="21"/>
        </w:rPr>
        <w:t>总则</w:t>
      </w:r>
    </w:p>
    <w:p w14:paraId="098D25F1">
      <w:pPr>
        <w:pStyle w:val="12"/>
        <w:spacing w:before="141" w:line="360" w:lineRule="auto"/>
        <w:ind w:firstLine="418"/>
        <w:rPr>
          <w:szCs w:val="21"/>
        </w:rPr>
      </w:pPr>
      <w:r>
        <w:rPr>
          <w:spacing w:val="-1"/>
          <w:szCs w:val="21"/>
        </w:rPr>
        <w:t>企业应建立、实施和保持用于监视、测量、分析和评价</w:t>
      </w:r>
      <w:r>
        <w:rPr>
          <w:spacing w:val="-37"/>
          <w:szCs w:val="21"/>
        </w:rPr>
        <w:t xml:space="preserve"> </w:t>
      </w:r>
      <w:r>
        <w:rPr>
          <w:spacing w:val="-1"/>
          <w:szCs w:val="21"/>
        </w:rPr>
        <w:t>ESG</w:t>
      </w:r>
      <w:r>
        <w:rPr>
          <w:spacing w:val="-41"/>
          <w:szCs w:val="21"/>
        </w:rPr>
        <w:t xml:space="preserve"> </w:t>
      </w:r>
      <w:r>
        <w:rPr>
          <w:spacing w:val="-1"/>
          <w:szCs w:val="21"/>
        </w:rPr>
        <w:t>绩效的过程。</w:t>
      </w:r>
    </w:p>
    <w:p w14:paraId="06F55403">
      <w:pPr>
        <w:pStyle w:val="12"/>
        <w:spacing w:before="25" w:line="360" w:lineRule="auto"/>
        <w:ind w:firstLine="416"/>
        <w:rPr>
          <w:szCs w:val="21"/>
        </w:rPr>
      </w:pPr>
      <w:r>
        <w:rPr>
          <w:spacing w:val="-2"/>
          <w:szCs w:val="21"/>
        </w:rPr>
        <w:t>企业应确定：</w:t>
      </w:r>
    </w:p>
    <w:p w14:paraId="0CA4B92E">
      <w:pPr>
        <w:pStyle w:val="12"/>
        <w:numPr>
          <w:ilvl w:val="0"/>
          <w:numId w:val="42"/>
        </w:numPr>
        <w:spacing w:before="19" w:line="360" w:lineRule="auto"/>
        <w:ind w:firstLineChars="0"/>
        <w:rPr>
          <w:rFonts w:hint="eastAsia" w:ascii="Times New Roman" w:hAnsi="宋体" w:cs="宋体"/>
          <w:szCs w:val="21"/>
        </w:rPr>
      </w:pPr>
      <w:r>
        <w:rPr>
          <w:spacing w:val="-2"/>
          <w:szCs w:val="21"/>
        </w:rPr>
        <w:t>需要监视和测量的内容，包括：</w:t>
      </w:r>
    </w:p>
    <w:p w14:paraId="2660D522">
      <w:pPr>
        <w:pStyle w:val="12"/>
        <w:numPr>
          <w:ilvl w:val="0"/>
          <w:numId w:val="43"/>
        </w:numPr>
        <w:spacing w:before="22" w:line="360" w:lineRule="auto"/>
        <w:ind w:firstLineChars="0"/>
        <w:rPr>
          <w:rFonts w:hint="eastAsia" w:ascii="Times New Roman" w:hAnsi="宋体" w:cs="宋体"/>
          <w:szCs w:val="21"/>
        </w:rPr>
      </w:pPr>
      <w:r>
        <w:rPr>
          <w:spacing w:val="-1"/>
          <w:szCs w:val="21"/>
        </w:rPr>
        <w:t>法律法规要求和其他要求的满足程度；</w:t>
      </w:r>
    </w:p>
    <w:p w14:paraId="6BDD2E66">
      <w:pPr>
        <w:pStyle w:val="12"/>
        <w:numPr>
          <w:ilvl w:val="0"/>
          <w:numId w:val="43"/>
        </w:numPr>
        <w:spacing w:before="20" w:line="360" w:lineRule="auto"/>
        <w:ind w:firstLineChars="0"/>
        <w:rPr>
          <w:rFonts w:hint="eastAsia" w:ascii="Times New Roman" w:hAnsi="宋体" w:cs="宋体"/>
          <w:szCs w:val="21"/>
        </w:rPr>
      </w:pPr>
      <w:r>
        <w:rPr>
          <w:szCs w:val="21"/>
        </w:rPr>
        <w:t>与所辨识的不良影响因素、风险和机遇相关的活动和运行；</w:t>
      </w:r>
    </w:p>
    <w:p w14:paraId="1F49EFF9">
      <w:pPr>
        <w:pStyle w:val="12"/>
        <w:numPr>
          <w:ilvl w:val="0"/>
          <w:numId w:val="43"/>
        </w:numPr>
        <w:spacing w:before="24" w:line="360" w:lineRule="auto"/>
        <w:ind w:firstLineChars="0"/>
        <w:rPr>
          <w:rFonts w:hint="eastAsia" w:ascii="Times New Roman" w:hAnsi="宋体" w:cs="宋体"/>
          <w:szCs w:val="21"/>
        </w:rPr>
      </w:pPr>
      <w:r>
        <w:rPr>
          <w:spacing w:val="-2"/>
          <w:szCs w:val="21"/>
        </w:rPr>
        <w:t>与利益相关方的矛盾和分歧的处理情况；</w:t>
      </w:r>
    </w:p>
    <w:p w14:paraId="7287F31A">
      <w:pPr>
        <w:pStyle w:val="12"/>
        <w:numPr>
          <w:ilvl w:val="0"/>
          <w:numId w:val="43"/>
        </w:numPr>
        <w:spacing w:before="21" w:line="360" w:lineRule="auto"/>
        <w:ind w:firstLineChars="0"/>
        <w:rPr>
          <w:rFonts w:hint="eastAsia" w:ascii="Times New Roman" w:hAnsi="宋体" w:cs="宋体"/>
          <w:szCs w:val="21"/>
        </w:rPr>
      </w:pPr>
      <w:r>
        <w:rPr>
          <w:spacing w:val="-5"/>
          <w:szCs w:val="21"/>
        </w:rPr>
        <w:t>实现企业</w:t>
      </w:r>
      <w:r>
        <w:rPr>
          <w:spacing w:val="-37"/>
          <w:szCs w:val="21"/>
        </w:rPr>
        <w:t xml:space="preserve"> </w:t>
      </w:r>
      <w:r>
        <w:rPr>
          <w:spacing w:val="-5"/>
          <w:szCs w:val="21"/>
        </w:rPr>
        <w:t>ESG 目标的进展情况；</w:t>
      </w:r>
    </w:p>
    <w:p w14:paraId="64862FDE">
      <w:pPr>
        <w:pStyle w:val="12"/>
        <w:numPr>
          <w:ilvl w:val="0"/>
          <w:numId w:val="43"/>
        </w:numPr>
        <w:spacing w:before="23" w:line="360" w:lineRule="auto"/>
        <w:ind w:firstLineChars="0"/>
        <w:rPr>
          <w:rFonts w:hint="eastAsia" w:ascii="Times New Roman" w:hAnsi="宋体" w:cs="宋体"/>
          <w:szCs w:val="21"/>
        </w:rPr>
      </w:pPr>
      <w:r>
        <w:rPr>
          <w:spacing w:val="-3"/>
          <w:szCs w:val="21"/>
        </w:rPr>
        <w:t>运行控制和其他控制的有效性；</w:t>
      </w:r>
    </w:p>
    <w:p w14:paraId="0AE74892">
      <w:pPr>
        <w:pStyle w:val="12"/>
        <w:numPr>
          <w:ilvl w:val="0"/>
          <w:numId w:val="42"/>
        </w:numPr>
        <w:spacing w:before="19" w:line="360" w:lineRule="auto"/>
        <w:ind w:firstLineChars="0"/>
        <w:rPr>
          <w:rFonts w:hint="eastAsia" w:ascii="Times New Roman" w:hAnsi="宋体" w:cs="宋体"/>
          <w:szCs w:val="21"/>
        </w:rPr>
      </w:pPr>
      <w:r>
        <w:rPr>
          <w:szCs w:val="21"/>
        </w:rPr>
        <w:t>适用时，为确保结果有效而采用的监视、测量、分析和评</w:t>
      </w:r>
      <w:r>
        <w:rPr>
          <w:spacing w:val="-1"/>
          <w:szCs w:val="21"/>
        </w:rPr>
        <w:t>价</w:t>
      </w:r>
      <w:r>
        <w:rPr>
          <w:spacing w:val="-46"/>
          <w:szCs w:val="21"/>
        </w:rPr>
        <w:t xml:space="preserve"> </w:t>
      </w:r>
      <w:r>
        <w:rPr>
          <w:spacing w:val="-1"/>
          <w:szCs w:val="21"/>
        </w:rPr>
        <w:t>ESG</w:t>
      </w:r>
      <w:r>
        <w:rPr>
          <w:spacing w:val="-41"/>
          <w:szCs w:val="21"/>
        </w:rPr>
        <w:t xml:space="preserve"> </w:t>
      </w:r>
      <w:r>
        <w:rPr>
          <w:spacing w:val="-1"/>
          <w:szCs w:val="21"/>
        </w:rPr>
        <w:t>绩效的方法；</w:t>
      </w:r>
    </w:p>
    <w:p w14:paraId="65D7B23F">
      <w:pPr>
        <w:pStyle w:val="12"/>
        <w:numPr>
          <w:ilvl w:val="0"/>
          <w:numId w:val="42"/>
        </w:numPr>
        <w:spacing w:before="25" w:line="360" w:lineRule="auto"/>
        <w:ind w:firstLineChars="0"/>
        <w:rPr>
          <w:rFonts w:hint="eastAsia" w:ascii="Times New Roman" w:hAnsi="宋体" w:cs="宋体"/>
          <w:szCs w:val="21"/>
        </w:rPr>
      </w:pPr>
      <w:r>
        <w:rPr>
          <w:spacing w:val="-2"/>
          <w:szCs w:val="21"/>
        </w:rPr>
        <w:t>企业评价其</w:t>
      </w:r>
      <w:r>
        <w:rPr>
          <w:spacing w:val="-43"/>
          <w:szCs w:val="21"/>
        </w:rPr>
        <w:t xml:space="preserve"> </w:t>
      </w:r>
      <w:r>
        <w:rPr>
          <w:spacing w:val="-2"/>
          <w:szCs w:val="21"/>
        </w:rPr>
        <w:t>ESG</w:t>
      </w:r>
      <w:r>
        <w:rPr>
          <w:spacing w:val="-43"/>
          <w:szCs w:val="21"/>
        </w:rPr>
        <w:t xml:space="preserve"> </w:t>
      </w:r>
      <w:r>
        <w:rPr>
          <w:spacing w:val="-2"/>
          <w:szCs w:val="21"/>
        </w:rPr>
        <w:t>绩效所依据的准则内容；</w:t>
      </w:r>
    </w:p>
    <w:p w14:paraId="1EDE1758">
      <w:pPr>
        <w:pStyle w:val="12"/>
        <w:numPr>
          <w:ilvl w:val="0"/>
          <w:numId w:val="42"/>
        </w:numPr>
        <w:spacing w:before="22" w:line="360" w:lineRule="auto"/>
        <w:ind w:firstLineChars="0"/>
        <w:rPr>
          <w:rFonts w:hint="eastAsia" w:ascii="Times New Roman" w:hAnsi="宋体" w:cs="宋体"/>
          <w:szCs w:val="21"/>
        </w:rPr>
      </w:pPr>
      <w:r>
        <w:rPr>
          <w:spacing w:val="-2"/>
          <w:szCs w:val="21"/>
        </w:rPr>
        <w:t>实施监视和测量的时间节点；</w:t>
      </w:r>
    </w:p>
    <w:p w14:paraId="4932597E">
      <w:pPr>
        <w:pStyle w:val="12"/>
        <w:numPr>
          <w:ilvl w:val="0"/>
          <w:numId w:val="42"/>
        </w:numPr>
        <w:spacing w:before="22" w:line="360" w:lineRule="auto"/>
        <w:ind w:firstLineChars="0"/>
        <w:rPr>
          <w:rFonts w:hint="eastAsia" w:ascii="Times New Roman" w:hAnsi="宋体" w:cs="宋体"/>
          <w:szCs w:val="21"/>
        </w:rPr>
      </w:pPr>
      <w:r>
        <w:rPr>
          <w:szCs w:val="21"/>
        </w:rPr>
        <w:t>分析、评价和沟通监视和测量结果的时间节</w:t>
      </w:r>
      <w:r>
        <w:rPr>
          <w:spacing w:val="-1"/>
          <w:szCs w:val="21"/>
        </w:rPr>
        <w:t>点。</w:t>
      </w:r>
    </w:p>
    <w:p w14:paraId="2BA01E67">
      <w:pPr>
        <w:pStyle w:val="12"/>
        <w:spacing w:before="22" w:line="360" w:lineRule="auto"/>
        <w:ind w:firstLine="414"/>
        <w:rPr>
          <w:szCs w:val="21"/>
        </w:rPr>
      </w:pPr>
      <w:r>
        <w:rPr>
          <w:spacing w:val="-3"/>
          <w:szCs w:val="21"/>
        </w:rPr>
        <w:t>企业应评价其</w:t>
      </w:r>
      <w:r>
        <w:rPr>
          <w:spacing w:val="-29"/>
          <w:szCs w:val="21"/>
        </w:rPr>
        <w:t xml:space="preserve"> </w:t>
      </w:r>
      <w:r>
        <w:rPr>
          <w:spacing w:val="-3"/>
          <w:szCs w:val="21"/>
        </w:rPr>
        <w:t>ESG</w:t>
      </w:r>
      <w:r>
        <w:rPr>
          <w:spacing w:val="-41"/>
          <w:szCs w:val="21"/>
        </w:rPr>
        <w:t xml:space="preserve"> </w:t>
      </w:r>
      <w:r>
        <w:rPr>
          <w:spacing w:val="-3"/>
          <w:szCs w:val="21"/>
        </w:rPr>
        <w:t>绩效并确定</w:t>
      </w:r>
      <w:r>
        <w:rPr>
          <w:spacing w:val="-46"/>
          <w:szCs w:val="21"/>
        </w:rPr>
        <w:t xml:space="preserve"> </w:t>
      </w:r>
      <w:r>
        <w:rPr>
          <w:spacing w:val="-3"/>
          <w:szCs w:val="21"/>
        </w:rPr>
        <w:t>ESG</w:t>
      </w:r>
      <w:r>
        <w:rPr>
          <w:spacing w:val="-39"/>
          <w:szCs w:val="21"/>
        </w:rPr>
        <w:t xml:space="preserve"> </w:t>
      </w:r>
      <w:r>
        <w:rPr>
          <w:spacing w:val="-3"/>
          <w:szCs w:val="21"/>
        </w:rPr>
        <w:t>管理体系的有效性。</w:t>
      </w:r>
    </w:p>
    <w:p w14:paraId="38BB10E9">
      <w:pPr>
        <w:pStyle w:val="12"/>
        <w:spacing w:before="24" w:line="360" w:lineRule="auto"/>
        <w:rPr>
          <w:szCs w:val="21"/>
        </w:rPr>
      </w:pPr>
      <w:r>
        <w:rPr>
          <w:szCs w:val="21"/>
        </w:rPr>
        <w:t>企业应确保监视和测量设施设备在适用时得到检测、校准或验证，并被适当使</w:t>
      </w:r>
      <w:r>
        <w:rPr>
          <w:spacing w:val="-1"/>
          <w:szCs w:val="21"/>
        </w:rPr>
        <w:t>用和维护。</w:t>
      </w:r>
    </w:p>
    <w:p w14:paraId="7B849D06">
      <w:pPr>
        <w:pStyle w:val="12"/>
        <w:spacing w:line="360" w:lineRule="auto"/>
        <w:rPr>
          <w:szCs w:val="18"/>
        </w:rPr>
      </w:pPr>
      <w:r>
        <w:rPr>
          <w:szCs w:val="18"/>
        </w:rPr>
        <w:t>注：法律法规要求和其他要求（如国家标准或国际标准等）</w:t>
      </w:r>
      <w:r>
        <w:rPr>
          <w:spacing w:val="-1"/>
          <w:szCs w:val="18"/>
        </w:rPr>
        <w:t>可能涉及监视和测量设施设备检测、校准或验证。</w:t>
      </w:r>
    </w:p>
    <w:p w14:paraId="2988DBFA">
      <w:pPr>
        <w:pStyle w:val="12"/>
        <w:spacing w:before="23" w:line="360" w:lineRule="auto"/>
        <w:ind w:firstLine="414"/>
        <w:rPr>
          <w:szCs w:val="21"/>
        </w:rPr>
      </w:pPr>
      <w:r>
        <w:rPr>
          <w:spacing w:val="-3"/>
          <w:szCs w:val="21"/>
        </w:rPr>
        <w:t>企业应保留适当的文件化信息：</w:t>
      </w:r>
    </w:p>
    <w:p w14:paraId="026BD5C6">
      <w:pPr>
        <w:pStyle w:val="12"/>
        <w:spacing w:before="23" w:line="360" w:lineRule="auto"/>
        <w:ind w:firstLine="418"/>
        <w:rPr>
          <w:szCs w:val="21"/>
        </w:rPr>
      </w:pPr>
      <w:r>
        <w:rPr>
          <w:spacing w:val="-1"/>
          <w:szCs w:val="21"/>
        </w:rPr>
        <w:t>——作为监视、测量、分析和评价</w:t>
      </w:r>
      <w:r>
        <w:rPr>
          <w:spacing w:val="-43"/>
          <w:szCs w:val="21"/>
        </w:rPr>
        <w:t xml:space="preserve"> </w:t>
      </w:r>
      <w:r>
        <w:rPr>
          <w:spacing w:val="-1"/>
          <w:szCs w:val="21"/>
        </w:rPr>
        <w:t>ESG</w:t>
      </w:r>
      <w:r>
        <w:rPr>
          <w:spacing w:val="-41"/>
          <w:szCs w:val="21"/>
        </w:rPr>
        <w:t xml:space="preserve"> </w:t>
      </w:r>
      <w:r>
        <w:rPr>
          <w:spacing w:val="-1"/>
          <w:szCs w:val="21"/>
        </w:rPr>
        <w:t>绩效的证据；</w:t>
      </w:r>
    </w:p>
    <w:p w14:paraId="7DF4B922">
      <w:pPr>
        <w:pStyle w:val="12"/>
        <w:spacing w:before="22" w:line="360" w:lineRule="auto"/>
        <w:ind w:firstLine="418"/>
        <w:rPr>
          <w:szCs w:val="21"/>
        </w:rPr>
      </w:pPr>
      <w:r>
        <w:rPr>
          <w:spacing w:val="-1"/>
          <w:szCs w:val="21"/>
        </w:rPr>
        <w:t>——记录有关测量设施设备的维护、检测、校准或验证。</w:t>
      </w:r>
    </w:p>
    <w:p w14:paraId="306F5400">
      <w:pPr>
        <w:pStyle w:val="4"/>
        <w:widowControl/>
        <w:numPr>
          <w:ilvl w:val="0"/>
          <w:numId w:val="41"/>
        </w:numPr>
        <w:spacing w:before="142" w:line="360" w:lineRule="auto"/>
        <w:rPr>
          <w:rFonts w:ascii="Times New Roman"/>
          <w:szCs w:val="21"/>
        </w:rPr>
      </w:pPr>
      <w:r>
        <w:rPr>
          <w:szCs w:val="21"/>
        </w:rPr>
        <w:t>合规性评价</w:t>
      </w:r>
    </w:p>
    <w:p w14:paraId="39F65E24">
      <w:pPr>
        <w:pStyle w:val="12"/>
        <w:spacing w:before="141" w:line="360" w:lineRule="auto"/>
        <w:ind w:firstLine="418"/>
        <w:rPr>
          <w:szCs w:val="21"/>
        </w:rPr>
      </w:pPr>
      <w:r>
        <w:rPr>
          <w:spacing w:val="-1"/>
          <w:szCs w:val="21"/>
        </w:rPr>
        <w:t>企业应建立、实施和保持用于对法律法规要求和其他要求（见 6.2.3）的合规性进行评价的过程。</w:t>
      </w:r>
      <w:r>
        <w:rPr>
          <w:spacing w:val="16"/>
          <w:szCs w:val="21"/>
        </w:rPr>
        <w:t xml:space="preserve"> </w:t>
      </w:r>
      <w:r>
        <w:rPr>
          <w:spacing w:val="-1"/>
          <w:szCs w:val="21"/>
        </w:rPr>
        <w:t>企业应按照下列事项开展合规性评价：</w:t>
      </w:r>
    </w:p>
    <w:p w14:paraId="3B865243">
      <w:pPr>
        <w:pStyle w:val="12"/>
        <w:numPr>
          <w:ilvl w:val="0"/>
          <w:numId w:val="44"/>
        </w:numPr>
        <w:spacing w:before="68" w:line="360" w:lineRule="auto"/>
        <w:ind w:firstLineChars="0"/>
        <w:rPr>
          <w:rFonts w:hint="eastAsia" w:ascii="Times New Roman" w:hAnsi="宋体" w:cs="宋体"/>
          <w:szCs w:val="21"/>
        </w:rPr>
      </w:pPr>
      <w:r>
        <w:rPr>
          <w:spacing w:val="-2"/>
          <w:szCs w:val="21"/>
        </w:rPr>
        <w:t>确定实施合规性评价的频次和方法；</w:t>
      </w:r>
    </w:p>
    <w:p w14:paraId="2B0E9D3F">
      <w:pPr>
        <w:pStyle w:val="12"/>
        <w:numPr>
          <w:ilvl w:val="0"/>
          <w:numId w:val="44"/>
        </w:numPr>
        <w:spacing w:before="24" w:line="360" w:lineRule="auto"/>
        <w:ind w:firstLineChars="0"/>
        <w:rPr>
          <w:rFonts w:hint="eastAsia" w:ascii="Times New Roman" w:hAnsi="宋体" w:cs="宋体"/>
          <w:szCs w:val="21"/>
        </w:rPr>
      </w:pPr>
      <w:r>
        <w:rPr>
          <w:spacing w:val="-1"/>
          <w:szCs w:val="21"/>
        </w:rPr>
        <w:t>评价其合规性，并在需要时采取措施（见</w:t>
      </w:r>
      <w:r>
        <w:rPr>
          <w:spacing w:val="-29"/>
          <w:szCs w:val="21"/>
        </w:rPr>
        <w:t xml:space="preserve"> </w:t>
      </w:r>
      <w:r>
        <w:rPr>
          <w:spacing w:val="-1"/>
          <w:szCs w:val="21"/>
        </w:rPr>
        <w:t>10.2</w:t>
      </w:r>
      <w:r>
        <w:rPr>
          <w:spacing w:val="-13"/>
          <w:szCs w:val="21"/>
        </w:rPr>
        <w:t>）；</w:t>
      </w:r>
    </w:p>
    <w:p w14:paraId="6AB3499C">
      <w:pPr>
        <w:pStyle w:val="12"/>
        <w:numPr>
          <w:ilvl w:val="0"/>
          <w:numId w:val="44"/>
        </w:numPr>
        <w:spacing w:before="21" w:line="360" w:lineRule="auto"/>
        <w:ind w:firstLineChars="0"/>
        <w:rPr>
          <w:rFonts w:hint="eastAsia" w:ascii="Times New Roman" w:hAnsi="宋体" w:cs="宋体"/>
          <w:szCs w:val="21"/>
        </w:rPr>
      </w:pPr>
      <w:r>
        <w:rPr>
          <w:spacing w:val="-1"/>
          <w:szCs w:val="21"/>
        </w:rPr>
        <w:t>保持对其关于法律法规要求和其他要求的合规状况的认识和理解；</w:t>
      </w:r>
    </w:p>
    <w:p w14:paraId="7B1BC9B3">
      <w:pPr>
        <w:pStyle w:val="12"/>
        <w:numPr>
          <w:ilvl w:val="0"/>
          <w:numId w:val="44"/>
        </w:numPr>
        <w:spacing w:before="22" w:line="360" w:lineRule="auto"/>
        <w:ind w:firstLineChars="0"/>
        <w:rPr>
          <w:rFonts w:hint="eastAsia" w:ascii="Times New Roman" w:hAnsi="宋体" w:cs="宋体"/>
          <w:szCs w:val="21"/>
        </w:rPr>
      </w:pPr>
      <w:r>
        <w:rPr>
          <w:spacing w:val="-2"/>
          <w:szCs w:val="21"/>
        </w:rPr>
        <w:t>保留合规性评价结果的文件化信息。</w:t>
      </w:r>
    </w:p>
    <w:p w14:paraId="7415C4AC">
      <w:pPr>
        <w:pStyle w:val="4"/>
        <w:widowControl/>
        <w:numPr>
          <w:ilvl w:val="0"/>
          <w:numId w:val="41"/>
        </w:numPr>
        <w:spacing w:before="142" w:line="360" w:lineRule="auto"/>
        <w:rPr>
          <w:rFonts w:ascii="Times New Roman"/>
          <w:szCs w:val="21"/>
        </w:rPr>
      </w:pPr>
      <w:r>
        <w:rPr>
          <w:szCs w:val="21"/>
        </w:rPr>
        <w:t>指标制定</w:t>
      </w:r>
    </w:p>
    <w:p w14:paraId="0226E303">
      <w:pPr>
        <w:pStyle w:val="12"/>
        <w:spacing w:before="141" w:line="360" w:lineRule="auto"/>
        <w:ind w:right="141" w:firstLine="416"/>
        <w:rPr>
          <w:szCs w:val="21"/>
        </w:rPr>
      </w:pPr>
      <w:r>
        <w:rPr>
          <w:spacing w:val="-2"/>
          <w:szCs w:val="21"/>
        </w:rPr>
        <w:t>企业应制定、实施和保持一套合适的指标，以帮助企</w:t>
      </w:r>
      <w:r>
        <w:rPr>
          <w:spacing w:val="-3"/>
          <w:szCs w:val="21"/>
        </w:rPr>
        <w:t>业评估其</w:t>
      </w:r>
      <w:r>
        <w:rPr>
          <w:spacing w:val="-47"/>
          <w:szCs w:val="21"/>
        </w:rPr>
        <w:t xml:space="preserve"> </w:t>
      </w:r>
      <w:r>
        <w:rPr>
          <w:spacing w:val="-3"/>
          <w:szCs w:val="21"/>
        </w:rPr>
        <w:t>ESG 目标的实现程度和</w:t>
      </w:r>
      <w:r>
        <w:rPr>
          <w:spacing w:val="-46"/>
          <w:szCs w:val="21"/>
        </w:rPr>
        <w:t xml:space="preserve"> </w:t>
      </w:r>
      <w:r>
        <w:rPr>
          <w:spacing w:val="-3"/>
          <w:szCs w:val="21"/>
        </w:rPr>
        <w:t>ESG</w:t>
      </w:r>
      <w:r>
        <w:rPr>
          <w:spacing w:val="-41"/>
          <w:szCs w:val="21"/>
        </w:rPr>
        <w:t xml:space="preserve"> </w:t>
      </w:r>
      <w:r>
        <w:rPr>
          <w:spacing w:val="-3"/>
          <w:szCs w:val="21"/>
        </w:rPr>
        <w:t>绩效。</w:t>
      </w:r>
      <w:r>
        <w:rPr>
          <w:szCs w:val="21"/>
        </w:rPr>
        <w:t xml:space="preserve"> 具体汽车行业企业</w:t>
      </w:r>
      <w:r>
        <w:rPr>
          <w:spacing w:val="-46"/>
          <w:szCs w:val="21"/>
        </w:rPr>
        <w:t xml:space="preserve"> </w:t>
      </w:r>
      <w:r>
        <w:rPr>
          <w:szCs w:val="21"/>
        </w:rPr>
        <w:t>ESG</w:t>
      </w:r>
      <w:r>
        <w:rPr>
          <w:spacing w:val="-45"/>
          <w:szCs w:val="21"/>
        </w:rPr>
        <w:t xml:space="preserve"> </w:t>
      </w:r>
      <w:r>
        <w:rPr>
          <w:szCs w:val="21"/>
        </w:rPr>
        <w:t>评价指标参见</w:t>
      </w:r>
      <w:r>
        <w:rPr>
          <w:rFonts w:hint="eastAsia"/>
          <w:szCs w:val="21"/>
        </w:rPr>
        <w:t>T/XXX XXXX—XXXX</w:t>
      </w:r>
      <w:r>
        <w:rPr>
          <w:spacing w:val="27"/>
          <w:szCs w:val="21"/>
        </w:rPr>
        <w:t xml:space="preserve"> </w:t>
      </w:r>
      <w:r>
        <w:rPr>
          <w:szCs w:val="21"/>
        </w:rPr>
        <w:t>中国汽车行业</w:t>
      </w:r>
      <w:r>
        <w:rPr>
          <w:spacing w:val="-49"/>
          <w:szCs w:val="21"/>
        </w:rPr>
        <w:t xml:space="preserve"> </w:t>
      </w:r>
      <w:r>
        <w:rPr>
          <w:szCs w:val="21"/>
        </w:rPr>
        <w:t>E</w:t>
      </w:r>
      <w:r>
        <w:rPr>
          <w:spacing w:val="-1"/>
          <w:szCs w:val="21"/>
        </w:rPr>
        <w:t>SG</w:t>
      </w:r>
      <w:r>
        <w:rPr>
          <w:spacing w:val="-47"/>
          <w:szCs w:val="21"/>
        </w:rPr>
        <w:t xml:space="preserve"> </w:t>
      </w:r>
      <w:r>
        <w:rPr>
          <w:spacing w:val="-1"/>
          <w:szCs w:val="21"/>
        </w:rPr>
        <w:t>评价指南。</w:t>
      </w:r>
    </w:p>
    <w:p w14:paraId="28DFAC8E">
      <w:pPr>
        <w:pStyle w:val="3"/>
        <w:numPr>
          <w:ilvl w:val="0"/>
          <w:numId w:val="40"/>
        </w:numPr>
        <w:spacing w:before="120" w:line="360" w:lineRule="auto"/>
        <w:ind w:firstLineChars="0"/>
        <w:rPr>
          <w:rFonts w:hint="eastAsia" w:ascii="Times New Roman"/>
          <w:szCs w:val="21"/>
        </w:rPr>
      </w:pPr>
      <w:r>
        <w:rPr>
          <w:spacing w:val="-3"/>
          <w:position w:val="-1"/>
          <w:szCs w:val="21"/>
        </w:rPr>
        <w:t>内部审核</w:t>
      </w:r>
    </w:p>
    <w:p w14:paraId="27EB7B7D">
      <w:pPr>
        <w:pStyle w:val="4"/>
        <w:widowControl/>
        <w:numPr>
          <w:ilvl w:val="0"/>
          <w:numId w:val="45"/>
        </w:numPr>
        <w:spacing w:before="140" w:line="360" w:lineRule="auto"/>
        <w:rPr>
          <w:rFonts w:ascii="Times New Roman"/>
          <w:szCs w:val="21"/>
        </w:rPr>
      </w:pPr>
      <w:r>
        <w:rPr>
          <w:szCs w:val="21"/>
        </w:rPr>
        <w:t>概述</w:t>
      </w:r>
    </w:p>
    <w:p w14:paraId="0FED21DC">
      <w:pPr>
        <w:pStyle w:val="12"/>
        <w:spacing w:before="142" w:line="360" w:lineRule="auto"/>
        <w:rPr>
          <w:szCs w:val="21"/>
        </w:rPr>
      </w:pPr>
      <w:r>
        <w:rPr>
          <w:szCs w:val="21"/>
        </w:rPr>
        <w:t>企业应按策划的时间间隔实施内部审核，以提</w:t>
      </w:r>
      <w:r>
        <w:rPr>
          <w:spacing w:val="-1"/>
          <w:szCs w:val="21"/>
        </w:rPr>
        <w:t>供下列信息：</w:t>
      </w:r>
    </w:p>
    <w:p w14:paraId="1738B849">
      <w:pPr>
        <w:pStyle w:val="12"/>
        <w:numPr>
          <w:ilvl w:val="0"/>
          <w:numId w:val="46"/>
        </w:numPr>
        <w:spacing w:before="23" w:line="360" w:lineRule="auto"/>
        <w:ind w:firstLineChars="0"/>
        <w:rPr>
          <w:rFonts w:hint="eastAsia" w:ascii="Times New Roman" w:hAnsi="宋体" w:cs="宋体"/>
          <w:szCs w:val="21"/>
        </w:rPr>
      </w:pPr>
      <w:r>
        <w:rPr>
          <w:spacing w:val="-3"/>
          <w:szCs w:val="21"/>
        </w:rPr>
        <w:t>ESG</w:t>
      </w:r>
      <w:r>
        <w:rPr>
          <w:spacing w:val="-29"/>
          <w:szCs w:val="21"/>
        </w:rPr>
        <w:t xml:space="preserve"> </w:t>
      </w:r>
      <w:r>
        <w:rPr>
          <w:spacing w:val="-3"/>
          <w:szCs w:val="21"/>
        </w:rPr>
        <w:t>管理体系是否符合：</w:t>
      </w:r>
    </w:p>
    <w:p w14:paraId="7602874E">
      <w:pPr>
        <w:pStyle w:val="12"/>
        <w:numPr>
          <w:ilvl w:val="0"/>
          <w:numId w:val="47"/>
        </w:numPr>
        <w:spacing w:before="20" w:line="360" w:lineRule="auto"/>
        <w:ind w:firstLineChars="0"/>
        <w:rPr>
          <w:rFonts w:hint="eastAsia" w:ascii="Times New Roman" w:hAnsi="宋体" w:cs="宋体"/>
          <w:szCs w:val="21"/>
        </w:rPr>
      </w:pPr>
      <w:r>
        <w:rPr>
          <w:spacing w:val="-3"/>
          <w:szCs w:val="21"/>
        </w:rPr>
        <w:t>企业自身的</w:t>
      </w:r>
      <w:r>
        <w:rPr>
          <w:spacing w:val="-47"/>
          <w:szCs w:val="21"/>
        </w:rPr>
        <w:t xml:space="preserve"> </w:t>
      </w:r>
      <w:r>
        <w:rPr>
          <w:spacing w:val="-3"/>
          <w:szCs w:val="21"/>
        </w:rPr>
        <w:t>ESG</w:t>
      </w:r>
      <w:r>
        <w:rPr>
          <w:spacing w:val="-40"/>
          <w:szCs w:val="21"/>
        </w:rPr>
        <w:t xml:space="preserve"> </w:t>
      </w:r>
      <w:r>
        <w:rPr>
          <w:spacing w:val="-3"/>
          <w:szCs w:val="21"/>
        </w:rPr>
        <w:t>管理体系要求，包括</w:t>
      </w:r>
      <w:r>
        <w:rPr>
          <w:spacing w:val="-47"/>
          <w:szCs w:val="21"/>
        </w:rPr>
        <w:t xml:space="preserve"> </w:t>
      </w:r>
      <w:r>
        <w:rPr>
          <w:spacing w:val="-3"/>
          <w:szCs w:val="21"/>
        </w:rPr>
        <w:t>ESG</w:t>
      </w:r>
      <w:r>
        <w:rPr>
          <w:spacing w:val="-46"/>
          <w:szCs w:val="21"/>
        </w:rPr>
        <w:t xml:space="preserve"> </w:t>
      </w:r>
      <w:r>
        <w:rPr>
          <w:spacing w:val="-3"/>
          <w:szCs w:val="21"/>
        </w:rPr>
        <w:t>方针和</w:t>
      </w:r>
      <w:r>
        <w:rPr>
          <w:spacing w:val="-46"/>
          <w:szCs w:val="21"/>
        </w:rPr>
        <w:t xml:space="preserve"> </w:t>
      </w:r>
      <w:r>
        <w:rPr>
          <w:spacing w:val="-3"/>
          <w:szCs w:val="21"/>
        </w:rPr>
        <w:t xml:space="preserve">ESG </w:t>
      </w:r>
      <w:r>
        <w:rPr>
          <w:spacing w:val="-4"/>
          <w:szCs w:val="21"/>
        </w:rPr>
        <w:t>目标；</w:t>
      </w:r>
    </w:p>
    <w:p w14:paraId="5A0DC3C7">
      <w:pPr>
        <w:pStyle w:val="12"/>
        <w:numPr>
          <w:ilvl w:val="0"/>
          <w:numId w:val="47"/>
        </w:numPr>
        <w:spacing w:before="23" w:line="360" w:lineRule="auto"/>
        <w:ind w:firstLineChars="0"/>
        <w:rPr>
          <w:rFonts w:hint="eastAsia" w:ascii="Times New Roman" w:hAnsi="宋体" w:cs="宋体"/>
          <w:szCs w:val="21"/>
        </w:rPr>
      </w:pPr>
      <w:r>
        <w:rPr>
          <w:spacing w:val="-5"/>
          <w:szCs w:val="21"/>
        </w:rPr>
        <w:t>本文件的要求；</w:t>
      </w:r>
    </w:p>
    <w:p w14:paraId="5D1CA0A7">
      <w:pPr>
        <w:pStyle w:val="12"/>
        <w:numPr>
          <w:ilvl w:val="0"/>
          <w:numId w:val="46"/>
        </w:numPr>
        <w:spacing w:before="20" w:line="360" w:lineRule="auto"/>
        <w:ind w:firstLineChars="0"/>
        <w:rPr>
          <w:rFonts w:hint="eastAsia" w:ascii="Times New Roman" w:hAnsi="宋体" w:cs="宋体"/>
          <w:szCs w:val="21"/>
        </w:rPr>
      </w:pPr>
      <w:r>
        <w:rPr>
          <w:spacing w:val="-1"/>
          <w:szCs w:val="21"/>
        </w:rPr>
        <w:t>ESG</w:t>
      </w:r>
      <w:r>
        <w:rPr>
          <w:spacing w:val="-39"/>
          <w:szCs w:val="21"/>
        </w:rPr>
        <w:t xml:space="preserve"> </w:t>
      </w:r>
      <w:r>
        <w:rPr>
          <w:spacing w:val="-1"/>
          <w:szCs w:val="21"/>
        </w:rPr>
        <w:t>管理体系是否得到有效实施和保持。</w:t>
      </w:r>
    </w:p>
    <w:p w14:paraId="2E4C0E12">
      <w:pPr>
        <w:pStyle w:val="4"/>
        <w:widowControl/>
        <w:numPr>
          <w:ilvl w:val="0"/>
          <w:numId w:val="45"/>
        </w:numPr>
        <w:spacing w:before="143" w:line="360" w:lineRule="auto"/>
        <w:rPr>
          <w:rFonts w:ascii="Times New Roman"/>
          <w:szCs w:val="21"/>
        </w:rPr>
      </w:pPr>
      <w:r>
        <w:rPr>
          <w:spacing w:val="-2"/>
          <w:szCs w:val="21"/>
        </w:rPr>
        <w:t>内部审核方案</w:t>
      </w:r>
    </w:p>
    <w:p w14:paraId="36C4957E">
      <w:pPr>
        <w:pStyle w:val="12"/>
        <w:spacing w:before="142" w:line="360" w:lineRule="auto"/>
        <w:ind w:firstLine="416"/>
        <w:rPr>
          <w:szCs w:val="21"/>
        </w:rPr>
      </w:pPr>
      <w:r>
        <w:rPr>
          <w:spacing w:val="-2"/>
          <w:szCs w:val="21"/>
        </w:rPr>
        <w:t>企业应按照以下要求确定内部审核方案：</w:t>
      </w:r>
    </w:p>
    <w:p w14:paraId="2EA7CB28">
      <w:pPr>
        <w:pStyle w:val="12"/>
        <w:numPr>
          <w:ilvl w:val="0"/>
          <w:numId w:val="48"/>
        </w:numPr>
        <w:spacing w:before="22" w:line="360" w:lineRule="auto"/>
        <w:ind w:right="31" w:firstLineChars="0"/>
        <w:rPr>
          <w:rFonts w:hint="eastAsia" w:ascii="Times New Roman" w:hAnsi="宋体" w:cs="宋体"/>
          <w:szCs w:val="21"/>
        </w:rPr>
      </w:pPr>
      <w:r>
        <w:rPr>
          <w:spacing w:val="-7"/>
          <w:szCs w:val="21"/>
        </w:rPr>
        <w:t>在考虑相关过程的重要性和以往审核</w:t>
      </w:r>
      <w:r>
        <w:rPr>
          <w:spacing w:val="-8"/>
          <w:szCs w:val="21"/>
        </w:rPr>
        <w:t>结果的情况下，策划、建立、实施和保持包含频次、方法、</w:t>
      </w:r>
      <w:r>
        <w:rPr>
          <w:spacing w:val="-1"/>
          <w:szCs w:val="21"/>
        </w:rPr>
        <w:t>职责、协商、策划要求和报告的审核方案；</w:t>
      </w:r>
    </w:p>
    <w:p w14:paraId="762982D6">
      <w:pPr>
        <w:pStyle w:val="12"/>
        <w:numPr>
          <w:ilvl w:val="0"/>
          <w:numId w:val="48"/>
        </w:numPr>
        <w:spacing w:before="24" w:line="360" w:lineRule="auto"/>
        <w:ind w:firstLineChars="0"/>
        <w:rPr>
          <w:rFonts w:hint="eastAsia" w:ascii="Times New Roman" w:hAnsi="宋体" w:cs="宋体"/>
          <w:szCs w:val="21"/>
        </w:rPr>
      </w:pPr>
      <w:r>
        <w:rPr>
          <w:szCs w:val="21"/>
        </w:rPr>
        <w:t>规定每次审核的审核准则和范围；</w:t>
      </w:r>
    </w:p>
    <w:p w14:paraId="318D4C9F">
      <w:pPr>
        <w:pStyle w:val="12"/>
        <w:numPr>
          <w:ilvl w:val="0"/>
          <w:numId w:val="48"/>
        </w:numPr>
        <w:spacing w:before="20" w:line="360" w:lineRule="auto"/>
        <w:ind w:firstLineChars="0"/>
        <w:rPr>
          <w:rFonts w:hint="eastAsia" w:ascii="Times New Roman" w:hAnsi="宋体" w:cs="宋体"/>
          <w:szCs w:val="21"/>
        </w:rPr>
      </w:pPr>
      <w:r>
        <w:rPr>
          <w:spacing w:val="-1"/>
          <w:szCs w:val="21"/>
        </w:rPr>
        <w:t>选择审核员并实施审核，以确保审核过程的客观性和公平性；</w:t>
      </w:r>
    </w:p>
    <w:p w14:paraId="14C1336D">
      <w:pPr>
        <w:pStyle w:val="12"/>
        <w:numPr>
          <w:ilvl w:val="0"/>
          <w:numId w:val="48"/>
        </w:numPr>
        <w:spacing w:before="22" w:line="360" w:lineRule="auto"/>
        <w:ind w:firstLineChars="0"/>
        <w:rPr>
          <w:rFonts w:hint="eastAsia" w:ascii="Times New Roman" w:hAnsi="宋体" w:cs="宋体"/>
          <w:szCs w:val="21"/>
        </w:rPr>
      </w:pPr>
      <w:r>
        <w:rPr>
          <w:spacing w:val="-2"/>
          <w:szCs w:val="21"/>
        </w:rPr>
        <w:t>确保向相关管理者报告审核结果，确保向员工及其</w:t>
      </w:r>
      <w:r>
        <w:rPr>
          <w:spacing w:val="-3"/>
          <w:szCs w:val="21"/>
        </w:rPr>
        <w:t>代表（若有）以及其他有关利益相关方报告</w:t>
      </w:r>
      <w:r>
        <w:rPr>
          <w:spacing w:val="-1"/>
          <w:szCs w:val="21"/>
        </w:rPr>
        <w:t>相关的审核结果；</w:t>
      </w:r>
    </w:p>
    <w:p w14:paraId="52DE90E6">
      <w:pPr>
        <w:pStyle w:val="12"/>
        <w:numPr>
          <w:ilvl w:val="0"/>
          <w:numId w:val="48"/>
        </w:numPr>
        <w:spacing w:before="22" w:line="360" w:lineRule="auto"/>
        <w:ind w:firstLineChars="0"/>
        <w:rPr>
          <w:rFonts w:hint="eastAsia" w:ascii="Times New Roman" w:hAnsi="宋体" w:cs="宋体"/>
          <w:szCs w:val="21"/>
        </w:rPr>
      </w:pPr>
      <w:r>
        <w:rPr>
          <w:spacing w:val="-2"/>
          <w:szCs w:val="21"/>
        </w:rPr>
        <w:t>采取措施以应对不符合和持续改进其</w:t>
      </w:r>
      <w:r>
        <w:rPr>
          <w:spacing w:val="-46"/>
          <w:szCs w:val="21"/>
        </w:rPr>
        <w:t xml:space="preserve"> </w:t>
      </w:r>
      <w:r>
        <w:rPr>
          <w:spacing w:val="-2"/>
          <w:szCs w:val="21"/>
        </w:rPr>
        <w:t>ESG</w:t>
      </w:r>
      <w:r>
        <w:rPr>
          <w:spacing w:val="-43"/>
          <w:szCs w:val="21"/>
        </w:rPr>
        <w:t xml:space="preserve"> </w:t>
      </w:r>
      <w:r>
        <w:rPr>
          <w:spacing w:val="-2"/>
          <w:szCs w:val="21"/>
        </w:rPr>
        <w:t>绩效（见第</w:t>
      </w:r>
      <w:r>
        <w:rPr>
          <w:spacing w:val="-28"/>
          <w:szCs w:val="21"/>
        </w:rPr>
        <w:t xml:space="preserve"> </w:t>
      </w:r>
      <w:r>
        <w:rPr>
          <w:spacing w:val="-2"/>
          <w:szCs w:val="21"/>
        </w:rPr>
        <w:t>10</w:t>
      </w:r>
      <w:r>
        <w:rPr>
          <w:spacing w:val="-39"/>
          <w:szCs w:val="21"/>
        </w:rPr>
        <w:t xml:space="preserve"> </w:t>
      </w:r>
      <w:r>
        <w:rPr>
          <w:spacing w:val="-2"/>
          <w:szCs w:val="21"/>
        </w:rPr>
        <w:t>章</w:t>
      </w:r>
      <w:r>
        <w:rPr>
          <w:spacing w:val="3"/>
          <w:szCs w:val="21"/>
        </w:rPr>
        <w:t>）；</w:t>
      </w:r>
    </w:p>
    <w:p w14:paraId="3F699927">
      <w:pPr>
        <w:pStyle w:val="12"/>
        <w:numPr>
          <w:ilvl w:val="0"/>
          <w:numId w:val="48"/>
        </w:numPr>
        <w:spacing w:before="21" w:line="360" w:lineRule="auto"/>
        <w:ind w:firstLineChars="0"/>
        <w:rPr>
          <w:rFonts w:hint="eastAsia" w:ascii="Times New Roman" w:hAnsi="宋体" w:cs="宋体"/>
          <w:szCs w:val="21"/>
        </w:rPr>
      </w:pPr>
      <w:r>
        <w:rPr>
          <w:spacing w:val="-1"/>
          <w:szCs w:val="21"/>
        </w:rPr>
        <w:t>保留文件</w:t>
      </w:r>
      <w:r>
        <w:t>化</w:t>
      </w:r>
      <w:r>
        <w:rPr>
          <w:spacing w:val="-1"/>
          <w:szCs w:val="21"/>
        </w:rPr>
        <w:t>信息，作为审核方案实施和审核结果的证据。</w:t>
      </w:r>
    </w:p>
    <w:p w14:paraId="51253F97">
      <w:pPr>
        <w:pStyle w:val="12"/>
        <w:spacing w:line="360" w:lineRule="auto"/>
        <w:rPr>
          <w:szCs w:val="18"/>
        </w:rPr>
      </w:pPr>
      <w:r>
        <w:rPr>
          <w:szCs w:val="18"/>
        </w:rPr>
        <w:t>注：有关审核和审核</w:t>
      </w:r>
      <w:r>
        <w:rPr>
          <w:rFonts w:hint="eastAsia"/>
          <w:szCs w:val="18"/>
        </w:rPr>
        <w:t>员</w:t>
      </w:r>
      <w:r>
        <w:rPr>
          <w:szCs w:val="18"/>
        </w:rPr>
        <w:t>能力的更多信息参见GB/T 19011。</w:t>
      </w:r>
    </w:p>
    <w:p w14:paraId="1D055634">
      <w:pPr>
        <w:pStyle w:val="3"/>
        <w:numPr>
          <w:ilvl w:val="0"/>
          <w:numId w:val="40"/>
        </w:numPr>
        <w:spacing w:before="144" w:line="360" w:lineRule="auto"/>
        <w:ind w:firstLineChars="0"/>
        <w:rPr>
          <w:rFonts w:hint="eastAsia" w:ascii="Times New Roman"/>
          <w:szCs w:val="21"/>
        </w:rPr>
      </w:pPr>
      <w:r>
        <w:rPr>
          <w:spacing w:val="-1"/>
          <w:position w:val="-1"/>
          <w:szCs w:val="21"/>
        </w:rPr>
        <w:t>管理评审</w:t>
      </w:r>
    </w:p>
    <w:p w14:paraId="70C8D444">
      <w:pPr>
        <w:pStyle w:val="12"/>
        <w:spacing w:before="143" w:line="360" w:lineRule="auto"/>
        <w:ind w:firstLine="414"/>
        <w:rPr>
          <w:szCs w:val="21"/>
        </w:rPr>
      </w:pPr>
      <w:r>
        <w:rPr>
          <w:spacing w:val="-3"/>
          <w:szCs w:val="21"/>
        </w:rPr>
        <w:t>企业最高管理者（或最高管理者代表）应按策划的时间间隔对企业的</w:t>
      </w:r>
      <w:r>
        <w:rPr>
          <w:spacing w:val="-38"/>
          <w:szCs w:val="21"/>
        </w:rPr>
        <w:t xml:space="preserve"> </w:t>
      </w:r>
      <w:r>
        <w:rPr>
          <w:spacing w:val="-3"/>
          <w:szCs w:val="21"/>
        </w:rPr>
        <w:t>ESG</w:t>
      </w:r>
      <w:r>
        <w:rPr>
          <w:spacing w:val="-39"/>
          <w:szCs w:val="21"/>
        </w:rPr>
        <w:t xml:space="preserve"> </w:t>
      </w:r>
      <w:r>
        <w:rPr>
          <w:spacing w:val="-3"/>
          <w:szCs w:val="21"/>
        </w:rPr>
        <w:t>管理体系进行评审，以确</w:t>
      </w:r>
      <w:r>
        <w:rPr>
          <w:szCs w:val="21"/>
        </w:rPr>
        <w:t xml:space="preserve"> </w:t>
      </w:r>
      <w:r>
        <w:rPr>
          <w:spacing w:val="-1"/>
          <w:szCs w:val="21"/>
        </w:rPr>
        <w:t>保其持续的适宜性、充分性和有效性。</w:t>
      </w:r>
    </w:p>
    <w:p w14:paraId="63842A90">
      <w:pPr>
        <w:pStyle w:val="12"/>
        <w:spacing w:line="360" w:lineRule="auto"/>
        <w:ind w:firstLine="414"/>
        <w:rPr>
          <w:szCs w:val="21"/>
        </w:rPr>
      </w:pPr>
      <w:r>
        <w:rPr>
          <w:spacing w:val="-3"/>
          <w:szCs w:val="21"/>
        </w:rPr>
        <w:t>管理评审应包括对下列事项的考虑：</w:t>
      </w:r>
    </w:p>
    <w:p w14:paraId="6061CBE0">
      <w:pPr>
        <w:pStyle w:val="12"/>
        <w:numPr>
          <w:ilvl w:val="0"/>
          <w:numId w:val="49"/>
        </w:numPr>
        <w:spacing w:before="24" w:line="360" w:lineRule="auto"/>
        <w:ind w:firstLineChars="0"/>
        <w:rPr>
          <w:rFonts w:hint="eastAsia" w:ascii="Times New Roman" w:hAnsi="宋体" w:cs="宋体"/>
          <w:szCs w:val="21"/>
        </w:rPr>
      </w:pPr>
      <w:r>
        <w:rPr>
          <w:spacing w:val="-5"/>
          <w:szCs w:val="21"/>
        </w:rPr>
        <w:t>以往管理评审采取措施的状况；</w:t>
      </w:r>
    </w:p>
    <w:p w14:paraId="22D729FE">
      <w:pPr>
        <w:pStyle w:val="12"/>
        <w:numPr>
          <w:ilvl w:val="0"/>
          <w:numId w:val="49"/>
        </w:numPr>
        <w:spacing w:before="20" w:line="360" w:lineRule="auto"/>
        <w:ind w:firstLineChars="0"/>
        <w:rPr>
          <w:rFonts w:hint="eastAsia" w:ascii="Times New Roman" w:hAnsi="宋体" w:cs="宋体"/>
          <w:szCs w:val="21"/>
        </w:rPr>
      </w:pPr>
      <w:r>
        <w:rPr>
          <w:szCs w:val="21"/>
        </w:rPr>
        <w:t>来自其他相关管理体系的管理评审的输出信息；</w:t>
      </w:r>
    </w:p>
    <w:p w14:paraId="3372B20B">
      <w:pPr>
        <w:pStyle w:val="12"/>
        <w:numPr>
          <w:ilvl w:val="0"/>
          <w:numId w:val="49"/>
        </w:numPr>
        <w:spacing w:before="23" w:line="360" w:lineRule="auto"/>
        <w:ind w:firstLineChars="0"/>
        <w:rPr>
          <w:rFonts w:hint="eastAsia" w:ascii="Times New Roman" w:hAnsi="宋体" w:cs="宋体"/>
          <w:szCs w:val="21"/>
        </w:rPr>
      </w:pPr>
      <w:r>
        <w:rPr>
          <w:spacing w:val="-2"/>
          <w:szCs w:val="21"/>
        </w:rPr>
        <w:t>与</w:t>
      </w:r>
      <w:r>
        <w:rPr>
          <w:spacing w:val="-37"/>
          <w:szCs w:val="21"/>
        </w:rPr>
        <w:t xml:space="preserve"> </w:t>
      </w:r>
      <w:r>
        <w:rPr>
          <w:spacing w:val="-2"/>
          <w:szCs w:val="21"/>
        </w:rPr>
        <w:t>ESG</w:t>
      </w:r>
      <w:r>
        <w:rPr>
          <w:spacing w:val="-41"/>
          <w:szCs w:val="21"/>
        </w:rPr>
        <w:t xml:space="preserve"> </w:t>
      </w:r>
      <w:r>
        <w:rPr>
          <w:spacing w:val="-2"/>
          <w:szCs w:val="21"/>
        </w:rPr>
        <w:t>管理体系相关的内部和外部环境的变化，包括：</w:t>
      </w:r>
    </w:p>
    <w:p w14:paraId="52250F62">
      <w:pPr>
        <w:pStyle w:val="12"/>
        <w:numPr>
          <w:ilvl w:val="0"/>
          <w:numId w:val="50"/>
        </w:numPr>
        <w:spacing w:before="20" w:line="360" w:lineRule="auto"/>
        <w:ind w:firstLineChars="0"/>
        <w:rPr>
          <w:rFonts w:hint="eastAsia" w:ascii="Times New Roman" w:hAnsi="宋体" w:cs="宋体"/>
          <w:szCs w:val="21"/>
        </w:rPr>
      </w:pPr>
      <w:r>
        <w:rPr>
          <w:spacing w:val="-1"/>
          <w:szCs w:val="21"/>
        </w:rPr>
        <w:t>利益相关方的需求和期望；</w:t>
      </w:r>
    </w:p>
    <w:p w14:paraId="72CC1610">
      <w:pPr>
        <w:pStyle w:val="12"/>
        <w:numPr>
          <w:ilvl w:val="0"/>
          <w:numId w:val="50"/>
        </w:numPr>
        <w:spacing w:before="22" w:line="360" w:lineRule="auto"/>
        <w:ind w:firstLineChars="0"/>
      </w:pPr>
      <w:r>
        <w:rPr>
          <w:spacing w:val="-1"/>
          <w:szCs w:val="21"/>
        </w:rPr>
        <w:t>法律法规要求和其他要求；</w:t>
      </w:r>
    </w:p>
    <w:p w14:paraId="1A77607F">
      <w:pPr>
        <w:pStyle w:val="12"/>
        <w:numPr>
          <w:ilvl w:val="0"/>
          <w:numId w:val="50"/>
        </w:numPr>
        <w:spacing w:before="20" w:line="360" w:lineRule="auto"/>
        <w:ind w:firstLineChars="0"/>
        <w:rPr>
          <w:rFonts w:hint="eastAsia" w:ascii="Times New Roman" w:hAnsi="宋体" w:cs="宋体"/>
          <w:szCs w:val="21"/>
        </w:rPr>
      </w:pPr>
      <w:r>
        <w:rPr>
          <w:spacing w:val="-2"/>
          <w:szCs w:val="21"/>
        </w:rPr>
        <w:t>ESG</w:t>
      </w:r>
      <w:r>
        <w:rPr>
          <w:spacing w:val="-32"/>
          <w:szCs w:val="21"/>
        </w:rPr>
        <w:t xml:space="preserve"> </w:t>
      </w:r>
      <w:r>
        <w:rPr>
          <w:spacing w:val="-2"/>
          <w:szCs w:val="21"/>
        </w:rPr>
        <w:t>风险和机遇；</w:t>
      </w:r>
    </w:p>
    <w:p w14:paraId="70BDA533">
      <w:pPr>
        <w:pStyle w:val="12"/>
        <w:numPr>
          <w:ilvl w:val="0"/>
          <w:numId w:val="50"/>
        </w:numPr>
        <w:spacing w:before="23" w:line="360" w:lineRule="auto"/>
        <w:ind w:firstLineChars="0"/>
        <w:rPr>
          <w:rFonts w:hint="eastAsia" w:ascii="Times New Roman" w:hAnsi="宋体" w:cs="宋体"/>
          <w:szCs w:val="21"/>
        </w:rPr>
      </w:pPr>
      <w:r>
        <w:rPr>
          <w:spacing w:val="-2"/>
          <w:szCs w:val="21"/>
        </w:rPr>
        <w:t>其他相关管理体系或业务过程。</w:t>
      </w:r>
    </w:p>
    <w:p w14:paraId="36779727">
      <w:pPr>
        <w:pStyle w:val="12"/>
        <w:numPr>
          <w:ilvl w:val="0"/>
          <w:numId w:val="49"/>
        </w:numPr>
        <w:spacing w:before="20" w:line="360" w:lineRule="auto"/>
        <w:ind w:firstLineChars="0"/>
        <w:rPr>
          <w:rFonts w:hint="eastAsia" w:ascii="Times New Roman" w:hAnsi="宋体" w:cs="宋体"/>
          <w:szCs w:val="21"/>
        </w:rPr>
      </w:pPr>
      <w:r>
        <w:rPr>
          <w:spacing w:val="-3"/>
          <w:szCs w:val="21"/>
        </w:rPr>
        <w:t>ESG</w:t>
      </w:r>
      <w:r>
        <w:rPr>
          <w:spacing w:val="-43"/>
          <w:szCs w:val="21"/>
        </w:rPr>
        <w:t xml:space="preserve"> </w:t>
      </w:r>
      <w:r>
        <w:rPr>
          <w:spacing w:val="-3"/>
          <w:szCs w:val="21"/>
        </w:rPr>
        <w:t>方针和</w:t>
      </w:r>
      <w:r>
        <w:rPr>
          <w:spacing w:val="-49"/>
          <w:szCs w:val="21"/>
        </w:rPr>
        <w:t xml:space="preserve"> </w:t>
      </w:r>
      <w:r>
        <w:rPr>
          <w:spacing w:val="-3"/>
          <w:szCs w:val="21"/>
        </w:rPr>
        <w:t>ESG 目标的实现程</w:t>
      </w:r>
      <w:r>
        <w:rPr>
          <w:spacing w:val="-4"/>
          <w:szCs w:val="21"/>
        </w:rPr>
        <w:t>度；</w:t>
      </w:r>
    </w:p>
    <w:p w14:paraId="24EE964D">
      <w:pPr>
        <w:pStyle w:val="12"/>
        <w:numPr>
          <w:ilvl w:val="0"/>
          <w:numId w:val="49"/>
        </w:numPr>
        <w:spacing w:before="22" w:line="360" w:lineRule="auto"/>
        <w:ind w:firstLineChars="0"/>
        <w:rPr>
          <w:rFonts w:hint="eastAsia" w:ascii="Times New Roman" w:hAnsi="宋体" w:cs="宋体"/>
          <w:szCs w:val="21"/>
        </w:rPr>
      </w:pPr>
      <w:r>
        <w:rPr>
          <w:spacing w:val="-2"/>
          <w:szCs w:val="21"/>
        </w:rPr>
        <w:t>ESG</w:t>
      </w:r>
      <w:r>
        <w:rPr>
          <w:spacing w:val="-30"/>
          <w:szCs w:val="21"/>
        </w:rPr>
        <w:t xml:space="preserve"> </w:t>
      </w:r>
      <w:r>
        <w:rPr>
          <w:spacing w:val="-2"/>
          <w:szCs w:val="21"/>
        </w:rPr>
        <w:t>绩效方面的信息，包括以下方面的趋势：</w:t>
      </w:r>
    </w:p>
    <w:p w14:paraId="7008C75C">
      <w:pPr>
        <w:pStyle w:val="12"/>
        <w:numPr>
          <w:ilvl w:val="0"/>
          <w:numId w:val="51"/>
        </w:numPr>
        <w:spacing w:before="20" w:line="360" w:lineRule="auto"/>
        <w:ind w:firstLineChars="0"/>
        <w:rPr>
          <w:rFonts w:hint="eastAsia" w:ascii="Times New Roman" w:hAnsi="宋体" w:cs="宋体"/>
          <w:szCs w:val="21"/>
        </w:rPr>
      </w:pPr>
      <w:r>
        <w:rPr>
          <w:spacing w:val="-1"/>
          <w:szCs w:val="21"/>
        </w:rPr>
        <w:t>事件、不符合、纠正措施和持续改进；</w:t>
      </w:r>
    </w:p>
    <w:p w14:paraId="1BD507E4">
      <w:pPr>
        <w:pStyle w:val="12"/>
        <w:numPr>
          <w:ilvl w:val="0"/>
          <w:numId w:val="51"/>
        </w:numPr>
        <w:spacing w:before="23" w:line="360" w:lineRule="auto"/>
        <w:ind w:firstLineChars="0"/>
        <w:rPr>
          <w:rFonts w:hint="eastAsia" w:ascii="Times New Roman" w:hAnsi="宋体" w:cs="宋体"/>
          <w:szCs w:val="21"/>
        </w:rPr>
      </w:pPr>
      <w:r>
        <w:rPr>
          <w:spacing w:val="-3"/>
          <w:szCs w:val="21"/>
        </w:rPr>
        <w:t>监视和测量的结果；</w:t>
      </w:r>
    </w:p>
    <w:p w14:paraId="569C65DB">
      <w:pPr>
        <w:pStyle w:val="12"/>
        <w:numPr>
          <w:ilvl w:val="0"/>
          <w:numId w:val="51"/>
        </w:numPr>
        <w:spacing w:before="20" w:line="360" w:lineRule="auto"/>
        <w:ind w:firstLineChars="0"/>
        <w:rPr>
          <w:rFonts w:hint="eastAsia" w:ascii="Times New Roman" w:hAnsi="宋体" w:cs="宋体"/>
          <w:szCs w:val="21"/>
        </w:rPr>
      </w:pPr>
      <w:r>
        <w:rPr>
          <w:szCs w:val="21"/>
        </w:rPr>
        <w:t>对法律法规要求和其他要求的合规性评</w:t>
      </w:r>
      <w:r>
        <w:rPr>
          <w:spacing w:val="-1"/>
          <w:szCs w:val="21"/>
        </w:rPr>
        <w:t>价结果；</w:t>
      </w:r>
    </w:p>
    <w:p w14:paraId="48FC6CF5">
      <w:pPr>
        <w:pStyle w:val="12"/>
        <w:numPr>
          <w:ilvl w:val="0"/>
          <w:numId w:val="51"/>
        </w:numPr>
        <w:spacing w:before="22" w:line="360" w:lineRule="auto"/>
        <w:ind w:firstLineChars="0"/>
        <w:rPr>
          <w:rFonts w:hint="eastAsia" w:ascii="Times New Roman" w:hAnsi="宋体" w:cs="宋体"/>
          <w:szCs w:val="21"/>
        </w:rPr>
      </w:pPr>
      <w:r>
        <w:rPr>
          <w:spacing w:val="-7"/>
          <w:szCs w:val="21"/>
        </w:rPr>
        <w:t>审核结果；</w:t>
      </w:r>
    </w:p>
    <w:p w14:paraId="16ECCA26">
      <w:pPr>
        <w:pStyle w:val="12"/>
        <w:numPr>
          <w:ilvl w:val="0"/>
          <w:numId w:val="51"/>
        </w:numPr>
        <w:spacing w:before="22" w:line="360" w:lineRule="auto"/>
        <w:ind w:firstLineChars="0"/>
        <w:rPr>
          <w:rFonts w:hint="eastAsia" w:ascii="Times New Roman" w:hAnsi="宋体" w:cs="宋体"/>
          <w:szCs w:val="21"/>
        </w:rPr>
      </w:pPr>
      <w:r>
        <w:rPr>
          <w:spacing w:val="-1"/>
          <w:szCs w:val="21"/>
        </w:rPr>
        <w:t>利益相关方的协商和参与；</w:t>
      </w:r>
    </w:p>
    <w:p w14:paraId="1513D0CD">
      <w:pPr>
        <w:pStyle w:val="12"/>
        <w:numPr>
          <w:ilvl w:val="0"/>
          <w:numId w:val="51"/>
        </w:numPr>
        <w:spacing w:before="20" w:line="360" w:lineRule="auto"/>
        <w:ind w:firstLineChars="0"/>
        <w:rPr>
          <w:rFonts w:hint="eastAsia" w:ascii="Times New Roman" w:hAnsi="宋体" w:cs="宋体"/>
          <w:szCs w:val="21"/>
        </w:rPr>
      </w:pPr>
      <w:r>
        <w:rPr>
          <w:spacing w:val="-1"/>
          <w:szCs w:val="21"/>
        </w:rPr>
        <w:t>ESG</w:t>
      </w:r>
      <w:r>
        <w:rPr>
          <w:spacing w:val="-43"/>
          <w:szCs w:val="21"/>
        </w:rPr>
        <w:t xml:space="preserve"> </w:t>
      </w:r>
      <w:r>
        <w:rPr>
          <w:spacing w:val="-1"/>
          <w:szCs w:val="21"/>
        </w:rPr>
        <w:t>风险和机遇；</w:t>
      </w:r>
    </w:p>
    <w:p w14:paraId="343DF668">
      <w:pPr>
        <w:pStyle w:val="12"/>
        <w:numPr>
          <w:ilvl w:val="0"/>
          <w:numId w:val="51"/>
        </w:numPr>
        <w:spacing w:line="360" w:lineRule="auto"/>
        <w:ind w:firstLineChars="0"/>
        <w:rPr>
          <w:rFonts w:hint="eastAsia" w:ascii="Times New Roman" w:hAnsi="宋体" w:cs="宋体"/>
          <w:szCs w:val="21"/>
        </w:rPr>
      </w:pPr>
      <w:r>
        <w:t>可持续发展报告编制、披露及（适用时）第三方鉴证的情况。</w:t>
      </w:r>
    </w:p>
    <w:p w14:paraId="4822B485">
      <w:pPr>
        <w:pStyle w:val="12"/>
        <w:numPr>
          <w:ilvl w:val="0"/>
          <w:numId w:val="49"/>
        </w:numPr>
        <w:spacing w:before="68" w:line="360" w:lineRule="auto"/>
        <w:ind w:firstLineChars="0"/>
        <w:rPr>
          <w:rFonts w:hint="eastAsia" w:ascii="Times New Roman" w:hAnsi="宋体" w:cs="宋体"/>
          <w:szCs w:val="21"/>
        </w:rPr>
      </w:pPr>
      <w:r>
        <w:rPr>
          <w:spacing w:val="-2"/>
          <w:szCs w:val="21"/>
        </w:rPr>
        <w:t>保持有效的</w:t>
      </w:r>
      <w:r>
        <w:rPr>
          <w:spacing w:val="-40"/>
          <w:szCs w:val="21"/>
        </w:rPr>
        <w:t xml:space="preserve"> </w:t>
      </w:r>
      <w:r>
        <w:rPr>
          <w:spacing w:val="-2"/>
          <w:szCs w:val="21"/>
        </w:rPr>
        <w:t>ESG</w:t>
      </w:r>
      <w:r>
        <w:rPr>
          <w:spacing w:val="-41"/>
          <w:szCs w:val="21"/>
        </w:rPr>
        <w:t xml:space="preserve"> </w:t>
      </w:r>
      <w:r>
        <w:rPr>
          <w:spacing w:val="-2"/>
          <w:szCs w:val="21"/>
        </w:rPr>
        <w:t>管理体系所需资源的充分性；</w:t>
      </w:r>
    </w:p>
    <w:p w14:paraId="767429C1">
      <w:pPr>
        <w:pStyle w:val="12"/>
        <w:numPr>
          <w:ilvl w:val="0"/>
          <w:numId w:val="49"/>
        </w:numPr>
        <w:spacing w:before="22" w:line="360" w:lineRule="auto"/>
        <w:ind w:firstLineChars="0"/>
        <w:rPr>
          <w:rFonts w:hint="eastAsia" w:ascii="Times New Roman" w:hAnsi="宋体" w:cs="宋体"/>
          <w:szCs w:val="21"/>
        </w:rPr>
      </w:pPr>
      <w:r>
        <w:rPr>
          <w:spacing w:val="-1"/>
          <w:szCs w:val="21"/>
        </w:rPr>
        <w:t>保持</w:t>
      </w:r>
      <w:r>
        <w:rPr>
          <w:spacing w:val="-46"/>
          <w:szCs w:val="21"/>
        </w:rPr>
        <w:t xml:space="preserve"> </w:t>
      </w:r>
      <w:r>
        <w:rPr>
          <w:spacing w:val="-1"/>
          <w:szCs w:val="21"/>
        </w:rPr>
        <w:t>ESG</w:t>
      </w:r>
      <w:r>
        <w:rPr>
          <w:spacing w:val="-39"/>
          <w:szCs w:val="21"/>
        </w:rPr>
        <w:t xml:space="preserve"> </w:t>
      </w:r>
      <w:r>
        <w:rPr>
          <w:spacing w:val="-1"/>
          <w:szCs w:val="21"/>
        </w:rPr>
        <w:t>管理体系与其他相关管理体系之间对接和协调的有效</w:t>
      </w:r>
      <w:r>
        <w:rPr>
          <w:spacing w:val="-2"/>
          <w:szCs w:val="21"/>
        </w:rPr>
        <w:t>性和充分性；</w:t>
      </w:r>
    </w:p>
    <w:p w14:paraId="6172D057">
      <w:pPr>
        <w:pStyle w:val="12"/>
        <w:numPr>
          <w:ilvl w:val="0"/>
          <w:numId w:val="49"/>
        </w:numPr>
        <w:spacing w:before="27" w:line="360" w:lineRule="auto"/>
        <w:ind w:firstLineChars="0"/>
        <w:rPr>
          <w:rFonts w:hint="eastAsia" w:ascii="Times New Roman" w:hAnsi="宋体" w:cs="宋体"/>
          <w:szCs w:val="21"/>
        </w:rPr>
      </w:pPr>
      <w:r>
        <w:rPr>
          <w:szCs w:val="21"/>
        </w:rPr>
        <w:t>与利益相关方的有关沟通；</w:t>
      </w:r>
    </w:p>
    <w:p w14:paraId="0CAF83EF">
      <w:pPr>
        <w:pStyle w:val="12"/>
        <w:numPr>
          <w:ilvl w:val="0"/>
          <w:numId w:val="49"/>
        </w:numPr>
        <w:spacing w:before="21" w:line="360" w:lineRule="auto"/>
        <w:ind w:firstLineChars="0"/>
        <w:rPr>
          <w:rFonts w:hint="eastAsia" w:ascii="Times New Roman" w:hAnsi="宋体" w:cs="宋体"/>
          <w:szCs w:val="21"/>
        </w:rPr>
      </w:pPr>
      <w:r>
        <w:rPr>
          <w:spacing w:val="-3"/>
          <w:szCs w:val="21"/>
        </w:rPr>
        <w:t>持续改进的机会。</w:t>
      </w:r>
    </w:p>
    <w:p w14:paraId="446511A2">
      <w:pPr>
        <w:pStyle w:val="12"/>
        <w:spacing w:before="20" w:line="360" w:lineRule="auto"/>
        <w:ind w:firstLine="418"/>
        <w:rPr>
          <w:szCs w:val="21"/>
        </w:rPr>
      </w:pPr>
      <w:r>
        <w:rPr>
          <w:spacing w:val="-1"/>
          <w:szCs w:val="21"/>
        </w:rPr>
        <w:t>管理评审的输出应包括与下列事项有关的决定：</w:t>
      </w:r>
    </w:p>
    <w:p w14:paraId="74625B53">
      <w:pPr>
        <w:pStyle w:val="12"/>
        <w:spacing w:before="22" w:line="360" w:lineRule="auto"/>
        <w:ind w:firstLine="418"/>
        <w:rPr>
          <w:szCs w:val="21"/>
        </w:rPr>
      </w:pPr>
      <w:r>
        <w:rPr>
          <w:spacing w:val="-1"/>
          <w:szCs w:val="21"/>
        </w:rPr>
        <w:t>——ESG</w:t>
      </w:r>
      <w:r>
        <w:rPr>
          <w:spacing w:val="-38"/>
          <w:szCs w:val="21"/>
        </w:rPr>
        <w:t xml:space="preserve"> </w:t>
      </w:r>
      <w:r>
        <w:rPr>
          <w:spacing w:val="-1"/>
          <w:szCs w:val="21"/>
        </w:rPr>
        <w:t>管理体系在实现其预期结果方面的持续适宜性、充分性和有效性；</w:t>
      </w:r>
    </w:p>
    <w:p w14:paraId="7C56796F">
      <w:pPr>
        <w:pStyle w:val="12"/>
        <w:spacing w:before="21" w:line="360" w:lineRule="auto"/>
        <w:rPr>
          <w:szCs w:val="21"/>
        </w:rPr>
      </w:pPr>
      <w:r>
        <w:rPr>
          <w:szCs w:val="21"/>
        </w:rPr>
        <w:t>——持续改进的机会；</w:t>
      </w:r>
    </w:p>
    <w:p w14:paraId="1C7D81F3">
      <w:pPr>
        <w:pStyle w:val="12"/>
        <w:spacing w:before="23" w:line="360" w:lineRule="auto"/>
        <w:ind w:firstLine="418"/>
        <w:rPr>
          <w:szCs w:val="21"/>
        </w:rPr>
      </w:pPr>
      <w:r>
        <w:rPr>
          <w:spacing w:val="-1"/>
          <w:szCs w:val="21"/>
        </w:rPr>
        <w:t>——任何对</w:t>
      </w:r>
      <w:r>
        <w:rPr>
          <w:spacing w:val="-42"/>
          <w:szCs w:val="21"/>
        </w:rPr>
        <w:t xml:space="preserve"> </w:t>
      </w:r>
      <w:r>
        <w:rPr>
          <w:spacing w:val="-1"/>
          <w:szCs w:val="21"/>
        </w:rPr>
        <w:t>ESG</w:t>
      </w:r>
      <w:r>
        <w:rPr>
          <w:spacing w:val="-41"/>
          <w:szCs w:val="21"/>
        </w:rPr>
        <w:t xml:space="preserve"> </w:t>
      </w:r>
      <w:r>
        <w:rPr>
          <w:spacing w:val="-1"/>
          <w:szCs w:val="21"/>
        </w:rPr>
        <w:t>管理体系变更的需求；</w:t>
      </w:r>
    </w:p>
    <w:p w14:paraId="15EF0D0A">
      <w:pPr>
        <w:pStyle w:val="12"/>
        <w:spacing w:before="21" w:line="360" w:lineRule="auto"/>
        <w:ind w:firstLine="414"/>
        <w:rPr>
          <w:szCs w:val="21"/>
        </w:rPr>
      </w:pPr>
      <w:r>
        <w:rPr>
          <w:spacing w:val="-3"/>
          <w:szCs w:val="21"/>
        </w:rPr>
        <w:t>——所需资源；</w:t>
      </w:r>
    </w:p>
    <w:p w14:paraId="0ED3F03C">
      <w:pPr>
        <w:pStyle w:val="12"/>
        <w:spacing w:before="20" w:line="360" w:lineRule="auto"/>
        <w:rPr>
          <w:szCs w:val="21"/>
        </w:rPr>
      </w:pPr>
      <w:r>
        <w:rPr>
          <w:szCs w:val="21"/>
        </w:rPr>
        <w:t>——所需措施（如需要</w:t>
      </w:r>
      <w:r>
        <w:rPr>
          <w:spacing w:val="1"/>
          <w:szCs w:val="21"/>
        </w:rPr>
        <w:t>）；</w:t>
      </w:r>
    </w:p>
    <w:p w14:paraId="73B3D8BA">
      <w:pPr>
        <w:pStyle w:val="12"/>
        <w:spacing w:before="23" w:line="360" w:lineRule="auto"/>
        <w:ind w:right="275"/>
        <w:rPr>
          <w:szCs w:val="21"/>
        </w:rPr>
      </w:pPr>
      <w:r>
        <w:rPr>
          <w:szCs w:val="21"/>
        </w:rPr>
        <w:t>——改进</w:t>
      </w:r>
      <w:r>
        <w:rPr>
          <w:spacing w:val="-46"/>
          <w:szCs w:val="21"/>
        </w:rPr>
        <w:t xml:space="preserve"> </w:t>
      </w:r>
      <w:r>
        <w:rPr>
          <w:szCs w:val="21"/>
        </w:rPr>
        <w:t>ESG</w:t>
      </w:r>
      <w:r>
        <w:rPr>
          <w:spacing w:val="-39"/>
          <w:szCs w:val="21"/>
        </w:rPr>
        <w:t xml:space="preserve"> </w:t>
      </w:r>
      <w:r>
        <w:rPr>
          <w:szCs w:val="21"/>
        </w:rPr>
        <w:t>管理体系与其他相关管理体系（如安全管理体系等）和</w:t>
      </w:r>
      <w:r>
        <w:rPr>
          <w:spacing w:val="-1"/>
          <w:szCs w:val="21"/>
        </w:rPr>
        <w:t>业务过程之间对接、协调和</w:t>
      </w:r>
      <w:r>
        <w:rPr>
          <w:szCs w:val="21"/>
        </w:rPr>
        <w:t xml:space="preserve"> </w:t>
      </w:r>
      <w:r>
        <w:rPr>
          <w:spacing w:val="-2"/>
          <w:szCs w:val="21"/>
        </w:rPr>
        <w:t>融合的机会；</w:t>
      </w:r>
    </w:p>
    <w:p w14:paraId="558E5AD8">
      <w:pPr>
        <w:pStyle w:val="12"/>
        <w:spacing w:line="360" w:lineRule="auto"/>
        <w:ind w:firstLine="418"/>
        <w:rPr>
          <w:szCs w:val="21"/>
        </w:rPr>
      </w:pPr>
      <w:r>
        <w:rPr>
          <w:spacing w:val="-1"/>
          <w:szCs w:val="21"/>
        </w:rPr>
        <w:t>——对企业其他相关管理体系和业务过程的任何影响；</w:t>
      </w:r>
    </w:p>
    <w:p w14:paraId="513FF34C">
      <w:pPr>
        <w:pStyle w:val="12"/>
        <w:spacing w:before="20" w:line="360" w:lineRule="auto"/>
        <w:ind w:firstLine="418"/>
        <w:rPr>
          <w:szCs w:val="21"/>
        </w:rPr>
      </w:pPr>
      <w:r>
        <w:rPr>
          <w:spacing w:val="-1"/>
          <w:szCs w:val="21"/>
        </w:rPr>
        <w:t>——对企业发展方向的任何影响。</w:t>
      </w:r>
    </w:p>
    <w:p w14:paraId="1D659ADB">
      <w:pPr>
        <w:pStyle w:val="12"/>
        <w:spacing w:before="24" w:line="360" w:lineRule="auto"/>
        <w:ind w:right="177" w:firstLine="416"/>
        <w:rPr>
          <w:szCs w:val="21"/>
        </w:rPr>
      </w:pPr>
      <w:r>
        <w:rPr>
          <w:spacing w:val="-2"/>
          <w:szCs w:val="21"/>
        </w:rPr>
        <w:t>最高管理者（或最高管理者代表）应就相关的管理评审输</w:t>
      </w:r>
      <w:r>
        <w:rPr>
          <w:spacing w:val="-3"/>
          <w:szCs w:val="21"/>
        </w:rPr>
        <w:t>出与利益相关方及其代表（若有）进行沟</w:t>
      </w:r>
      <w:r>
        <w:rPr>
          <w:szCs w:val="21"/>
        </w:rPr>
        <w:t xml:space="preserve"> </w:t>
      </w:r>
      <w:r>
        <w:rPr>
          <w:spacing w:val="-5"/>
          <w:szCs w:val="21"/>
        </w:rPr>
        <w:t>通（见</w:t>
      </w:r>
      <w:r>
        <w:rPr>
          <w:spacing w:val="-35"/>
          <w:szCs w:val="21"/>
        </w:rPr>
        <w:t xml:space="preserve"> </w:t>
      </w:r>
      <w:r>
        <w:rPr>
          <w:spacing w:val="-5"/>
          <w:szCs w:val="21"/>
        </w:rPr>
        <w:t>7.4）。</w:t>
      </w:r>
    </w:p>
    <w:p w14:paraId="5DF27AC7">
      <w:pPr>
        <w:pStyle w:val="12"/>
        <w:spacing w:before="1" w:line="360" w:lineRule="auto"/>
        <w:ind w:right="177" w:firstLine="416"/>
        <w:rPr>
          <w:szCs w:val="21"/>
        </w:rPr>
      </w:pPr>
      <w:r>
        <w:rPr>
          <w:spacing w:val="-2"/>
          <w:szCs w:val="21"/>
        </w:rPr>
        <w:t>企业应确保相关管理评审的输出输入到相关管理体系和业</w:t>
      </w:r>
      <w:r>
        <w:rPr>
          <w:spacing w:val="-3"/>
          <w:szCs w:val="21"/>
        </w:rPr>
        <w:t>务过程中；应保留文件</w:t>
      </w:r>
      <w:r>
        <w:rPr>
          <w:rFonts w:hint="eastAsia"/>
          <w:spacing w:val="-3"/>
          <w:szCs w:val="21"/>
        </w:rPr>
        <w:t>化</w:t>
      </w:r>
      <w:r>
        <w:rPr>
          <w:spacing w:val="-3"/>
          <w:szCs w:val="21"/>
        </w:rPr>
        <w:t>信息，以此作为</w:t>
      </w:r>
      <w:r>
        <w:rPr>
          <w:spacing w:val="-1"/>
          <w:szCs w:val="21"/>
        </w:rPr>
        <w:t>管理评审结果的证据。</w:t>
      </w:r>
    </w:p>
    <w:p w14:paraId="3A5D1F7A">
      <w:pPr>
        <w:pStyle w:val="3"/>
        <w:numPr>
          <w:ilvl w:val="0"/>
          <w:numId w:val="40"/>
        </w:numPr>
        <w:spacing w:before="118" w:line="360" w:lineRule="auto"/>
        <w:ind w:firstLineChars="0"/>
        <w:rPr>
          <w:rFonts w:hint="eastAsia" w:ascii="Times New Roman"/>
          <w:szCs w:val="21"/>
        </w:rPr>
      </w:pPr>
      <w:r>
        <w:rPr>
          <w:spacing w:val="1"/>
          <w:position w:val="-1"/>
          <w:szCs w:val="21"/>
        </w:rPr>
        <w:t>外部评价</w:t>
      </w:r>
    </w:p>
    <w:p w14:paraId="218D567A">
      <w:pPr>
        <w:pStyle w:val="12"/>
        <w:spacing w:before="142" w:line="360" w:lineRule="auto"/>
        <w:ind w:right="179" w:firstLine="416"/>
        <w:rPr>
          <w:szCs w:val="21"/>
        </w:rPr>
      </w:pPr>
      <w:r>
        <w:rPr>
          <w:rFonts w:hint="eastAsia"/>
          <w:spacing w:val="-2"/>
          <w:szCs w:val="21"/>
        </w:rPr>
        <w:t>外部评价</w:t>
      </w:r>
      <w:r>
        <w:rPr>
          <w:spacing w:val="-2"/>
          <w:szCs w:val="21"/>
        </w:rPr>
        <w:t>主要由第三方进行。如需开展第三方认证审核，企业应</w:t>
      </w:r>
      <w:r>
        <w:rPr>
          <w:spacing w:val="-3"/>
          <w:szCs w:val="21"/>
        </w:rPr>
        <w:t>建立、实施和保持接受第三方认证审核的过</w:t>
      </w:r>
      <w:r>
        <w:rPr>
          <w:szCs w:val="21"/>
        </w:rPr>
        <w:t xml:space="preserve"> </w:t>
      </w:r>
      <w:r>
        <w:rPr>
          <w:spacing w:val="-1"/>
          <w:szCs w:val="21"/>
        </w:rPr>
        <w:t>程，以提供以下信息：</w:t>
      </w:r>
    </w:p>
    <w:p w14:paraId="463B40EA">
      <w:pPr>
        <w:pStyle w:val="12"/>
        <w:numPr>
          <w:ilvl w:val="0"/>
          <w:numId w:val="52"/>
        </w:numPr>
        <w:spacing w:before="1" w:line="360" w:lineRule="auto"/>
        <w:ind w:firstLineChars="0"/>
        <w:rPr>
          <w:rFonts w:hint="eastAsia" w:ascii="Times New Roman" w:hAnsi="宋体" w:cs="宋体"/>
          <w:szCs w:val="21"/>
        </w:rPr>
      </w:pPr>
      <w:r>
        <w:rPr>
          <w:spacing w:val="-2"/>
          <w:szCs w:val="21"/>
        </w:rPr>
        <w:t>应遵守的法律法规要求和其他要求；</w:t>
      </w:r>
    </w:p>
    <w:p w14:paraId="6A362C7E">
      <w:pPr>
        <w:pStyle w:val="12"/>
        <w:numPr>
          <w:ilvl w:val="0"/>
          <w:numId w:val="52"/>
        </w:numPr>
        <w:spacing w:before="22" w:line="360" w:lineRule="auto"/>
        <w:ind w:firstLineChars="0"/>
        <w:rPr>
          <w:rFonts w:hint="eastAsia" w:ascii="Times New Roman" w:hAnsi="宋体" w:cs="宋体"/>
          <w:szCs w:val="21"/>
        </w:rPr>
      </w:pPr>
      <w:r>
        <w:rPr>
          <w:szCs w:val="21"/>
        </w:rPr>
        <w:t>ESG</w:t>
      </w:r>
      <w:r>
        <w:rPr>
          <w:spacing w:val="-39"/>
          <w:szCs w:val="21"/>
        </w:rPr>
        <w:t xml:space="preserve"> </w:t>
      </w:r>
      <w:r>
        <w:rPr>
          <w:szCs w:val="21"/>
        </w:rPr>
        <w:t>管理体系策划、建立、运行和持续改进的</w:t>
      </w:r>
      <w:r>
        <w:rPr>
          <w:spacing w:val="-1"/>
          <w:szCs w:val="21"/>
        </w:rPr>
        <w:t>文件化信息；</w:t>
      </w:r>
    </w:p>
    <w:p w14:paraId="3B55D5A9">
      <w:pPr>
        <w:pStyle w:val="12"/>
        <w:numPr>
          <w:ilvl w:val="0"/>
          <w:numId w:val="52"/>
        </w:numPr>
        <w:spacing w:before="20" w:line="360" w:lineRule="auto"/>
        <w:ind w:firstLineChars="0"/>
        <w:rPr>
          <w:rFonts w:hint="eastAsia" w:ascii="Times New Roman" w:hAnsi="宋体" w:cs="宋体"/>
          <w:szCs w:val="21"/>
        </w:rPr>
      </w:pPr>
      <w:r>
        <w:rPr>
          <w:szCs w:val="21"/>
        </w:rPr>
        <w:t>其他用于第三方认证审核所需提供的信</w:t>
      </w:r>
      <w:r>
        <w:rPr>
          <w:spacing w:val="-1"/>
          <w:szCs w:val="21"/>
        </w:rPr>
        <w:t>息。</w:t>
      </w:r>
    </w:p>
    <w:p w14:paraId="66F27FD8">
      <w:pPr>
        <w:pStyle w:val="28"/>
        <w:spacing w:before="240" w:after="240" w:line="360" w:lineRule="auto"/>
      </w:pPr>
      <w:bookmarkStart w:id="20" w:name="_Toc29387"/>
      <w:r>
        <w:t>改进</w:t>
      </w:r>
      <w:bookmarkEnd w:id="20"/>
    </w:p>
    <w:p w14:paraId="001F7E4E">
      <w:pPr>
        <w:pStyle w:val="3"/>
        <w:numPr>
          <w:ilvl w:val="0"/>
          <w:numId w:val="53"/>
        </w:numPr>
        <w:spacing w:before="261" w:line="360" w:lineRule="auto"/>
        <w:ind w:firstLineChars="0"/>
        <w:rPr>
          <w:rFonts w:hint="eastAsia" w:ascii="Times New Roman"/>
          <w:szCs w:val="21"/>
        </w:rPr>
      </w:pPr>
      <w:r>
        <w:rPr>
          <w:spacing w:val="1"/>
          <w:szCs w:val="21"/>
        </w:rPr>
        <w:t>总则</w:t>
      </w:r>
    </w:p>
    <w:p w14:paraId="533D1AFA">
      <w:pPr>
        <w:pStyle w:val="12"/>
        <w:spacing w:before="143" w:line="360" w:lineRule="auto"/>
        <w:ind w:firstLine="418"/>
        <w:rPr>
          <w:szCs w:val="21"/>
        </w:rPr>
      </w:pPr>
      <w:r>
        <w:rPr>
          <w:spacing w:val="-1"/>
          <w:szCs w:val="21"/>
        </w:rPr>
        <w:t>企业应确定改进的机会（见第</w:t>
      </w:r>
      <w:r>
        <w:rPr>
          <w:spacing w:val="-42"/>
          <w:szCs w:val="21"/>
        </w:rPr>
        <w:t xml:space="preserve"> </w:t>
      </w:r>
      <w:r>
        <w:rPr>
          <w:spacing w:val="-1"/>
          <w:szCs w:val="21"/>
        </w:rPr>
        <w:t>9</w:t>
      </w:r>
      <w:r>
        <w:rPr>
          <w:spacing w:val="-39"/>
          <w:szCs w:val="21"/>
        </w:rPr>
        <w:t xml:space="preserve"> </w:t>
      </w:r>
      <w:r>
        <w:rPr>
          <w:spacing w:val="-1"/>
          <w:szCs w:val="21"/>
        </w:rPr>
        <w:t>章</w:t>
      </w:r>
      <w:r>
        <w:rPr>
          <w:spacing w:val="-6"/>
          <w:szCs w:val="21"/>
        </w:rPr>
        <w:t>），</w:t>
      </w:r>
      <w:r>
        <w:rPr>
          <w:spacing w:val="-1"/>
          <w:szCs w:val="21"/>
        </w:rPr>
        <w:t>并实施必要的措施，以实现其</w:t>
      </w:r>
      <w:r>
        <w:rPr>
          <w:spacing w:val="-46"/>
          <w:szCs w:val="21"/>
        </w:rPr>
        <w:t xml:space="preserve"> </w:t>
      </w:r>
      <w:r>
        <w:rPr>
          <w:spacing w:val="-1"/>
          <w:szCs w:val="21"/>
        </w:rPr>
        <w:t>ES</w:t>
      </w:r>
      <w:r>
        <w:rPr>
          <w:spacing w:val="-2"/>
          <w:szCs w:val="21"/>
        </w:rPr>
        <w:t>G</w:t>
      </w:r>
      <w:r>
        <w:rPr>
          <w:spacing w:val="-39"/>
          <w:szCs w:val="21"/>
        </w:rPr>
        <w:t xml:space="preserve"> </w:t>
      </w:r>
      <w:r>
        <w:rPr>
          <w:spacing w:val="-2"/>
          <w:szCs w:val="21"/>
        </w:rPr>
        <w:t>管理体系的预期结果。</w:t>
      </w:r>
    </w:p>
    <w:p w14:paraId="6A40BBD7">
      <w:pPr>
        <w:pStyle w:val="3"/>
        <w:numPr>
          <w:ilvl w:val="0"/>
          <w:numId w:val="53"/>
        </w:numPr>
        <w:spacing w:before="142" w:line="360" w:lineRule="auto"/>
        <w:ind w:firstLineChars="0"/>
        <w:rPr>
          <w:rFonts w:hint="eastAsia" w:ascii="Times New Roman"/>
          <w:szCs w:val="21"/>
        </w:rPr>
      </w:pPr>
      <w:r>
        <w:rPr>
          <w:szCs w:val="21"/>
        </w:rPr>
        <w:t>事件、不符合和纠正措施</w:t>
      </w:r>
    </w:p>
    <w:p w14:paraId="50731938">
      <w:pPr>
        <w:pStyle w:val="12"/>
        <w:spacing w:before="143" w:line="360" w:lineRule="auto"/>
        <w:rPr>
          <w:szCs w:val="21"/>
        </w:rPr>
      </w:pPr>
      <w:r>
        <w:rPr>
          <w:szCs w:val="21"/>
        </w:rPr>
        <w:t>企业应建立、实施和保持包括报告、调查、采取措</w:t>
      </w:r>
      <w:r>
        <w:rPr>
          <w:spacing w:val="-1"/>
          <w:szCs w:val="21"/>
        </w:rPr>
        <w:t>施在内的过程，以确定和管理事件和不符合。</w:t>
      </w:r>
    </w:p>
    <w:p w14:paraId="6A9B6BAF">
      <w:pPr>
        <w:pStyle w:val="12"/>
        <w:spacing w:before="22" w:line="360" w:lineRule="auto"/>
        <w:ind w:firstLine="416"/>
        <w:rPr>
          <w:szCs w:val="21"/>
        </w:rPr>
      </w:pPr>
      <w:r>
        <w:rPr>
          <w:spacing w:val="-2"/>
          <w:szCs w:val="21"/>
        </w:rPr>
        <w:t>当事件或不符合发生时，企业应按照下列事项予以应对：</w:t>
      </w:r>
    </w:p>
    <w:p w14:paraId="677EF974">
      <w:pPr>
        <w:pStyle w:val="12"/>
        <w:numPr>
          <w:ilvl w:val="0"/>
          <w:numId w:val="54"/>
        </w:numPr>
        <w:spacing w:before="20" w:line="360" w:lineRule="auto"/>
        <w:ind w:firstLineChars="0"/>
        <w:rPr>
          <w:rFonts w:hint="eastAsia" w:ascii="Times New Roman" w:hAnsi="宋体" w:cs="宋体"/>
          <w:szCs w:val="21"/>
        </w:rPr>
      </w:pPr>
      <w:r>
        <w:rPr>
          <w:spacing w:val="-1"/>
          <w:szCs w:val="21"/>
        </w:rPr>
        <w:t>及时对事件和不符合做出反应，并在适用时：</w:t>
      </w:r>
    </w:p>
    <w:p w14:paraId="0D34D207">
      <w:pPr>
        <w:pStyle w:val="12"/>
        <w:numPr>
          <w:ilvl w:val="0"/>
          <w:numId w:val="55"/>
        </w:numPr>
        <w:spacing w:before="22" w:line="360" w:lineRule="auto"/>
        <w:ind w:firstLineChars="0"/>
        <w:rPr>
          <w:rFonts w:hint="eastAsia" w:ascii="Times New Roman" w:hAnsi="宋体" w:cs="宋体"/>
          <w:szCs w:val="21"/>
        </w:rPr>
      </w:pPr>
      <w:r>
        <w:rPr>
          <w:spacing w:val="-1"/>
          <w:szCs w:val="21"/>
        </w:rPr>
        <w:t>采取措施予以控制和纠正；</w:t>
      </w:r>
    </w:p>
    <w:p w14:paraId="3E6A05D3">
      <w:pPr>
        <w:pStyle w:val="12"/>
        <w:numPr>
          <w:ilvl w:val="0"/>
          <w:numId w:val="55"/>
        </w:numPr>
        <w:spacing w:before="21" w:line="360" w:lineRule="auto"/>
        <w:ind w:firstLineChars="0"/>
        <w:rPr>
          <w:rFonts w:hint="eastAsia" w:ascii="Times New Roman" w:hAnsi="宋体" w:cs="宋体"/>
          <w:szCs w:val="21"/>
        </w:rPr>
      </w:pPr>
      <w:r>
        <w:rPr>
          <w:spacing w:val="-7"/>
          <w:szCs w:val="21"/>
        </w:rPr>
        <w:t>处理后果；</w:t>
      </w:r>
    </w:p>
    <w:p w14:paraId="046E3ABC">
      <w:pPr>
        <w:pStyle w:val="12"/>
        <w:numPr>
          <w:ilvl w:val="0"/>
          <w:numId w:val="55"/>
        </w:numPr>
        <w:spacing w:before="23" w:line="360" w:lineRule="auto"/>
        <w:ind w:firstLineChars="0"/>
        <w:rPr>
          <w:rFonts w:hint="eastAsia" w:ascii="Times New Roman" w:hAnsi="宋体" w:cs="宋体"/>
          <w:szCs w:val="21"/>
        </w:rPr>
      </w:pPr>
      <w:r>
        <w:rPr>
          <w:spacing w:val="-2"/>
          <w:szCs w:val="21"/>
        </w:rPr>
        <w:t>制定预防措施。</w:t>
      </w:r>
    </w:p>
    <w:p w14:paraId="13CFF1ED">
      <w:pPr>
        <w:pStyle w:val="12"/>
        <w:numPr>
          <w:ilvl w:val="0"/>
          <w:numId w:val="54"/>
        </w:numPr>
        <w:spacing w:before="20" w:line="360" w:lineRule="auto"/>
        <w:ind w:right="186" w:firstLineChars="0"/>
        <w:rPr>
          <w:rFonts w:hint="eastAsia" w:ascii="Times New Roman" w:hAnsi="宋体" w:cs="宋体"/>
          <w:szCs w:val="21"/>
        </w:rPr>
      </w:pPr>
      <w:r>
        <w:rPr>
          <w:spacing w:val="-1"/>
          <w:szCs w:val="21"/>
        </w:rPr>
        <w:t>在利益相关方的参与（见</w:t>
      </w:r>
      <w:r>
        <w:rPr>
          <w:spacing w:val="-41"/>
          <w:szCs w:val="21"/>
        </w:rPr>
        <w:t xml:space="preserve"> </w:t>
      </w:r>
      <w:r>
        <w:rPr>
          <w:spacing w:val="-1"/>
          <w:szCs w:val="21"/>
        </w:rPr>
        <w:t>5.5）下，通</w:t>
      </w:r>
      <w:r>
        <w:rPr>
          <w:spacing w:val="-2"/>
          <w:szCs w:val="21"/>
        </w:rPr>
        <w:t>过下列活动，评价是否采取纠正措施，以消除导致事件</w:t>
      </w:r>
      <w:r>
        <w:rPr>
          <w:szCs w:val="21"/>
        </w:rPr>
        <w:t xml:space="preserve"> </w:t>
      </w:r>
      <w:r>
        <w:rPr>
          <w:spacing w:val="-1"/>
          <w:szCs w:val="21"/>
        </w:rPr>
        <w:t>或不符合的根本原因，防止事件或不符合再次发生或在其他场合出现：</w:t>
      </w:r>
    </w:p>
    <w:p w14:paraId="2B80CA58">
      <w:pPr>
        <w:pStyle w:val="12"/>
        <w:numPr>
          <w:ilvl w:val="0"/>
          <w:numId w:val="56"/>
        </w:numPr>
        <w:spacing w:before="1" w:line="360" w:lineRule="auto"/>
        <w:ind w:firstLineChars="0"/>
        <w:rPr>
          <w:rFonts w:hint="eastAsia" w:ascii="Times New Roman" w:hAnsi="宋体" w:cs="宋体"/>
          <w:szCs w:val="21"/>
        </w:rPr>
      </w:pPr>
      <w:r>
        <w:rPr>
          <w:spacing w:val="-3"/>
          <w:szCs w:val="21"/>
        </w:rPr>
        <w:t>调查事件或评审不符合；</w:t>
      </w:r>
    </w:p>
    <w:p w14:paraId="06DF631F">
      <w:pPr>
        <w:pStyle w:val="12"/>
        <w:numPr>
          <w:ilvl w:val="0"/>
          <w:numId w:val="56"/>
        </w:numPr>
        <w:spacing w:before="23" w:line="360" w:lineRule="auto"/>
        <w:ind w:firstLineChars="0"/>
        <w:rPr>
          <w:rFonts w:hint="eastAsia" w:ascii="Times New Roman" w:hAnsi="宋体" w:cs="宋体"/>
          <w:szCs w:val="21"/>
        </w:rPr>
      </w:pPr>
      <w:r>
        <w:rPr>
          <w:spacing w:val="-2"/>
          <w:szCs w:val="21"/>
        </w:rPr>
        <w:t>确定导致事件或不符合的原因；</w:t>
      </w:r>
    </w:p>
    <w:p w14:paraId="42EA44DF">
      <w:pPr>
        <w:pStyle w:val="12"/>
        <w:numPr>
          <w:ilvl w:val="0"/>
          <w:numId w:val="56"/>
        </w:numPr>
        <w:spacing w:before="20" w:line="360" w:lineRule="auto"/>
        <w:ind w:firstLineChars="0"/>
        <w:rPr>
          <w:rFonts w:hint="eastAsia" w:ascii="Times New Roman" w:hAnsi="宋体" w:cs="宋体"/>
          <w:szCs w:val="21"/>
        </w:rPr>
      </w:pPr>
      <w:r>
        <w:rPr>
          <w:spacing w:val="-3"/>
          <w:szCs w:val="21"/>
        </w:rPr>
        <w:t>确定类似事件是否曾经发生过，是否存在不符合，</w:t>
      </w:r>
      <w:r>
        <w:rPr>
          <w:spacing w:val="-4"/>
          <w:szCs w:val="21"/>
        </w:rPr>
        <w:t>或者类似事件和不符合是否可能会发生。</w:t>
      </w:r>
    </w:p>
    <w:p w14:paraId="30610A16">
      <w:pPr>
        <w:pStyle w:val="12"/>
        <w:numPr>
          <w:ilvl w:val="0"/>
          <w:numId w:val="54"/>
        </w:numPr>
        <w:spacing w:before="23" w:line="360" w:lineRule="auto"/>
        <w:ind w:firstLineChars="0"/>
        <w:rPr>
          <w:rFonts w:hint="eastAsia" w:ascii="Times New Roman" w:hAnsi="宋体" w:cs="宋体"/>
          <w:szCs w:val="21"/>
        </w:rPr>
      </w:pPr>
      <w:r>
        <w:rPr>
          <w:spacing w:val="1"/>
          <w:szCs w:val="21"/>
        </w:rPr>
        <w:t>在适当时，对现有</w:t>
      </w:r>
      <w:r>
        <w:rPr>
          <w:spacing w:val="-47"/>
          <w:szCs w:val="21"/>
        </w:rPr>
        <w:t xml:space="preserve"> </w:t>
      </w:r>
      <w:r>
        <w:rPr>
          <w:szCs w:val="21"/>
        </w:rPr>
        <w:t>ESG</w:t>
      </w:r>
      <w:r>
        <w:rPr>
          <w:spacing w:val="-43"/>
          <w:szCs w:val="21"/>
        </w:rPr>
        <w:t xml:space="preserve"> </w:t>
      </w:r>
      <w:r>
        <w:rPr>
          <w:spacing w:val="1"/>
          <w:szCs w:val="21"/>
        </w:rPr>
        <w:t>风险和其他风险的评价进行评审（见6.2</w:t>
      </w:r>
      <w:r>
        <w:rPr>
          <w:spacing w:val="-10"/>
          <w:szCs w:val="21"/>
        </w:rPr>
        <w:t>）；</w:t>
      </w:r>
    </w:p>
    <w:p w14:paraId="15CCB720">
      <w:pPr>
        <w:pStyle w:val="12"/>
        <w:numPr>
          <w:ilvl w:val="0"/>
          <w:numId w:val="54"/>
        </w:numPr>
        <w:spacing w:before="22" w:line="360" w:lineRule="auto"/>
        <w:ind w:firstLineChars="0"/>
        <w:rPr>
          <w:rFonts w:hint="eastAsia" w:ascii="Times New Roman" w:hAnsi="宋体" w:cs="宋体"/>
          <w:szCs w:val="21"/>
        </w:rPr>
      </w:pPr>
      <w:r>
        <w:rPr>
          <w:spacing w:val="-3"/>
          <w:szCs w:val="21"/>
        </w:rPr>
        <w:t>按控制层级（见</w:t>
      </w:r>
      <w:r>
        <w:rPr>
          <w:spacing w:val="-44"/>
          <w:szCs w:val="21"/>
        </w:rPr>
        <w:t xml:space="preserve"> </w:t>
      </w:r>
      <w:r>
        <w:rPr>
          <w:spacing w:val="-3"/>
          <w:szCs w:val="21"/>
        </w:rPr>
        <w:t>8.1.2）和变更管理（8.1.3）确</w:t>
      </w:r>
      <w:r>
        <w:rPr>
          <w:spacing w:val="-4"/>
          <w:szCs w:val="21"/>
        </w:rPr>
        <w:t>定并实施任何所需的措施，包括纠正措施等；</w:t>
      </w:r>
    </w:p>
    <w:p w14:paraId="699A04E3">
      <w:pPr>
        <w:pStyle w:val="12"/>
        <w:numPr>
          <w:ilvl w:val="0"/>
          <w:numId w:val="54"/>
        </w:numPr>
        <w:spacing w:before="23" w:line="360" w:lineRule="auto"/>
        <w:ind w:firstLineChars="0"/>
        <w:rPr>
          <w:rFonts w:hint="eastAsia" w:ascii="Times New Roman" w:hAnsi="宋体" w:cs="宋体"/>
          <w:szCs w:val="21"/>
        </w:rPr>
      </w:pPr>
      <w:r>
        <w:rPr>
          <w:szCs w:val="21"/>
        </w:rPr>
        <w:t>在采用措施前，评价与新的或变化的不</w:t>
      </w:r>
      <w:r>
        <w:rPr>
          <w:spacing w:val="-1"/>
          <w:szCs w:val="21"/>
        </w:rPr>
        <w:t>良影响因素相关的</w:t>
      </w:r>
      <w:r>
        <w:rPr>
          <w:spacing w:val="-46"/>
          <w:szCs w:val="21"/>
        </w:rPr>
        <w:t xml:space="preserve"> </w:t>
      </w:r>
      <w:r>
        <w:rPr>
          <w:spacing w:val="-1"/>
          <w:szCs w:val="21"/>
        </w:rPr>
        <w:t>ESG</w:t>
      </w:r>
      <w:r>
        <w:rPr>
          <w:spacing w:val="-46"/>
          <w:szCs w:val="21"/>
        </w:rPr>
        <w:t xml:space="preserve"> </w:t>
      </w:r>
      <w:r>
        <w:rPr>
          <w:spacing w:val="-1"/>
          <w:szCs w:val="21"/>
        </w:rPr>
        <w:t>风险；</w:t>
      </w:r>
    </w:p>
    <w:p w14:paraId="54BA767E">
      <w:pPr>
        <w:pStyle w:val="12"/>
        <w:numPr>
          <w:ilvl w:val="0"/>
          <w:numId w:val="54"/>
        </w:numPr>
        <w:spacing w:before="21" w:line="360" w:lineRule="auto"/>
        <w:ind w:firstLineChars="0"/>
        <w:rPr>
          <w:rFonts w:hint="eastAsia" w:ascii="Times New Roman" w:hAnsi="宋体" w:cs="宋体"/>
          <w:szCs w:val="21"/>
        </w:rPr>
      </w:pPr>
      <w:r>
        <w:rPr>
          <w:spacing w:val="-1"/>
          <w:szCs w:val="21"/>
        </w:rPr>
        <w:t>评审任何所采取措施的有效性，包括纠正措施等；</w:t>
      </w:r>
    </w:p>
    <w:p w14:paraId="1060AD8C">
      <w:pPr>
        <w:pStyle w:val="12"/>
        <w:numPr>
          <w:ilvl w:val="0"/>
          <w:numId w:val="54"/>
        </w:numPr>
        <w:spacing w:before="68" w:line="360" w:lineRule="auto"/>
        <w:ind w:firstLineChars="0"/>
        <w:rPr>
          <w:rFonts w:hint="eastAsia" w:ascii="Times New Roman" w:hAnsi="宋体" w:cs="宋体"/>
          <w:szCs w:val="21"/>
        </w:rPr>
      </w:pPr>
      <w:r>
        <w:rPr>
          <w:spacing w:val="-1"/>
          <w:szCs w:val="21"/>
        </w:rPr>
        <w:t>必要时对</w:t>
      </w:r>
      <w:r>
        <w:rPr>
          <w:spacing w:val="-47"/>
          <w:szCs w:val="21"/>
        </w:rPr>
        <w:t xml:space="preserve"> </w:t>
      </w:r>
      <w:r>
        <w:rPr>
          <w:spacing w:val="-1"/>
          <w:szCs w:val="21"/>
        </w:rPr>
        <w:t>ESG</w:t>
      </w:r>
      <w:r>
        <w:rPr>
          <w:spacing w:val="-39"/>
          <w:szCs w:val="21"/>
        </w:rPr>
        <w:t xml:space="preserve"> </w:t>
      </w:r>
      <w:r>
        <w:rPr>
          <w:spacing w:val="-1"/>
          <w:szCs w:val="21"/>
        </w:rPr>
        <w:t>管理体系进行变更。</w:t>
      </w:r>
    </w:p>
    <w:p w14:paraId="67EE8B4E">
      <w:pPr>
        <w:pStyle w:val="12"/>
        <w:spacing w:before="28" w:line="360" w:lineRule="auto"/>
        <w:ind w:firstLine="418"/>
        <w:rPr>
          <w:szCs w:val="21"/>
        </w:rPr>
      </w:pPr>
      <w:r>
        <w:rPr>
          <w:spacing w:val="-1"/>
          <w:szCs w:val="21"/>
        </w:rPr>
        <w:t>纠正措施应与事件或不符合所产生的影响或潜在影响相适应。</w:t>
      </w:r>
    </w:p>
    <w:p w14:paraId="4563190F">
      <w:pPr>
        <w:pStyle w:val="12"/>
        <w:spacing w:before="19" w:line="360" w:lineRule="auto"/>
        <w:ind w:firstLine="416"/>
        <w:rPr>
          <w:szCs w:val="21"/>
        </w:rPr>
      </w:pPr>
      <w:r>
        <w:rPr>
          <w:spacing w:val="-2"/>
          <w:szCs w:val="21"/>
        </w:rPr>
        <w:t>企业应保留文件化信息作为以下方面的证据：</w:t>
      </w:r>
    </w:p>
    <w:p w14:paraId="05C5399B">
      <w:pPr>
        <w:pStyle w:val="12"/>
        <w:spacing w:before="23" w:line="360" w:lineRule="auto"/>
        <w:ind w:firstLine="418"/>
        <w:rPr>
          <w:szCs w:val="21"/>
        </w:rPr>
      </w:pPr>
      <w:r>
        <w:rPr>
          <w:spacing w:val="-1"/>
          <w:szCs w:val="21"/>
        </w:rPr>
        <w:t>——事件或不符合的性质以及所采取的任何后</w:t>
      </w:r>
      <w:r>
        <w:rPr>
          <w:spacing w:val="-2"/>
          <w:szCs w:val="21"/>
        </w:rPr>
        <w:t>续措施；</w:t>
      </w:r>
    </w:p>
    <w:p w14:paraId="7A3FAB06">
      <w:pPr>
        <w:pStyle w:val="12"/>
        <w:spacing w:before="20" w:line="360" w:lineRule="auto"/>
        <w:rPr>
          <w:szCs w:val="21"/>
        </w:rPr>
      </w:pPr>
      <w:r>
        <w:rPr>
          <w:szCs w:val="21"/>
        </w:rPr>
        <w:t>——任何措施（如纠正措施等）的实施结果，包括其有效性等。</w:t>
      </w:r>
    </w:p>
    <w:p w14:paraId="7790FC76">
      <w:pPr>
        <w:pStyle w:val="12"/>
        <w:spacing w:line="360" w:lineRule="auto"/>
        <w:ind w:firstLine="418"/>
        <w:rPr>
          <w:szCs w:val="18"/>
        </w:rPr>
      </w:pPr>
      <w:r>
        <w:rPr>
          <w:spacing w:val="-1"/>
          <w:szCs w:val="21"/>
        </w:rPr>
        <w:t>企业应就此文件化信息与员工及其代表（若有）以及其他有关的利益相关方进行沟通。</w:t>
      </w:r>
      <w:r>
        <w:rPr>
          <w:spacing w:val="2"/>
          <w:szCs w:val="21"/>
        </w:rPr>
        <w:t xml:space="preserve"> </w:t>
      </w:r>
      <w:r>
        <w:rPr>
          <w:szCs w:val="18"/>
        </w:rPr>
        <w:t>注：及时报告和调查事件有助于消除不良影响因素和尽快</w:t>
      </w:r>
      <w:r>
        <w:rPr>
          <w:spacing w:val="-1"/>
          <w:szCs w:val="18"/>
        </w:rPr>
        <w:t>降低相关ESG风险。</w:t>
      </w:r>
    </w:p>
    <w:p w14:paraId="103241AB">
      <w:pPr>
        <w:pStyle w:val="3"/>
        <w:numPr>
          <w:ilvl w:val="0"/>
          <w:numId w:val="53"/>
        </w:numPr>
        <w:spacing w:before="118" w:line="360" w:lineRule="auto"/>
        <w:ind w:firstLineChars="0"/>
        <w:rPr>
          <w:rFonts w:hint="eastAsia" w:ascii="Times New Roman"/>
          <w:szCs w:val="21"/>
        </w:rPr>
      </w:pPr>
      <w:r>
        <w:rPr>
          <w:position w:val="-1"/>
          <w:szCs w:val="21"/>
        </w:rPr>
        <w:t>持续改进</w:t>
      </w:r>
    </w:p>
    <w:p w14:paraId="730DE7E7">
      <w:pPr>
        <w:pStyle w:val="12"/>
        <w:spacing w:before="143" w:line="360" w:lineRule="auto"/>
        <w:ind w:firstLine="418"/>
        <w:rPr>
          <w:szCs w:val="21"/>
        </w:rPr>
      </w:pPr>
      <w:r>
        <w:rPr>
          <w:spacing w:val="-1"/>
          <w:szCs w:val="21"/>
        </w:rPr>
        <w:t>企业应通过下列方式持续改进</w:t>
      </w:r>
      <w:r>
        <w:rPr>
          <w:spacing w:val="-39"/>
          <w:szCs w:val="21"/>
        </w:rPr>
        <w:t xml:space="preserve"> </w:t>
      </w:r>
      <w:r>
        <w:rPr>
          <w:spacing w:val="-1"/>
          <w:szCs w:val="21"/>
        </w:rPr>
        <w:t>ESG</w:t>
      </w:r>
      <w:r>
        <w:rPr>
          <w:spacing w:val="-39"/>
          <w:szCs w:val="21"/>
        </w:rPr>
        <w:t xml:space="preserve"> </w:t>
      </w:r>
      <w:r>
        <w:rPr>
          <w:spacing w:val="-1"/>
          <w:szCs w:val="21"/>
        </w:rPr>
        <w:t>管理体系的适宜性、有效性和充分性。</w:t>
      </w:r>
    </w:p>
    <w:p w14:paraId="77867E41">
      <w:pPr>
        <w:pStyle w:val="12"/>
        <w:numPr>
          <w:ilvl w:val="0"/>
          <w:numId w:val="57"/>
        </w:numPr>
        <w:spacing w:before="21" w:line="360" w:lineRule="auto"/>
        <w:ind w:firstLineChars="0"/>
        <w:rPr>
          <w:rFonts w:hint="eastAsia" w:ascii="Times New Roman" w:hAnsi="宋体" w:cs="宋体"/>
          <w:szCs w:val="21"/>
        </w:rPr>
      </w:pPr>
      <w:r>
        <w:rPr>
          <w:spacing w:val="-6"/>
          <w:szCs w:val="21"/>
        </w:rPr>
        <w:t>提升</w:t>
      </w:r>
      <w:r>
        <w:rPr>
          <w:spacing w:val="-45"/>
          <w:szCs w:val="21"/>
        </w:rPr>
        <w:t xml:space="preserve"> </w:t>
      </w:r>
      <w:r>
        <w:rPr>
          <w:spacing w:val="-6"/>
          <w:szCs w:val="21"/>
        </w:rPr>
        <w:t>ESG</w:t>
      </w:r>
      <w:r>
        <w:rPr>
          <w:spacing w:val="-41"/>
          <w:szCs w:val="21"/>
        </w:rPr>
        <w:t xml:space="preserve"> </w:t>
      </w:r>
      <w:r>
        <w:rPr>
          <w:spacing w:val="-6"/>
          <w:szCs w:val="21"/>
        </w:rPr>
        <w:t>绩效；</w:t>
      </w:r>
    </w:p>
    <w:p w14:paraId="7DA66ED5">
      <w:pPr>
        <w:pStyle w:val="12"/>
        <w:numPr>
          <w:ilvl w:val="0"/>
          <w:numId w:val="57"/>
        </w:numPr>
        <w:spacing w:before="22" w:line="360" w:lineRule="auto"/>
        <w:ind w:firstLineChars="0"/>
        <w:rPr>
          <w:rFonts w:hint="eastAsia" w:ascii="Times New Roman" w:hAnsi="宋体" w:cs="宋体"/>
          <w:szCs w:val="21"/>
        </w:rPr>
      </w:pPr>
      <w:r>
        <w:rPr>
          <w:spacing w:val="-3"/>
          <w:szCs w:val="21"/>
        </w:rPr>
        <w:t>促进支持</w:t>
      </w:r>
      <w:r>
        <w:rPr>
          <w:spacing w:val="-37"/>
          <w:szCs w:val="21"/>
        </w:rPr>
        <w:t xml:space="preserve"> </w:t>
      </w:r>
      <w:r>
        <w:rPr>
          <w:spacing w:val="-3"/>
          <w:szCs w:val="21"/>
        </w:rPr>
        <w:t>ESG</w:t>
      </w:r>
      <w:r>
        <w:rPr>
          <w:spacing w:val="-39"/>
          <w:szCs w:val="21"/>
        </w:rPr>
        <w:t xml:space="preserve"> </w:t>
      </w:r>
      <w:r>
        <w:rPr>
          <w:spacing w:val="-3"/>
          <w:szCs w:val="21"/>
        </w:rPr>
        <w:t>管理体系的文化；</w:t>
      </w:r>
    </w:p>
    <w:p w14:paraId="74F6DEE2">
      <w:pPr>
        <w:pStyle w:val="12"/>
        <w:numPr>
          <w:ilvl w:val="0"/>
          <w:numId w:val="57"/>
        </w:numPr>
        <w:spacing w:before="21" w:line="360" w:lineRule="auto"/>
        <w:ind w:firstLineChars="0"/>
        <w:rPr>
          <w:rFonts w:hint="eastAsia" w:ascii="Times New Roman" w:hAnsi="宋体" w:cs="宋体"/>
          <w:szCs w:val="21"/>
        </w:rPr>
      </w:pPr>
      <w:r>
        <w:rPr>
          <w:spacing w:val="-2"/>
          <w:szCs w:val="21"/>
        </w:rPr>
        <w:t>促进利益相关方参与</w:t>
      </w:r>
      <w:r>
        <w:rPr>
          <w:spacing w:val="-37"/>
          <w:szCs w:val="21"/>
        </w:rPr>
        <w:t xml:space="preserve"> </w:t>
      </w:r>
      <w:r>
        <w:rPr>
          <w:spacing w:val="-2"/>
          <w:szCs w:val="21"/>
        </w:rPr>
        <w:t>ESG</w:t>
      </w:r>
      <w:r>
        <w:rPr>
          <w:spacing w:val="-42"/>
          <w:szCs w:val="21"/>
        </w:rPr>
        <w:t xml:space="preserve"> </w:t>
      </w:r>
      <w:r>
        <w:rPr>
          <w:spacing w:val="-2"/>
          <w:szCs w:val="21"/>
        </w:rPr>
        <w:t>管理体系持续改进的措施实施；</w:t>
      </w:r>
    </w:p>
    <w:p w14:paraId="3DD16788">
      <w:pPr>
        <w:pStyle w:val="12"/>
        <w:numPr>
          <w:ilvl w:val="0"/>
          <w:numId w:val="57"/>
        </w:numPr>
        <w:spacing w:before="23" w:line="360" w:lineRule="auto"/>
        <w:ind w:firstLineChars="0"/>
        <w:rPr>
          <w:rFonts w:hint="eastAsia" w:ascii="Times New Roman" w:hAnsi="宋体" w:cs="宋体"/>
          <w:szCs w:val="21"/>
        </w:rPr>
      </w:pPr>
      <w:r>
        <w:rPr>
          <w:spacing w:val="-1"/>
          <w:szCs w:val="21"/>
        </w:rPr>
        <w:t>促进相关管理体系和业务过程支持和参与</w:t>
      </w:r>
      <w:r>
        <w:rPr>
          <w:spacing w:val="-47"/>
          <w:szCs w:val="21"/>
        </w:rPr>
        <w:t xml:space="preserve"> </w:t>
      </w:r>
      <w:r>
        <w:rPr>
          <w:spacing w:val="-1"/>
          <w:szCs w:val="21"/>
        </w:rPr>
        <w:t>ESG</w:t>
      </w:r>
      <w:r>
        <w:rPr>
          <w:spacing w:val="-41"/>
          <w:szCs w:val="21"/>
        </w:rPr>
        <w:t xml:space="preserve"> </w:t>
      </w:r>
      <w:r>
        <w:rPr>
          <w:spacing w:val="-1"/>
          <w:szCs w:val="21"/>
        </w:rPr>
        <w:t>管理体系持续改进措</w:t>
      </w:r>
      <w:r>
        <w:rPr>
          <w:spacing w:val="-2"/>
          <w:szCs w:val="21"/>
        </w:rPr>
        <w:t>施实施；</w:t>
      </w:r>
    </w:p>
    <w:p w14:paraId="257DA7BF">
      <w:pPr>
        <w:pStyle w:val="12"/>
        <w:numPr>
          <w:ilvl w:val="0"/>
          <w:numId w:val="57"/>
        </w:numPr>
        <w:spacing w:before="21" w:line="360" w:lineRule="auto"/>
        <w:ind w:firstLineChars="0"/>
        <w:rPr>
          <w:rFonts w:hint="eastAsia" w:ascii="Times New Roman" w:hAnsi="宋体" w:cs="宋体"/>
          <w:szCs w:val="21"/>
        </w:rPr>
      </w:pPr>
      <w:r>
        <w:rPr>
          <w:szCs w:val="21"/>
        </w:rPr>
        <w:t>鼓励各利益相关方及时进行经验反馈（包括外部反馈和企业内部反馈</w:t>
      </w:r>
      <w:r>
        <w:rPr>
          <w:spacing w:val="-1"/>
          <w:szCs w:val="21"/>
        </w:rPr>
        <w:t>）；</w:t>
      </w:r>
    </w:p>
    <w:p w14:paraId="60990DF8">
      <w:pPr>
        <w:pStyle w:val="12"/>
        <w:numPr>
          <w:ilvl w:val="0"/>
          <w:numId w:val="57"/>
        </w:numPr>
        <w:spacing w:before="22" w:line="360" w:lineRule="auto"/>
        <w:ind w:firstLineChars="0"/>
        <w:rPr>
          <w:rFonts w:hint="eastAsia" w:ascii="Times New Roman" w:hAnsi="宋体" w:cs="宋体"/>
          <w:szCs w:val="21"/>
        </w:rPr>
      </w:pPr>
      <w:r>
        <w:rPr>
          <w:spacing w:val="-1"/>
          <w:szCs w:val="21"/>
        </w:rPr>
        <w:t>将有关持续改进的结果与利益相关方及其代表（若有）进行沟通；</w:t>
      </w:r>
    </w:p>
    <w:p w14:paraId="6AB9DD26">
      <w:pPr>
        <w:pStyle w:val="12"/>
        <w:numPr>
          <w:ilvl w:val="0"/>
          <w:numId w:val="57"/>
        </w:numPr>
        <w:spacing w:before="20" w:line="360" w:lineRule="auto"/>
        <w:ind w:firstLineChars="0"/>
      </w:pPr>
      <w:r>
        <w:rPr>
          <w:spacing w:val="-1"/>
          <w:szCs w:val="21"/>
        </w:rPr>
        <w:t>保持和保留文件化信息作为持续改进的证据</w:t>
      </w:r>
      <w:r>
        <w:t>；</w:t>
      </w:r>
    </w:p>
    <w:p w14:paraId="7765F6E2">
      <w:pPr>
        <w:pStyle w:val="12"/>
        <w:numPr>
          <w:ilvl w:val="0"/>
          <w:numId w:val="57"/>
        </w:numPr>
        <w:spacing w:before="20" w:line="360" w:lineRule="auto"/>
        <w:ind w:firstLineChars="0"/>
        <w:rPr>
          <w:rFonts w:hint="eastAsia" w:ascii="Times New Roman" w:hAnsi="宋体" w:cs="宋体"/>
          <w:szCs w:val="21"/>
        </w:rPr>
      </w:pPr>
      <w:r>
        <w:t>跟踪国际、国家ESG及信息披露最新要求发展，及时评估其对体系的影响并作出相应调整。</w:t>
      </w:r>
    </w:p>
    <w:p w14:paraId="1DBD3484">
      <w:pPr>
        <w:spacing w:line="360" w:lineRule="auto"/>
        <w:rPr>
          <w:rFonts w:hint="eastAsia" w:ascii="宋体" w:hAnsi="宋体" w:eastAsia="宋体" w:cs="宋体"/>
          <w:lang w:eastAsia="zh-CN"/>
        </w:rPr>
      </w:pPr>
    </w:p>
    <w:p w14:paraId="7E945B87">
      <w:pPr>
        <w:spacing w:line="360" w:lineRule="auto"/>
        <w:rPr>
          <w:rFonts w:hint="eastAsia" w:ascii="宋体" w:hAnsi="宋体" w:eastAsia="宋体" w:cs="宋体"/>
          <w:lang w:eastAsia="zh-CN"/>
        </w:rPr>
        <w:sectPr>
          <w:headerReference r:id="rId10" w:type="default"/>
          <w:footerReference r:id="rId11" w:type="default"/>
          <w:pgSz w:w="11907" w:h="16839"/>
          <w:pgMar w:top="1716" w:right="1128" w:bottom="1340" w:left="1435" w:header="1391" w:footer="1106" w:gutter="0"/>
          <w:cols w:space="720" w:num="1"/>
        </w:sectPr>
      </w:pPr>
    </w:p>
    <w:p w14:paraId="1C88575C">
      <w:pPr>
        <w:pStyle w:val="33"/>
        <w:tabs>
          <w:tab w:val="left" w:pos="6406"/>
        </w:tabs>
        <w:spacing w:before="60" w:after="120"/>
      </w:pPr>
      <w:bookmarkStart w:id="21" w:name="bookmark13"/>
      <w:bookmarkEnd w:id="21"/>
      <w:bookmarkStart w:id="22" w:name="_Toc7249"/>
      <w:r>
        <w:rPr>
          <w:rFonts w:hint="eastAsia"/>
        </w:rPr>
        <w:t>附录A</w:t>
      </w:r>
      <w:r>
        <w:br w:type="textWrapping"/>
      </w:r>
      <w:r>
        <w:rPr>
          <w:rFonts w:hint="eastAsia"/>
        </w:rPr>
        <w:t>（资料性）</w:t>
      </w:r>
      <w:bookmarkEnd w:id="22"/>
    </w:p>
    <w:p w14:paraId="358C2E14">
      <w:pPr>
        <w:pStyle w:val="33"/>
        <w:tabs>
          <w:tab w:val="left" w:pos="6406"/>
        </w:tabs>
        <w:spacing w:before="60" w:after="120"/>
      </w:pPr>
      <w:bookmarkStart w:id="23" w:name="_Toc482"/>
      <w:r>
        <w:rPr>
          <w:rFonts w:hint="eastAsia"/>
        </w:rPr>
        <w:t>本文件的使用指南</w:t>
      </w:r>
      <w:bookmarkEnd w:id="23"/>
    </w:p>
    <w:p w14:paraId="5DD07DF2">
      <w:pPr>
        <w:pStyle w:val="28"/>
        <w:numPr>
          <w:ilvl w:val="0"/>
          <w:numId w:val="58"/>
        </w:numPr>
        <w:spacing w:before="240" w:after="240" w:line="360" w:lineRule="auto"/>
      </w:pPr>
      <w:bookmarkStart w:id="24" w:name="_Toc15728"/>
      <w:r>
        <w:t>总则</w:t>
      </w:r>
      <w:bookmarkEnd w:id="24"/>
    </w:p>
    <w:p w14:paraId="227C8E19">
      <w:pPr>
        <w:spacing w:before="141" w:line="360" w:lineRule="auto"/>
        <w:ind w:left="4" w:firstLine="421"/>
        <w:jc w:val="both"/>
        <w:rPr>
          <w:rFonts w:hint="eastAsia" w:ascii="宋体" w:hAnsi="宋体" w:eastAsia="宋体" w:cs="宋体"/>
          <w:lang w:eastAsia="zh-CN"/>
        </w:rPr>
      </w:pPr>
      <w:r>
        <w:rPr>
          <w:rFonts w:ascii="宋体" w:hAnsi="Calibri" w:eastAsia="宋体" w:cs="Times New Roman"/>
          <w:spacing w:val="-2"/>
          <w:lang w:eastAsia="zh-CN"/>
        </w:rPr>
        <w:t>本附录所含信息仅用作指南，</w:t>
      </w:r>
      <w:r>
        <w:rPr>
          <w:rFonts w:ascii="宋体" w:hAnsi="Calibri" w:eastAsia="宋体" w:cs="Times New Roman"/>
          <w:lang w:eastAsia="zh-CN"/>
        </w:rPr>
        <w:t>旨在防止对</w:t>
      </w:r>
      <w:r>
        <w:rPr>
          <w:rFonts w:hint="eastAsia" w:cs="Times New Roman"/>
          <w:lang w:eastAsia="zh-CN"/>
        </w:rPr>
        <w:t>本文件</w:t>
      </w:r>
      <w:r>
        <w:rPr>
          <w:rFonts w:ascii="宋体" w:hAnsi="Calibri" w:eastAsia="宋体" w:cs="Times New Roman"/>
          <w:lang w:eastAsia="zh-CN"/>
        </w:rPr>
        <w:t>所包含要求的错误理解，这些信息的阐述与标准要求保持一致，不打算增加、减少或以任何方式修改</w:t>
      </w:r>
      <w:r>
        <w:rPr>
          <w:rFonts w:hint="eastAsia" w:cs="Times New Roman"/>
          <w:lang w:eastAsia="zh-CN"/>
        </w:rPr>
        <w:t>本文件</w:t>
      </w:r>
      <w:r>
        <w:rPr>
          <w:rFonts w:ascii="宋体" w:hAnsi="Calibri" w:eastAsia="宋体" w:cs="Times New Roman"/>
          <w:lang w:eastAsia="zh-CN"/>
        </w:rPr>
        <w:t>的要求</w:t>
      </w:r>
      <w:r>
        <w:rPr>
          <w:rFonts w:ascii="宋体" w:hAnsi="Calibri" w:eastAsia="宋体" w:cs="Times New Roman"/>
          <w:spacing w:val="-1"/>
          <w:lang w:eastAsia="zh-CN"/>
        </w:rPr>
        <w:t>。</w:t>
      </w:r>
    </w:p>
    <w:p w14:paraId="1F641F1D">
      <w:pPr>
        <w:pStyle w:val="12"/>
        <w:spacing w:before="1" w:line="360" w:lineRule="auto"/>
        <w:ind w:right="11" w:firstLine="424"/>
        <w:rPr>
          <w:szCs w:val="21"/>
        </w:rPr>
      </w:pPr>
      <w:r>
        <w:rPr>
          <w:spacing w:val="2"/>
          <w:szCs w:val="21"/>
        </w:rPr>
        <w:t>本文件中的指南需以系统且非孤立的视角进行考虑，某些章条中的要求可能会与其他章条中的</w:t>
      </w:r>
      <w:r>
        <w:rPr>
          <w:rFonts w:hint="eastAsia"/>
          <w:spacing w:val="2"/>
          <w:szCs w:val="21"/>
        </w:rPr>
        <w:t>要求</w:t>
      </w:r>
      <w:r>
        <w:rPr>
          <w:spacing w:val="-1"/>
          <w:szCs w:val="21"/>
        </w:rPr>
        <w:t>之间存在相互联系。</w:t>
      </w:r>
    </w:p>
    <w:p w14:paraId="5F0A60B1">
      <w:pPr>
        <w:pStyle w:val="28"/>
        <w:numPr>
          <w:ilvl w:val="0"/>
          <w:numId w:val="58"/>
        </w:numPr>
        <w:spacing w:before="240" w:after="240" w:line="360" w:lineRule="auto"/>
      </w:pPr>
      <w:bookmarkStart w:id="25" w:name="_Toc19956"/>
      <w:r>
        <w:t>理解企业及其 ESG 环境（参见 4.</w:t>
      </w:r>
      <w:r>
        <w:rPr>
          <w:rFonts w:hint="eastAsia"/>
        </w:rPr>
        <w:t>2</w:t>
      </w:r>
      <w:r>
        <w:t>）</w:t>
      </w:r>
      <w:bookmarkEnd w:id="25"/>
    </w:p>
    <w:p w14:paraId="2C2C593E">
      <w:pPr>
        <w:pStyle w:val="12"/>
        <w:spacing w:before="145" w:line="360" w:lineRule="auto"/>
        <w:ind w:firstLine="416"/>
        <w:rPr>
          <w:szCs w:val="21"/>
        </w:rPr>
      </w:pPr>
      <w:r>
        <w:rPr>
          <w:spacing w:val="-2"/>
          <w:szCs w:val="21"/>
        </w:rPr>
        <w:t>理解企业特征如何与其ESG相关联是企业建立 ESG 管理体系的重要信息基础。该</w:t>
      </w:r>
      <w:r>
        <w:rPr>
          <w:spacing w:val="-3"/>
          <w:szCs w:val="21"/>
        </w:rPr>
        <w:t>过程的输出信息</w:t>
      </w:r>
      <w:r>
        <w:rPr>
          <w:spacing w:val="-2"/>
          <w:szCs w:val="21"/>
        </w:rPr>
        <w:t>是企业辨识</w:t>
      </w:r>
      <w:r>
        <w:rPr>
          <w:spacing w:val="-46"/>
          <w:szCs w:val="21"/>
        </w:rPr>
        <w:t xml:space="preserve"> </w:t>
      </w:r>
      <w:r>
        <w:rPr>
          <w:spacing w:val="-2"/>
          <w:szCs w:val="21"/>
        </w:rPr>
        <w:t>ESG</w:t>
      </w:r>
      <w:r>
        <w:rPr>
          <w:spacing w:val="-45"/>
          <w:szCs w:val="21"/>
        </w:rPr>
        <w:t xml:space="preserve"> </w:t>
      </w:r>
      <w:r>
        <w:rPr>
          <w:spacing w:val="-2"/>
          <w:szCs w:val="21"/>
        </w:rPr>
        <w:t>议题和识别其利益相关方的</w:t>
      </w:r>
      <w:r>
        <w:rPr>
          <w:spacing w:val="-3"/>
          <w:szCs w:val="21"/>
        </w:rPr>
        <w:t>重要判定依据。可行时，该过程宜评审如下各方面（但不</w:t>
      </w:r>
      <w:r>
        <w:rPr>
          <w:spacing w:val="-12"/>
          <w:szCs w:val="21"/>
        </w:rPr>
        <w:t>）：</w:t>
      </w:r>
    </w:p>
    <w:p w14:paraId="3C686B6D">
      <w:pPr>
        <w:pStyle w:val="12"/>
        <w:numPr>
          <w:ilvl w:val="0"/>
          <w:numId w:val="59"/>
        </w:numPr>
        <w:spacing w:before="1" w:line="360" w:lineRule="auto"/>
        <w:ind w:firstLineChars="0"/>
        <w:rPr>
          <w:rFonts w:hint="eastAsia" w:ascii="Times New Roman" w:hAnsi="宋体" w:cs="宋体"/>
          <w:szCs w:val="21"/>
        </w:rPr>
      </w:pPr>
      <w:r>
        <w:rPr>
          <w:szCs w:val="21"/>
        </w:rPr>
        <w:t>企业的类型、宗旨、运行性质和规模；</w:t>
      </w:r>
    </w:p>
    <w:p w14:paraId="0CEE0E84">
      <w:pPr>
        <w:pStyle w:val="12"/>
        <w:numPr>
          <w:ilvl w:val="0"/>
          <w:numId w:val="59"/>
        </w:numPr>
        <w:spacing w:before="22" w:line="360" w:lineRule="auto"/>
        <w:ind w:firstLineChars="0"/>
        <w:rPr>
          <w:rFonts w:hint="eastAsia" w:ascii="Times New Roman" w:hAnsi="宋体" w:cs="宋体"/>
          <w:szCs w:val="21"/>
        </w:rPr>
      </w:pPr>
      <w:r>
        <w:rPr>
          <w:szCs w:val="21"/>
        </w:rPr>
        <w:t>企业所在地的社会、环境和经济特征；</w:t>
      </w:r>
    </w:p>
    <w:p w14:paraId="23AF903B">
      <w:pPr>
        <w:pStyle w:val="12"/>
        <w:numPr>
          <w:ilvl w:val="0"/>
          <w:numId w:val="59"/>
        </w:numPr>
        <w:spacing w:before="21" w:line="360" w:lineRule="auto"/>
        <w:ind w:firstLineChars="0"/>
        <w:rPr>
          <w:rFonts w:hint="eastAsia" w:ascii="Times New Roman" w:hAnsi="宋体" w:cs="宋体"/>
          <w:szCs w:val="21"/>
        </w:rPr>
      </w:pPr>
      <w:r>
        <w:rPr>
          <w:spacing w:val="-3"/>
          <w:szCs w:val="21"/>
        </w:rPr>
        <w:t>任何有关企业以往</w:t>
      </w:r>
      <w:r>
        <w:rPr>
          <w:spacing w:val="-28"/>
          <w:szCs w:val="21"/>
        </w:rPr>
        <w:t xml:space="preserve"> </w:t>
      </w:r>
      <w:r>
        <w:rPr>
          <w:spacing w:val="-3"/>
          <w:szCs w:val="21"/>
        </w:rPr>
        <w:t>ESG</w:t>
      </w:r>
      <w:r>
        <w:rPr>
          <w:spacing w:val="-40"/>
          <w:szCs w:val="21"/>
        </w:rPr>
        <w:t xml:space="preserve"> </w:t>
      </w:r>
      <w:r>
        <w:rPr>
          <w:spacing w:val="-3"/>
          <w:szCs w:val="21"/>
        </w:rPr>
        <w:t>绩效的信息；</w:t>
      </w:r>
    </w:p>
    <w:p w14:paraId="213CFCB4">
      <w:pPr>
        <w:pStyle w:val="12"/>
        <w:numPr>
          <w:ilvl w:val="0"/>
          <w:numId w:val="59"/>
        </w:numPr>
        <w:spacing w:before="22" w:line="360" w:lineRule="auto"/>
        <w:ind w:firstLineChars="0"/>
        <w:rPr>
          <w:rFonts w:hint="eastAsia" w:ascii="Times New Roman" w:hAnsi="宋体" w:cs="宋体"/>
          <w:szCs w:val="21"/>
        </w:rPr>
      </w:pPr>
      <w:r>
        <w:rPr>
          <w:spacing w:val="-2"/>
          <w:szCs w:val="21"/>
        </w:rPr>
        <w:t>企业用工的特点；</w:t>
      </w:r>
    </w:p>
    <w:p w14:paraId="3BB753FE">
      <w:pPr>
        <w:pStyle w:val="12"/>
        <w:numPr>
          <w:ilvl w:val="0"/>
          <w:numId w:val="59"/>
        </w:numPr>
        <w:spacing w:before="21" w:line="360" w:lineRule="auto"/>
        <w:ind w:firstLineChars="0"/>
        <w:rPr>
          <w:rFonts w:hint="eastAsia" w:ascii="Times New Roman" w:hAnsi="宋体" w:cs="宋体"/>
          <w:szCs w:val="21"/>
        </w:rPr>
      </w:pPr>
      <w:r>
        <w:rPr>
          <w:spacing w:val="-1"/>
          <w:szCs w:val="21"/>
        </w:rPr>
        <w:t>企业所参加的其他组织，如与企业</w:t>
      </w:r>
      <w:r>
        <w:rPr>
          <w:spacing w:val="-47"/>
          <w:szCs w:val="21"/>
        </w:rPr>
        <w:t xml:space="preserve"> </w:t>
      </w:r>
      <w:r>
        <w:rPr>
          <w:spacing w:val="-1"/>
          <w:szCs w:val="21"/>
        </w:rPr>
        <w:t>ESG</w:t>
      </w:r>
      <w:r>
        <w:rPr>
          <w:spacing w:val="-43"/>
          <w:szCs w:val="21"/>
        </w:rPr>
        <w:t xml:space="preserve"> </w:t>
      </w:r>
      <w:r>
        <w:rPr>
          <w:spacing w:val="-1"/>
          <w:szCs w:val="21"/>
        </w:rPr>
        <w:t>有关的活动、准则或</w:t>
      </w:r>
      <w:r>
        <w:rPr>
          <w:spacing w:val="-2"/>
          <w:szCs w:val="21"/>
        </w:rPr>
        <w:t>其他要求；</w:t>
      </w:r>
    </w:p>
    <w:p w14:paraId="031DFF82">
      <w:pPr>
        <w:pStyle w:val="12"/>
        <w:numPr>
          <w:ilvl w:val="0"/>
          <w:numId w:val="59"/>
        </w:numPr>
        <w:spacing w:before="22" w:line="360" w:lineRule="auto"/>
        <w:ind w:firstLineChars="0"/>
        <w:rPr>
          <w:rFonts w:hint="eastAsia" w:ascii="Times New Roman" w:hAnsi="宋体" w:cs="宋体"/>
          <w:szCs w:val="21"/>
        </w:rPr>
      </w:pPr>
      <w:r>
        <w:rPr>
          <w:szCs w:val="21"/>
        </w:rPr>
        <w:t>企业的使命、愿景、价值观、原则和行为准则；</w:t>
      </w:r>
    </w:p>
    <w:p w14:paraId="30DFD59A">
      <w:pPr>
        <w:pStyle w:val="12"/>
        <w:numPr>
          <w:ilvl w:val="0"/>
          <w:numId w:val="59"/>
        </w:numPr>
        <w:spacing w:before="22" w:line="360" w:lineRule="auto"/>
        <w:ind w:firstLineChars="0"/>
        <w:rPr>
          <w:rFonts w:hint="eastAsia" w:ascii="Times New Roman" w:hAnsi="宋体" w:cs="宋体"/>
          <w:szCs w:val="21"/>
        </w:rPr>
      </w:pPr>
      <w:r>
        <w:rPr>
          <w:spacing w:val="-1"/>
          <w:szCs w:val="21"/>
        </w:rPr>
        <w:t>与企业</w:t>
      </w:r>
      <w:r>
        <w:rPr>
          <w:spacing w:val="-34"/>
          <w:szCs w:val="21"/>
        </w:rPr>
        <w:t xml:space="preserve"> </w:t>
      </w:r>
      <w:r>
        <w:rPr>
          <w:spacing w:val="-1"/>
          <w:szCs w:val="21"/>
        </w:rPr>
        <w:t>ESG</w:t>
      </w:r>
      <w:r>
        <w:rPr>
          <w:spacing w:val="-46"/>
          <w:szCs w:val="21"/>
        </w:rPr>
        <w:t xml:space="preserve"> </w:t>
      </w:r>
      <w:r>
        <w:rPr>
          <w:spacing w:val="-1"/>
          <w:szCs w:val="21"/>
        </w:rPr>
        <w:t>有关的内部和外部利益相关方的关切；</w:t>
      </w:r>
    </w:p>
    <w:p w14:paraId="16123158">
      <w:pPr>
        <w:pStyle w:val="12"/>
        <w:numPr>
          <w:ilvl w:val="0"/>
          <w:numId w:val="59"/>
        </w:numPr>
        <w:spacing w:before="29" w:line="360" w:lineRule="auto"/>
        <w:ind w:firstLineChars="0"/>
        <w:rPr>
          <w:rFonts w:hint="eastAsia" w:ascii="Times New Roman" w:hAnsi="宋体" w:cs="宋体"/>
          <w:szCs w:val="21"/>
        </w:rPr>
      </w:pPr>
      <w:r>
        <w:rPr>
          <w:szCs w:val="21"/>
        </w:rPr>
        <w:t>企业决策结构和性质；</w:t>
      </w:r>
    </w:p>
    <w:p w14:paraId="52FBB085">
      <w:pPr>
        <w:pStyle w:val="12"/>
        <w:numPr>
          <w:ilvl w:val="0"/>
          <w:numId w:val="59"/>
        </w:numPr>
        <w:spacing w:before="20" w:line="360" w:lineRule="auto"/>
        <w:ind w:firstLineChars="0"/>
        <w:rPr>
          <w:rFonts w:hint="eastAsia" w:ascii="Times New Roman" w:hAnsi="宋体" w:cs="宋体"/>
          <w:szCs w:val="21"/>
        </w:rPr>
      </w:pPr>
      <w:r>
        <w:rPr>
          <w:spacing w:val="-5"/>
          <w:szCs w:val="21"/>
        </w:rPr>
        <w:t>企业的价值链。</w:t>
      </w:r>
    </w:p>
    <w:p w14:paraId="1CAFB6F6">
      <w:pPr>
        <w:pStyle w:val="12"/>
        <w:spacing w:before="25" w:line="360" w:lineRule="auto"/>
        <w:ind w:firstLine="414"/>
        <w:rPr>
          <w:szCs w:val="21"/>
        </w:rPr>
      </w:pPr>
      <w:r>
        <w:rPr>
          <w:spacing w:val="-3"/>
          <w:szCs w:val="21"/>
        </w:rPr>
        <w:t>对企业而言，管理层对</w:t>
      </w:r>
      <w:r>
        <w:rPr>
          <w:spacing w:val="-49"/>
          <w:szCs w:val="21"/>
        </w:rPr>
        <w:t xml:space="preserve"> </w:t>
      </w:r>
      <w:r>
        <w:rPr>
          <w:spacing w:val="-3"/>
          <w:szCs w:val="21"/>
        </w:rPr>
        <w:t>ESG</w:t>
      </w:r>
      <w:r>
        <w:rPr>
          <w:spacing w:val="-26"/>
          <w:szCs w:val="21"/>
        </w:rPr>
        <w:t xml:space="preserve"> </w:t>
      </w:r>
      <w:r>
        <w:rPr>
          <w:spacing w:val="-3"/>
          <w:szCs w:val="21"/>
        </w:rPr>
        <w:t>的态度、承诺水平和理解程度至关重要，决定</w:t>
      </w:r>
      <w:r>
        <w:rPr>
          <w:spacing w:val="-4"/>
          <w:szCs w:val="21"/>
        </w:rPr>
        <w:t>了企业</w:t>
      </w:r>
      <w:r>
        <w:rPr>
          <w:spacing w:val="-46"/>
          <w:szCs w:val="21"/>
        </w:rPr>
        <w:t xml:space="preserve"> </w:t>
      </w:r>
      <w:r>
        <w:rPr>
          <w:spacing w:val="-4"/>
          <w:szCs w:val="21"/>
        </w:rPr>
        <w:t>ESG</w:t>
      </w:r>
      <w:r>
        <w:rPr>
          <w:spacing w:val="-42"/>
          <w:szCs w:val="21"/>
        </w:rPr>
        <w:t xml:space="preserve"> </w:t>
      </w:r>
      <w:r>
        <w:rPr>
          <w:spacing w:val="-4"/>
          <w:szCs w:val="21"/>
        </w:rPr>
        <w:t>管理体系是否</w:t>
      </w:r>
      <w:r>
        <w:rPr>
          <w:spacing w:val="-2"/>
          <w:szCs w:val="21"/>
        </w:rPr>
        <w:t>能够成功建立并有效实施。</w:t>
      </w:r>
    </w:p>
    <w:p w14:paraId="1C0AAA46">
      <w:pPr>
        <w:pStyle w:val="28"/>
        <w:numPr>
          <w:ilvl w:val="0"/>
          <w:numId w:val="58"/>
        </w:numPr>
        <w:spacing w:before="240" w:after="240" w:line="360" w:lineRule="auto"/>
      </w:pPr>
      <w:bookmarkStart w:id="26" w:name="_Toc31507"/>
      <w:r>
        <w:t>利益相关方的识别和参与（参见4.</w:t>
      </w:r>
      <w:r>
        <w:rPr>
          <w:rFonts w:hint="eastAsia"/>
        </w:rPr>
        <w:t>3</w:t>
      </w:r>
      <w:r>
        <w:t>、5.5）</w:t>
      </w:r>
      <w:bookmarkEnd w:id="26"/>
    </w:p>
    <w:p w14:paraId="60330E07">
      <w:pPr>
        <w:pStyle w:val="12"/>
        <w:spacing w:before="144" w:line="360" w:lineRule="auto"/>
        <w:ind w:firstLine="414"/>
        <w:rPr>
          <w:szCs w:val="21"/>
        </w:rPr>
      </w:pPr>
      <w:r>
        <w:rPr>
          <w:spacing w:val="-3"/>
          <w:szCs w:val="21"/>
        </w:rPr>
        <w:t>企业宜识别利益相关方，并分析他们的需求和期望，确认与产品、服务和价值链活动有关的ESG需</w:t>
      </w:r>
      <w:r>
        <w:rPr>
          <w:szCs w:val="21"/>
        </w:rPr>
        <w:t>求及其内在联系，包括实际和潜在的联系。企业利益相关方及其需求包括但不</w:t>
      </w:r>
      <w:r>
        <w:rPr>
          <w:spacing w:val="-1"/>
          <w:szCs w:val="21"/>
        </w:rPr>
        <w:t>限于：</w:t>
      </w:r>
    </w:p>
    <w:p w14:paraId="21AE1124">
      <w:pPr>
        <w:pStyle w:val="12"/>
        <w:numPr>
          <w:ilvl w:val="0"/>
          <w:numId w:val="60"/>
        </w:numPr>
        <w:spacing w:before="1" w:line="360" w:lineRule="auto"/>
        <w:ind w:firstLineChars="0"/>
        <w:rPr>
          <w:rFonts w:hint="eastAsia" w:ascii="Times New Roman" w:hAnsi="宋体" w:cs="宋体"/>
          <w:szCs w:val="21"/>
        </w:rPr>
      </w:pPr>
      <w:r>
        <w:rPr>
          <w:szCs w:val="21"/>
        </w:rPr>
        <w:t>股东及投资者，可能的需求示例：稳健经营、可持续发展、收益回报、信息畅通等；</w:t>
      </w:r>
    </w:p>
    <w:p w14:paraId="2DD44974">
      <w:pPr>
        <w:pStyle w:val="12"/>
        <w:numPr>
          <w:ilvl w:val="0"/>
          <w:numId w:val="60"/>
        </w:numPr>
        <w:spacing w:before="20" w:line="360" w:lineRule="auto"/>
        <w:ind w:firstLineChars="0"/>
        <w:rPr>
          <w:rFonts w:hint="eastAsia" w:ascii="Times New Roman" w:hAnsi="宋体" w:cs="宋体"/>
          <w:szCs w:val="21"/>
        </w:rPr>
      </w:pPr>
      <w:r>
        <w:rPr>
          <w:szCs w:val="21"/>
        </w:rPr>
        <w:t>政府及立法机构，可能的需求示例：合规</w:t>
      </w:r>
      <w:r>
        <w:rPr>
          <w:spacing w:val="-1"/>
          <w:szCs w:val="21"/>
        </w:rPr>
        <w:t>运营、税务透明度、道路交通安全等；</w:t>
      </w:r>
    </w:p>
    <w:p w14:paraId="4412A388">
      <w:pPr>
        <w:pStyle w:val="12"/>
        <w:numPr>
          <w:ilvl w:val="0"/>
          <w:numId w:val="60"/>
        </w:numPr>
        <w:spacing w:before="23" w:line="360" w:lineRule="auto"/>
        <w:ind w:firstLineChars="0"/>
        <w:rPr>
          <w:rFonts w:hint="eastAsia" w:ascii="Times New Roman" w:hAnsi="宋体" w:cs="宋体"/>
          <w:szCs w:val="21"/>
        </w:rPr>
      </w:pPr>
      <w:r>
        <w:rPr>
          <w:szCs w:val="21"/>
        </w:rPr>
        <w:t>客户，可能的需求示例：诚信履约、产品质量与安全、优质服务等；</w:t>
      </w:r>
    </w:p>
    <w:p w14:paraId="1A1881AF">
      <w:pPr>
        <w:pStyle w:val="12"/>
        <w:numPr>
          <w:ilvl w:val="0"/>
          <w:numId w:val="60"/>
        </w:numPr>
        <w:spacing w:before="20" w:line="360" w:lineRule="auto"/>
        <w:ind w:firstLineChars="0"/>
        <w:rPr>
          <w:rFonts w:hint="eastAsia" w:ascii="Times New Roman" w:hAnsi="宋体" w:cs="宋体"/>
          <w:szCs w:val="21"/>
        </w:rPr>
      </w:pPr>
      <w:r>
        <w:rPr>
          <w:spacing w:val="-1"/>
          <w:szCs w:val="21"/>
        </w:rPr>
        <w:t>员工，可能的需求示例：健康与安全、薪酬福利、职业发展、人文关怀等；</w:t>
      </w:r>
    </w:p>
    <w:p w14:paraId="3933D1EB">
      <w:pPr>
        <w:pStyle w:val="12"/>
        <w:numPr>
          <w:ilvl w:val="0"/>
          <w:numId w:val="60"/>
        </w:numPr>
        <w:spacing w:before="23" w:line="360" w:lineRule="auto"/>
        <w:ind w:firstLineChars="0"/>
        <w:rPr>
          <w:rFonts w:hint="eastAsia" w:ascii="Times New Roman" w:hAnsi="宋体" w:cs="宋体"/>
          <w:szCs w:val="21"/>
        </w:rPr>
      </w:pPr>
      <w:r>
        <w:rPr>
          <w:spacing w:val="-2"/>
          <w:szCs w:val="21"/>
        </w:rPr>
        <w:t>环境，可能的需求示例：应对气候变化、绿色产</w:t>
      </w:r>
      <w:r>
        <w:rPr>
          <w:spacing w:val="-3"/>
          <w:szCs w:val="21"/>
        </w:rPr>
        <w:t>品开发、污染物与废弃物管理、资源利用、</w:t>
      </w:r>
      <w:r>
        <w:rPr>
          <w:rFonts w:hint="eastAsia"/>
          <w:spacing w:val="-3"/>
          <w:szCs w:val="21"/>
        </w:rPr>
        <w:t>生物多样性保护</w:t>
      </w:r>
      <w:r>
        <w:rPr>
          <w:spacing w:val="-1"/>
          <w:szCs w:val="21"/>
        </w:rPr>
        <w:t>等；</w:t>
      </w:r>
    </w:p>
    <w:p w14:paraId="1408F8D1">
      <w:pPr>
        <w:pStyle w:val="12"/>
        <w:numPr>
          <w:ilvl w:val="0"/>
          <w:numId w:val="60"/>
        </w:numPr>
        <w:spacing w:before="23" w:line="360" w:lineRule="auto"/>
        <w:ind w:firstLineChars="0"/>
        <w:rPr>
          <w:rFonts w:hint="eastAsia" w:ascii="Times New Roman" w:hAnsi="宋体" w:cs="宋体"/>
          <w:szCs w:val="21"/>
        </w:rPr>
      </w:pPr>
      <w:r>
        <w:rPr>
          <w:szCs w:val="21"/>
        </w:rPr>
        <w:t>供应链合作伙伴，可能的需求示例：商业道德、透明采购、互利共赢等；</w:t>
      </w:r>
    </w:p>
    <w:p w14:paraId="373E389A">
      <w:pPr>
        <w:pStyle w:val="12"/>
        <w:numPr>
          <w:ilvl w:val="0"/>
          <w:numId w:val="60"/>
        </w:numPr>
        <w:spacing w:before="21" w:line="360" w:lineRule="auto"/>
        <w:ind w:firstLineChars="0"/>
        <w:rPr>
          <w:rFonts w:hint="eastAsia" w:ascii="Times New Roman" w:hAnsi="宋体" w:cs="宋体"/>
          <w:szCs w:val="21"/>
        </w:rPr>
      </w:pPr>
      <w:r>
        <w:rPr>
          <w:spacing w:val="-1"/>
          <w:szCs w:val="21"/>
        </w:rPr>
        <w:t>社区，可能的需求示例：社区投资、公益活动等；</w:t>
      </w:r>
    </w:p>
    <w:p w14:paraId="690E3B24">
      <w:pPr>
        <w:pStyle w:val="12"/>
        <w:numPr>
          <w:ilvl w:val="0"/>
          <w:numId w:val="60"/>
        </w:numPr>
        <w:spacing w:before="29" w:line="360" w:lineRule="auto"/>
        <w:ind w:firstLineChars="0"/>
        <w:rPr>
          <w:rFonts w:hint="eastAsia" w:ascii="Times New Roman" w:hAnsi="宋体" w:cs="宋体"/>
          <w:szCs w:val="21"/>
        </w:rPr>
      </w:pPr>
      <w:r>
        <w:rPr>
          <w:spacing w:val="-1"/>
          <w:szCs w:val="21"/>
        </w:rPr>
        <w:t>债权人，可能的需求示例：偿债能力强、按时还本付息、互信合作等；</w:t>
      </w:r>
    </w:p>
    <w:p w14:paraId="61FFD40E">
      <w:pPr>
        <w:pStyle w:val="12"/>
        <w:numPr>
          <w:ilvl w:val="0"/>
          <w:numId w:val="60"/>
        </w:numPr>
        <w:spacing w:before="21" w:line="360" w:lineRule="auto"/>
        <w:ind w:firstLineChars="0"/>
        <w:rPr>
          <w:rFonts w:hint="eastAsia" w:ascii="Times New Roman" w:hAnsi="宋体" w:cs="宋体"/>
          <w:szCs w:val="21"/>
        </w:rPr>
      </w:pPr>
      <w:r>
        <w:rPr>
          <w:szCs w:val="21"/>
        </w:rPr>
        <w:t>同行及行业协会，可能的需求示例：公平竞争</w:t>
      </w:r>
      <w:r>
        <w:rPr>
          <w:spacing w:val="-1"/>
          <w:szCs w:val="21"/>
        </w:rPr>
        <w:t>、推动产业链发展等；</w:t>
      </w:r>
    </w:p>
    <w:p w14:paraId="2E770038">
      <w:pPr>
        <w:pStyle w:val="12"/>
        <w:numPr>
          <w:ilvl w:val="0"/>
          <w:numId w:val="60"/>
        </w:numPr>
        <w:spacing w:before="23" w:line="360" w:lineRule="auto"/>
        <w:ind w:firstLineChars="0"/>
        <w:rPr>
          <w:rFonts w:hint="eastAsia" w:ascii="Times New Roman" w:hAnsi="宋体" w:cs="宋体"/>
          <w:szCs w:val="21"/>
        </w:rPr>
      </w:pPr>
      <w:r>
        <w:rPr>
          <w:spacing w:val="-1"/>
          <w:szCs w:val="21"/>
        </w:rPr>
        <w:t>媒体及公众，可能的需求示例：知情权、参与权、监督权等；</w:t>
      </w:r>
    </w:p>
    <w:p w14:paraId="265023BC">
      <w:pPr>
        <w:pStyle w:val="12"/>
        <w:numPr>
          <w:ilvl w:val="0"/>
          <w:numId w:val="60"/>
        </w:numPr>
        <w:spacing w:before="26" w:line="360" w:lineRule="auto"/>
        <w:ind w:firstLineChars="0"/>
        <w:rPr>
          <w:rFonts w:hint="eastAsia" w:ascii="Times New Roman" w:hAnsi="宋体" w:cs="宋体"/>
          <w:szCs w:val="21"/>
        </w:rPr>
      </w:pPr>
      <w:r>
        <w:rPr>
          <w:szCs w:val="21"/>
        </w:rPr>
        <w:t>相关非政府组织、科学团体和国际机构等，可能的需求示例：交流合</w:t>
      </w:r>
      <w:r>
        <w:rPr>
          <w:spacing w:val="-1"/>
          <w:szCs w:val="21"/>
        </w:rPr>
        <w:t>作、信息公开等。</w:t>
      </w:r>
    </w:p>
    <w:p w14:paraId="6B77B065">
      <w:pPr>
        <w:pStyle w:val="12"/>
        <w:spacing w:before="24" w:line="360" w:lineRule="auto"/>
        <w:ind w:firstLine="414"/>
        <w:rPr>
          <w:szCs w:val="21"/>
        </w:rPr>
      </w:pPr>
      <w:r>
        <w:rPr>
          <w:spacing w:val="-3"/>
          <w:szCs w:val="21"/>
        </w:rPr>
        <w:t>利益相关方及其代表（若有）的协商和参与是</w:t>
      </w:r>
      <w:r>
        <w:rPr>
          <w:spacing w:val="-33"/>
          <w:szCs w:val="21"/>
        </w:rPr>
        <w:t xml:space="preserve"> </w:t>
      </w:r>
      <w:r>
        <w:rPr>
          <w:spacing w:val="-3"/>
          <w:szCs w:val="21"/>
        </w:rPr>
        <w:t>ESG</w:t>
      </w:r>
      <w:r>
        <w:rPr>
          <w:spacing w:val="-41"/>
          <w:szCs w:val="21"/>
        </w:rPr>
        <w:t xml:space="preserve"> </w:t>
      </w:r>
      <w:r>
        <w:rPr>
          <w:spacing w:val="-3"/>
          <w:szCs w:val="21"/>
        </w:rPr>
        <w:t>管理体系取得成功的关键因素。企业宜通过建立</w:t>
      </w:r>
      <w:r>
        <w:rPr>
          <w:spacing w:val="-2"/>
          <w:szCs w:val="21"/>
        </w:rPr>
        <w:t>过程而对此予以鼓励。企业宜及时向利益相关方及其代表（若有）提供必要</w:t>
      </w:r>
      <w:r>
        <w:rPr>
          <w:spacing w:val="-3"/>
          <w:szCs w:val="21"/>
        </w:rPr>
        <w:t>信息，以使其给出知情的</w:t>
      </w:r>
      <w:r>
        <w:rPr>
          <w:rFonts w:hint="eastAsia"/>
          <w:spacing w:val="-3"/>
          <w:szCs w:val="21"/>
        </w:rPr>
        <w:t>反馈</w:t>
      </w:r>
      <w:r>
        <w:rPr>
          <w:spacing w:val="-1"/>
          <w:szCs w:val="21"/>
        </w:rPr>
        <w:t>意见，供企业在做出决策前加以考虑。</w:t>
      </w:r>
    </w:p>
    <w:p w14:paraId="69B70F5F">
      <w:pPr>
        <w:pStyle w:val="12"/>
        <w:spacing w:line="360" w:lineRule="auto"/>
        <w:ind w:right="11" w:firstLine="424"/>
        <w:rPr>
          <w:szCs w:val="21"/>
        </w:rPr>
      </w:pPr>
      <w:r>
        <w:rPr>
          <w:spacing w:val="2"/>
          <w:szCs w:val="21"/>
        </w:rPr>
        <w:t>企业宜确保鼓励企业内各层次员工以及企业外的其他利益相关方报告不良影响情况，以便预防措</w:t>
      </w:r>
    </w:p>
    <w:p w14:paraId="2ED592F1">
      <w:pPr>
        <w:pStyle w:val="12"/>
        <w:spacing w:before="68" w:line="360" w:lineRule="auto"/>
        <w:ind w:firstLine="416"/>
        <w:rPr>
          <w:szCs w:val="21"/>
        </w:rPr>
      </w:pPr>
      <w:r>
        <w:rPr>
          <w:spacing w:val="-2"/>
          <w:szCs w:val="21"/>
        </w:rPr>
        <w:t>施落实到位和采取纠正措施。</w:t>
      </w:r>
    </w:p>
    <w:p w14:paraId="527302D0">
      <w:pPr>
        <w:pStyle w:val="12"/>
        <w:spacing w:before="23" w:line="360" w:lineRule="auto"/>
        <w:rPr>
          <w:szCs w:val="21"/>
        </w:rPr>
      </w:pPr>
      <w:r>
        <w:rPr>
          <w:szCs w:val="21"/>
        </w:rPr>
        <w:t>企业宜采用下述各种方法进行有效的利益相关方参与（</w:t>
      </w:r>
      <w:r>
        <w:rPr>
          <w:spacing w:val="-1"/>
          <w:szCs w:val="21"/>
        </w:rPr>
        <w:t>包括但不限于）：</w:t>
      </w:r>
    </w:p>
    <w:p w14:paraId="213FC88C">
      <w:pPr>
        <w:pStyle w:val="12"/>
        <w:spacing w:before="21" w:line="360" w:lineRule="auto"/>
        <w:rPr>
          <w:szCs w:val="21"/>
        </w:rPr>
      </w:pPr>
      <w:r>
        <w:rPr>
          <w:szCs w:val="21"/>
        </w:rPr>
        <w:t>——对利益相关方的重要程度进行评估，确定利益相关方的参与程度和顺序；</w:t>
      </w:r>
    </w:p>
    <w:p w14:paraId="26FD5450">
      <w:pPr>
        <w:pStyle w:val="12"/>
        <w:spacing w:before="23" w:line="360" w:lineRule="auto"/>
        <w:ind w:firstLine="418"/>
        <w:rPr>
          <w:szCs w:val="21"/>
        </w:rPr>
      </w:pPr>
      <w:r>
        <w:rPr>
          <w:spacing w:val="-1"/>
          <w:szCs w:val="21"/>
        </w:rPr>
        <w:t>——定期或在发生重大事件（如重大业务变化、自然灾害等）后更新利益相关方列表；</w:t>
      </w:r>
    </w:p>
    <w:p w14:paraId="5F985667">
      <w:pPr>
        <w:pStyle w:val="12"/>
        <w:spacing w:before="20" w:line="360" w:lineRule="auto"/>
        <w:rPr>
          <w:szCs w:val="21"/>
        </w:rPr>
      </w:pPr>
      <w:r>
        <w:rPr>
          <w:szCs w:val="21"/>
        </w:rPr>
        <w:t>——与利益相关方代表接触时，确保其能合法代表受影响群体和社区的利益；</w:t>
      </w:r>
    </w:p>
    <w:p w14:paraId="7237A959">
      <w:pPr>
        <w:pStyle w:val="12"/>
        <w:spacing w:before="22" w:line="360" w:lineRule="auto"/>
        <w:ind w:firstLine="416"/>
        <w:rPr>
          <w:szCs w:val="21"/>
        </w:rPr>
      </w:pPr>
      <w:r>
        <w:rPr>
          <w:spacing w:val="-2"/>
          <w:szCs w:val="21"/>
        </w:rPr>
        <w:t>——努力接触脆弱和边缘化的群体；</w:t>
      </w:r>
    </w:p>
    <w:p w14:paraId="5C68A5CE">
      <w:pPr>
        <w:pStyle w:val="12"/>
        <w:spacing w:before="21" w:line="360" w:lineRule="auto"/>
        <w:ind w:firstLine="418"/>
        <w:rPr>
          <w:szCs w:val="21"/>
        </w:rPr>
      </w:pPr>
      <w:r>
        <w:rPr>
          <w:spacing w:val="-1"/>
          <w:szCs w:val="21"/>
        </w:rPr>
        <w:t>——设置与企业</w:t>
      </w:r>
      <w:r>
        <w:rPr>
          <w:spacing w:val="-47"/>
          <w:szCs w:val="21"/>
        </w:rPr>
        <w:t xml:space="preserve"> </w:t>
      </w:r>
      <w:r>
        <w:rPr>
          <w:spacing w:val="-1"/>
          <w:szCs w:val="21"/>
        </w:rPr>
        <w:t>ESG</w:t>
      </w:r>
      <w:r>
        <w:rPr>
          <w:spacing w:val="-45"/>
          <w:szCs w:val="21"/>
        </w:rPr>
        <w:t xml:space="preserve"> </w:t>
      </w:r>
      <w:r>
        <w:rPr>
          <w:spacing w:val="-1"/>
          <w:szCs w:val="21"/>
        </w:rPr>
        <w:t>风险与影响水平和复杂性相匹配的投诉反馈机制；</w:t>
      </w:r>
    </w:p>
    <w:p w14:paraId="35ADAE06">
      <w:pPr>
        <w:pStyle w:val="12"/>
        <w:spacing w:before="23" w:line="360" w:lineRule="auto"/>
        <w:ind w:right="384"/>
        <w:rPr>
          <w:szCs w:val="21"/>
        </w:rPr>
      </w:pPr>
      <w:r>
        <w:rPr>
          <w:szCs w:val="21"/>
        </w:rPr>
        <w:t>——对利益相关方反馈的评论和建议保留记录，并将其中的重要信息用于调整行动计划、改善</w:t>
      </w:r>
      <w:r>
        <w:rPr>
          <w:spacing w:val="6"/>
          <w:szCs w:val="21"/>
        </w:rPr>
        <w:t xml:space="preserve"> </w:t>
      </w:r>
      <w:r>
        <w:rPr>
          <w:spacing w:val="-7"/>
          <w:szCs w:val="21"/>
        </w:rPr>
        <w:t>ESG</w:t>
      </w:r>
      <w:r>
        <w:rPr>
          <w:spacing w:val="-39"/>
          <w:szCs w:val="21"/>
        </w:rPr>
        <w:t xml:space="preserve"> </w:t>
      </w:r>
      <w:r>
        <w:rPr>
          <w:spacing w:val="-7"/>
          <w:szCs w:val="21"/>
        </w:rPr>
        <w:t>管理；</w:t>
      </w:r>
    </w:p>
    <w:p w14:paraId="62F9DC04">
      <w:pPr>
        <w:pStyle w:val="12"/>
        <w:spacing w:before="1" w:line="360" w:lineRule="auto"/>
        <w:rPr>
          <w:szCs w:val="21"/>
        </w:rPr>
      </w:pPr>
      <w:r>
        <w:rPr>
          <w:szCs w:val="21"/>
        </w:rPr>
        <w:t>——做好回应利益相关方要求的准备。</w:t>
      </w:r>
    </w:p>
    <w:p w14:paraId="267A7C5E">
      <w:pPr>
        <w:pStyle w:val="28"/>
        <w:numPr>
          <w:ilvl w:val="0"/>
          <w:numId w:val="58"/>
        </w:numPr>
        <w:spacing w:before="240" w:after="240" w:line="360" w:lineRule="auto"/>
      </w:pPr>
      <w:bookmarkStart w:id="27" w:name="_Toc7973"/>
      <w:r>
        <w:t>ESG 管理体系（参见 4.</w:t>
      </w:r>
      <w:r>
        <w:rPr>
          <w:rFonts w:hint="eastAsia"/>
        </w:rPr>
        <w:t>5</w:t>
      </w:r>
      <w:r>
        <w:t>）</w:t>
      </w:r>
      <w:bookmarkEnd w:id="27"/>
    </w:p>
    <w:p w14:paraId="4401DFBD">
      <w:pPr>
        <w:pStyle w:val="12"/>
        <w:spacing w:before="143" w:line="360" w:lineRule="auto"/>
        <w:ind w:right="75" w:firstLine="416"/>
        <w:rPr>
          <w:szCs w:val="21"/>
        </w:rPr>
      </w:pPr>
      <w:r>
        <w:rPr>
          <w:spacing w:val="-2"/>
          <w:szCs w:val="21"/>
        </w:rPr>
        <w:t>企业宜充分考虑自身环境以及各利益相关方的需求和期</w:t>
      </w:r>
      <w:r>
        <w:rPr>
          <w:spacing w:val="-3"/>
          <w:szCs w:val="21"/>
        </w:rPr>
        <w:t>望，以过程方法为思路，建立、实施、保持</w:t>
      </w:r>
      <w:r>
        <w:rPr>
          <w:szCs w:val="21"/>
        </w:rPr>
        <w:t xml:space="preserve"> </w:t>
      </w:r>
      <w:r>
        <w:rPr>
          <w:spacing w:val="-1"/>
          <w:szCs w:val="21"/>
        </w:rPr>
        <w:t>和持续改进</w:t>
      </w:r>
      <w:r>
        <w:rPr>
          <w:spacing w:val="-41"/>
          <w:szCs w:val="21"/>
        </w:rPr>
        <w:t xml:space="preserve"> </w:t>
      </w:r>
      <w:r>
        <w:rPr>
          <w:spacing w:val="-1"/>
          <w:szCs w:val="21"/>
        </w:rPr>
        <w:t>ESG</w:t>
      </w:r>
      <w:r>
        <w:rPr>
          <w:spacing w:val="-41"/>
          <w:szCs w:val="21"/>
        </w:rPr>
        <w:t xml:space="preserve"> </w:t>
      </w:r>
      <w:r>
        <w:rPr>
          <w:spacing w:val="-1"/>
          <w:szCs w:val="21"/>
        </w:rPr>
        <w:t>管理体系，包括所需的各个过程及其相互作用，以提升企业的</w:t>
      </w:r>
      <w:r>
        <w:rPr>
          <w:spacing w:val="-46"/>
          <w:szCs w:val="21"/>
        </w:rPr>
        <w:t xml:space="preserve"> </w:t>
      </w:r>
      <w:r>
        <w:rPr>
          <w:spacing w:val="-1"/>
          <w:szCs w:val="21"/>
        </w:rPr>
        <w:t>ESG</w:t>
      </w:r>
      <w:r>
        <w:rPr>
          <w:spacing w:val="-43"/>
          <w:szCs w:val="21"/>
        </w:rPr>
        <w:t xml:space="preserve"> </w:t>
      </w:r>
      <w:r>
        <w:rPr>
          <w:spacing w:val="-1"/>
          <w:szCs w:val="21"/>
        </w:rPr>
        <w:t>绩效。</w:t>
      </w:r>
    </w:p>
    <w:p w14:paraId="16F13B57">
      <w:pPr>
        <w:pStyle w:val="12"/>
        <w:spacing w:before="4" w:line="360" w:lineRule="auto"/>
        <w:ind w:right="76" w:firstLine="418"/>
        <w:rPr>
          <w:szCs w:val="21"/>
        </w:rPr>
      </w:pPr>
      <w:r>
        <w:rPr>
          <w:spacing w:val="-1"/>
          <w:szCs w:val="21"/>
        </w:rPr>
        <w:t>对照</w:t>
      </w:r>
      <w:r>
        <w:rPr>
          <w:spacing w:val="-32"/>
          <w:szCs w:val="21"/>
        </w:rPr>
        <w:t xml:space="preserve"> </w:t>
      </w:r>
      <w:r>
        <w:rPr>
          <w:spacing w:val="-1"/>
          <w:szCs w:val="21"/>
        </w:rPr>
        <w:t>A.9</w:t>
      </w:r>
      <w:r>
        <w:rPr>
          <w:spacing w:val="-27"/>
          <w:szCs w:val="21"/>
        </w:rPr>
        <w:t xml:space="preserve"> </w:t>
      </w:r>
      <w:r>
        <w:rPr>
          <w:spacing w:val="-1"/>
          <w:szCs w:val="21"/>
        </w:rPr>
        <w:t>所确定的相关且重要的</w:t>
      </w:r>
      <w:r>
        <w:rPr>
          <w:spacing w:val="-27"/>
          <w:szCs w:val="21"/>
        </w:rPr>
        <w:t xml:space="preserve"> </w:t>
      </w:r>
      <w:r>
        <w:rPr>
          <w:spacing w:val="-1"/>
          <w:szCs w:val="21"/>
        </w:rPr>
        <w:t>ESG</w:t>
      </w:r>
      <w:r>
        <w:rPr>
          <w:spacing w:val="-23"/>
          <w:szCs w:val="21"/>
        </w:rPr>
        <w:t xml:space="preserve"> </w:t>
      </w:r>
      <w:r>
        <w:rPr>
          <w:spacing w:val="-1"/>
          <w:szCs w:val="21"/>
        </w:rPr>
        <w:t>议题，企业</w:t>
      </w:r>
      <w:r>
        <w:rPr>
          <w:rFonts w:hint="eastAsia"/>
          <w:spacing w:val="-1"/>
          <w:szCs w:val="21"/>
        </w:rPr>
        <w:t>宜</w:t>
      </w:r>
      <w:r>
        <w:rPr>
          <w:spacing w:val="-1"/>
          <w:szCs w:val="21"/>
        </w:rPr>
        <w:t>识别和确定企业内影响其实现</w:t>
      </w:r>
      <w:r>
        <w:rPr>
          <w:spacing w:val="-27"/>
          <w:szCs w:val="21"/>
        </w:rPr>
        <w:t xml:space="preserve"> </w:t>
      </w:r>
      <w:r>
        <w:rPr>
          <w:spacing w:val="-1"/>
          <w:szCs w:val="21"/>
        </w:rPr>
        <w:t>ESG</w:t>
      </w:r>
      <w:r>
        <w:rPr>
          <w:spacing w:val="-22"/>
          <w:szCs w:val="21"/>
        </w:rPr>
        <w:t xml:space="preserve"> </w:t>
      </w:r>
      <w:r>
        <w:rPr>
          <w:spacing w:val="-1"/>
          <w:szCs w:val="21"/>
        </w:rPr>
        <w:t>管</w:t>
      </w:r>
      <w:r>
        <w:rPr>
          <w:spacing w:val="-2"/>
          <w:szCs w:val="21"/>
        </w:rPr>
        <w:t>理体系</w:t>
      </w:r>
      <w:r>
        <w:rPr>
          <w:rFonts w:hint="eastAsia"/>
          <w:spacing w:val="-2"/>
          <w:szCs w:val="21"/>
        </w:rPr>
        <w:t>预期</w:t>
      </w:r>
      <w:r>
        <w:rPr>
          <w:spacing w:val="-2"/>
          <w:szCs w:val="21"/>
        </w:rPr>
        <w:t>结果的现有相关管理体系，如产品质量与安全、环境、职业健康安全</w:t>
      </w:r>
      <w:r>
        <w:rPr>
          <w:spacing w:val="-3"/>
          <w:szCs w:val="21"/>
        </w:rPr>
        <w:t>、反腐败、合规、知识产权、信</w:t>
      </w:r>
      <w:r>
        <w:rPr>
          <w:szCs w:val="21"/>
        </w:rPr>
        <w:t xml:space="preserve"> </w:t>
      </w:r>
      <w:r>
        <w:rPr>
          <w:spacing w:val="-1"/>
          <w:szCs w:val="21"/>
        </w:rPr>
        <w:t>息安全等管理体系。这些管理体系体现了</w:t>
      </w:r>
      <w:r>
        <w:rPr>
          <w:spacing w:val="-47"/>
          <w:szCs w:val="21"/>
        </w:rPr>
        <w:t xml:space="preserve"> </w:t>
      </w:r>
      <w:r>
        <w:rPr>
          <w:spacing w:val="-1"/>
          <w:szCs w:val="21"/>
        </w:rPr>
        <w:t>ESG</w:t>
      </w:r>
      <w:r>
        <w:rPr>
          <w:spacing w:val="-41"/>
          <w:szCs w:val="21"/>
        </w:rPr>
        <w:t xml:space="preserve"> </w:t>
      </w:r>
      <w:r>
        <w:rPr>
          <w:spacing w:val="-2"/>
          <w:szCs w:val="21"/>
        </w:rPr>
        <w:t>管理体系的理念，宜作为企业应对各相关且重要的ESG</w:t>
      </w:r>
      <w:r>
        <w:rPr>
          <w:spacing w:val="-47"/>
          <w:szCs w:val="21"/>
        </w:rPr>
        <w:t xml:space="preserve"> </w:t>
      </w:r>
      <w:r>
        <w:rPr>
          <w:spacing w:val="-2"/>
          <w:szCs w:val="21"/>
        </w:rPr>
        <w:t>议</w:t>
      </w:r>
      <w:r>
        <w:rPr>
          <w:szCs w:val="21"/>
        </w:rPr>
        <w:t xml:space="preserve"> </w:t>
      </w:r>
      <w:r>
        <w:rPr>
          <w:spacing w:val="-3"/>
          <w:szCs w:val="21"/>
        </w:rPr>
        <w:t>题的重要技术支撑。</w:t>
      </w:r>
      <w:r>
        <w:rPr>
          <w:rFonts w:hint="eastAsia"/>
          <w:spacing w:val="-3"/>
          <w:szCs w:val="21"/>
        </w:rPr>
        <w:t>本文件</w:t>
      </w:r>
      <w:r>
        <w:rPr>
          <w:spacing w:val="-3"/>
          <w:szCs w:val="21"/>
        </w:rPr>
        <w:t>的要素可与企业现有的其他管理体系兼容或整合，有利于促进</w:t>
      </w:r>
      <w:r>
        <w:rPr>
          <w:spacing w:val="-31"/>
          <w:szCs w:val="21"/>
        </w:rPr>
        <w:t xml:space="preserve"> </w:t>
      </w:r>
      <w:r>
        <w:rPr>
          <w:spacing w:val="-3"/>
          <w:szCs w:val="21"/>
        </w:rPr>
        <w:t>ESG</w:t>
      </w:r>
      <w:r>
        <w:rPr>
          <w:spacing w:val="-39"/>
          <w:szCs w:val="21"/>
        </w:rPr>
        <w:t xml:space="preserve"> </w:t>
      </w:r>
      <w:r>
        <w:rPr>
          <w:spacing w:val="-3"/>
          <w:szCs w:val="21"/>
        </w:rPr>
        <w:t>管理工作</w:t>
      </w:r>
      <w:r>
        <w:rPr>
          <w:szCs w:val="21"/>
        </w:rPr>
        <w:t xml:space="preserve"> </w:t>
      </w:r>
      <w:r>
        <w:rPr>
          <w:spacing w:val="-1"/>
          <w:szCs w:val="21"/>
        </w:rPr>
        <w:t>获得企业内部支持。</w:t>
      </w:r>
    </w:p>
    <w:p w14:paraId="3F7E3EBD">
      <w:pPr>
        <w:pStyle w:val="12"/>
        <w:spacing w:line="360" w:lineRule="auto"/>
        <w:ind w:right="74" w:firstLine="414"/>
        <w:rPr>
          <w:szCs w:val="21"/>
        </w:rPr>
      </w:pPr>
      <w:r>
        <w:rPr>
          <w:spacing w:val="-3"/>
          <w:szCs w:val="21"/>
        </w:rPr>
        <w:t>企业宜建立过程和机制，促进</w:t>
      </w:r>
      <w:r>
        <w:rPr>
          <w:spacing w:val="-46"/>
          <w:szCs w:val="21"/>
        </w:rPr>
        <w:t xml:space="preserve"> </w:t>
      </w:r>
      <w:r>
        <w:rPr>
          <w:spacing w:val="-3"/>
          <w:szCs w:val="21"/>
        </w:rPr>
        <w:t>ESG</w:t>
      </w:r>
      <w:r>
        <w:rPr>
          <w:spacing w:val="-39"/>
          <w:szCs w:val="21"/>
        </w:rPr>
        <w:t xml:space="preserve"> </w:t>
      </w:r>
      <w:r>
        <w:rPr>
          <w:spacing w:val="-3"/>
          <w:szCs w:val="21"/>
        </w:rPr>
        <w:t>管理体系与现有其他管理体系的融合，将</w:t>
      </w:r>
      <w:r>
        <w:rPr>
          <w:spacing w:val="-46"/>
          <w:szCs w:val="21"/>
        </w:rPr>
        <w:t xml:space="preserve"> </w:t>
      </w:r>
      <w:r>
        <w:rPr>
          <w:spacing w:val="-3"/>
          <w:szCs w:val="21"/>
        </w:rPr>
        <w:t>ES</w:t>
      </w:r>
      <w:r>
        <w:rPr>
          <w:spacing w:val="-4"/>
          <w:szCs w:val="21"/>
        </w:rPr>
        <w:t>G</w:t>
      </w:r>
      <w:r>
        <w:rPr>
          <w:spacing w:val="-39"/>
          <w:szCs w:val="21"/>
        </w:rPr>
        <w:t xml:space="preserve"> </w:t>
      </w:r>
      <w:r>
        <w:rPr>
          <w:spacing w:val="-4"/>
          <w:szCs w:val="21"/>
        </w:rPr>
        <w:t>管理体系的要求纳</w:t>
      </w:r>
      <w:r>
        <w:rPr>
          <w:szCs w:val="21"/>
        </w:rPr>
        <w:t xml:space="preserve"> </w:t>
      </w:r>
      <w:r>
        <w:rPr>
          <w:spacing w:val="-3"/>
          <w:szCs w:val="21"/>
        </w:rPr>
        <w:t>入已有的管理体系流程，使其符合</w:t>
      </w:r>
      <w:r>
        <w:rPr>
          <w:spacing w:val="-47"/>
          <w:szCs w:val="21"/>
        </w:rPr>
        <w:t xml:space="preserve"> </w:t>
      </w:r>
      <w:r>
        <w:rPr>
          <w:spacing w:val="-3"/>
          <w:szCs w:val="21"/>
        </w:rPr>
        <w:t>ESG</w:t>
      </w:r>
      <w:r>
        <w:rPr>
          <w:spacing w:val="-39"/>
          <w:szCs w:val="21"/>
        </w:rPr>
        <w:t xml:space="preserve"> </w:t>
      </w:r>
      <w:r>
        <w:rPr>
          <w:spacing w:val="-3"/>
          <w:szCs w:val="21"/>
        </w:rPr>
        <w:t>管理体系规范的要求，即对现有管理体系中不符合</w:t>
      </w:r>
      <w:r>
        <w:rPr>
          <w:spacing w:val="-46"/>
          <w:szCs w:val="21"/>
        </w:rPr>
        <w:t xml:space="preserve"> </w:t>
      </w:r>
      <w:r>
        <w:rPr>
          <w:spacing w:val="-3"/>
          <w:szCs w:val="21"/>
        </w:rPr>
        <w:t>ESG</w:t>
      </w:r>
      <w:r>
        <w:rPr>
          <w:spacing w:val="-39"/>
          <w:szCs w:val="21"/>
        </w:rPr>
        <w:t xml:space="preserve"> </w:t>
      </w:r>
      <w:r>
        <w:rPr>
          <w:spacing w:val="-3"/>
          <w:szCs w:val="21"/>
        </w:rPr>
        <w:t>管理体系</w:t>
      </w:r>
      <w:r>
        <w:rPr>
          <w:szCs w:val="21"/>
        </w:rPr>
        <w:t xml:space="preserve"> 要求或缺失的文件进行修改或增补，并通过定期评价、持续改进，以提高体系运作效率。</w:t>
      </w:r>
    </w:p>
    <w:p w14:paraId="6939B319">
      <w:pPr>
        <w:pStyle w:val="12"/>
        <w:spacing w:before="3" w:line="360" w:lineRule="auto"/>
        <w:ind w:right="16"/>
        <w:rPr>
          <w:szCs w:val="21"/>
        </w:rPr>
      </w:pPr>
      <w:r>
        <w:rPr>
          <w:szCs w:val="21"/>
        </w:rPr>
        <w:t xml:space="preserve">企业宜确保其ESG管理体系与这些相关管理体系建立密切联系，保持对接和协同以及信息共享，使 </w:t>
      </w:r>
      <w:r>
        <w:rPr>
          <w:spacing w:val="-1"/>
          <w:szCs w:val="21"/>
        </w:rPr>
        <w:t>得相应的ESG议题能够在相关管理体系之中得到有效应对。对于与企业现有管理体系均无关的ESG议题，</w:t>
      </w:r>
      <w:r>
        <w:rPr>
          <w:spacing w:val="5"/>
          <w:szCs w:val="21"/>
        </w:rPr>
        <w:t xml:space="preserve"> </w:t>
      </w:r>
      <w:r>
        <w:rPr>
          <w:spacing w:val="-1"/>
          <w:szCs w:val="21"/>
        </w:rPr>
        <w:t>则由企业的ESG管理体系予以应对。</w:t>
      </w:r>
    </w:p>
    <w:p w14:paraId="6598A923">
      <w:pPr>
        <w:pStyle w:val="28"/>
        <w:numPr>
          <w:ilvl w:val="0"/>
          <w:numId w:val="58"/>
        </w:numPr>
        <w:spacing w:before="240" w:after="240" w:line="360" w:lineRule="auto"/>
      </w:pPr>
      <w:bookmarkStart w:id="28" w:name="_Toc6738"/>
      <w:r>
        <w:t>领导作用和承诺（参见 5.1）</w:t>
      </w:r>
      <w:bookmarkEnd w:id="28"/>
    </w:p>
    <w:p w14:paraId="2C9D8280">
      <w:pPr>
        <w:pStyle w:val="3"/>
        <w:numPr>
          <w:ilvl w:val="0"/>
          <w:numId w:val="61"/>
        </w:numPr>
        <w:spacing w:before="142" w:line="360" w:lineRule="auto"/>
        <w:ind w:firstLineChars="0"/>
        <w:rPr>
          <w:rFonts w:hint="eastAsia" w:ascii="Times New Roman"/>
          <w:szCs w:val="21"/>
        </w:rPr>
      </w:pPr>
      <w:r>
        <w:rPr>
          <w:spacing w:val="-1"/>
          <w:szCs w:val="21"/>
        </w:rPr>
        <w:t>最高管理者（参见5.1.1）</w:t>
      </w:r>
    </w:p>
    <w:p w14:paraId="31A439B9">
      <w:pPr>
        <w:pStyle w:val="12"/>
        <w:spacing w:before="144" w:line="360" w:lineRule="auto"/>
        <w:ind w:right="74" w:firstLine="414"/>
        <w:rPr>
          <w:szCs w:val="21"/>
        </w:rPr>
      </w:pPr>
      <w:r>
        <w:rPr>
          <w:spacing w:val="-3"/>
          <w:szCs w:val="21"/>
        </w:rPr>
        <w:t>企业最高管理者的领导作用和承诺（包括意识、响应、积极的支持和反馈）是</w:t>
      </w:r>
      <w:r>
        <w:rPr>
          <w:spacing w:val="-36"/>
          <w:szCs w:val="21"/>
        </w:rPr>
        <w:t xml:space="preserve"> </w:t>
      </w:r>
      <w:r>
        <w:rPr>
          <w:spacing w:val="-3"/>
          <w:szCs w:val="21"/>
        </w:rPr>
        <w:t>ESG</w:t>
      </w:r>
      <w:r>
        <w:rPr>
          <w:spacing w:val="-41"/>
          <w:szCs w:val="21"/>
        </w:rPr>
        <w:t xml:space="preserve"> </w:t>
      </w:r>
      <w:r>
        <w:rPr>
          <w:spacing w:val="-3"/>
          <w:szCs w:val="21"/>
        </w:rPr>
        <w:t>管理体系成功并</w:t>
      </w:r>
      <w:r>
        <w:rPr>
          <w:szCs w:val="21"/>
        </w:rPr>
        <w:t xml:space="preserve"> 实现其预期结果的关键，最高管理者负有亲自参与</w:t>
      </w:r>
      <w:r>
        <w:rPr>
          <w:spacing w:val="-1"/>
          <w:szCs w:val="21"/>
        </w:rPr>
        <w:t>或指导的特定职责。</w:t>
      </w:r>
    </w:p>
    <w:p w14:paraId="04474427">
      <w:pPr>
        <w:pStyle w:val="12"/>
        <w:spacing w:before="1" w:line="360" w:lineRule="auto"/>
        <w:ind w:firstLine="414"/>
        <w:rPr>
          <w:szCs w:val="21"/>
        </w:rPr>
      </w:pPr>
      <w:r>
        <w:rPr>
          <w:spacing w:val="-3"/>
          <w:szCs w:val="21"/>
        </w:rPr>
        <w:t>于</w:t>
      </w:r>
      <w:r>
        <w:rPr>
          <w:spacing w:val="-46"/>
          <w:szCs w:val="21"/>
        </w:rPr>
        <w:t xml:space="preserve"> </w:t>
      </w:r>
      <w:r>
        <w:rPr>
          <w:spacing w:val="-3"/>
          <w:szCs w:val="21"/>
        </w:rPr>
        <w:t>ESG</w:t>
      </w:r>
      <w:r>
        <w:rPr>
          <w:spacing w:val="-42"/>
          <w:szCs w:val="21"/>
        </w:rPr>
        <w:t xml:space="preserve"> </w:t>
      </w:r>
      <w:r>
        <w:rPr>
          <w:spacing w:val="-3"/>
          <w:szCs w:val="21"/>
        </w:rPr>
        <w:t>管理体系的构建而言，企业宜构建有效的企业管治架构及支持企业</w:t>
      </w:r>
      <w:r>
        <w:rPr>
          <w:spacing w:val="-46"/>
          <w:szCs w:val="21"/>
        </w:rPr>
        <w:t xml:space="preserve"> </w:t>
      </w:r>
      <w:r>
        <w:rPr>
          <w:spacing w:val="-3"/>
          <w:szCs w:val="21"/>
        </w:rPr>
        <w:t>ESG</w:t>
      </w:r>
      <w:r>
        <w:rPr>
          <w:spacing w:val="-39"/>
          <w:szCs w:val="21"/>
        </w:rPr>
        <w:t xml:space="preserve"> </w:t>
      </w:r>
      <w:r>
        <w:rPr>
          <w:spacing w:val="-3"/>
          <w:szCs w:val="21"/>
        </w:rPr>
        <w:t>管理体</w:t>
      </w:r>
      <w:r>
        <w:rPr>
          <w:spacing w:val="-4"/>
          <w:szCs w:val="21"/>
        </w:rPr>
        <w:t>系的文化</w:t>
      </w:r>
      <w:r>
        <w:rPr>
          <w:spacing w:val="-8"/>
          <w:szCs w:val="21"/>
        </w:rPr>
        <w:t>，</w:t>
      </w:r>
      <w:r>
        <w:rPr>
          <w:spacing w:val="-2"/>
          <w:szCs w:val="21"/>
        </w:rPr>
        <w:t>以帮助企业了解、评估并管理风险和</w:t>
      </w:r>
      <w:r>
        <w:t>机遇</w:t>
      </w:r>
      <w:r>
        <w:rPr>
          <w:spacing w:val="-2"/>
          <w:szCs w:val="21"/>
        </w:rPr>
        <w:t>（包括环境和社会风险及</w:t>
      </w:r>
      <w:r>
        <w:t>机遇</w:t>
      </w:r>
      <w:r>
        <w:rPr>
          <w:spacing w:val="-3"/>
          <w:szCs w:val="21"/>
        </w:rPr>
        <w:t>）。支持企业</w:t>
      </w:r>
      <w:r>
        <w:rPr>
          <w:spacing w:val="-31"/>
          <w:szCs w:val="21"/>
        </w:rPr>
        <w:t xml:space="preserve"> </w:t>
      </w:r>
      <w:r>
        <w:rPr>
          <w:spacing w:val="-3"/>
          <w:szCs w:val="21"/>
        </w:rPr>
        <w:t>ESG</w:t>
      </w:r>
      <w:r>
        <w:rPr>
          <w:spacing w:val="-39"/>
          <w:szCs w:val="21"/>
        </w:rPr>
        <w:t xml:space="preserve"> </w:t>
      </w:r>
      <w:r>
        <w:rPr>
          <w:spacing w:val="-3"/>
          <w:szCs w:val="21"/>
        </w:rPr>
        <w:t>管理体系的文化在很大程度上取决于最高管理者，它是个体和群体的价值观、态</w:t>
      </w:r>
      <w:r>
        <w:rPr>
          <w:spacing w:val="-1"/>
          <w:szCs w:val="21"/>
        </w:rPr>
        <w:t>度、管理实践、观念、能力及活动模式的产物，而这些则决定了其</w:t>
      </w:r>
      <w:r>
        <w:rPr>
          <w:spacing w:val="-41"/>
          <w:szCs w:val="21"/>
        </w:rPr>
        <w:t xml:space="preserve"> </w:t>
      </w:r>
      <w:r>
        <w:rPr>
          <w:spacing w:val="-1"/>
          <w:szCs w:val="21"/>
        </w:rPr>
        <w:t>ESG</w:t>
      </w:r>
      <w:r>
        <w:rPr>
          <w:spacing w:val="-34"/>
          <w:szCs w:val="21"/>
        </w:rPr>
        <w:t xml:space="preserve"> </w:t>
      </w:r>
      <w:r>
        <w:rPr>
          <w:spacing w:val="-1"/>
          <w:szCs w:val="21"/>
        </w:rPr>
        <w:t>管理体系的</w:t>
      </w:r>
      <w:r>
        <w:rPr>
          <w:spacing w:val="-2"/>
          <w:szCs w:val="21"/>
        </w:rPr>
        <w:t>承诺、风格和水平。该文化具有（但不限于）下述特征：</w:t>
      </w:r>
    </w:p>
    <w:p w14:paraId="3D0E4CC2">
      <w:pPr>
        <w:pStyle w:val="12"/>
        <w:spacing w:line="360" w:lineRule="auto"/>
        <w:rPr>
          <w:szCs w:val="21"/>
        </w:rPr>
      </w:pPr>
      <w:r>
        <w:rPr>
          <w:szCs w:val="21"/>
        </w:rPr>
        <w:t>——为股东创造长期的可持续增长，并为所有利益相关方创造长期价值；</w:t>
      </w:r>
    </w:p>
    <w:p w14:paraId="68A377FB">
      <w:pPr>
        <w:pStyle w:val="12"/>
        <w:spacing w:before="23" w:line="360" w:lineRule="auto"/>
        <w:ind w:right="384"/>
        <w:rPr>
          <w:szCs w:val="21"/>
        </w:rPr>
      </w:pPr>
      <w:r>
        <w:rPr>
          <w:szCs w:val="21"/>
        </w:rPr>
        <w:t>——促进利益相关方的积极参与和合作，如开展用户安全教育与汽车安全性能及创新技术交流</w:t>
      </w:r>
      <w:r>
        <w:rPr>
          <w:spacing w:val="-15"/>
          <w:szCs w:val="21"/>
        </w:rPr>
        <w:t>等；</w:t>
      </w:r>
    </w:p>
    <w:p w14:paraId="623EB94A">
      <w:pPr>
        <w:pStyle w:val="12"/>
        <w:spacing w:before="1" w:line="360" w:lineRule="auto"/>
        <w:rPr>
          <w:szCs w:val="21"/>
        </w:rPr>
      </w:pPr>
      <w:r>
        <w:rPr>
          <w:szCs w:val="21"/>
        </w:rPr>
        <w:t>——基于公平、公正、尊重、信任和良好职业操守的合作与沟通等；</w:t>
      </w:r>
    </w:p>
    <w:p w14:paraId="1B57354F">
      <w:pPr>
        <w:pStyle w:val="12"/>
        <w:spacing w:before="22" w:line="360" w:lineRule="auto"/>
        <w:ind w:firstLine="418"/>
        <w:rPr>
          <w:szCs w:val="21"/>
        </w:rPr>
      </w:pPr>
      <w:r>
        <w:rPr>
          <w:spacing w:val="-1"/>
          <w:szCs w:val="21"/>
        </w:rPr>
        <w:t>——通过积极参与对</w:t>
      </w:r>
      <w:r>
        <w:rPr>
          <w:spacing w:val="-46"/>
          <w:szCs w:val="21"/>
        </w:rPr>
        <w:t xml:space="preserve"> </w:t>
      </w:r>
      <w:r>
        <w:rPr>
          <w:spacing w:val="-1"/>
          <w:szCs w:val="21"/>
        </w:rPr>
        <w:t>ESG</w:t>
      </w:r>
      <w:r>
        <w:rPr>
          <w:spacing w:val="-47"/>
          <w:szCs w:val="21"/>
        </w:rPr>
        <w:t xml:space="preserve"> </w:t>
      </w:r>
      <w:r>
        <w:rPr>
          <w:spacing w:val="-1"/>
          <w:szCs w:val="21"/>
        </w:rPr>
        <w:t>机遇的探寻而达成对</w:t>
      </w:r>
      <w:r>
        <w:rPr>
          <w:spacing w:val="-47"/>
          <w:szCs w:val="21"/>
        </w:rPr>
        <w:t xml:space="preserve"> </w:t>
      </w:r>
      <w:r>
        <w:rPr>
          <w:spacing w:val="-1"/>
          <w:szCs w:val="21"/>
        </w:rPr>
        <w:t>E</w:t>
      </w:r>
      <w:r>
        <w:rPr>
          <w:spacing w:val="-2"/>
          <w:szCs w:val="21"/>
        </w:rPr>
        <w:t>SG</w:t>
      </w:r>
      <w:r>
        <w:rPr>
          <w:spacing w:val="-41"/>
          <w:szCs w:val="21"/>
        </w:rPr>
        <w:t xml:space="preserve"> </w:t>
      </w:r>
      <w:r>
        <w:rPr>
          <w:spacing w:val="-2"/>
          <w:szCs w:val="21"/>
        </w:rPr>
        <w:t>管理体系重要性的共识；</w:t>
      </w:r>
    </w:p>
    <w:p w14:paraId="7BA4E0FA">
      <w:pPr>
        <w:pStyle w:val="12"/>
        <w:spacing w:before="21" w:line="360" w:lineRule="auto"/>
        <w:ind w:firstLine="418"/>
        <w:rPr>
          <w:szCs w:val="21"/>
        </w:rPr>
      </w:pPr>
      <w:r>
        <w:rPr>
          <w:spacing w:val="-1"/>
          <w:szCs w:val="21"/>
        </w:rPr>
        <w:t>——对</w:t>
      </w:r>
      <w:r>
        <w:rPr>
          <w:spacing w:val="-47"/>
          <w:szCs w:val="21"/>
        </w:rPr>
        <w:t xml:space="preserve"> </w:t>
      </w:r>
      <w:r>
        <w:rPr>
          <w:spacing w:val="-1"/>
          <w:szCs w:val="21"/>
        </w:rPr>
        <w:t>ESG</w:t>
      </w:r>
      <w:r>
        <w:rPr>
          <w:spacing w:val="-45"/>
          <w:szCs w:val="21"/>
        </w:rPr>
        <w:t xml:space="preserve"> </w:t>
      </w:r>
      <w:r>
        <w:rPr>
          <w:spacing w:val="-1"/>
          <w:szCs w:val="21"/>
        </w:rPr>
        <w:t>风险预防和控制措施有效性的谨慎</w:t>
      </w:r>
      <w:r>
        <w:rPr>
          <w:spacing w:val="-2"/>
          <w:szCs w:val="21"/>
        </w:rPr>
        <w:t>意识和信心；</w:t>
      </w:r>
    </w:p>
    <w:p w14:paraId="7F57C962">
      <w:pPr>
        <w:pStyle w:val="12"/>
        <w:spacing w:before="23" w:line="360" w:lineRule="auto"/>
        <w:ind w:firstLine="418"/>
        <w:rPr>
          <w:szCs w:val="21"/>
        </w:rPr>
      </w:pPr>
      <w:r>
        <w:rPr>
          <w:spacing w:val="-1"/>
          <w:szCs w:val="21"/>
        </w:rPr>
        <w:t>——鼓励企业主动承担社会责任、遵守道德规范和开展公益支持；</w:t>
      </w:r>
    </w:p>
    <w:p w14:paraId="65D5AA76">
      <w:pPr>
        <w:pStyle w:val="12"/>
        <w:spacing w:before="22" w:line="360" w:lineRule="auto"/>
        <w:ind w:right="173"/>
        <w:rPr>
          <w:szCs w:val="21"/>
        </w:rPr>
      </w:pPr>
      <w:r>
        <w:rPr>
          <w:szCs w:val="21"/>
        </w:rPr>
        <w:t>——对企业发展方向和决策体系以及致力于成为</w:t>
      </w:r>
      <w:r>
        <w:rPr>
          <w:rFonts w:hint="eastAsia"/>
          <w:szCs w:val="21"/>
        </w:rPr>
        <w:t>“对环境、社会更负责任的企业”</w:t>
      </w:r>
      <w:r>
        <w:rPr>
          <w:szCs w:val="21"/>
        </w:rPr>
        <w:t>的价值追求的</w:t>
      </w:r>
      <w:r>
        <w:rPr>
          <w:spacing w:val="-3"/>
          <w:szCs w:val="21"/>
        </w:rPr>
        <w:t>认同、支持和信赖。</w:t>
      </w:r>
    </w:p>
    <w:p w14:paraId="50F9666E">
      <w:pPr>
        <w:pStyle w:val="12"/>
        <w:spacing w:before="1" w:line="360" w:lineRule="auto"/>
        <w:ind w:firstLine="418"/>
        <w:rPr>
          <w:szCs w:val="21"/>
        </w:rPr>
      </w:pPr>
      <w:r>
        <w:rPr>
          <w:spacing w:val="-1"/>
          <w:szCs w:val="21"/>
        </w:rPr>
        <w:t>最高管理者证实其领导作用的重要方式包括（但不限于</w:t>
      </w:r>
      <w:r>
        <w:rPr>
          <w:spacing w:val="-4"/>
          <w:szCs w:val="21"/>
        </w:rPr>
        <w:t>）：</w:t>
      </w:r>
    </w:p>
    <w:p w14:paraId="0ADB6394">
      <w:pPr>
        <w:pStyle w:val="12"/>
        <w:spacing w:before="23" w:line="360" w:lineRule="auto"/>
        <w:ind w:firstLine="418"/>
        <w:rPr>
          <w:szCs w:val="21"/>
        </w:rPr>
      </w:pPr>
      <w:r>
        <w:rPr>
          <w:spacing w:val="-1"/>
          <w:szCs w:val="21"/>
        </w:rPr>
        <w:t>——鼓励利益相关方报告事件、不良影响因素和风险，并提供使其免遭报复的保障；</w:t>
      </w:r>
    </w:p>
    <w:p w14:paraId="1D87E189">
      <w:pPr>
        <w:pStyle w:val="12"/>
        <w:spacing w:before="69" w:line="360" w:lineRule="auto"/>
        <w:ind w:right="310"/>
        <w:rPr>
          <w:szCs w:val="21"/>
        </w:rPr>
      </w:pPr>
      <w:r>
        <w:rPr>
          <w:szCs w:val="21"/>
        </w:rPr>
        <w:t>——在表明企业发展方向的宗旨、愿景、价值观、道德观和战略以及最高管理层的声明和行动</w:t>
      </w:r>
      <w:r>
        <w:rPr>
          <w:spacing w:val="-2"/>
          <w:szCs w:val="21"/>
        </w:rPr>
        <w:t>中，清楚和明确地阐明企业的</w:t>
      </w:r>
      <w:r>
        <w:rPr>
          <w:spacing w:val="-37"/>
          <w:szCs w:val="21"/>
        </w:rPr>
        <w:t xml:space="preserve"> </w:t>
      </w:r>
      <w:r>
        <w:rPr>
          <w:spacing w:val="-2"/>
          <w:szCs w:val="21"/>
        </w:rPr>
        <w:t>ESG</w:t>
      </w:r>
      <w:r>
        <w:rPr>
          <w:spacing w:val="-44"/>
          <w:szCs w:val="21"/>
        </w:rPr>
        <w:t xml:space="preserve"> </w:t>
      </w:r>
      <w:r>
        <w:rPr>
          <w:spacing w:val="-2"/>
          <w:szCs w:val="21"/>
        </w:rPr>
        <w:t>承诺和价值追求；</w:t>
      </w:r>
    </w:p>
    <w:p w14:paraId="00E4042A">
      <w:pPr>
        <w:pStyle w:val="12"/>
        <w:spacing w:before="1" w:line="360" w:lineRule="auto"/>
        <w:ind w:right="98"/>
        <w:rPr>
          <w:szCs w:val="21"/>
        </w:rPr>
      </w:pPr>
      <w:r>
        <w:rPr>
          <w:szCs w:val="21"/>
        </w:rPr>
        <w:t>——在确立企业发展目标、制定发展规划、构建管理体系、建立监管机制等决策过程中坚持企业</w:t>
      </w:r>
      <w:r>
        <w:rPr>
          <w:spacing w:val="8"/>
          <w:szCs w:val="21"/>
        </w:rPr>
        <w:t xml:space="preserve"> </w:t>
      </w:r>
      <w:r>
        <w:rPr>
          <w:spacing w:val="-7"/>
          <w:szCs w:val="21"/>
        </w:rPr>
        <w:t>ESG</w:t>
      </w:r>
      <w:r>
        <w:rPr>
          <w:spacing w:val="-39"/>
          <w:szCs w:val="21"/>
        </w:rPr>
        <w:t xml:space="preserve"> </w:t>
      </w:r>
      <w:r>
        <w:rPr>
          <w:spacing w:val="-7"/>
          <w:szCs w:val="21"/>
        </w:rPr>
        <w:t>方针；</w:t>
      </w:r>
    </w:p>
    <w:p w14:paraId="468065FF">
      <w:pPr>
        <w:pStyle w:val="12"/>
        <w:spacing w:before="2" w:line="360" w:lineRule="auto"/>
        <w:ind w:right="98"/>
        <w:rPr>
          <w:szCs w:val="21"/>
        </w:rPr>
      </w:pPr>
      <w:r>
        <w:rPr>
          <w:szCs w:val="21"/>
        </w:rPr>
        <w:t>——必要时，设置专门的委员会或指定现有的某个委员会负责监管企业某方</w:t>
      </w:r>
      <w:r>
        <w:rPr>
          <w:spacing w:val="-1"/>
          <w:szCs w:val="21"/>
        </w:rPr>
        <w:t>面的</w:t>
      </w:r>
      <w:r>
        <w:rPr>
          <w:spacing w:val="-49"/>
          <w:szCs w:val="21"/>
        </w:rPr>
        <w:t xml:space="preserve"> </w:t>
      </w:r>
      <w:r>
        <w:rPr>
          <w:spacing w:val="-1"/>
          <w:szCs w:val="21"/>
        </w:rPr>
        <w:t>ESG</w:t>
      </w:r>
      <w:r>
        <w:rPr>
          <w:spacing w:val="-40"/>
          <w:szCs w:val="21"/>
        </w:rPr>
        <w:t xml:space="preserve"> </w:t>
      </w:r>
      <w:r>
        <w:rPr>
          <w:spacing w:val="-1"/>
          <w:szCs w:val="21"/>
        </w:rPr>
        <w:t>关键议题</w:t>
      </w:r>
      <w:r>
        <w:rPr>
          <w:rFonts w:hint="eastAsia"/>
          <w:spacing w:val="-1"/>
          <w:szCs w:val="21"/>
        </w:rPr>
        <w:t>承诺</w:t>
      </w:r>
      <w:r>
        <w:rPr>
          <w:szCs w:val="21"/>
        </w:rPr>
        <w:t>及表现，并向最高管理者和治理机构（如董事会或类似机构）汇报，委员会的工作还可</w:t>
      </w:r>
      <w:r>
        <w:rPr>
          <w:rFonts w:hint="eastAsia"/>
          <w:szCs w:val="21"/>
        </w:rPr>
        <w:t>包括</w:t>
      </w:r>
      <w:r>
        <w:rPr>
          <w:spacing w:val="-3"/>
          <w:szCs w:val="21"/>
        </w:rPr>
        <w:t>评估</w:t>
      </w:r>
      <w:r>
        <w:rPr>
          <w:spacing w:val="-47"/>
          <w:szCs w:val="21"/>
        </w:rPr>
        <w:t xml:space="preserve"> </w:t>
      </w:r>
      <w:r>
        <w:rPr>
          <w:spacing w:val="-3"/>
          <w:szCs w:val="21"/>
        </w:rPr>
        <w:t>ESG</w:t>
      </w:r>
      <w:r>
        <w:rPr>
          <w:spacing w:val="-46"/>
          <w:szCs w:val="21"/>
        </w:rPr>
        <w:t xml:space="preserve"> </w:t>
      </w:r>
      <w:r>
        <w:rPr>
          <w:spacing w:val="-3"/>
          <w:szCs w:val="21"/>
        </w:rPr>
        <w:t>相关风险、制定并定期监察推进</w:t>
      </w:r>
      <w:r>
        <w:rPr>
          <w:spacing w:val="-46"/>
          <w:szCs w:val="21"/>
        </w:rPr>
        <w:t xml:space="preserve"> </w:t>
      </w:r>
      <w:r>
        <w:rPr>
          <w:spacing w:val="-3"/>
          <w:szCs w:val="21"/>
        </w:rPr>
        <w:t>ESG</w:t>
      </w:r>
      <w:r>
        <w:rPr>
          <w:spacing w:val="-39"/>
          <w:szCs w:val="21"/>
        </w:rPr>
        <w:t xml:space="preserve"> </w:t>
      </w:r>
      <w:r>
        <w:rPr>
          <w:spacing w:val="-3"/>
          <w:szCs w:val="21"/>
        </w:rPr>
        <w:t>管理方针和相关</w:t>
      </w:r>
      <w:r>
        <w:rPr>
          <w:spacing w:val="-47"/>
          <w:szCs w:val="21"/>
        </w:rPr>
        <w:t xml:space="preserve"> </w:t>
      </w:r>
      <w:r>
        <w:rPr>
          <w:spacing w:val="-4"/>
          <w:szCs w:val="21"/>
        </w:rPr>
        <w:t>ESG 目标；</w:t>
      </w:r>
    </w:p>
    <w:p w14:paraId="46D5BDF5">
      <w:pPr>
        <w:pStyle w:val="12"/>
        <w:spacing w:before="1" w:line="360" w:lineRule="auto"/>
        <w:ind w:right="101"/>
        <w:rPr>
          <w:szCs w:val="21"/>
        </w:rPr>
      </w:pPr>
      <w:r>
        <w:rPr>
          <w:szCs w:val="21"/>
        </w:rPr>
        <w:t>——通过管理体系的建立与有效运行，促进全员参与</w:t>
      </w:r>
      <w:r>
        <w:rPr>
          <w:spacing w:val="-46"/>
          <w:szCs w:val="21"/>
        </w:rPr>
        <w:t xml:space="preserve"> </w:t>
      </w:r>
      <w:r>
        <w:rPr>
          <w:szCs w:val="21"/>
        </w:rPr>
        <w:t>ESG</w:t>
      </w:r>
      <w:r>
        <w:rPr>
          <w:spacing w:val="-39"/>
          <w:szCs w:val="21"/>
        </w:rPr>
        <w:t xml:space="preserve"> </w:t>
      </w:r>
      <w:r>
        <w:rPr>
          <w:szCs w:val="21"/>
        </w:rPr>
        <w:t>管理</w:t>
      </w:r>
      <w:r>
        <w:rPr>
          <w:spacing w:val="-1"/>
          <w:szCs w:val="21"/>
        </w:rPr>
        <w:t>的实施和持续改进，支持并确保</w:t>
      </w:r>
      <w:r>
        <w:rPr>
          <w:rFonts w:hint="eastAsia"/>
          <w:spacing w:val="-1"/>
          <w:szCs w:val="21"/>
        </w:rPr>
        <w:t>企业</w:t>
      </w:r>
      <w:r>
        <w:rPr>
          <w:spacing w:val="-3"/>
          <w:szCs w:val="21"/>
        </w:rPr>
        <w:t>发展目标的实现。</w:t>
      </w:r>
    </w:p>
    <w:p w14:paraId="10E5288A">
      <w:pPr>
        <w:pStyle w:val="12"/>
        <w:spacing w:before="1" w:line="360" w:lineRule="auto"/>
        <w:ind w:firstLine="414"/>
        <w:rPr>
          <w:szCs w:val="21"/>
        </w:rPr>
      </w:pPr>
      <w:r>
        <w:rPr>
          <w:spacing w:val="-3"/>
          <w:szCs w:val="21"/>
        </w:rPr>
        <w:t>最高管理者对</w:t>
      </w:r>
      <w:r>
        <w:rPr>
          <w:spacing w:val="-33"/>
          <w:szCs w:val="21"/>
        </w:rPr>
        <w:t xml:space="preserve"> </w:t>
      </w:r>
      <w:r>
        <w:rPr>
          <w:spacing w:val="-3"/>
          <w:szCs w:val="21"/>
        </w:rPr>
        <w:t>ESG</w:t>
      </w:r>
      <w:r>
        <w:rPr>
          <w:spacing w:val="-44"/>
          <w:szCs w:val="21"/>
        </w:rPr>
        <w:t xml:space="preserve"> </w:t>
      </w:r>
      <w:r>
        <w:rPr>
          <w:spacing w:val="-3"/>
          <w:szCs w:val="21"/>
        </w:rPr>
        <w:t>事宜的监督和管理宜考虑汽车行业企业特性，如加强安全第一观念，在确立发展</w:t>
      </w:r>
      <w:r>
        <w:rPr>
          <w:spacing w:val="-2"/>
          <w:szCs w:val="21"/>
        </w:rPr>
        <w:t>目标、制定发展规划、构建管理体系、建立监管机制等决策过程中始终</w:t>
      </w:r>
      <w:r>
        <w:rPr>
          <w:spacing w:val="-3"/>
          <w:szCs w:val="21"/>
        </w:rPr>
        <w:t>坚持</w:t>
      </w:r>
      <w:r>
        <w:rPr>
          <w:rFonts w:hint="eastAsia"/>
          <w:spacing w:val="-3"/>
          <w:szCs w:val="21"/>
        </w:rPr>
        <w:t>“安全第一，质量第一”</w:t>
      </w:r>
      <w:r>
        <w:rPr>
          <w:spacing w:val="-3"/>
          <w:szCs w:val="21"/>
        </w:rPr>
        <w:t>的</w:t>
      </w:r>
      <w:r>
        <w:rPr>
          <w:szCs w:val="21"/>
        </w:rPr>
        <w:t>根本方针，并就确保车辆质量与安全目标做</w:t>
      </w:r>
      <w:r>
        <w:rPr>
          <w:spacing w:val="-1"/>
          <w:szCs w:val="21"/>
        </w:rPr>
        <w:t>出承诺。</w:t>
      </w:r>
    </w:p>
    <w:p w14:paraId="4250E304">
      <w:pPr>
        <w:pStyle w:val="3"/>
        <w:numPr>
          <w:ilvl w:val="0"/>
          <w:numId w:val="61"/>
        </w:numPr>
        <w:spacing w:before="118" w:line="360" w:lineRule="auto"/>
        <w:ind w:firstLineChars="0"/>
        <w:rPr>
          <w:rFonts w:hint="eastAsia" w:ascii="Times New Roman"/>
          <w:szCs w:val="21"/>
        </w:rPr>
      </w:pPr>
      <w:r>
        <w:rPr>
          <w:spacing w:val="-1"/>
          <w:szCs w:val="21"/>
        </w:rPr>
        <w:t>ESG文化（参见5.1.2）</w:t>
      </w:r>
    </w:p>
    <w:p w14:paraId="3421E2BA">
      <w:pPr>
        <w:pStyle w:val="12"/>
        <w:spacing w:before="142" w:line="360" w:lineRule="auto"/>
        <w:ind w:firstLine="414"/>
        <w:rPr>
          <w:szCs w:val="21"/>
        </w:rPr>
      </w:pPr>
      <w:r>
        <w:rPr>
          <w:spacing w:val="-3"/>
          <w:szCs w:val="21"/>
        </w:rPr>
        <w:t>企业宜：</w:t>
      </w:r>
    </w:p>
    <w:p w14:paraId="1303BDFC">
      <w:pPr>
        <w:pStyle w:val="12"/>
        <w:numPr>
          <w:ilvl w:val="0"/>
          <w:numId w:val="62"/>
        </w:numPr>
        <w:spacing w:before="12" w:line="360" w:lineRule="auto"/>
        <w:ind w:firstLineChars="0"/>
        <w:rPr>
          <w:rFonts w:hint="eastAsia" w:ascii="Times New Roman" w:hAnsi="宋体" w:cs="宋体"/>
          <w:szCs w:val="21"/>
        </w:rPr>
      </w:pPr>
      <w:r>
        <w:rPr>
          <w:spacing w:val="-2"/>
          <w:szCs w:val="21"/>
        </w:rPr>
        <w:t>测量其</w:t>
      </w:r>
      <w:r>
        <w:rPr>
          <w:spacing w:val="-41"/>
          <w:szCs w:val="21"/>
        </w:rPr>
        <w:t xml:space="preserve"> </w:t>
      </w:r>
      <w:r>
        <w:rPr>
          <w:spacing w:val="-2"/>
          <w:szCs w:val="21"/>
        </w:rPr>
        <w:t>ESG</w:t>
      </w:r>
      <w:r>
        <w:rPr>
          <w:spacing w:val="-45"/>
          <w:szCs w:val="21"/>
        </w:rPr>
        <w:t xml:space="preserve"> </w:t>
      </w:r>
      <w:r>
        <w:rPr>
          <w:spacing w:val="-2"/>
          <w:szCs w:val="21"/>
        </w:rPr>
        <w:t>文化；</w:t>
      </w:r>
    </w:p>
    <w:p w14:paraId="119C19CF">
      <w:pPr>
        <w:pStyle w:val="12"/>
        <w:numPr>
          <w:ilvl w:val="0"/>
          <w:numId w:val="62"/>
        </w:numPr>
        <w:spacing w:before="17" w:line="360" w:lineRule="auto"/>
        <w:ind w:firstLineChars="0"/>
        <w:rPr>
          <w:rFonts w:hint="eastAsia" w:ascii="Times New Roman" w:hAnsi="宋体" w:cs="宋体"/>
          <w:szCs w:val="21"/>
        </w:rPr>
      </w:pPr>
      <w:r>
        <w:rPr>
          <w:spacing w:val="-3"/>
          <w:szCs w:val="21"/>
        </w:rPr>
        <w:t>寻求所有人员的意见，以确定他们是否感知到最高管理者、治理机构和其他管理者对</w:t>
      </w:r>
      <w:r>
        <w:rPr>
          <w:spacing w:val="-38"/>
          <w:szCs w:val="21"/>
        </w:rPr>
        <w:t xml:space="preserve"> </w:t>
      </w:r>
      <w:r>
        <w:rPr>
          <w:spacing w:val="-3"/>
          <w:szCs w:val="21"/>
        </w:rPr>
        <w:t>ESG</w:t>
      </w:r>
      <w:r>
        <w:rPr>
          <w:spacing w:val="-26"/>
          <w:szCs w:val="21"/>
        </w:rPr>
        <w:t xml:space="preserve"> </w:t>
      </w:r>
      <w:r>
        <w:rPr>
          <w:spacing w:val="-3"/>
          <w:szCs w:val="21"/>
        </w:rPr>
        <w:t>的承</w:t>
      </w:r>
      <w:r>
        <w:rPr>
          <w:szCs w:val="21"/>
        </w:rPr>
        <w:t xml:space="preserve"> </w:t>
      </w:r>
      <w:r>
        <w:rPr>
          <w:spacing w:val="-14"/>
          <w:szCs w:val="21"/>
        </w:rPr>
        <w:t>诺；</w:t>
      </w:r>
    </w:p>
    <w:p w14:paraId="2C96C296">
      <w:pPr>
        <w:pStyle w:val="12"/>
        <w:numPr>
          <w:ilvl w:val="0"/>
          <w:numId w:val="62"/>
        </w:numPr>
        <w:spacing w:before="18" w:line="360" w:lineRule="auto"/>
        <w:ind w:firstLineChars="0"/>
        <w:rPr>
          <w:rFonts w:hint="eastAsia" w:ascii="Times New Roman" w:hAnsi="宋体" w:cs="宋体"/>
          <w:szCs w:val="21"/>
        </w:rPr>
      </w:pPr>
      <w:r>
        <w:rPr>
          <w:spacing w:val="-1"/>
          <w:szCs w:val="21"/>
        </w:rPr>
        <w:t>根据企业</w:t>
      </w:r>
      <w:r>
        <w:rPr>
          <w:spacing w:val="-46"/>
          <w:szCs w:val="21"/>
        </w:rPr>
        <w:t xml:space="preserve"> </w:t>
      </w:r>
      <w:r>
        <w:rPr>
          <w:spacing w:val="-1"/>
          <w:szCs w:val="21"/>
        </w:rPr>
        <w:t>ESG</w:t>
      </w:r>
      <w:r>
        <w:rPr>
          <w:spacing w:val="-42"/>
          <w:szCs w:val="21"/>
        </w:rPr>
        <w:t xml:space="preserve"> </w:t>
      </w:r>
      <w:r>
        <w:rPr>
          <w:spacing w:val="-1"/>
          <w:szCs w:val="21"/>
        </w:rPr>
        <w:t>文化测量的结果，制定行动计划。</w:t>
      </w:r>
    </w:p>
    <w:p w14:paraId="2EB3CAA9">
      <w:pPr>
        <w:pStyle w:val="28"/>
        <w:numPr>
          <w:ilvl w:val="0"/>
          <w:numId w:val="58"/>
        </w:numPr>
        <w:spacing w:before="240" w:after="240" w:line="360" w:lineRule="auto"/>
      </w:pPr>
      <w:bookmarkStart w:id="29" w:name="_Toc30094"/>
      <w:r>
        <w:t>企业发展方向和决策体系（参见 5.2）</w:t>
      </w:r>
      <w:bookmarkEnd w:id="29"/>
    </w:p>
    <w:p w14:paraId="42728AE3">
      <w:pPr>
        <w:pStyle w:val="12"/>
        <w:spacing w:before="143" w:line="360" w:lineRule="auto"/>
        <w:ind w:right="31" w:firstLine="406"/>
        <w:rPr>
          <w:szCs w:val="21"/>
        </w:rPr>
      </w:pPr>
      <w:r>
        <w:rPr>
          <w:spacing w:val="-7"/>
          <w:szCs w:val="21"/>
        </w:rPr>
        <w:t>企业宜采用下述各种方法将ESG融入其发展方向和决策体系之中，</w:t>
      </w:r>
      <w:r>
        <w:rPr>
          <w:spacing w:val="-8"/>
          <w:szCs w:val="21"/>
        </w:rPr>
        <w:t>使ESG成为企业政策、文化、战略、</w:t>
      </w:r>
      <w:r>
        <w:rPr>
          <w:szCs w:val="21"/>
        </w:rPr>
        <w:t xml:space="preserve"> </w:t>
      </w:r>
      <w:r>
        <w:rPr>
          <w:spacing w:val="-1"/>
          <w:szCs w:val="21"/>
        </w:rPr>
        <w:t>结构和运行的重要且有效的组成部分：</w:t>
      </w:r>
    </w:p>
    <w:p w14:paraId="3F4709F8">
      <w:pPr>
        <w:pStyle w:val="12"/>
        <w:spacing w:before="1" w:line="360" w:lineRule="auto"/>
        <w:rPr>
          <w:szCs w:val="21"/>
        </w:rPr>
      </w:pPr>
      <w:r>
        <w:rPr>
          <w:szCs w:val="21"/>
        </w:rPr>
        <w:t>——在企业愿景声明中，提及企业在未来哪些方面将以</w:t>
      </w:r>
      <w:r>
        <w:rPr>
          <w:spacing w:val="-49"/>
          <w:szCs w:val="21"/>
        </w:rPr>
        <w:t xml:space="preserve"> </w:t>
      </w:r>
      <w:r>
        <w:rPr>
          <w:spacing w:val="-1"/>
          <w:szCs w:val="21"/>
        </w:rPr>
        <w:t>ESG</w:t>
      </w:r>
      <w:r>
        <w:rPr>
          <w:spacing w:val="-43"/>
          <w:szCs w:val="21"/>
        </w:rPr>
        <w:t xml:space="preserve"> </w:t>
      </w:r>
      <w:r>
        <w:rPr>
          <w:spacing w:val="-1"/>
          <w:szCs w:val="21"/>
        </w:rPr>
        <w:t>来影响其活动；</w:t>
      </w:r>
    </w:p>
    <w:p w14:paraId="23565154">
      <w:pPr>
        <w:pStyle w:val="12"/>
        <w:spacing w:before="23" w:line="360" w:lineRule="auto"/>
        <w:ind w:right="98"/>
        <w:rPr>
          <w:szCs w:val="21"/>
        </w:rPr>
      </w:pPr>
      <w:r>
        <w:rPr>
          <w:szCs w:val="21"/>
        </w:rPr>
        <w:t>——在企业宗旨或使命声明中，具体、清楚和简</w:t>
      </w:r>
      <w:r>
        <w:rPr>
          <w:spacing w:val="-1"/>
          <w:szCs w:val="21"/>
        </w:rPr>
        <w:t>洁地引用</w:t>
      </w:r>
      <w:r>
        <w:rPr>
          <w:spacing w:val="-46"/>
          <w:szCs w:val="21"/>
        </w:rPr>
        <w:t xml:space="preserve"> </w:t>
      </w:r>
      <w:r>
        <w:rPr>
          <w:spacing w:val="-1"/>
          <w:szCs w:val="21"/>
        </w:rPr>
        <w:t>ESG</w:t>
      </w:r>
      <w:r>
        <w:rPr>
          <w:spacing w:val="-29"/>
          <w:szCs w:val="21"/>
        </w:rPr>
        <w:t xml:space="preserve"> </w:t>
      </w:r>
      <w:r>
        <w:rPr>
          <w:spacing w:val="-1"/>
          <w:szCs w:val="21"/>
        </w:rPr>
        <w:t>的重要方面（包括有助于确定企业</w:t>
      </w:r>
      <w:r>
        <w:rPr>
          <w:szCs w:val="21"/>
        </w:rPr>
        <w:t xml:space="preserve"> </w:t>
      </w:r>
      <w:r>
        <w:rPr>
          <w:spacing w:val="-2"/>
          <w:szCs w:val="21"/>
        </w:rPr>
        <w:t>运行方式的</w:t>
      </w:r>
      <w:r>
        <w:rPr>
          <w:spacing w:val="-46"/>
          <w:szCs w:val="21"/>
        </w:rPr>
        <w:t xml:space="preserve"> </w:t>
      </w:r>
      <w:r>
        <w:rPr>
          <w:spacing w:val="-2"/>
          <w:szCs w:val="21"/>
        </w:rPr>
        <w:t>ESG</w:t>
      </w:r>
      <w:r>
        <w:rPr>
          <w:spacing w:val="-42"/>
          <w:szCs w:val="21"/>
        </w:rPr>
        <w:t xml:space="preserve"> </w:t>
      </w:r>
      <w:r>
        <w:rPr>
          <w:spacing w:val="-2"/>
          <w:szCs w:val="21"/>
        </w:rPr>
        <w:t>原则和议题等</w:t>
      </w:r>
      <w:r>
        <w:rPr>
          <w:spacing w:val="-10"/>
          <w:szCs w:val="21"/>
        </w:rPr>
        <w:t>）；</w:t>
      </w:r>
    </w:p>
    <w:p w14:paraId="417ABC03">
      <w:pPr>
        <w:pStyle w:val="12"/>
        <w:spacing w:before="1" w:line="360" w:lineRule="auto"/>
        <w:rPr>
          <w:szCs w:val="21"/>
        </w:rPr>
      </w:pPr>
      <w:r>
        <w:rPr>
          <w:szCs w:val="21"/>
        </w:rPr>
        <w:t>——制定书面的、可表明企业</w:t>
      </w:r>
      <w:r>
        <w:rPr>
          <w:spacing w:val="-49"/>
          <w:szCs w:val="21"/>
        </w:rPr>
        <w:t xml:space="preserve"> </w:t>
      </w:r>
      <w:r>
        <w:rPr>
          <w:szCs w:val="21"/>
        </w:rPr>
        <w:t>ESG</w:t>
      </w:r>
      <w:r>
        <w:rPr>
          <w:spacing w:val="-44"/>
          <w:szCs w:val="21"/>
        </w:rPr>
        <w:t xml:space="preserve"> </w:t>
      </w:r>
      <w:r>
        <w:rPr>
          <w:szCs w:val="21"/>
        </w:rPr>
        <w:t>承诺的、体现企业原则和价值观的行为准则或道德准则，</w:t>
      </w:r>
      <w:r>
        <w:rPr>
          <w:spacing w:val="-1"/>
          <w:szCs w:val="21"/>
        </w:rPr>
        <w:t>该行</w:t>
      </w:r>
    </w:p>
    <w:p w14:paraId="1C8B9748">
      <w:pPr>
        <w:pStyle w:val="12"/>
        <w:spacing w:before="21" w:line="360" w:lineRule="auto"/>
        <w:ind w:firstLine="0" w:firstLineChars="0"/>
        <w:rPr>
          <w:szCs w:val="21"/>
        </w:rPr>
      </w:pPr>
      <w:r>
        <w:rPr>
          <w:spacing w:val="-1"/>
          <w:szCs w:val="21"/>
        </w:rPr>
        <w:t>为准则或道德准则</w:t>
      </w:r>
      <w:r>
        <w:rPr>
          <w:rFonts w:hint="eastAsia"/>
          <w:spacing w:val="-1"/>
          <w:szCs w:val="21"/>
        </w:rPr>
        <w:t>宜</w:t>
      </w:r>
      <w:r>
        <w:rPr>
          <w:spacing w:val="-1"/>
          <w:szCs w:val="21"/>
        </w:rPr>
        <w:t>向企业上下灌输，并不断加强</w:t>
      </w:r>
      <w:r>
        <w:rPr>
          <w:rFonts w:hint="eastAsia"/>
          <w:spacing w:val="-1"/>
          <w:szCs w:val="21"/>
        </w:rPr>
        <w:t>“行事合乎法律、道德和责任”</w:t>
      </w:r>
      <w:r>
        <w:rPr>
          <w:spacing w:val="-1"/>
          <w:szCs w:val="21"/>
        </w:rPr>
        <w:t>的理念；</w:t>
      </w:r>
    </w:p>
    <w:p w14:paraId="323776FB">
      <w:pPr>
        <w:pStyle w:val="12"/>
        <w:spacing w:before="22" w:line="360" w:lineRule="auto"/>
        <w:ind w:right="98"/>
        <w:rPr>
          <w:szCs w:val="21"/>
        </w:rPr>
      </w:pPr>
      <w:r>
        <w:rPr>
          <w:szCs w:val="21"/>
        </w:rPr>
        <w:t>——通过将</w:t>
      </w:r>
      <w:r>
        <w:rPr>
          <w:spacing w:val="-46"/>
          <w:szCs w:val="21"/>
        </w:rPr>
        <w:t xml:space="preserve"> </w:t>
      </w:r>
      <w:r>
        <w:rPr>
          <w:szCs w:val="21"/>
        </w:rPr>
        <w:t>ESG</w:t>
      </w:r>
      <w:r>
        <w:rPr>
          <w:spacing w:val="-41"/>
          <w:szCs w:val="21"/>
        </w:rPr>
        <w:t xml:space="preserve"> </w:t>
      </w:r>
      <w:r>
        <w:rPr>
          <w:szCs w:val="21"/>
        </w:rPr>
        <w:t>融入制度、政策、过程和决策行为中，而使其作为企业战</w:t>
      </w:r>
      <w:r>
        <w:rPr>
          <w:spacing w:val="-1"/>
          <w:szCs w:val="21"/>
        </w:rPr>
        <w:t>略的关键要素包含在战</w:t>
      </w:r>
      <w:r>
        <w:rPr>
          <w:szCs w:val="21"/>
        </w:rPr>
        <w:t xml:space="preserve"> </w:t>
      </w:r>
      <w:r>
        <w:rPr>
          <w:spacing w:val="-4"/>
          <w:szCs w:val="21"/>
        </w:rPr>
        <w:t>略之中；</w:t>
      </w:r>
    </w:p>
    <w:p w14:paraId="14DC3C26">
      <w:pPr>
        <w:pStyle w:val="12"/>
        <w:spacing w:before="1" w:line="360" w:lineRule="auto"/>
        <w:ind w:right="98"/>
        <w:rPr>
          <w:szCs w:val="21"/>
        </w:rPr>
      </w:pPr>
      <w:r>
        <w:rPr>
          <w:szCs w:val="21"/>
        </w:rPr>
        <w:t>——建立和实施</w:t>
      </w:r>
      <w:r>
        <w:rPr>
          <w:spacing w:val="-46"/>
          <w:szCs w:val="21"/>
        </w:rPr>
        <w:t xml:space="preserve"> </w:t>
      </w:r>
      <w:r>
        <w:rPr>
          <w:szCs w:val="21"/>
        </w:rPr>
        <w:t>ESG</w:t>
      </w:r>
      <w:r>
        <w:rPr>
          <w:spacing w:val="-42"/>
          <w:szCs w:val="21"/>
        </w:rPr>
        <w:t xml:space="preserve"> </w:t>
      </w:r>
      <w:r>
        <w:rPr>
          <w:szCs w:val="21"/>
        </w:rPr>
        <w:t>管理体系，并与相关管</w:t>
      </w:r>
      <w:r>
        <w:rPr>
          <w:spacing w:val="-1"/>
          <w:szCs w:val="21"/>
        </w:rPr>
        <w:t>理体系共同、有效地应对企业的</w:t>
      </w:r>
      <w:r>
        <w:rPr>
          <w:spacing w:val="-46"/>
          <w:szCs w:val="21"/>
        </w:rPr>
        <w:t xml:space="preserve"> </w:t>
      </w:r>
      <w:r>
        <w:rPr>
          <w:spacing w:val="-1"/>
          <w:szCs w:val="21"/>
        </w:rPr>
        <w:t>ESG</w:t>
      </w:r>
      <w:r>
        <w:rPr>
          <w:spacing w:val="-44"/>
          <w:szCs w:val="21"/>
        </w:rPr>
        <w:t xml:space="preserve"> </w:t>
      </w:r>
      <w:r>
        <w:rPr>
          <w:spacing w:val="-1"/>
          <w:szCs w:val="21"/>
        </w:rPr>
        <w:t>议题以及相关风</w:t>
      </w:r>
      <w:r>
        <w:rPr>
          <w:szCs w:val="21"/>
        </w:rPr>
        <w:t xml:space="preserve"> </w:t>
      </w:r>
      <w:r>
        <w:rPr>
          <w:spacing w:val="-4"/>
          <w:szCs w:val="21"/>
        </w:rPr>
        <w:t>险和机遇；</w:t>
      </w:r>
    </w:p>
    <w:p w14:paraId="5FFC43C9">
      <w:pPr>
        <w:pStyle w:val="12"/>
        <w:spacing w:before="2" w:line="360" w:lineRule="auto"/>
        <w:ind w:right="98"/>
        <w:rPr>
          <w:szCs w:val="21"/>
        </w:rPr>
      </w:pPr>
      <w:r>
        <w:rPr>
          <w:szCs w:val="21"/>
        </w:rPr>
        <w:t>——讨论及分析企业表现，阐明企业对长远产生或保留价值的基础（业务模式）及实现企业所设</w:t>
      </w:r>
      <w:r>
        <w:rPr>
          <w:spacing w:val="8"/>
          <w:szCs w:val="21"/>
        </w:rPr>
        <w:t xml:space="preserve"> </w:t>
      </w:r>
      <w:r>
        <w:rPr>
          <w:spacing w:val="-8"/>
          <w:szCs w:val="21"/>
        </w:rPr>
        <w:t>立</w:t>
      </w:r>
      <w:r>
        <w:rPr>
          <w:spacing w:val="-39"/>
          <w:szCs w:val="21"/>
        </w:rPr>
        <w:t xml:space="preserve"> </w:t>
      </w:r>
      <w:r>
        <w:rPr>
          <w:spacing w:val="-8"/>
          <w:szCs w:val="21"/>
        </w:rPr>
        <w:t>ESG 目标的策略。</w:t>
      </w:r>
    </w:p>
    <w:p w14:paraId="6BC168E2">
      <w:pPr>
        <w:pStyle w:val="28"/>
        <w:numPr>
          <w:ilvl w:val="0"/>
          <w:numId w:val="58"/>
        </w:numPr>
        <w:spacing w:before="240" w:after="240" w:line="360" w:lineRule="auto"/>
      </w:pPr>
      <w:bookmarkStart w:id="30" w:name="_Toc13503"/>
      <w:r>
        <w:t>方针（参见 5.3）</w:t>
      </w:r>
      <w:bookmarkEnd w:id="30"/>
    </w:p>
    <w:p w14:paraId="75E19165">
      <w:pPr>
        <w:pStyle w:val="12"/>
        <w:spacing w:before="144" w:line="360" w:lineRule="auto"/>
        <w:ind w:firstLine="416"/>
        <w:rPr>
          <w:szCs w:val="21"/>
        </w:rPr>
      </w:pPr>
      <w:r>
        <w:rPr>
          <w:spacing w:val="-2"/>
          <w:szCs w:val="21"/>
        </w:rPr>
        <w:t>企业 ESG方针是最高管理者作为承诺而声明的一组原则。它概述了企业支持和持续改</w:t>
      </w:r>
      <w:r>
        <w:rPr>
          <w:spacing w:val="-3"/>
          <w:szCs w:val="21"/>
        </w:rPr>
        <w:t>进其ESG 绩</w:t>
      </w:r>
      <w:r>
        <w:rPr>
          <w:szCs w:val="21"/>
        </w:rPr>
        <w:t xml:space="preserve"> </w:t>
      </w:r>
      <w:r>
        <w:rPr>
          <w:spacing w:val="-1"/>
          <w:szCs w:val="21"/>
        </w:rPr>
        <w:t>效的长期方向。ESG</w:t>
      </w:r>
      <w:r>
        <w:rPr>
          <w:spacing w:val="-45"/>
          <w:szCs w:val="21"/>
        </w:rPr>
        <w:t xml:space="preserve"> </w:t>
      </w:r>
      <w:r>
        <w:rPr>
          <w:spacing w:val="-1"/>
          <w:szCs w:val="21"/>
        </w:rPr>
        <w:t>方针提供了一个总体</w:t>
      </w:r>
      <w:r>
        <w:rPr>
          <w:spacing w:val="-2"/>
          <w:szCs w:val="21"/>
        </w:rPr>
        <w:t>方向，并为企业制定目标和采取措施以实现</w:t>
      </w:r>
      <w:r>
        <w:rPr>
          <w:spacing w:val="-47"/>
          <w:szCs w:val="21"/>
        </w:rPr>
        <w:t xml:space="preserve"> </w:t>
      </w:r>
      <w:r>
        <w:rPr>
          <w:spacing w:val="-2"/>
          <w:szCs w:val="21"/>
        </w:rPr>
        <w:t>ESG</w:t>
      </w:r>
      <w:r>
        <w:rPr>
          <w:spacing w:val="-41"/>
          <w:szCs w:val="21"/>
        </w:rPr>
        <w:t xml:space="preserve"> </w:t>
      </w:r>
      <w:r>
        <w:rPr>
          <w:spacing w:val="-2"/>
          <w:szCs w:val="21"/>
        </w:rPr>
        <w:t>管理体系的预</w:t>
      </w:r>
      <w:r>
        <w:rPr>
          <w:szCs w:val="21"/>
        </w:rPr>
        <w:t xml:space="preserve"> </w:t>
      </w:r>
      <w:r>
        <w:rPr>
          <w:spacing w:val="-3"/>
          <w:szCs w:val="21"/>
        </w:rPr>
        <w:t>期结果提供了框架。</w:t>
      </w:r>
    </w:p>
    <w:p w14:paraId="6993D416">
      <w:pPr>
        <w:pStyle w:val="12"/>
        <w:spacing w:before="1" w:line="360" w:lineRule="auto"/>
        <w:ind w:firstLine="414"/>
        <w:rPr>
          <w:szCs w:val="21"/>
        </w:rPr>
      </w:pPr>
      <w:r>
        <w:rPr>
          <w:spacing w:val="-3"/>
          <w:szCs w:val="21"/>
        </w:rPr>
        <w:t>这些承诺体现在企业所建立的过程中，以确保</w:t>
      </w:r>
      <w:r>
        <w:rPr>
          <w:spacing w:val="-34"/>
          <w:szCs w:val="21"/>
        </w:rPr>
        <w:t xml:space="preserve"> </w:t>
      </w:r>
      <w:r>
        <w:rPr>
          <w:spacing w:val="-3"/>
          <w:szCs w:val="21"/>
        </w:rPr>
        <w:t>ESG</w:t>
      </w:r>
      <w:r>
        <w:rPr>
          <w:spacing w:val="-41"/>
          <w:szCs w:val="21"/>
        </w:rPr>
        <w:t xml:space="preserve"> </w:t>
      </w:r>
      <w:r>
        <w:rPr>
          <w:spacing w:val="-3"/>
          <w:szCs w:val="21"/>
        </w:rPr>
        <w:t>管理体系坚实、可信和可靠（包括应对本文件的</w:t>
      </w:r>
      <w:r>
        <w:rPr>
          <w:szCs w:val="21"/>
        </w:rPr>
        <w:t xml:space="preserve"> </w:t>
      </w:r>
      <w:r>
        <w:rPr>
          <w:spacing w:val="-1"/>
          <w:szCs w:val="21"/>
        </w:rPr>
        <w:t>特定要求）。</w:t>
      </w:r>
    </w:p>
    <w:p w14:paraId="673C4EB2">
      <w:pPr>
        <w:pStyle w:val="12"/>
        <w:spacing w:before="2" w:line="360" w:lineRule="auto"/>
        <w:rPr>
          <w:szCs w:val="21"/>
        </w:rPr>
      </w:pPr>
      <w:r>
        <w:rPr>
          <w:szCs w:val="21"/>
        </w:rPr>
        <w:t>在建立 ESG 方针时，企业宜考虑与其他方针（如企业总体发展战略方针、各相关管理体系的方针</w:t>
      </w:r>
      <w:r>
        <w:rPr>
          <w:spacing w:val="5"/>
          <w:szCs w:val="21"/>
        </w:rPr>
        <w:t xml:space="preserve"> </w:t>
      </w:r>
      <w:r>
        <w:rPr>
          <w:spacing w:val="-2"/>
          <w:szCs w:val="21"/>
        </w:rPr>
        <w:t>等）的一致性和协调性。</w:t>
      </w:r>
    </w:p>
    <w:p w14:paraId="0FA3E26D">
      <w:pPr>
        <w:pStyle w:val="28"/>
        <w:numPr>
          <w:ilvl w:val="0"/>
          <w:numId w:val="58"/>
        </w:numPr>
        <w:spacing w:before="240" w:after="240" w:line="360" w:lineRule="auto"/>
      </w:pPr>
      <w:bookmarkStart w:id="31" w:name="_Toc7922"/>
      <w:r>
        <w:t>企业的角色、职责和权限（参见 5.4）</w:t>
      </w:r>
      <w:bookmarkEnd w:id="31"/>
    </w:p>
    <w:p w14:paraId="1D322852">
      <w:pPr>
        <w:pStyle w:val="12"/>
        <w:spacing w:before="146" w:line="360" w:lineRule="auto"/>
        <w:ind w:firstLine="414"/>
        <w:rPr>
          <w:szCs w:val="21"/>
        </w:rPr>
      </w:pPr>
      <w:r>
        <w:rPr>
          <w:spacing w:val="-3"/>
          <w:szCs w:val="21"/>
        </w:rPr>
        <w:t>为了实现</w:t>
      </w:r>
      <w:r>
        <w:rPr>
          <w:spacing w:val="-47"/>
          <w:szCs w:val="21"/>
        </w:rPr>
        <w:t xml:space="preserve"> </w:t>
      </w:r>
      <w:r>
        <w:rPr>
          <w:spacing w:val="-3"/>
          <w:szCs w:val="21"/>
        </w:rPr>
        <w:t>ESG</w:t>
      </w:r>
      <w:r>
        <w:rPr>
          <w:spacing w:val="-39"/>
          <w:szCs w:val="21"/>
        </w:rPr>
        <w:t xml:space="preserve"> </w:t>
      </w:r>
      <w:r>
        <w:rPr>
          <w:spacing w:val="-3"/>
          <w:szCs w:val="21"/>
        </w:rPr>
        <w:t>管理体系的预期结果，企业</w:t>
      </w:r>
      <w:r>
        <w:rPr>
          <w:spacing w:val="-46"/>
          <w:szCs w:val="21"/>
        </w:rPr>
        <w:t xml:space="preserve"> </w:t>
      </w:r>
      <w:r>
        <w:rPr>
          <w:spacing w:val="-3"/>
          <w:szCs w:val="21"/>
        </w:rPr>
        <w:t>ESG</w:t>
      </w:r>
      <w:r>
        <w:rPr>
          <w:spacing w:val="-41"/>
          <w:szCs w:val="21"/>
        </w:rPr>
        <w:t xml:space="preserve"> </w:t>
      </w:r>
      <w:r>
        <w:rPr>
          <w:spacing w:val="-3"/>
          <w:szCs w:val="21"/>
        </w:rPr>
        <w:t>管理体系所涉及的人员宜清晰理解其角色</w:t>
      </w:r>
      <w:r>
        <w:rPr>
          <w:spacing w:val="-4"/>
          <w:szCs w:val="21"/>
        </w:rPr>
        <w:t>、职责和权</w:t>
      </w:r>
      <w:r>
        <w:rPr>
          <w:szCs w:val="21"/>
        </w:rPr>
        <w:t xml:space="preserve"> </w:t>
      </w:r>
      <w:r>
        <w:rPr>
          <w:spacing w:val="-13"/>
          <w:szCs w:val="21"/>
        </w:rPr>
        <w:t>限。</w:t>
      </w:r>
    </w:p>
    <w:p w14:paraId="28419886">
      <w:pPr>
        <w:pStyle w:val="12"/>
        <w:spacing w:before="68" w:line="360" w:lineRule="auto"/>
        <w:ind w:right="3" w:firstLine="414"/>
        <w:rPr>
          <w:szCs w:val="21"/>
        </w:rPr>
      </w:pPr>
      <w:r>
        <w:rPr>
          <w:spacing w:val="-3"/>
          <w:szCs w:val="21"/>
        </w:rPr>
        <w:t>最高管理者对</w:t>
      </w:r>
      <w:r>
        <w:rPr>
          <w:spacing w:val="-38"/>
          <w:szCs w:val="21"/>
        </w:rPr>
        <w:t xml:space="preserve"> </w:t>
      </w:r>
      <w:r>
        <w:rPr>
          <w:spacing w:val="-3"/>
          <w:szCs w:val="21"/>
        </w:rPr>
        <w:t>ESG</w:t>
      </w:r>
      <w:r>
        <w:rPr>
          <w:spacing w:val="-39"/>
          <w:szCs w:val="21"/>
        </w:rPr>
        <w:t xml:space="preserve"> </w:t>
      </w:r>
      <w:r>
        <w:rPr>
          <w:spacing w:val="-3"/>
          <w:szCs w:val="21"/>
        </w:rPr>
        <w:t>管理体系拥有总体职责和权限。</w:t>
      </w:r>
      <w:r>
        <w:rPr>
          <w:rFonts w:hint="eastAsia"/>
          <w:spacing w:val="-3"/>
          <w:szCs w:val="21"/>
        </w:rPr>
        <w:t>“负有责任的最高管理者”</w:t>
      </w:r>
      <w:r>
        <w:rPr>
          <w:spacing w:val="-3"/>
          <w:szCs w:val="21"/>
        </w:rPr>
        <w:t>，意味着最高管理者</w:t>
      </w:r>
      <w:r>
        <w:rPr>
          <w:spacing w:val="-2"/>
          <w:szCs w:val="21"/>
        </w:rPr>
        <w:t>可为决策和活动接受企业治理机构、法律监管机构以及更广泛意义</w:t>
      </w:r>
      <w:r>
        <w:rPr>
          <w:spacing w:val="-3"/>
          <w:szCs w:val="21"/>
        </w:rPr>
        <w:t>上的利益相关方的问责。这意味着最</w:t>
      </w:r>
      <w:r>
        <w:rPr>
          <w:szCs w:val="21"/>
        </w:rPr>
        <w:t xml:space="preserve"> </w:t>
      </w:r>
      <w:r>
        <w:rPr>
          <w:spacing w:val="-2"/>
          <w:szCs w:val="21"/>
        </w:rPr>
        <w:t>高管理者承担最终责任，并与因某事未完成、未妥善处置、</w:t>
      </w:r>
      <w:r>
        <w:rPr>
          <w:spacing w:val="-3"/>
          <w:szCs w:val="21"/>
        </w:rPr>
        <w:t>不起作用或未实现其目标而被追究责任的人</w:t>
      </w:r>
      <w:r>
        <w:rPr>
          <w:szCs w:val="21"/>
        </w:rPr>
        <w:t xml:space="preserve"> </w:t>
      </w:r>
      <w:r>
        <w:rPr>
          <w:spacing w:val="-2"/>
          <w:szCs w:val="21"/>
        </w:rPr>
        <w:t>员一起承担连带责任。</w:t>
      </w:r>
    </w:p>
    <w:p w14:paraId="77851223">
      <w:pPr>
        <w:pStyle w:val="12"/>
        <w:spacing w:line="360" w:lineRule="auto"/>
        <w:rPr>
          <w:szCs w:val="21"/>
        </w:rPr>
      </w:pPr>
      <w:r>
        <w:rPr>
          <w:szCs w:val="21"/>
        </w:rPr>
        <w:t>其中，董事会（或履行此职能的委员会）的职权范围宜包括（</w:t>
      </w:r>
      <w:r>
        <w:rPr>
          <w:spacing w:val="-1"/>
          <w:szCs w:val="21"/>
        </w:rPr>
        <w:t>但不限于</w:t>
      </w:r>
      <w:r>
        <w:rPr>
          <w:spacing w:val="-12"/>
          <w:szCs w:val="21"/>
        </w:rPr>
        <w:t>）：</w:t>
      </w:r>
    </w:p>
    <w:p w14:paraId="4715B12A">
      <w:pPr>
        <w:pStyle w:val="12"/>
        <w:numPr>
          <w:ilvl w:val="0"/>
          <w:numId w:val="63"/>
        </w:numPr>
        <w:spacing w:before="20" w:line="360" w:lineRule="auto"/>
        <w:ind w:firstLineChars="0"/>
        <w:rPr>
          <w:rFonts w:hint="eastAsia" w:ascii="Times New Roman" w:hAnsi="宋体" w:cs="宋体"/>
          <w:szCs w:val="21"/>
        </w:rPr>
      </w:pPr>
      <w:r>
        <w:rPr>
          <w:szCs w:val="21"/>
        </w:rPr>
        <w:t>制定及</w:t>
      </w:r>
      <w:r>
        <w:rPr>
          <w:rFonts w:hint="eastAsia"/>
          <w:szCs w:val="21"/>
        </w:rPr>
        <w:t>审议</w:t>
      </w:r>
      <w:r>
        <w:rPr>
          <w:szCs w:val="21"/>
        </w:rPr>
        <w:t>企业的</w:t>
      </w:r>
      <w:r>
        <w:rPr>
          <w:rFonts w:hint="eastAsia"/>
          <w:szCs w:val="21"/>
        </w:rPr>
        <w:t>治理</w:t>
      </w:r>
      <w:r>
        <w:rPr>
          <w:szCs w:val="21"/>
        </w:rPr>
        <w:t>政策；</w:t>
      </w:r>
    </w:p>
    <w:p w14:paraId="263A7A31">
      <w:pPr>
        <w:pStyle w:val="12"/>
        <w:numPr>
          <w:ilvl w:val="0"/>
          <w:numId w:val="63"/>
        </w:numPr>
        <w:spacing w:before="23" w:line="360" w:lineRule="auto"/>
        <w:ind w:firstLineChars="0"/>
        <w:rPr>
          <w:rFonts w:hint="eastAsia" w:ascii="Times New Roman" w:hAnsi="宋体" w:cs="宋体"/>
          <w:szCs w:val="21"/>
        </w:rPr>
      </w:pPr>
      <w:r>
        <w:rPr>
          <w:rFonts w:hint="eastAsia"/>
          <w:szCs w:val="21"/>
        </w:rPr>
        <w:t>审议</w:t>
      </w:r>
      <w:r>
        <w:rPr>
          <w:szCs w:val="21"/>
        </w:rPr>
        <w:t>及</w:t>
      </w:r>
      <w:r>
        <w:rPr>
          <w:rFonts w:hint="eastAsia"/>
          <w:szCs w:val="21"/>
        </w:rPr>
        <w:t>监督</w:t>
      </w:r>
      <w:r>
        <w:rPr>
          <w:szCs w:val="21"/>
        </w:rPr>
        <w:t>董事及高级管理人员的培训及持续专业发展；</w:t>
      </w:r>
    </w:p>
    <w:p w14:paraId="2C6E6CCA">
      <w:pPr>
        <w:pStyle w:val="12"/>
        <w:numPr>
          <w:ilvl w:val="0"/>
          <w:numId w:val="63"/>
        </w:numPr>
        <w:spacing w:before="20" w:line="360" w:lineRule="auto"/>
        <w:ind w:firstLineChars="0"/>
        <w:rPr>
          <w:rFonts w:hint="eastAsia" w:ascii="Times New Roman" w:hAnsi="宋体" w:cs="宋体"/>
          <w:szCs w:val="21"/>
        </w:rPr>
      </w:pPr>
      <w:r>
        <w:rPr>
          <w:rFonts w:hint="eastAsia"/>
          <w:szCs w:val="21"/>
        </w:rPr>
        <w:t>审议及监督</w:t>
      </w:r>
      <w:r>
        <w:rPr>
          <w:szCs w:val="21"/>
        </w:rPr>
        <w:t>企业在遵守法律法规及监管规定方面的政策及常规；</w:t>
      </w:r>
    </w:p>
    <w:p w14:paraId="235043B2">
      <w:pPr>
        <w:pStyle w:val="12"/>
        <w:numPr>
          <w:ilvl w:val="0"/>
          <w:numId w:val="63"/>
        </w:numPr>
        <w:spacing w:before="22" w:line="360" w:lineRule="auto"/>
        <w:ind w:firstLineChars="0"/>
        <w:rPr>
          <w:rFonts w:hint="eastAsia" w:ascii="Times New Roman" w:hAnsi="宋体" w:cs="宋体"/>
          <w:szCs w:val="21"/>
        </w:rPr>
      </w:pPr>
      <w:r>
        <w:rPr>
          <w:szCs w:val="21"/>
        </w:rPr>
        <w:t>制定、</w:t>
      </w:r>
      <w:r>
        <w:rPr>
          <w:rFonts w:hint="eastAsia"/>
          <w:szCs w:val="21"/>
        </w:rPr>
        <w:t>审议及监督</w:t>
      </w:r>
      <w:r>
        <w:rPr>
          <w:szCs w:val="21"/>
        </w:rPr>
        <w:t>雇员及董事的操守准则及合规手册（如有</w:t>
      </w:r>
      <w:r>
        <w:rPr>
          <w:spacing w:val="-1"/>
          <w:szCs w:val="21"/>
        </w:rPr>
        <w:t>）；</w:t>
      </w:r>
    </w:p>
    <w:p w14:paraId="5941D3FC">
      <w:pPr>
        <w:pStyle w:val="12"/>
        <w:numPr>
          <w:ilvl w:val="0"/>
          <w:numId w:val="63"/>
        </w:numPr>
        <w:spacing w:before="21" w:line="360" w:lineRule="auto"/>
        <w:ind w:firstLineChars="0"/>
        <w:rPr>
          <w:rFonts w:hint="eastAsia" w:ascii="Times New Roman" w:hAnsi="宋体" w:cs="宋体"/>
          <w:szCs w:val="21"/>
        </w:rPr>
      </w:pPr>
      <w:r>
        <w:rPr>
          <w:rFonts w:hint="eastAsia"/>
          <w:spacing w:val="-1"/>
          <w:szCs w:val="21"/>
        </w:rPr>
        <w:t>审议</w:t>
      </w:r>
      <w:r>
        <w:rPr>
          <w:spacing w:val="-1"/>
          <w:szCs w:val="21"/>
        </w:rPr>
        <w:t>企业在相关报告内的披露情况。</w:t>
      </w:r>
    </w:p>
    <w:p w14:paraId="4D6E5FF6">
      <w:pPr>
        <w:pStyle w:val="12"/>
        <w:spacing w:before="23" w:line="360" w:lineRule="auto"/>
        <w:ind w:firstLine="416"/>
        <w:rPr>
          <w:szCs w:val="21"/>
        </w:rPr>
      </w:pPr>
      <w:r>
        <w:rPr>
          <w:spacing w:val="-2"/>
          <w:szCs w:val="21"/>
        </w:rPr>
        <w:t>员工和其他利益相关方宜能够报告不良影响情</w:t>
      </w:r>
      <w:r>
        <w:rPr>
          <w:spacing w:val="-3"/>
          <w:szCs w:val="21"/>
        </w:rPr>
        <w:t>况，以便企业采取措施。员工和利益相关方宜能够</w:t>
      </w:r>
      <w:r>
        <w:rPr>
          <w:rFonts w:hint="eastAsia"/>
          <w:spacing w:val="-3"/>
          <w:szCs w:val="21"/>
        </w:rPr>
        <w:t>按照</w:t>
      </w:r>
      <w:r>
        <w:rPr>
          <w:spacing w:val="-1"/>
          <w:szCs w:val="21"/>
        </w:rPr>
        <w:t>要求向有关主管部门报告其关心的问题，而不会</w:t>
      </w:r>
      <w:r>
        <w:rPr>
          <w:rFonts w:hint="eastAsia"/>
          <w:spacing w:val="-1"/>
          <w:szCs w:val="21"/>
        </w:rPr>
        <w:t>因此</w:t>
      </w:r>
      <w:r>
        <w:rPr>
          <w:spacing w:val="-1"/>
          <w:szCs w:val="21"/>
        </w:rPr>
        <w:t>遭受打击报复的威胁。</w:t>
      </w:r>
    </w:p>
    <w:p w14:paraId="1E642C0C">
      <w:pPr>
        <w:pStyle w:val="12"/>
        <w:spacing w:before="1" w:line="360" w:lineRule="auto"/>
        <w:rPr>
          <w:szCs w:val="21"/>
        </w:rPr>
      </w:pPr>
      <w:r>
        <w:rPr>
          <w:szCs w:val="21"/>
        </w:rPr>
        <w:t>对于承担 ESG 管理体系与相关管理体系之间接口任务的人员，企业宜明确界定其职责和权限并与</w:t>
      </w:r>
      <w:r>
        <w:rPr>
          <w:spacing w:val="-1"/>
          <w:szCs w:val="21"/>
        </w:rPr>
        <w:t>相关管理体系保持一致和协调。</w:t>
      </w:r>
    </w:p>
    <w:p w14:paraId="03FA8D5F">
      <w:pPr>
        <w:pStyle w:val="28"/>
        <w:numPr>
          <w:ilvl w:val="0"/>
          <w:numId w:val="58"/>
        </w:numPr>
        <w:spacing w:before="240" w:after="240" w:line="360" w:lineRule="auto"/>
      </w:pPr>
      <w:bookmarkStart w:id="32" w:name="_Toc22971"/>
      <w:r>
        <w:t>辨别企业的 ESG 议题（参见 6.1）</w:t>
      </w:r>
      <w:bookmarkEnd w:id="32"/>
    </w:p>
    <w:p w14:paraId="3E0E3427">
      <w:pPr>
        <w:pStyle w:val="12"/>
        <w:spacing w:before="147" w:line="360" w:lineRule="auto"/>
        <w:ind w:firstLine="416"/>
        <w:rPr>
          <w:szCs w:val="21"/>
        </w:rPr>
      </w:pPr>
      <w:r>
        <w:rPr>
          <w:spacing w:val="-2"/>
          <w:szCs w:val="21"/>
        </w:rPr>
        <w:t>企业宜分析其主要业务及其环境和社会的内部及外部环境，识别与企业</w:t>
      </w:r>
      <w:r>
        <w:rPr>
          <w:spacing w:val="-31"/>
          <w:szCs w:val="21"/>
        </w:rPr>
        <w:t xml:space="preserve"> </w:t>
      </w:r>
      <w:r>
        <w:rPr>
          <w:spacing w:val="-2"/>
          <w:szCs w:val="21"/>
        </w:rPr>
        <w:t>ESG</w:t>
      </w:r>
      <w:r>
        <w:rPr>
          <w:spacing w:val="-43"/>
          <w:szCs w:val="21"/>
        </w:rPr>
        <w:t xml:space="preserve"> </w:t>
      </w:r>
      <w:r>
        <w:rPr>
          <w:spacing w:val="-2"/>
          <w:szCs w:val="21"/>
        </w:rPr>
        <w:t>发展最为相关的ESG议</w:t>
      </w:r>
      <w:r>
        <w:rPr>
          <w:szCs w:val="21"/>
        </w:rPr>
        <w:t xml:space="preserve"> </w:t>
      </w:r>
      <w:r>
        <w:rPr>
          <w:spacing w:val="-7"/>
          <w:szCs w:val="21"/>
        </w:rPr>
        <w:t>题。外部环境可包括：国际、国内、地区和当地的政治、经济、社会、文化、法律、法规、技术、金融、</w:t>
      </w:r>
      <w:r>
        <w:rPr>
          <w:spacing w:val="9"/>
          <w:szCs w:val="21"/>
        </w:rPr>
        <w:t xml:space="preserve"> </w:t>
      </w:r>
      <w:r>
        <w:rPr>
          <w:spacing w:val="-7"/>
          <w:szCs w:val="21"/>
        </w:rPr>
        <w:t>自然环境、竞争环境；影响企业目标实现的外部关键因素及其发展变化趋势；与外部利益相关方的关系，</w:t>
      </w:r>
      <w:r>
        <w:rPr>
          <w:spacing w:val="11"/>
          <w:szCs w:val="21"/>
        </w:rPr>
        <w:t xml:space="preserve"> </w:t>
      </w:r>
      <w:r>
        <w:rPr>
          <w:spacing w:val="-7"/>
          <w:szCs w:val="21"/>
        </w:rPr>
        <w:t>外部利益相关方的认知及价值观等。内部环境可包括：企业治理结构、角色和担责；企业的方针、目标，</w:t>
      </w:r>
      <w:r>
        <w:rPr>
          <w:spacing w:val="11"/>
          <w:szCs w:val="21"/>
        </w:rPr>
        <w:t xml:space="preserve"> </w:t>
      </w:r>
      <w:r>
        <w:rPr>
          <w:szCs w:val="21"/>
        </w:rPr>
        <w:t>以及为实现它们所制定的战略；与内部利益相关方的关系</w:t>
      </w:r>
      <w:r>
        <w:rPr>
          <w:spacing w:val="-1"/>
          <w:szCs w:val="21"/>
        </w:rPr>
        <w:t>，内部利益相关方的认知及价值观等。</w:t>
      </w:r>
    </w:p>
    <w:p w14:paraId="41F39050">
      <w:pPr>
        <w:pStyle w:val="12"/>
        <w:spacing w:before="1" w:line="360" w:lineRule="auto"/>
        <w:ind w:firstLine="416"/>
        <w:rPr>
          <w:szCs w:val="21"/>
        </w:rPr>
      </w:pPr>
      <w:r>
        <w:rPr>
          <w:spacing w:val="-2"/>
          <w:szCs w:val="21"/>
        </w:rPr>
        <w:t>议题的识别和策划宜采取以下步骤：</w:t>
      </w:r>
    </w:p>
    <w:p w14:paraId="37F4263A">
      <w:pPr>
        <w:pStyle w:val="12"/>
        <w:numPr>
          <w:ilvl w:val="0"/>
          <w:numId w:val="64"/>
        </w:numPr>
        <w:spacing w:before="22" w:line="360" w:lineRule="auto"/>
        <w:ind w:firstLineChars="0"/>
        <w:rPr>
          <w:rFonts w:hint="eastAsia" w:ascii="Times New Roman" w:hAnsi="宋体" w:cs="宋体"/>
          <w:szCs w:val="21"/>
        </w:rPr>
      </w:pPr>
      <w:r>
        <w:rPr>
          <w:spacing w:val="-1"/>
          <w:szCs w:val="21"/>
        </w:rPr>
        <w:t>ESG</w:t>
      </w:r>
      <w:r>
        <w:rPr>
          <w:spacing w:val="-42"/>
          <w:szCs w:val="21"/>
        </w:rPr>
        <w:t xml:space="preserve"> </w:t>
      </w:r>
      <w:r>
        <w:rPr>
          <w:spacing w:val="-1"/>
          <w:szCs w:val="21"/>
        </w:rPr>
        <w:t>议题筛选：企业全面分析其所有活动、产品和服</w:t>
      </w:r>
      <w:r>
        <w:rPr>
          <w:spacing w:val="-2"/>
          <w:szCs w:val="21"/>
        </w:rPr>
        <w:t>务所产生的经济、环境和社会影响，及上</w:t>
      </w:r>
      <w:r>
        <w:rPr>
          <w:szCs w:val="21"/>
        </w:rPr>
        <w:t xml:space="preserve"> </w:t>
      </w:r>
      <w:r>
        <w:rPr>
          <w:spacing w:val="-3"/>
          <w:szCs w:val="21"/>
        </w:rPr>
        <w:t>述活动对利益相关方的评价与决策的影响，初步筛选出与企业活动相关的全部</w:t>
      </w:r>
      <w:r>
        <w:rPr>
          <w:spacing w:val="-46"/>
          <w:szCs w:val="21"/>
        </w:rPr>
        <w:t xml:space="preserve"> </w:t>
      </w:r>
      <w:r>
        <w:rPr>
          <w:spacing w:val="-3"/>
          <w:szCs w:val="21"/>
        </w:rPr>
        <w:t>ESG</w:t>
      </w:r>
      <w:r>
        <w:rPr>
          <w:spacing w:val="-44"/>
          <w:szCs w:val="21"/>
        </w:rPr>
        <w:t xml:space="preserve"> </w:t>
      </w:r>
      <w:r>
        <w:rPr>
          <w:spacing w:val="-3"/>
          <w:szCs w:val="21"/>
        </w:rPr>
        <w:t>议题。所筛</w:t>
      </w:r>
      <w:r>
        <w:rPr>
          <w:szCs w:val="21"/>
        </w:rPr>
        <w:t xml:space="preserve"> </w:t>
      </w:r>
      <w:r>
        <w:rPr>
          <w:spacing w:val="-3"/>
          <w:szCs w:val="21"/>
        </w:rPr>
        <w:t>选的</w:t>
      </w:r>
      <w:r>
        <w:rPr>
          <w:spacing w:val="-46"/>
          <w:szCs w:val="21"/>
        </w:rPr>
        <w:t xml:space="preserve"> </w:t>
      </w:r>
      <w:r>
        <w:rPr>
          <w:spacing w:val="-3"/>
          <w:szCs w:val="21"/>
        </w:rPr>
        <w:t>ESG</w:t>
      </w:r>
      <w:r>
        <w:rPr>
          <w:spacing w:val="-43"/>
          <w:szCs w:val="21"/>
        </w:rPr>
        <w:t xml:space="preserve"> </w:t>
      </w:r>
      <w:r>
        <w:rPr>
          <w:spacing w:val="-3"/>
          <w:szCs w:val="21"/>
        </w:rPr>
        <w:t>议题宜完整覆盖企业活动、产品和服务所产生的影响，并完整回应利益相关方所</w:t>
      </w:r>
      <w:r>
        <w:rPr>
          <w:spacing w:val="-4"/>
          <w:szCs w:val="21"/>
        </w:rPr>
        <w:t>提出</w:t>
      </w:r>
      <w:r>
        <w:rPr>
          <w:szCs w:val="21"/>
        </w:rPr>
        <w:t xml:space="preserve"> </w:t>
      </w:r>
      <w:r>
        <w:rPr>
          <w:spacing w:val="-3"/>
          <w:szCs w:val="21"/>
        </w:rPr>
        <w:t>的需求与期望。</w:t>
      </w:r>
    </w:p>
    <w:p w14:paraId="2C6B5EC1">
      <w:pPr>
        <w:pStyle w:val="12"/>
        <w:numPr>
          <w:ilvl w:val="0"/>
          <w:numId w:val="64"/>
        </w:numPr>
        <w:spacing w:before="20" w:line="360" w:lineRule="auto"/>
        <w:ind w:firstLineChars="0"/>
        <w:rPr>
          <w:rFonts w:hint="eastAsia" w:ascii="Times New Roman" w:hAnsi="宋体" w:cs="宋体"/>
          <w:szCs w:val="21"/>
        </w:rPr>
      </w:pPr>
      <w:r>
        <w:rPr>
          <w:spacing w:val="-1"/>
          <w:szCs w:val="21"/>
        </w:rPr>
        <w:t>ESG</w:t>
      </w:r>
      <w:r>
        <w:rPr>
          <w:spacing w:val="-42"/>
          <w:szCs w:val="21"/>
        </w:rPr>
        <w:t xml:space="preserve"> </w:t>
      </w:r>
      <w:r>
        <w:rPr>
          <w:spacing w:val="-1"/>
          <w:szCs w:val="21"/>
        </w:rPr>
        <w:t>议题排序：</w:t>
      </w:r>
      <w:r>
        <w:t>企业宜基于双重重要性原则，分别从财务重要性、影响重要性两个维度开展评估：财务重要性评估可持续议题对企业经营、财务与价值的潜在影响；影响重要性评估企业及其价值链活动对环境和利益相关方产生的实际或潜在影响。企业宜构建议题实质性分析矩阵，综合研判各议题在两个维度下的实质性水平；议题满足任一维度的实质性判定条件即属于重要议题，据此完成全部议题的实质性排序，识别出高度实质性议题作为企业ESG核心议题，形成ESG核心议题清单。</w:t>
      </w:r>
    </w:p>
    <w:p w14:paraId="2E1EEA3B">
      <w:pPr>
        <w:pStyle w:val="12"/>
        <w:numPr>
          <w:ilvl w:val="0"/>
          <w:numId w:val="64"/>
        </w:numPr>
        <w:spacing w:before="22" w:line="360" w:lineRule="auto"/>
        <w:ind w:firstLineChars="0"/>
        <w:rPr>
          <w:rFonts w:hint="eastAsia" w:ascii="Times New Roman" w:hAnsi="宋体" w:cs="宋体"/>
          <w:szCs w:val="21"/>
        </w:rPr>
      </w:pPr>
      <w:r>
        <w:rPr>
          <w:spacing w:val="-1"/>
          <w:szCs w:val="21"/>
        </w:rPr>
        <w:t>ESG</w:t>
      </w:r>
      <w:r>
        <w:rPr>
          <w:spacing w:val="-42"/>
          <w:szCs w:val="21"/>
        </w:rPr>
        <w:t xml:space="preserve"> </w:t>
      </w:r>
      <w:r>
        <w:rPr>
          <w:spacing w:val="-1"/>
          <w:szCs w:val="21"/>
        </w:rPr>
        <w:t>议题确认：将上述核心议题清单征求关</w:t>
      </w:r>
      <w:r>
        <w:rPr>
          <w:spacing w:val="-2"/>
          <w:szCs w:val="21"/>
        </w:rPr>
        <w:t>键利益相关方意见后，经由企业相关高级管理者</w:t>
      </w:r>
      <w:r>
        <w:rPr>
          <w:rFonts w:hint="eastAsia"/>
          <w:spacing w:val="-2"/>
          <w:szCs w:val="21"/>
        </w:rPr>
        <w:t>批准确定为</w:t>
      </w:r>
      <w:r>
        <w:rPr>
          <w:spacing w:val="-1"/>
          <w:szCs w:val="21"/>
        </w:rPr>
        <w:t>实质性议题清单。</w:t>
      </w:r>
    </w:p>
    <w:p w14:paraId="730CA449">
      <w:pPr>
        <w:pStyle w:val="12"/>
        <w:numPr>
          <w:ilvl w:val="0"/>
          <w:numId w:val="64"/>
        </w:numPr>
        <w:spacing w:before="20" w:line="360" w:lineRule="auto"/>
        <w:ind w:firstLineChars="0"/>
        <w:rPr>
          <w:rFonts w:hint="eastAsia" w:ascii="Times New Roman" w:hAnsi="宋体" w:cs="宋体"/>
          <w:szCs w:val="21"/>
        </w:rPr>
      </w:pPr>
      <w:r>
        <w:rPr>
          <w:spacing w:val="-1"/>
          <w:szCs w:val="21"/>
        </w:rPr>
        <w:t>ESG</w:t>
      </w:r>
      <w:r>
        <w:rPr>
          <w:spacing w:val="-43"/>
          <w:szCs w:val="21"/>
        </w:rPr>
        <w:t xml:space="preserve"> </w:t>
      </w:r>
      <w:r>
        <w:rPr>
          <w:spacing w:val="-1"/>
          <w:szCs w:val="21"/>
        </w:rPr>
        <w:t>议题评审：实质性议题清单需要定期或在</w:t>
      </w:r>
      <w:r>
        <w:rPr>
          <w:spacing w:val="-2"/>
          <w:szCs w:val="21"/>
        </w:rPr>
        <w:t>企业活动、产品和服务发生重大变更时，由企业</w:t>
      </w:r>
      <w:r>
        <w:rPr>
          <w:szCs w:val="21"/>
        </w:rPr>
        <w:t xml:space="preserve"> 和议题对应的利益相关方进行审议和确认，为下一周期的工作提</w:t>
      </w:r>
      <w:r>
        <w:rPr>
          <w:spacing w:val="-1"/>
          <w:szCs w:val="21"/>
        </w:rPr>
        <w:t>供输入。</w:t>
      </w:r>
    </w:p>
    <w:p w14:paraId="47076FF7">
      <w:pPr>
        <w:pStyle w:val="28"/>
        <w:numPr>
          <w:ilvl w:val="0"/>
          <w:numId w:val="58"/>
        </w:numPr>
        <w:spacing w:before="240" w:after="240" w:line="360" w:lineRule="auto"/>
      </w:pPr>
      <w:bookmarkStart w:id="33" w:name="_Toc11047"/>
      <w:r>
        <w:t>风险和机遇的识别和应对（参见 6.2）</w:t>
      </w:r>
      <w:bookmarkEnd w:id="33"/>
    </w:p>
    <w:p w14:paraId="035F42DB">
      <w:pPr>
        <w:pStyle w:val="3"/>
        <w:numPr>
          <w:ilvl w:val="0"/>
          <w:numId w:val="65"/>
        </w:numPr>
        <w:spacing w:before="144" w:line="360" w:lineRule="auto"/>
        <w:ind w:firstLineChars="0"/>
        <w:rPr>
          <w:rFonts w:hint="eastAsia" w:ascii="Times New Roman"/>
          <w:szCs w:val="21"/>
        </w:rPr>
      </w:pPr>
      <w:r>
        <w:rPr>
          <w:spacing w:val="-1"/>
          <w:szCs w:val="21"/>
        </w:rPr>
        <w:t>不良影响因素的辨别</w:t>
      </w:r>
    </w:p>
    <w:p w14:paraId="78948327">
      <w:pPr>
        <w:pStyle w:val="12"/>
        <w:spacing w:before="140" w:line="360" w:lineRule="auto"/>
        <w:rPr>
          <w:szCs w:val="21"/>
        </w:rPr>
      </w:pPr>
      <w:r>
        <w:rPr>
          <w:szCs w:val="21"/>
        </w:rPr>
        <w:t>不良影响因素的辨别有助于企业认识和理解其决策和活动中与所认定的重要 ESG 议题有关的不良</w:t>
      </w:r>
      <w:r>
        <w:rPr>
          <w:spacing w:val="1"/>
          <w:szCs w:val="21"/>
        </w:rPr>
        <w:t xml:space="preserve"> </w:t>
      </w:r>
      <w:r>
        <w:rPr>
          <w:szCs w:val="21"/>
        </w:rPr>
        <w:t>影响因素及其影响，以便评价和优先排序并消除不良影响因素，或降低 ESG 风险。影响可能发生在当</w:t>
      </w:r>
      <w:r>
        <w:rPr>
          <w:spacing w:val="4"/>
          <w:szCs w:val="21"/>
        </w:rPr>
        <w:t xml:space="preserve"> </w:t>
      </w:r>
      <w:r>
        <w:rPr>
          <w:spacing w:val="-2"/>
          <w:szCs w:val="21"/>
        </w:rPr>
        <w:t>地、区域、国家或全球范围，且可能是直接的、间接的或经长期累积的影</w:t>
      </w:r>
      <w:r>
        <w:rPr>
          <w:spacing w:val="-3"/>
          <w:szCs w:val="21"/>
        </w:rPr>
        <w:t>响。不良影响因素的辨识不必</w:t>
      </w:r>
      <w:r>
        <w:rPr>
          <w:szCs w:val="21"/>
        </w:rPr>
        <w:t xml:space="preserve"> </w:t>
      </w:r>
      <w:r>
        <w:rPr>
          <w:spacing w:val="-3"/>
          <w:szCs w:val="21"/>
        </w:rPr>
        <w:t>针对企业的每项决策和活动，而仅需针对所认定的、由</w:t>
      </w:r>
      <w:r>
        <w:rPr>
          <w:spacing w:val="-38"/>
          <w:szCs w:val="21"/>
        </w:rPr>
        <w:t xml:space="preserve"> </w:t>
      </w:r>
      <w:r>
        <w:rPr>
          <w:spacing w:val="-3"/>
          <w:szCs w:val="21"/>
        </w:rPr>
        <w:t>ESG</w:t>
      </w:r>
      <w:r>
        <w:rPr>
          <w:spacing w:val="-40"/>
          <w:szCs w:val="21"/>
        </w:rPr>
        <w:t xml:space="preserve"> </w:t>
      </w:r>
      <w:r>
        <w:rPr>
          <w:spacing w:val="-3"/>
          <w:szCs w:val="21"/>
        </w:rPr>
        <w:t>管理体系应对的重要</w:t>
      </w:r>
      <w:r>
        <w:rPr>
          <w:spacing w:val="-47"/>
          <w:szCs w:val="21"/>
        </w:rPr>
        <w:t xml:space="preserve"> </w:t>
      </w:r>
      <w:r>
        <w:rPr>
          <w:spacing w:val="-3"/>
          <w:szCs w:val="21"/>
        </w:rPr>
        <w:t>ESG</w:t>
      </w:r>
      <w:r>
        <w:rPr>
          <w:spacing w:val="-45"/>
          <w:szCs w:val="21"/>
        </w:rPr>
        <w:t xml:space="preserve"> </w:t>
      </w:r>
      <w:r>
        <w:rPr>
          <w:spacing w:val="-3"/>
          <w:szCs w:val="21"/>
        </w:rPr>
        <w:t>议题及有关的决策</w:t>
      </w:r>
      <w:r>
        <w:rPr>
          <w:szCs w:val="21"/>
        </w:rPr>
        <w:t xml:space="preserve"> </w:t>
      </w:r>
      <w:r>
        <w:rPr>
          <w:spacing w:val="-2"/>
          <w:szCs w:val="21"/>
        </w:rPr>
        <w:t>和活动。</w:t>
      </w:r>
    </w:p>
    <w:p w14:paraId="747866D3">
      <w:pPr>
        <w:pStyle w:val="12"/>
        <w:spacing w:before="1" w:line="360" w:lineRule="auto"/>
        <w:ind w:firstLine="418"/>
        <w:rPr>
          <w:szCs w:val="21"/>
        </w:rPr>
      </w:pPr>
      <w:r>
        <w:rPr>
          <w:spacing w:val="-1"/>
          <w:szCs w:val="21"/>
        </w:rPr>
        <w:t>不良影响因素包括（但不限于</w:t>
      </w:r>
      <w:r>
        <w:rPr>
          <w:spacing w:val="2"/>
          <w:szCs w:val="21"/>
        </w:rPr>
        <w:t>）：</w:t>
      </w:r>
    </w:p>
    <w:p w14:paraId="4A0DB000">
      <w:pPr>
        <w:pStyle w:val="12"/>
        <w:numPr>
          <w:ilvl w:val="0"/>
          <w:numId w:val="66"/>
        </w:numPr>
        <w:spacing w:before="19" w:line="360" w:lineRule="auto"/>
        <w:ind w:firstLineChars="0"/>
        <w:rPr>
          <w:rFonts w:hint="eastAsia" w:ascii="Times New Roman" w:hAnsi="宋体" w:cs="宋体"/>
          <w:szCs w:val="21"/>
        </w:rPr>
      </w:pPr>
      <w:r>
        <w:rPr>
          <w:spacing w:val="-3"/>
          <w:szCs w:val="21"/>
        </w:rPr>
        <w:t>管理和制度性的，如管理制度不完善或具有缺陷、管理不规范和水平低下</w:t>
      </w:r>
      <w:r>
        <w:rPr>
          <w:rFonts w:hint="eastAsia"/>
          <w:spacing w:val="-3"/>
          <w:szCs w:val="21"/>
        </w:rPr>
        <w:t>，导致</w:t>
      </w:r>
      <w:r>
        <w:rPr>
          <w:spacing w:val="-3"/>
          <w:szCs w:val="21"/>
        </w:rPr>
        <w:t>不能将</w:t>
      </w:r>
      <w:r>
        <w:rPr>
          <w:spacing w:val="-34"/>
          <w:szCs w:val="21"/>
        </w:rPr>
        <w:t xml:space="preserve"> </w:t>
      </w:r>
      <w:r>
        <w:rPr>
          <w:spacing w:val="-3"/>
          <w:szCs w:val="21"/>
        </w:rPr>
        <w:t>ESG</w:t>
      </w:r>
      <w:r>
        <w:rPr>
          <w:spacing w:val="-39"/>
          <w:szCs w:val="21"/>
        </w:rPr>
        <w:t xml:space="preserve"> </w:t>
      </w:r>
      <w:r>
        <w:rPr>
          <w:spacing w:val="-3"/>
          <w:szCs w:val="21"/>
        </w:rPr>
        <w:t>融入</w:t>
      </w:r>
      <w:r>
        <w:rPr>
          <w:spacing w:val="-9"/>
          <w:szCs w:val="21"/>
        </w:rPr>
        <w:t>企业等；</w:t>
      </w:r>
    </w:p>
    <w:p w14:paraId="0A25D9E1">
      <w:pPr>
        <w:pStyle w:val="12"/>
        <w:numPr>
          <w:ilvl w:val="0"/>
          <w:numId w:val="66"/>
        </w:numPr>
        <w:spacing w:before="19" w:line="360" w:lineRule="auto"/>
        <w:ind w:right="33" w:firstLineChars="0"/>
        <w:rPr>
          <w:rFonts w:hint="eastAsia" w:ascii="Times New Roman" w:hAnsi="宋体" w:cs="宋体"/>
          <w:szCs w:val="21"/>
        </w:rPr>
      </w:pPr>
      <w:r>
        <w:rPr>
          <w:spacing w:val="-3"/>
          <w:szCs w:val="21"/>
        </w:rPr>
        <w:t>观念、意识和文化性的，如</w:t>
      </w:r>
      <w:r>
        <w:rPr>
          <w:spacing w:val="-46"/>
          <w:szCs w:val="21"/>
        </w:rPr>
        <w:t xml:space="preserve"> </w:t>
      </w:r>
      <w:r>
        <w:rPr>
          <w:spacing w:val="-3"/>
          <w:szCs w:val="21"/>
        </w:rPr>
        <w:t>ESG</w:t>
      </w:r>
      <w:r>
        <w:rPr>
          <w:spacing w:val="-41"/>
          <w:szCs w:val="21"/>
        </w:rPr>
        <w:t xml:space="preserve"> </w:t>
      </w:r>
      <w:r>
        <w:rPr>
          <w:spacing w:val="-3"/>
          <w:szCs w:val="21"/>
        </w:rPr>
        <w:t>意识淡薄、缺乏人权和法</w:t>
      </w:r>
      <w:r>
        <w:rPr>
          <w:spacing w:val="-4"/>
          <w:szCs w:val="21"/>
        </w:rPr>
        <w:t>治意识、非可持续发展的思想观念、</w:t>
      </w:r>
      <w:r>
        <w:rPr>
          <w:szCs w:val="21"/>
        </w:rPr>
        <w:t xml:space="preserve"> </w:t>
      </w:r>
      <w:r>
        <w:rPr>
          <w:spacing w:val="-2"/>
          <w:szCs w:val="21"/>
        </w:rPr>
        <w:t>不良的企业文化、安全意识薄弱等；</w:t>
      </w:r>
    </w:p>
    <w:p w14:paraId="69243319">
      <w:pPr>
        <w:pStyle w:val="12"/>
        <w:numPr>
          <w:ilvl w:val="0"/>
          <w:numId w:val="66"/>
        </w:numPr>
        <w:spacing w:before="20" w:line="360" w:lineRule="auto"/>
        <w:ind w:firstLineChars="0"/>
        <w:rPr>
          <w:rFonts w:hint="eastAsia" w:ascii="Times New Roman" w:hAnsi="宋体" w:cs="宋体"/>
          <w:szCs w:val="21"/>
        </w:rPr>
      </w:pPr>
      <w:r>
        <w:rPr>
          <w:spacing w:val="-1"/>
          <w:szCs w:val="21"/>
        </w:rPr>
        <w:t>知识和能力性的，如缺乏</w:t>
      </w:r>
      <w:r>
        <w:rPr>
          <w:spacing w:val="-46"/>
          <w:szCs w:val="21"/>
        </w:rPr>
        <w:t xml:space="preserve"> </w:t>
      </w:r>
      <w:r>
        <w:rPr>
          <w:spacing w:val="-1"/>
          <w:szCs w:val="21"/>
        </w:rPr>
        <w:t>ESG、可持续发展和法律法规相关知识等；</w:t>
      </w:r>
    </w:p>
    <w:p w14:paraId="2CC94649">
      <w:pPr>
        <w:pStyle w:val="12"/>
        <w:numPr>
          <w:ilvl w:val="0"/>
          <w:numId w:val="66"/>
        </w:numPr>
        <w:spacing w:before="68" w:line="360" w:lineRule="auto"/>
        <w:ind w:right="74" w:firstLineChars="0"/>
        <w:rPr>
          <w:rFonts w:hint="eastAsia" w:ascii="Times New Roman" w:hAnsi="宋体" w:cs="宋体"/>
          <w:szCs w:val="21"/>
        </w:rPr>
      </w:pPr>
      <w:r>
        <w:rPr>
          <w:spacing w:val="-2"/>
          <w:szCs w:val="21"/>
        </w:rPr>
        <w:t>技术性的，如技术的缺乏和不完善导致用户隐私</w:t>
      </w:r>
      <w:r>
        <w:rPr>
          <w:spacing w:val="-3"/>
          <w:szCs w:val="21"/>
        </w:rPr>
        <w:t>泄露、技术的恶意滥用导致对人权的侵犯（包</w:t>
      </w:r>
      <w:r>
        <w:rPr>
          <w:szCs w:val="21"/>
        </w:rPr>
        <w:t xml:space="preserve"> </w:t>
      </w:r>
      <w:r>
        <w:rPr>
          <w:spacing w:val="-1"/>
          <w:szCs w:val="21"/>
        </w:rPr>
        <w:t>括侵害员工权益、消费者权益、社会公众权益等）。</w:t>
      </w:r>
    </w:p>
    <w:p w14:paraId="409A3031">
      <w:pPr>
        <w:pStyle w:val="3"/>
        <w:numPr>
          <w:ilvl w:val="0"/>
          <w:numId w:val="65"/>
        </w:numPr>
        <w:spacing w:before="113" w:line="360" w:lineRule="auto"/>
        <w:ind w:firstLineChars="0"/>
        <w:rPr>
          <w:rFonts w:hint="eastAsia" w:ascii="Times New Roman"/>
          <w:szCs w:val="21"/>
        </w:rPr>
      </w:pPr>
      <w:r>
        <w:rPr>
          <w:szCs w:val="21"/>
        </w:rPr>
        <w:t>ESG风险和ESG管理体系其他风险的评价</w:t>
      </w:r>
    </w:p>
    <w:p w14:paraId="7637A130">
      <w:pPr>
        <w:pStyle w:val="12"/>
        <w:spacing w:before="141" w:line="360" w:lineRule="auto"/>
        <w:ind w:right="17" w:firstLine="416"/>
        <w:rPr>
          <w:szCs w:val="21"/>
        </w:rPr>
      </w:pPr>
      <w:r>
        <w:rPr>
          <w:spacing w:val="-2"/>
          <w:szCs w:val="21"/>
        </w:rPr>
        <w:t>企业可采用不同方法来评价 ESG 风险和</w:t>
      </w:r>
      <w:r>
        <w:rPr>
          <w:spacing w:val="-10"/>
          <w:szCs w:val="21"/>
        </w:rPr>
        <w:t xml:space="preserve"> </w:t>
      </w:r>
      <w:r>
        <w:rPr>
          <w:spacing w:val="-2"/>
          <w:szCs w:val="21"/>
        </w:rPr>
        <w:t>ESG 管理体系其他风险，以作为其应对不同不良影响因素</w:t>
      </w:r>
      <w:r>
        <w:rPr>
          <w:szCs w:val="21"/>
        </w:rPr>
        <w:t xml:space="preserve"> </w:t>
      </w:r>
      <w:r>
        <w:rPr>
          <w:spacing w:val="-1"/>
          <w:szCs w:val="21"/>
        </w:rPr>
        <w:t>的总体战略的一部分。企业</w:t>
      </w:r>
      <w:r>
        <w:rPr>
          <w:rFonts w:hint="eastAsia"/>
          <w:spacing w:val="-1"/>
          <w:szCs w:val="21"/>
        </w:rPr>
        <w:t>宜</w:t>
      </w:r>
      <w:r>
        <w:rPr>
          <w:spacing w:val="-1"/>
          <w:szCs w:val="21"/>
        </w:rPr>
        <w:t>从风险发生条件、风险影响对象和风险发生后果三个方面进行系统分析，</w:t>
      </w:r>
      <w:r>
        <w:rPr>
          <w:spacing w:val="2"/>
          <w:szCs w:val="21"/>
        </w:rPr>
        <w:t xml:space="preserve"> 通过定性分析法和定量分析法对风险发生的可能性与破坏程度的大小进行测量，并对风险按潜在危险</w:t>
      </w:r>
      <w:r>
        <w:rPr>
          <w:spacing w:val="12"/>
          <w:szCs w:val="21"/>
        </w:rPr>
        <w:t xml:space="preserve"> </w:t>
      </w:r>
      <w:r>
        <w:rPr>
          <w:spacing w:val="-1"/>
          <w:szCs w:val="21"/>
        </w:rPr>
        <w:t>性进行排序。</w:t>
      </w:r>
    </w:p>
    <w:p w14:paraId="4F2FA306">
      <w:pPr>
        <w:pStyle w:val="12"/>
        <w:spacing w:line="360" w:lineRule="auto"/>
        <w:ind w:firstLine="414"/>
        <w:rPr>
          <w:szCs w:val="21"/>
        </w:rPr>
      </w:pPr>
      <w:r>
        <w:rPr>
          <w:spacing w:val="-3"/>
          <w:szCs w:val="21"/>
        </w:rPr>
        <w:t>风险评估包括三个步骤：</w:t>
      </w:r>
    </w:p>
    <w:p w14:paraId="718E0F4B">
      <w:pPr>
        <w:pStyle w:val="4"/>
        <w:widowControl/>
        <w:numPr>
          <w:ilvl w:val="0"/>
          <w:numId w:val="67"/>
        </w:numPr>
        <w:spacing w:before="22" w:line="360" w:lineRule="auto"/>
        <w:rPr>
          <w:rFonts w:hint="eastAsia" w:ascii="Times New Roman" w:hAnsi="宋体" w:cs="宋体"/>
          <w:szCs w:val="21"/>
        </w:rPr>
      </w:pPr>
      <w:r>
        <w:rPr>
          <w:spacing w:val="-2"/>
          <w:szCs w:val="21"/>
        </w:rPr>
        <w:t>对风险发生概率的评估：</w:t>
      </w:r>
    </w:p>
    <w:p w14:paraId="71EDA295">
      <w:pPr>
        <w:pStyle w:val="12"/>
        <w:spacing w:before="23" w:line="360" w:lineRule="auto"/>
        <w:ind w:right="83" w:firstLine="416"/>
        <w:rPr>
          <w:szCs w:val="21"/>
        </w:rPr>
      </w:pPr>
      <w:r>
        <w:rPr>
          <w:spacing w:val="-2"/>
          <w:szCs w:val="21"/>
        </w:rPr>
        <w:t>风险概率指风险发生的可能性或概率。风险概率可以用</w:t>
      </w:r>
      <w:r>
        <w:rPr>
          <w:spacing w:val="-42"/>
          <w:szCs w:val="21"/>
        </w:rPr>
        <w:t xml:space="preserve"> </w:t>
      </w:r>
      <w:r>
        <w:rPr>
          <w:spacing w:val="-2"/>
          <w:szCs w:val="21"/>
        </w:rPr>
        <w:t>0</w:t>
      </w:r>
      <w:r>
        <w:rPr>
          <w:rFonts w:hint="eastAsia"/>
          <w:spacing w:val="-2"/>
          <w:szCs w:val="21"/>
        </w:rPr>
        <w:t>～</w:t>
      </w:r>
      <w:r>
        <w:rPr>
          <w:spacing w:val="-2"/>
          <w:szCs w:val="21"/>
        </w:rPr>
        <w:t>10</w:t>
      </w:r>
      <w:r>
        <w:rPr>
          <w:spacing w:val="-45"/>
          <w:szCs w:val="21"/>
        </w:rPr>
        <w:t xml:space="preserve"> </w:t>
      </w:r>
      <w:r>
        <w:rPr>
          <w:spacing w:val="-2"/>
          <w:szCs w:val="21"/>
        </w:rPr>
        <w:t>来表示。越接近</w:t>
      </w:r>
      <w:r>
        <w:rPr>
          <w:spacing w:val="-31"/>
          <w:szCs w:val="21"/>
        </w:rPr>
        <w:t xml:space="preserve"> </w:t>
      </w:r>
      <w:r>
        <w:rPr>
          <w:spacing w:val="-2"/>
          <w:szCs w:val="21"/>
        </w:rPr>
        <w:t>10，</w:t>
      </w:r>
      <w:r>
        <w:rPr>
          <w:spacing w:val="-3"/>
          <w:szCs w:val="21"/>
        </w:rPr>
        <w:t>表示风险发生概</w:t>
      </w:r>
      <w:r>
        <w:rPr>
          <w:szCs w:val="21"/>
        </w:rPr>
        <w:t xml:space="preserve"> </w:t>
      </w:r>
      <w:r>
        <w:rPr>
          <w:spacing w:val="-1"/>
          <w:szCs w:val="21"/>
        </w:rPr>
        <w:t>率越高；越接近于</w:t>
      </w:r>
      <w:r>
        <w:rPr>
          <w:spacing w:val="-38"/>
          <w:szCs w:val="21"/>
        </w:rPr>
        <w:t xml:space="preserve"> </w:t>
      </w:r>
      <w:r>
        <w:rPr>
          <w:spacing w:val="-1"/>
          <w:szCs w:val="21"/>
        </w:rPr>
        <w:t>0，表示风险发生概率越低。</w:t>
      </w:r>
    </w:p>
    <w:p w14:paraId="44833586">
      <w:pPr>
        <w:pStyle w:val="4"/>
        <w:widowControl/>
        <w:numPr>
          <w:ilvl w:val="0"/>
          <w:numId w:val="67"/>
        </w:numPr>
        <w:spacing w:line="360" w:lineRule="auto"/>
        <w:rPr>
          <w:rFonts w:hint="eastAsia" w:ascii="Times New Roman" w:hAnsi="宋体" w:cs="宋体"/>
          <w:szCs w:val="21"/>
        </w:rPr>
      </w:pPr>
      <w:r>
        <w:rPr>
          <w:spacing w:val="-2"/>
          <w:szCs w:val="21"/>
        </w:rPr>
        <w:t>对风险产生危害的评估：</w:t>
      </w:r>
    </w:p>
    <w:p w14:paraId="78A93835">
      <w:pPr>
        <w:pStyle w:val="12"/>
        <w:spacing w:before="25" w:line="360" w:lineRule="auto"/>
        <w:ind w:right="74" w:firstLine="416"/>
        <w:rPr>
          <w:szCs w:val="21"/>
        </w:rPr>
      </w:pPr>
      <w:r>
        <w:rPr>
          <w:spacing w:val="-2"/>
          <w:szCs w:val="21"/>
        </w:rPr>
        <w:t>在对风险影响对象和风险发生后果分析的基础上，依据评估标准将</w:t>
      </w:r>
      <w:r>
        <w:rPr>
          <w:spacing w:val="-3"/>
          <w:szCs w:val="21"/>
        </w:rPr>
        <w:t>风险的危害程度进行量化，以确</w:t>
      </w:r>
      <w:r>
        <w:rPr>
          <w:szCs w:val="21"/>
        </w:rPr>
        <w:t xml:space="preserve"> </w:t>
      </w:r>
      <w:r>
        <w:rPr>
          <w:spacing w:val="-3"/>
          <w:szCs w:val="21"/>
        </w:rPr>
        <w:t>定风险的不同等级。</w:t>
      </w:r>
    </w:p>
    <w:p w14:paraId="0EDE43FD">
      <w:pPr>
        <w:pStyle w:val="4"/>
        <w:widowControl/>
        <w:numPr>
          <w:ilvl w:val="0"/>
          <w:numId w:val="67"/>
        </w:numPr>
        <w:spacing w:line="360" w:lineRule="auto"/>
        <w:rPr>
          <w:rFonts w:hint="eastAsia" w:ascii="Times New Roman" w:hAnsi="宋体" w:cs="宋体"/>
          <w:szCs w:val="21"/>
        </w:rPr>
      </w:pPr>
      <w:r>
        <w:rPr>
          <w:spacing w:val="-1"/>
          <w:szCs w:val="21"/>
        </w:rPr>
        <w:t>对上述评估结果通过风险坐标图</w:t>
      </w:r>
      <w:r>
        <w:rPr>
          <w:rFonts w:hint="eastAsia"/>
          <w:spacing w:val="-1"/>
          <w:szCs w:val="21"/>
        </w:rPr>
        <w:t>，</w:t>
      </w:r>
      <w:r>
        <w:rPr>
          <w:spacing w:val="-1"/>
          <w:szCs w:val="21"/>
        </w:rPr>
        <w:t>对风险进行定级：</w:t>
      </w:r>
    </w:p>
    <w:p w14:paraId="7FE308C3">
      <w:pPr>
        <w:pStyle w:val="12"/>
        <w:spacing w:before="21" w:line="360" w:lineRule="auto"/>
        <w:ind w:firstLine="410"/>
      </w:pPr>
      <w:r>
        <w:rPr>
          <w:spacing w:val="-5"/>
          <w:szCs w:val="21"/>
        </w:rPr>
        <w:t>根据企业对风险等级的评估标准，对风险坐标图中对应不同板块</w:t>
      </w:r>
      <w:r>
        <w:rPr>
          <w:spacing w:val="-6"/>
          <w:szCs w:val="21"/>
        </w:rPr>
        <w:t>的风险点划分出重大风险、高风险、</w:t>
      </w:r>
      <w:r>
        <w:rPr>
          <w:szCs w:val="21"/>
        </w:rPr>
        <w:t xml:space="preserve"> </w:t>
      </w:r>
      <w:r>
        <w:rPr>
          <w:spacing w:val="-1"/>
          <w:szCs w:val="21"/>
        </w:rPr>
        <w:t>中风险和低风险四大区域，标注上不同的色块，以便于查看和管理。</w:t>
      </w:r>
    </w:p>
    <w:p w14:paraId="43D42876">
      <w:pPr>
        <w:pStyle w:val="3"/>
        <w:numPr>
          <w:ilvl w:val="0"/>
          <w:numId w:val="65"/>
        </w:numPr>
        <w:spacing w:before="113" w:line="360" w:lineRule="auto"/>
        <w:ind w:firstLineChars="0"/>
        <w:rPr>
          <w:rFonts w:hint="eastAsia" w:ascii="Times New Roman"/>
          <w:szCs w:val="21"/>
        </w:rPr>
      </w:pPr>
      <w:r>
        <w:rPr>
          <w:szCs w:val="21"/>
        </w:rPr>
        <w:t>ESG机遇和ESG管理体系其他机遇的评价</w:t>
      </w:r>
    </w:p>
    <w:p w14:paraId="3D210804">
      <w:pPr>
        <w:pStyle w:val="12"/>
        <w:spacing w:before="145" w:line="360" w:lineRule="auto"/>
        <w:ind w:right="74" w:firstLine="416"/>
        <w:rPr>
          <w:szCs w:val="21"/>
        </w:rPr>
      </w:pPr>
      <w:r>
        <w:rPr>
          <w:spacing w:val="-2"/>
          <w:szCs w:val="21"/>
        </w:rPr>
        <w:t>评价过程宜考虑所确定的</w:t>
      </w:r>
      <w:r>
        <w:rPr>
          <w:spacing w:val="-6"/>
          <w:szCs w:val="21"/>
        </w:rPr>
        <w:t xml:space="preserve"> </w:t>
      </w:r>
      <w:r>
        <w:rPr>
          <w:spacing w:val="-2"/>
          <w:szCs w:val="21"/>
        </w:rPr>
        <w:t>ESG 机遇和 ESG 管理体系的其他机遇，以及它们的益处和改进绩效的潜</w:t>
      </w:r>
      <w:r>
        <w:rPr>
          <w:szCs w:val="21"/>
        </w:rPr>
        <w:t xml:space="preserve"> </w:t>
      </w:r>
      <w:r>
        <w:rPr>
          <w:spacing w:val="-2"/>
          <w:szCs w:val="21"/>
        </w:rPr>
        <w:t>力。在企业、方针、过程、活动等变更时</w:t>
      </w:r>
      <w:r>
        <w:rPr>
          <w:rFonts w:hint="eastAsia"/>
          <w:spacing w:val="-2"/>
          <w:szCs w:val="21"/>
        </w:rPr>
        <w:t>，促进</w:t>
      </w:r>
      <w:r>
        <w:rPr>
          <w:spacing w:val="-2"/>
          <w:szCs w:val="21"/>
        </w:rPr>
        <w:t>有益影响的 ESG 机遇，以及改进 ESG 管理体系的其他</w:t>
      </w:r>
      <w:r>
        <w:rPr>
          <w:rFonts w:hint="eastAsia"/>
          <w:spacing w:val="-2"/>
          <w:szCs w:val="21"/>
        </w:rPr>
        <w:t>机遇</w:t>
      </w:r>
      <w:r>
        <w:rPr>
          <w:spacing w:val="-2"/>
          <w:szCs w:val="21"/>
        </w:rPr>
        <w:t>。企业需根据预期变更的性质，使用适当的方法来评</w:t>
      </w:r>
      <w:r>
        <w:rPr>
          <w:spacing w:val="-3"/>
          <w:szCs w:val="21"/>
        </w:rPr>
        <w:t>价</w:t>
      </w:r>
      <w:r>
        <w:rPr>
          <w:spacing w:val="-46"/>
          <w:szCs w:val="21"/>
        </w:rPr>
        <w:t xml:space="preserve"> </w:t>
      </w:r>
      <w:r>
        <w:rPr>
          <w:spacing w:val="-3"/>
          <w:szCs w:val="21"/>
        </w:rPr>
        <w:t>ESG</w:t>
      </w:r>
      <w:r>
        <w:rPr>
          <w:spacing w:val="-47"/>
          <w:szCs w:val="21"/>
        </w:rPr>
        <w:t xml:space="preserve"> </w:t>
      </w:r>
      <w:r>
        <w:rPr>
          <w:spacing w:val="-3"/>
          <w:szCs w:val="21"/>
        </w:rPr>
        <w:t>机遇的变化，重新策划应对措施。如结合</w:t>
      </w:r>
      <w:r>
        <w:rPr>
          <w:szCs w:val="21"/>
        </w:rPr>
        <w:t xml:space="preserve"> </w:t>
      </w:r>
      <w:r>
        <w:rPr>
          <w:spacing w:val="-1"/>
          <w:szCs w:val="21"/>
        </w:rPr>
        <w:t>产业特点进行变革、积极主动应用数智化等。</w:t>
      </w:r>
    </w:p>
    <w:p w14:paraId="373D506E">
      <w:pPr>
        <w:pStyle w:val="28"/>
        <w:numPr>
          <w:ilvl w:val="0"/>
          <w:numId w:val="58"/>
        </w:numPr>
        <w:spacing w:before="240" w:after="240" w:line="360" w:lineRule="auto"/>
      </w:pPr>
      <w:bookmarkStart w:id="34" w:name="_Toc10172"/>
      <w:r>
        <w:t>法律法规要求和其他要求的确定（参见 6.2.3）</w:t>
      </w:r>
      <w:bookmarkEnd w:id="34"/>
    </w:p>
    <w:p w14:paraId="464350AC">
      <w:pPr>
        <w:pStyle w:val="12"/>
        <w:spacing w:before="141" w:line="360" w:lineRule="auto"/>
        <w:ind w:firstLine="418"/>
        <w:rPr>
          <w:szCs w:val="21"/>
        </w:rPr>
      </w:pPr>
      <w:r>
        <w:rPr>
          <w:spacing w:val="-1"/>
          <w:szCs w:val="21"/>
        </w:rPr>
        <w:t>法律法规和其他要求及合规示例。</w:t>
      </w:r>
    </w:p>
    <w:p w14:paraId="1F7A9F9E">
      <w:pPr>
        <w:pStyle w:val="12"/>
        <w:numPr>
          <w:ilvl w:val="0"/>
          <w:numId w:val="68"/>
        </w:numPr>
        <w:spacing w:before="22" w:line="360" w:lineRule="auto"/>
        <w:ind w:firstLineChars="0"/>
        <w:rPr>
          <w:rFonts w:hint="eastAsia" w:ascii="Times New Roman" w:hAnsi="宋体" w:cs="宋体"/>
          <w:szCs w:val="21"/>
        </w:rPr>
      </w:pPr>
      <w:r>
        <w:rPr>
          <w:szCs w:val="21"/>
        </w:rPr>
        <w:t>法律法规要求可包括：</w:t>
      </w:r>
    </w:p>
    <w:p w14:paraId="3E4A2EAA">
      <w:pPr>
        <w:pStyle w:val="12"/>
        <w:numPr>
          <w:ilvl w:val="0"/>
          <w:numId w:val="69"/>
        </w:numPr>
        <w:spacing w:before="21" w:line="360" w:lineRule="auto"/>
        <w:ind w:firstLineChars="0"/>
        <w:rPr>
          <w:rFonts w:hint="eastAsia" w:ascii="Times New Roman" w:hAnsi="宋体" w:cs="宋体"/>
          <w:szCs w:val="21"/>
        </w:rPr>
      </w:pPr>
      <w:r>
        <w:rPr>
          <w:spacing w:val="-1"/>
          <w:szCs w:val="21"/>
        </w:rPr>
        <w:t>法律、法规和规章（国家的、区域的或国际的</w:t>
      </w:r>
      <w:r>
        <w:rPr>
          <w:spacing w:val="-8"/>
          <w:szCs w:val="21"/>
        </w:rPr>
        <w:t>）；</w:t>
      </w:r>
    </w:p>
    <w:p w14:paraId="3EED076D">
      <w:pPr>
        <w:pStyle w:val="12"/>
        <w:numPr>
          <w:ilvl w:val="0"/>
          <w:numId w:val="69"/>
        </w:numPr>
        <w:spacing w:before="23" w:line="360" w:lineRule="auto"/>
        <w:ind w:firstLineChars="0"/>
        <w:rPr>
          <w:rFonts w:hint="eastAsia" w:ascii="Times New Roman" w:hAnsi="宋体" w:cs="宋体"/>
          <w:szCs w:val="21"/>
        </w:rPr>
      </w:pPr>
      <w:r>
        <w:rPr>
          <w:spacing w:val="-1"/>
          <w:szCs w:val="21"/>
        </w:rPr>
        <w:t>法令和指令；</w:t>
      </w:r>
    </w:p>
    <w:p w14:paraId="2642A802">
      <w:pPr>
        <w:pStyle w:val="12"/>
        <w:numPr>
          <w:ilvl w:val="0"/>
          <w:numId w:val="69"/>
        </w:numPr>
        <w:spacing w:before="21" w:line="360" w:lineRule="auto"/>
        <w:ind w:firstLineChars="0"/>
        <w:rPr>
          <w:rFonts w:hint="eastAsia" w:ascii="Times New Roman" w:hAnsi="宋体" w:cs="宋体"/>
          <w:szCs w:val="21"/>
        </w:rPr>
      </w:pPr>
      <w:r>
        <w:rPr>
          <w:spacing w:val="-1"/>
          <w:szCs w:val="21"/>
        </w:rPr>
        <w:t>监管部门发布的命令；</w:t>
      </w:r>
    </w:p>
    <w:p w14:paraId="66340C2C">
      <w:pPr>
        <w:pStyle w:val="12"/>
        <w:numPr>
          <w:ilvl w:val="0"/>
          <w:numId w:val="69"/>
        </w:numPr>
        <w:spacing w:before="24" w:line="360" w:lineRule="auto"/>
        <w:ind w:firstLineChars="0"/>
        <w:rPr>
          <w:rFonts w:hint="eastAsia" w:ascii="Times New Roman" w:hAnsi="宋体" w:cs="宋体"/>
          <w:szCs w:val="21"/>
        </w:rPr>
      </w:pPr>
      <w:r>
        <w:rPr>
          <w:spacing w:val="-2"/>
          <w:szCs w:val="21"/>
        </w:rPr>
        <w:t>许可、执照或其他形式的授权；</w:t>
      </w:r>
    </w:p>
    <w:p w14:paraId="75C3DDB5">
      <w:pPr>
        <w:pStyle w:val="12"/>
        <w:numPr>
          <w:ilvl w:val="0"/>
          <w:numId w:val="69"/>
        </w:numPr>
        <w:spacing w:before="19" w:line="360" w:lineRule="auto"/>
        <w:ind w:firstLineChars="0"/>
        <w:rPr>
          <w:rFonts w:hint="eastAsia" w:ascii="Times New Roman" w:hAnsi="宋体" w:cs="宋体"/>
          <w:szCs w:val="21"/>
        </w:rPr>
      </w:pPr>
      <w:r>
        <w:rPr>
          <w:spacing w:val="-1"/>
          <w:szCs w:val="21"/>
        </w:rPr>
        <w:t>法院判决或行政裁决；</w:t>
      </w:r>
    </w:p>
    <w:p w14:paraId="761D4DE7">
      <w:pPr>
        <w:pStyle w:val="12"/>
        <w:numPr>
          <w:ilvl w:val="0"/>
          <w:numId w:val="69"/>
        </w:numPr>
        <w:spacing w:before="20" w:line="360" w:lineRule="auto"/>
        <w:ind w:firstLineChars="0"/>
        <w:rPr>
          <w:rFonts w:hint="eastAsia" w:ascii="Times New Roman" w:hAnsi="宋体" w:cs="宋体"/>
          <w:szCs w:val="21"/>
        </w:rPr>
      </w:pPr>
      <w:r>
        <w:rPr>
          <w:spacing w:val="-1"/>
          <w:szCs w:val="21"/>
        </w:rPr>
        <w:t>条约、公约、议定书；</w:t>
      </w:r>
    </w:p>
    <w:p w14:paraId="5D429F83">
      <w:pPr>
        <w:pStyle w:val="12"/>
        <w:numPr>
          <w:ilvl w:val="0"/>
          <w:numId w:val="69"/>
        </w:numPr>
        <w:spacing w:before="23" w:line="360" w:lineRule="auto"/>
        <w:ind w:firstLineChars="0"/>
        <w:rPr>
          <w:rFonts w:hint="eastAsia" w:ascii="Times New Roman" w:hAnsi="宋体" w:cs="宋体"/>
          <w:szCs w:val="21"/>
        </w:rPr>
      </w:pPr>
      <w:r>
        <w:rPr>
          <w:spacing w:val="-2"/>
          <w:szCs w:val="21"/>
        </w:rPr>
        <w:t>集体协商协议。</w:t>
      </w:r>
    </w:p>
    <w:p w14:paraId="5FEE4386">
      <w:pPr>
        <w:pStyle w:val="12"/>
        <w:numPr>
          <w:ilvl w:val="0"/>
          <w:numId w:val="68"/>
        </w:numPr>
        <w:spacing w:before="21" w:line="360" w:lineRule="auto"/>
        <w:ind w:firstLineChars="0"/>
        <w:rPr>
          <w:rFonts w:hint="eastAsia" w:ascii="Times New Roman" w:hAnsi="宋体" w:cs="宋体"/>
          <w:szCs w:val="21"/>
        </w:rPr>
      </w:pPr>
      <w:r>
        <w:rPr>
          <w:szCs w:val="21"/>
        </w:rPr>
        <w:t>其他要求可包括：</w:t>
      </w:r>
    </w:p>
    <w:p w14:paraId="52A14AD6">
      <w:pPr>
        <w:pStyle w:val="12"/>
        <w:numPr>
          <w:ilvl w:val="0"/>
          <w:numId w:val="70"/>
        </w:numPr>
        <w:spacing w:before="22" w:line="360" w:lineRule="auto"/>
        <w:ind w:firstLineChars="0"/>
        <w:rPr>
          <w:rFonts w:hint="eastAsia" w:ascii="Times New Roman" w:hAnsi="宋体" w:cs="宋体"/>
          <w:szCs w:val="21"/>
        </w:rPr>
      </w:pPr>
      <w:r>
        <w:rPr>
          <w:spacing w:val="-1"/>
          <w:szCs w:val="21"/>
        </w:rPr>
        <w:t>企业的规章制度要求和公开承诺；</w:t>
      </w:r>
    </w:p>
    <w:p w14:paraId="10C0E7CF">
      <w:pPr>
        <w:pStyle w:val="12"/>
        <w:numPr>
          <w:ilvl w:val="0"/>
          <w:numId w:val="70"/>
        </w:numPr>
        <w:spacing w:before="20" w:line="360" w:lineRule="auto"/>
        <w:ind w:firstLineChars="0"/>
        <w:rPr>
          <w:rFonts w:hint="eastAsia" w:ascii="Times New Roman" w:hAnsi="宋体" w:cs="宋体"/>
          <w:szCs w:val="21"/>
        </w:rPr>
      </w:pPr>
      <w:r>
        <w:rPr>
          <w:spacing w:val="-6"/>
          <w:szCs w:val="21"/>
        </w:rPr>
        <w:t>合同条款；</w:t>
      </w:r>
    </w:p>
    <w:p w14:paraId="5389B189">
      <w:pPr>
        <w:pStyle w:val="12"/>
        <w:numPr>
          <w:ilvl w:val="0"/>
          <w:numId w:val="70"/>
        </w:numPr>
        <w:spacing w:before="23" w:line="360" w:lineRule="auto"/>
        <w:ind w:firstLineChars="0"/>
        <w:rPr>
          <w:rFonts w:hint="eastAsia" w:ascii="Times New Roman" w:hAnsi="宋体" w:cs="宋体"/>
          <w:szCs w:val="21"/>
        </w:rPr>
      </w:pPr>
      <w:r>
        <w:rPr>
          <w:spacing w:val="-1"/>
          <w:szCs w:val="21"/>
        </w:rPr>
        <w:t>雇佣协议、与利益相关方的协议、与</w:t>
      </w:r>
      <w:r>
        <w:rPr>
          <w:spacing w:val="-30"/>
          <w:szCs w:val="21"/>
        </w:rPr>
        <w:t xml:space="preserve"> </w:t>
      </w:r>
      <w:r>
        <w:rPr>
          <w:spacing w:val="-1"/>
          <w:szCs w:val="21"/>
        </w:rPr>
        <w:t>ESG</w:t>
      </w:r>
      <w:r>
        <w:rPr>
          <w:spacing w:val="-46"/>
          <w:szCs w:val="21"/>
        </w:rPr>
        <w:t xml:space="preserve"> </w:t>
      </w:r>
      <w:r>
        <w:rPr>
          <w:spacing w:val="-1"/>
          <w:szCs w:val="21"/>
        </w:rPr>
        <w:t>相关部门的协议；</w:t>
      </w:r>
    </w:p>
    <w:p w14:paraId="646CBD98">
      <w:pPr>
        <w:pStyle w:val="12"/>
        <w:numPr>
          <w:ilvl w:val="0"/>
          <w:numId w:val="70"/>
        </w:numPr>
        <w:spacing w:before="20" w:line="360" w:lineRule="auto"/>
        <w:ind w:firstLineChars="0"/>
        <w:rPr>
          <w:rFonts w:hint="eastAsia" w:ascii="Times New Roman" w:hAnsi="宋体" w:cs="宋体"/>
          <w:szCs w:val="21"/>
        </w:rPr>
      </w:pPr>
      <w:r>
        <w:rPr>
          <w:spacing w:val="-1"/>
          <w:szCs w:val="21"/>
        </w:rPr>
        <w:t>非强制性标准、获得一致认可的标准和指南；</w:t>
      </w:r>
    </w:p>
    <w:p w14:paraId="3AB24E7B">
      <w:pPr>
        <w:pStyle w:val="12"/>
        <w:numPr>
          <w:ilvl w:val="0"/>
          <w:numId w:val="70"/>
        </w:numPr>
        <w:spacing w:before="22" w:line="360" w:lineRule="auto"/>
        <w:ind w:firstLineChars="0"/>
        <w:rPr>
          <w:rFonts w:hint="eastAsia" w:ascii="Times New Roman" w:hAnsi="宋体" w:cs="宋体"/>
          <w:szCs w:val="21"/>
        </w:rPr>
      </w:pPr>
      <w:r>
        <w:rPr>
          <w:spacing w:val="-3"/>
          <w:szCs w:val="21"/>
        </w:rPr>
        <w:t>自愿性原则、行为守则、技术规范、章程。</w:t>
      </w:r>
    </w:p>
    <w:p w14:paraId="65798B7D">
      <w:pPr>
        <w:pStyle w:val="12"/>
        <w:numPr>
          <w:ilvl w:val="0"/>
          <w:numId w:val="68"/>
        </w:numPr>
        <w:spacing w:before="20" w:line="360" w:lineRule="auto"/>
        <w:ind w:right="122" w:firstLineChars="0"/>
        <w:rPr>
          <w:rFonts w:hint="eastAsia" w:ascii="Times New Roman" w:hAnsi="宋体" w:cs="宋体"/>
          <w:szCs w:val="21"/>
        </w:rPr>
      </w:pPr>
      <w:r>
        <w:rPr>
          <w:spacing w:val="-3"/>
          <w:szCs w:val="21"/>
        </w:rPr>
        <w:t>合规义务可包括：反映业务活动中需要遵循</w:t>
      </w:r>
      <w:r>
        <w:rPr>
          <w:spacing w:val="-4"/>
          <w:szCs w:val="21"/>
        </w:rPr>
        <w:t>的具体合规要求、违反合规要求的法律责任规定，</w:t>
      </w:r>
      <w:r>
        <w:rPr>
          <w:szCs w:val="21"/>
        </w:rPr>
        <w:t xml:space="preserve"> 或者企业内部规章制度相关规定，一般体现为禁止性规定和命</w:t>
      </w:r>
      <w:r>
        <w:rPr>
          <w:spacing w:val="-1"/>
          <w:szCs w:val="21"/>
        </w:rPr>
        <w:t>令性规定。</w:t>
      </w:r>
    </w:p>
    <w:p w14:paraId="02E92D34">
      <w:pPr>
        <w:pStyle w:val="12"/>
        <w:spacing w:before="2" w:line="360" w:lineRule="auto"/>
        <w:ind w:right="74" w:firstLine="414"/>
        <w:rPr>
          <w:szCs w:val="21"/>
        </w:rPr>
      </w:pPr>
      <w:r>
        <w:rPr>
          <w:spacing w:val="-3"/>
          <w:szCs w:val="21"/>
        </w:rPr>
        <w:t>企业</w:t>
      </w:r>
      <w:r>
        <w:rPr>
          <w:rFonts w:hint="eastAsia"/>
          <w:spacing w:val="-3"/>
          <w:szCs w:val="21"/>
        </w:rPr>
        <w:t>宜</w:t>
      </w:r>
      <w:r>
        <w:rPr>
          <w:spacing w:val="-3"/>
          <w:szCs w:val="21"/>
        </w:rPr>
        <w:t>根据工作实际，列出与</w:t>
      </w:r>
      <w:r>
        <w:rPr>
          <w:spacing w:val="-38"/>
          <w:szCs w:val="21"/>
        </w:rPr>
        <w:t xml:space="preserve"> </w:t>
      </w:r>
      <w:r>
        <w:rPr>
          <w:spacing w:val="-3"/>
          <w:szCs w:val="21"/>
        </w:rPr>
        <w:t>ESG</w:t>
      </w:r>
      <w:r>
        <w:rPr>
          <w:spacing w:val="-39"/>
          <w:szCs w:val="21"/>
        </w:rPr>
        <w:t xml:space="preserve"> </w:t>
      </w:r>
      <w:r>
        <w:rPr>
          <w:spacing w:val="-3"/>
          <w:szCs w:val="21"/>
        </w:rPr>
        <w:t>管理体系有关的法律法规和其他要求，并明确符合情况，同时根</w:t>
      </w:r>
      <w:r>
        <w:rPr>
          <w:szCs w:val="21"/>
        </w:rPr>
        <w:t xml:space="preserve"> 据法律法规和其他要求的更新情况，视需要适时地对法律法规清单及符合情况进行修订。</w:t>
      </w:r>
    </w:p>
    <w:p w14:paraId="4677E1DB">
      <w:pPr>
        <w:pStyle w:val="28"/>
        <w:numPr>
          <w:ilvl w:val="0"/>
          <w:numId w:val="58"/>
        </w:numPr>
        <w:spacing w:before="240" w:after="240" w:line="360" w:lineRule="auto"/>
      </w:pPr>
      <w:bookmarkStart w:id="35" w:name="_Toc15586"/>
      <w:r>
        <w:t>措施的策划（参见 6.2.4）</w:t>
      </w:r>
      <w:bookmarkEnd w:id="35"/>
    </w:p>
    <w:p w14:paraId="002070B9">
      <w:pPr>
        <w:pStyle w:val="12"/>
        <w:spacing w:before="144" w:line="360" w:lineRule="auto"/>
        <w:rPr>
          <w:szCs w:val="21"/>
        </w:rPr>
      </w:pPr>
      <w:r>
        <w:rPr>
          <w:szCs w:val="21"/>
        </w:rPr>
        <w:t>企业应对</w:t>
      </w:r>
      <w:r>
        <w:rPr>
          <w:spacing w:val="-44"/>
          <w:szCs w:val="21"/>
        </w:rPr>
        <w:t xml:space="preserve"> </w:t>
      </w:r>
      <w:r>
        <w:rPr>
          <w:szCs w:val="21"/>
        </w:rPr>
        <w:t>ESG</w:t>
      </w:r>
      <w:r>
        <w:rPr>
          <w:spacing w:val="-44"/>
          <w:szCs w:val="21"/>
        </w:rPr>
        <w:t xml:space="preserve"> </w:t>
      </w:r>
      <w:r>
        <w:rPr>
          <w:szCs w:val="21"/>
        </w:rPr>
        <w:t>风险和ESG</w:t>
      </w:r>
      <w:r>
        <w:rPr>
          <w:spacing w:val="-38"/>
          <w:szCs w:val="21"/>
        </w:rPr>
        <w:t xml:space="preserve"> </w:t>
      </w:r>
      <w:r>
        <w:rPr>
          <w:szCs w:val="21"/>
        </w:rPr>
        <w:t>管理体系其他风</w:t>
      </w:r>
      <w:r>
        <w:rPr>
          <w:spacing w:val="-1"/>
          <w:szCs w:val="21"/>
        </w:rPr>
        <w:t>险、法律法规要求及其他要求和紧急情况采取策划措施，</w:t>
      </w:r>
    </w:p>
    <w:p w14:paraId="77910B5F">
      <w:pPr>
        <w:pStyle w:val="12"/>
        <w:spacing w:before="68" w:line="360" w:lineRule="auto"/>
        <w:ind w:firstLine="0" w:firstLineChars="0"/>
        <w:rPr>
          <w:szCs w:val="21"/>
        </w:rPr>
      </w:pPr>
      <w:r>
        <w:rPr>
          <w:spacing w:val="-1"/>
          <w:szCs w:val="21"/>
        </w:rPr>
        <w:t>所策划的措施要通过</w:t>
      </w:r>
      <w:r>
        <w:rPr>
          <w:spacing w:val="-47"/>
          <w:szCs w:val="21"/>
        </w:rPr>
        <w:t xml:space="preserve"> </w:t>
      </w:r>
      <w:r>
        <w:rPr>
          <w:spacing w:val="-1"/>
          <w:szCs w:val="21"/>
        </w:rPr>
        <w:t>ESG</w:t>
      </w:r>
      <w:r>
        <w:rPr>
          <w:spacing w:val="-41"/>
          <w:szCs w:val="21"/>
        </w:rPr>
        <w:t xml:space="preserve"> </w:t>
      </w:r>
      <w:r>
        <w:rPr>
          <w:spacing w:val="-1"/>
          <w:szCs w:val="21"/>
        </w:rPr>
        <w:t>管理体系进行关联</w:t>
      </w:r>
      <w:r>
        <w:rPr>
          <w:spacing w:val="-2"/>
          <w:szCs w:val="21"/>
        </w:rPr>
        <w:t>，且</w:t>
      </w:r>
      <w:r>
        <w:rPr>
          <w:rFonts w:hint="eastAsia"/>
          <w:spacing w:val="-2"/>
          <w:szCs w:val="21"/>
        </w:rPr>
        <w:t>宜</w:t>
      </w:r>
      <w:r>
        <w:rPr>
          <w:spacing w:val="-2"/>
          <w:szCs w:val="21"/>
        </w:rPr>
        <w:t>与其他业务过程相融合，措施实施旨在期待实现</w:t>
      </w:r>
      <w:r>
        <w:rPr>
          <w:spacing w:val="-46"/>
          <w:szCs w:val="21"/>
        </w:rPr>
        <w:t xml:space="preserve"> </w:t>
      </w:r>
      <w:r>
        <w:rPr>
          <w:spacing w:val="-2"/>
          <w:szCs w:val="21"/>
        </w:rPr>
        <w:t>ESG</w:t>
      </w:r>
      <w:r>
        <w:rPr>
          <w:szCs w:val="21"/>
        </w:rPr>
        <w:t xml:space="preserve"> </w:t>
      </w:r>
      <w:r>
        <w:rPr>
          <w:spacing w:val="-2"/>
          <w:szCs w:val="21"/>
        </w:rPr>
        <w:t>管理体系的预期结果。当</w:t>
      </w:r>
      <w:r>
        <w:rPr>
          <w:spacing w:val="-47"/>
          <w:szCs w:val="21"/>
        </w:rPr>
        <w:t xml:space="preserve"> </w:t>
      </w:r>
      <w:r>
        <w:rPr>
          <w:spacing w:val="-2"/>
          <w:szCs w:val="21"/>
        </w:rPr>
        <w:t>ESG</w:t>
      </w:r>
      <w:r>
        <w:rPr>
          <w:spacing w:val="-43"/>
          <w:szCs w:val="21"/>
        </w:rPr>
        <w:t xml:space="preserve"> </w:t>
      </w:r>
      <w:r>
        <w:rPr>
          <w:spacing w:val="-2"/>
          <w:szCs w:val="21"/>
        </w:rPr>
        <w:t>风险与其他风险评价</w:t>
      </w:r>
      <w:r>
        <w:rPr>
          <w:spacing w:val="-3"/>
          <w:szCs w:val="21"/>
        </w:rPr>
        <w:t>已识别控制需求时，策划活动要确定如何在运行中实</w:t>
      </w:r>
      <w:r>
        <w:rPr>
          <w:szCs w:val="21"/>
        </w:rPr>
        <w:t xml:space="preserve"> </w:t>
      </w:r>
      <w:r>
        <w:rPr>
          <w:spacing w:val="-2"/>
          <w:szCs w:val="21"/>
        </w:rPr>
        <w:t>施这些控制，如确定是否将控制纳入行为守则、业务指导书或提升能力措施</w:t>
      </w:r>
      <w:r>
        <w:rPr>
          <w:spacing w:val="-3"/>
          <w:szCs w:val="21"/>
        </w:rPr>
        <w:t>中等，其他控制可采用测量</w:t>
      </w:r>
      <w:r>
        <w:rPr>
          <w:szCs w:val="21"/>
        </w:rPr>
        <w:t xml:space="preserve"> </w:t>
      </w:r>
      <w:r>
        <w:rPr>
          <w:spacing w:val="-1"/>
          <w:szCs w:val="21"/>
        </w:rPr>
        <w:t>或监视方式。</w:t>
      </w:r>
    </w:p>
    <w:p w14:paraId="126E3520">
      <w:pPr>
        <w:pStyle w:val="12"/>
        <w:spacing w:before="1" w:line="360" w:lineRule="auto"/>
        <w:ind w:firstLine="416"/>
        <w:rPr>
          <w:szCs w:val="21"/>
        </w:rPr>
      </w:pPr>
      <w:r>
        <w:rPr>
          <w:spacing w:val="-2"/>
          <w:szCs w:val="21"/>
        </w:rPr>
        <w:t>变更管理也宜考虑应对风险机遇的措施，以确保不产生非预期的</w:t>
      </w:r>
      <w:r>
        <w:rPr>
          <w:spacing w:val="-3"/>
          <w:szCs w:val="21"/>
        </w:rPr>
        <w:t>后果。企业</w:t>
      </w:r>
      <w:r>
        <w:rPr>
          <w:rFonts w:hint="eastAsia"/>
          <w:spacing w:val="-3"/>
          <w:szCs w:val="21"/>
        </w:rPr>
        <w:t>宜</w:t>
      </w:r>
      <w:r>
        <w:rPr>
          <w:spacing w:val="-3"/>
          <w:szCs w:val="21"/>
        </w:rPr>
        <w:t>策划措施并应对相关</w:t>
      </w:r>
      <w:r>
        <w:rPr>
          <w:szCs w:val="21"/>
        </w:rPr>
        <w:t xml:space="preserve"> </w:t>
      </w:r>
      <w:r>
        <w:rPr>
          <w:spacing w:val="-2"/>
          <w:szCs w:val="21"/>
        </w:rPr>
        <w:t>的</w:t>
      </w:r>
      <w:r>
        <w:rPr>
          <w:spacing w:val="-47"/>
          <w:szCs w:val="21"/>
        </w:rPr>
        <w:t xml:space="preserve"> </w:t>
      </w:r>
      <w:r>
        <w:rPr>
          <w:spacing w:val="-2"/>
          <w:szCs w:val="21"/>
        </w:rPr>
        <w:t>ESG</w:t>
      </w:r>
      <w:r>
        <w:rPr>
          <w:spacing w:val="-45"/>
          <w:szCs w:val="21"/>
        </w:rPr>
        <w:t xml:space="preserve"> </w:t>
      </w:r>
      <w:r>
        <w:rPr>
          <w:spacing w:val="-2"/>
          <w:szCs w:val="21"/>
        </w:rPr>
        <w:t>风险和机遇，满足法律法规要求和其他要求，</w:t>
      </w:r>
      <w:r>
        <w:rPr>
          <w:spacing w:val="-3"/>
          <w:szCs w:val="21"/>
        </w:rPr>
        <w:t>并在变更（如技术、设备、工作管理和程序、设计</w:t>
      </w:r>
      <w:r>
        <w:rPr>
          <w:szCs w:val="21"/>
        </w:rPr>
        <w:t xml:space="preserve"> </w:t>
      </w:r>
      <w:r>
        <w:rPr>
          <w:spacing w:val="-2"/>
          <w:szCs w:val="21"/>
        </w:rPr>
        <w:t>规范、原材料、人员配备、标准或规则变更）发生时，</w:t>
      </w:r>
      <w:r>
        <w:rPr>
          <w:spacing w:val="-3"/>
          <w:szCs w:val="21"/>
        </w:rPr>
        <w:t>通过尽可能减少将新不良影响因素和</w:t>
      </w:r>
      <w:r>
        <w:rPr>
          <w:spacing w:val="-46"/>
          <w:szCs w:val="21"/>
        </w:rPr>
        <w:t xml:space="preserve"> </w:t>
      </w:r>
      <w:r>
        <w:rPr>
          <w:spacing w:val="-3"/>
          <w:szCs w:val="21"/>
        </w:rPr>
        <w:t>ESG</w:t>
      </w:r>
      <w:r>
        <w:rPr>
          <w:spacing w:val="-45"/>
          <w:szCs w:val="21"/>
        </w:rPr>
        <w:t xml:space="preserve"> </w:t>
      </w:r>
      <w:r>
        <w:rPr>
          <w:spacing w:val="-3"/>
          <w:szCs w:val="21"/>
        </w:rPr>
        <w:t>风险</w:t>
      </w:r>
      <w:r>
        <w:rPr>
          <w:rFonts w:hint="eastAsia"/>
          <w:spacing w:val="-3"/>
          <w:szCs w:val="21"/>
        </w:rPr>
        <w:t>引入</w:t>
      </w:r>
      <w:r>
        <w:rPr>
          <w:spacing w:val="3"/>
          <w:szCs w:val="21"/>
        </w:rPr>
        <w:t>工作环境而使得工作对社会和环境更负责任。根</w:t>
      </w:r>
      <w:r>
        <w:rPr>
          <w:spacing w:val="2"/>
          <w:szCs w:val="21"/>
        </w:rPr>
        <w:t>据预期变更的性质，企业可使用适当的方法来评价</w:t>
      </w:r>
      <w:r>
        <w:rPr>
          <w:szCs w:val="21"/>
        </w:rPr>
        <w:t xml:space="preserve"> </w:t>
      </w:r>
      <w:r>
        <w:rPr>
          <w:spacing w:val="-1"/>
          <w:szCs w:val="21"/>
        </w:rPr>
        <w:t>ESG</w:t>
      </w:r>
      <w:r>
        <w:rPr>
          <w:spacing w:val="-39"/>
          <w:szCs w:val="21"/>
        </w:rPr>
        <w:t xml:space="preserve"> </w:t>
      </w:r>
      <w:r>
        <w:rPr>
          <w:spacing w:val="-1"/>
          <w:szCs w:val="21"/>
        </w:rPr>
        <w:t>风险和机遇的变化。变更管理的需求可能是措施的策划输出。</w:t>
      </w:r>
    </w:p>
    <w:p w14:paraId="28F8C6FF">
      <w:pPr>
        <w:pStyle w:val="28"/>
        <w:numPr>
          <w:ilvl w:val="0"/>
          <w:numId w:val="58"/>
        </w:numPr>
        <w:spacing w:before="240" w:after="240" w:line="360" w:lineRule="auto"/>
      </w:pPr>
      <w:bookmarkStart w:id="36" w:name="_Toc1133"/>
      <w:r>
        <w:t>ESG 目标及其实现的策划（参见 6.3）</w:t>
      </w:r>
      <w:bookmarkEnd w:id="36"/>
    </w:p>
    <w:p w14:paraId="6AF6EB38">
      <w:pPr>
        <w:pStyle w:val="12"/>
        <w:spacing w:before="144" w:line="360" w:lineRule="auto"/>
        <w:ind w:firstLine="412"/>
        <w:rPr>
          <w:szCs w:val="21"/>
        </w:rPr>
      </w:pPr>
      <w:r>
        <w:rPr>
          <w:spacing w:val="-4"/>
          <w:szCs w:val="21"/>
        </w:rPr>
        <w:t>最高管理者可从战略层面或运行层面来建立</w:t>
      </w:r>
      <w:r>
        <w:rPr>
          <w:spacing w:val="-29"/>
          <w:szCs w:val="21"/>
        </w:rPr>
        <w:t xml:space="preserve"> </w:t>
      </w:r>
      <w:r>
        <w:rPr>
          <w:spacing w:val="-4"/>
          <w:szCs w:val="21"/>
        </w:rPr>
        <w:t>ESG 目标。战略层面包括企业的最高层次，其目标能够</w:t>
      </w:r>
      <w:r>
        <w:rPr>
          <w:szCs w:val="21"/>
        </w:rPr>
        <w:t xml:space="preserve"> </w:t>
      </w:r>
      <w:r>
        <w:rPr>
          <w:spacing w:val="-3"/>
          <w:szCs w:val="21"/>
        </w:rPr>
        <w:t>适用于整个企业；运行层面可能包括针对企业内特定单元或</w:t>
      </w:r>
      <w:r>
        <w:rPr>
          <w:spacing w:val="-4"/>
          <w:szCs w:val="21"/>
        </w:rPr>
        <w:t>职能的</w:t>
      </w:r>
      <w:r>
        <w:rPr>
          <w:spacing w:val="-46"/>
          <w:szCs w:val="21"/>
        </w:rPr>
        <w:t xml:space="preserve"> </w:t>
      </w:r>
      <w:r>
        <w:rPr>
          <w:spacing w:val="-4"/>
          <w:szCs w:val="21"/>
        </w:rPr>
        <w:t>ESG 目标，</w:t>
      </w:r>
      <w:r>
        <w:rPr>
          <w:rFonts w:hint="eastAsia"/>
          <w:spacing w:val="-4"/>
          <w:szCs w:val="21"/>
        </w:rPr>
        <w:t>宜</w:t>
      </w:r>
      <w:r>
        <w:rPr>
          <w:spacing w:val="-4"/>
          <w:szCs w:val="21"/>
        </w:rPr>
        <w:t>与企业的战略方向相</w:t>
      </w:r>
      <w:r>
        <w:rPr>
          <w:szCs w:val="21"/>
        </w:rPr>
        <w:t xml:space="preserve"> </w:t>
      </w:r>
      <w:r>
        <w:rPr>
          <w:spacing w:val="-8"/>
          <w:szCs w:val="21"/>
        </w:rPr>
        <w:t>一致。</w:t>
      </w:r>
    </w:p>
    <w:p w14:paraId="1DAAA13B">
      <w:pPr>
        <w:pStyle w:val="28"/>
        <w:numPr>
          <w:ilvl w:val="0"/>
          <w:numId w:val="58"/>
        </w:numPr>
        <w:spacing w:before="240" w:after="240" w:line="360" w:lineRule="auto"/>
      </w:pPr>
      <w:bookmarkStart w:id="37" w:name="_Toc25029"/>
      <w:r>
        <w:t>支持</w:t>
      </w:r>
      <w:bookmarkEnd w:id="37"/>
    </w:p>
    <w:p w14:paraId="35F81ED7">
      <w:pPr>
        <w:pStyle w:val="3"/>
        <w:numPr>
          <w:ilvl w:val="0"/>
          <w:numId w:val="71"/>
        </w:numPr>
        <w:spacing w:before="143" w:line="360" w:lineRule="auto"/>
        <w:ind w:firstLineChars="0"/>
        <w:rPr>
          <w:rFonts w:hint="eastAsia" w:ascii="Times New Roman"/>
          <w:szCs w:val="21"/>
        </w:rPr>
      </w:pPr>
      <w:r>
        <w:rPr>
          <w:spacing w:val="-1"/>
          <w:szCs w:val="21"/>
        </w:rPr>
        <w:t>资源（参见7.1）</w:t>
      </w:r>
    </w:p>
    <w:p w14:paraId="0AC3DFBF">
      <w:pPr>
        <w:pStyle w:val="12"/>
        <w:spacing w:before="141" w:line="360" w:lineRule="auto"/>
        <w:ind w:firstLine="416"/>
        <w:rPr>
          <w:szCs w:val="21"/>
        </w:rPr>
      </w:pPr>
      <w:r>
        <w:rPr>
          <w:spacing w:val="-2"/>
          <w:szCs w:val="21"/>
        </w:rPr>
        <w:t>资源的示例包括人力资源、自然资源、基础</w:t>
      </w:r>
      <w:r>
        <w:rPr>
          <w:spacing w:val="-3"/>
          <w:szCs w:val="21"/>
        </w:rPr>
        <w:t>设施、技术和财务资源。其中，基础设施的示例包括企</w:t>
      </w:r>
      <w:r>
        <w:rPr>
          <w:szCs w:val="21"/>
        </w:rPr>
        <w:t xml:space="preserve"> 业的建筑物、厂房、设备、公用设施、信息技术与通信系统、应急处置系</w:t>
      </w:r>
      <w:r>
        <w:rPr>
          <w:spacing w:val="-1"/>
          <w:szCs w:val="21"/>
        </w:rPr>
        <w:t>统等。</w:t>
      </w:r>
    </w:p>
    <w:p w14:paraId="176B5A5C">
      <w:pPr>
        <w:pStyle w:val="12"/>
        <w:spacing w:before="1" w:line="360" w:lineRule="auto"/>
        <w:ind w:firstLine="416"/>
        <w:rPr>
          <w:szCs w:val="21"/>
        </w:rPr>
      </w:pPr>
      <w:r>
        <w:rPr>
          <w:spacing w:val="-2"/>
          <w:szCs w:val="21"/>
        </w:rPr>
        <w:t>资源管理的示例包括资源策划与提供、人力</w:t>
      </w:r>
      <w:r>
        <w:rPr>
          <w:spacing w:val="-3"/>
          <w:szCs w:val="21"/>
        </w:rPr>
        <w:t>资源管理、基础设施和工作环境、物质资产、技术更新</w:t>
      </w:r>
      <w:r>
        <w:rPr>
          <w:szCs w:val="21"/>
        </w:rPr>
        <w:t xml:space="preserve"> </w:t>
      </w:r>
      <w:r>
        <w:rPr>
          <w:spacing w:val="-4"/>
          <w:szCs w:val="21"/>
        </w:rPr>
        <w:t>与物项替代等。企业宜：</w:t>
      </w:r>
    </w:p>
    <w:p w14:paraId="0C764933">
      <w:pPr>
        <w:pStyle w:val="12"/>
        <w:numPr>
          <w:ilvl w:val="0"/>
          <w:numId w:val="72"/>
        </w:numPr>
        <w:spacing w:line="360" w:lineRule="auto"/>
        <w:ind w:firstLineChars="0"/>
        <w:rPr>
          <w:rFonts w:hint="eastAsia" w:ascii="Times New Roman" w:hAnsi="宋体" w:cs="宋体"/>
          <w:szCs w:val="21"/>
        </w:rPr>
      </w:pPr>
      <w:r>
        <w:rPr>
          <w:spacing w:val="-2"/>
          <w:szCs w:val="21"/>
        </w:rPr>
        <w:t>识别人力资源需求，制定并有效实施合理的人力资源政策，建立适</w:t>
      </w:r>
      <w:r>
        <w:rPr>
          <w:spacing w:val="-3"/>
          <w:szCs w:val="21"/>
        </w:rPr>
        <w:t>宜的办公环境，为员工提供</w:t>
      </w:r>
      <w:r>
        <w:rPr>
          <w:szCs w:val="21"/>
        </w:rPr>
        <w:t xml:space="preserve"> </w:t>
      </w:r>
      <w:r>
        <w:rPr>
          <w:spacing w:val="-2"/>
          <w:szCs w:val="21"/>
        </w:rPr>
        <w:t>稳定的工资收入和健康医疗保障，为员工提供必要支持；</w:t>
      </w:r>
    </w:p>
    <w:p w14:paraId="30E2F1D6">
      <w:pPr>
        <w:pStyle w:val="12"/>
        <w:numPr>
          <w:ilvl w:val="0"/>
          <w:numId w:val="72"/>
        </w:numPr>
        <w:spacing w:before="21" w:line="360" w:lineRule="auto"/>
        <w:ind w:firstLineChars="0"/>
        <w:rPr>
          <w:rFonts w:hint="eastAsia" w:ascii="Times New Roman" w:hAnsi="宋体" w:cs="宋体"/>
          <w:szCs w:val="21"/>
        </w:rPr>
      </w:pPr>
      <w:r>
        <w:rPr>
          <w:szCs w:val="21"/>
        </w:rPr>
        <w:t>加强资产管理，制定并有效实施资源管</w:t>
      </w:r>
      <w:r>
        <w:rPr>
          <w:spacing w:val="-1"/>
          <w:szCs w:val="21"/>
        </w:rPr>
        <w:t>理制度和程序，对设施、设备等资源进行规范管理；</w:t>
      </w:r>
    </w:p>
    <w:p w14:paraId="0D645D16">
      <w:pPr>
        <w:pStyle w:val="12"/>
        <w:numPr>
          <w:ilvl w:val="0"/>
          <w:numId w:val="72"/>
        </w:numPr>
        <w:spacing w:before="22" w:line="360" w:lineRule="auto"/>
        <w:ind w:firstLineChars="0"/>
        <w:rPr>
          <w:rFonts w:hint="eastAsia" w:ascii="Times New Roman" w:hAnsi="宋体" w:cs="宋体"/>
          <w:szCs w:val="21"/>
        </w:rPr>
      </w:pPr>
      <w:r>
        <w:rPr>
          <w:szCs w:val="21"/>
        </w:rPr>
        <w:t>制定并有效实施车辆技术研发和生产基地建设管</w:t>
      </w:r>
      <w:r>
        <w:rPr>
          <w:spacing w:val="-1"/>
          <w:szCs w:val="21"/>
        </w:rPr>
        <w:t>理制度和程序；</w:t>
      </w:r>
    </w:p>
    <w:p w14:paraId="5E53CD43">
      <w:pPr>
        <w:pStyle w:val="12"/>
        <w:numPr>
          <w:ilvl w:val="0"/>
          <w:numId w:val="72"/>
        </w:numPr>
        <w:spacing w:before="19" w:line="360" w:lineRule="auto"/>
        <w:ind w:firstLineChars="0"/>
        <w:rPr>
          <w:rFonts w:hint="eastAsia" w:ascii="Times New Roman" w:hAnsi="宋体" w:cs="宋体"/>
          <w:szCs w:val="21"/>
        </w:rPr>
      </w:pPr>
      <w:r>
        <w:rPr>
          <w:spacing w:val="-2"/>
          <w:szCs w:val="21"/>
        </w:rPr>
        <w:t>制定并有效实施科技研发项目管理制度、程序和年度科研项</w:t>
      </w:r>
      <w:r>
        <w:rPr>
          <w:spacing w:val="-3"/>
          <w:szCs w:val="21"/>
        </w:rPr>
        <w:t>目计划，严格遵守相关法律法规要</w:t>
      </w:r>
      <w:r>
        <w:rPr>
          <w:szCs w:val="21"/>
        </w:rPr>
        <w:t xml:space="preserve"> </w:t>
      </w:r>
      <w:r>
        <w:rPr>
          <w:spacing w:val="-1"/>
          <w:szCs w:val="21"/>
        </w:rPr>
        <w:t>求，对研发过程进行定期检查和监督，充分利用和整合行业及企业相关资源、技术和经验；</w:t>
      </w:r>
    </w:p>
    <w:p w14:paraId="4FF66CFD">
      <w:pPr>
        <w:pStyle w:val="12"/>
        <w:numPr>
          <w:ilvl w:val="0"/>
          <w:numId w:val="72"/>
        </w:numPr>
        <w:spacing w:before="20" w:line="360" w:lineRule="auto"/>
        <w:ind w:firstLineChars="0"/>
        <w:rPr>
          <w:rFonts w:hint="eastAsia" w:ascii="Times New Roman" w:hAnsi="宋体" w:cs="宋体"/>
          <w:szCs w:val="21"/>
        </w:rPr>
      </w:pPr>
      <w:r>
        <w:rPr>
          <w:spacing w:val="-2"/>
          <w:szCs w:val="21"/>
        </w:rPr>
        <w:t>制定并有效实施财务资源相关管理制度和程序，合理编制</w:t>
      </w:r>
      <w:r>
        <w:rPr>
          <w:spacing w:val="-3"/>
          <w:szCs w:val="21"/>
        </w:rPr>
        <w:t>年度预算计划，严格执行预算，并对</w:t>
      </w:r>
      <w:r>
        <w:rPr>
          <w:szCs w:val="21"/>
        </w:rPr>
        <w:t xml:space="preserve"> </w:t>
      </w:r>
      <w:r>
        <w:rPr>
          <w:spacing w:val="-2"/>
          <w:szCs w:val="21"/>
        </w:rPr>
        <w:t>其执行情况进行定期检查、监督和审计。</w:t>
      </w:r>
    </w:p>
    <w:p w14:paraId="3BC00418">
      <w:pPr>
        <w:pStyle w:val="3"/>
        <w:numPr>
          <w:ilvl w:val="0"/>
          <w:numId w:val="71"/>
        </w:numPr>
        <w:spacing w:before="140" w:line="360" w:lineRule="auto"/>
        <w:ind w:firstLineChars="0"/>
        <w:rPr>
          <w:rFonts w:hint="eastAsia" w:ascii="Times New Roman"/>
          <w:szCs w:val="21"/>
        </w:rPr>
      </w:pPr>
      <w:r>
        <w:rPr>
          <w:spacing w:val="-1"/>
          <w:szCs w:val="21"/>
        </w:rPr>
        <w:t>能力（参见7.2）</w:t>
      </w:r>
    </w:p>
    <w:p w14:paraId="5069F2EC">
      <w:pPr>
        <w:pStyle w:val="12"/>
        <w:spacing w:before="146" w:line="360" w:lineRule="auto"/>
        <w:rPr>
          <w:szCs w:val="21"/>
        </w:rPr>
      </w:pPr>
      <w:r>
        <w:rPr>
          <w:szCs w:val="21"/>
        </w:rPr>
        <w:t>员工的能力宜包括对与其工作和工作场所有关的不良影响因素和 ESG 风险进行恰当辨识</w:t>
      </w:r>
      <w:r>
        <w:rPr>
          <w:spacing w:val="-1"/>
          <w:szCs w:val="21"/>
        </w:rPr>
        <w:t>和处置所</w:t>
      </w:r>
      <w:r>
        <w:rPr>
          <w:szCs w:val="21"/>
        </w:rPr>
        <w:t xml:space="preserve"> </w:t>
      </w:r>
      <w:r>
        <w:rPr>
          <w:spacing w:val="-3"/>
          <w:szCs w:val="21"/>
        </w:rPr>
        <w:t>需的知识和技能。</w:t>
      </w:r>
    </w:p>
    <w:p w14:paraId="0B991849">
      <w:pPr>
        <w:pStyle w:val="12"/>
        <w:spacing w:before="1" w:line="360" w:lineRule="auto"/>
        <w:ind w:firstLine="418"/>
        <w:rPr>
          <w:szCs w:val="21"/>
        </w:rPr>
      </w:pPr>
      <w:r>
        <w:rPr>
          <w:spacing w:val="-1"/>
          <w:szCs w:val="21"/>
        </w:rPr>
        <w:t>在确定每个角色的能力时，企业宜考虑如下内容：</w:t>
      </w:r>
    </w:p>
    <w:p w14:paraId="0B45661D">
      <w:pPr>
        <w:pStyle w:val="12"/>
        <w:numPr>
          <w:ilvl w:val="0"/>
          <w:numId w:val="73"/>
        </w:numPr>
        <w:spacing w:before="23" w:line="360" w:lineRule="auto"/>
        <w:ind w:firstLineChars="0"/>
        <w:rPr>
          <w:rFonts w:hint="eastAsia" w:ascii="Times New Roman" w:hAnsi="宋体" w:cs="宋体"/>
          <w:szCs w:val="21"/>
        </w:rPr>
      </w:pPr>
      <w:r>
        <w:rPr>
          <w:spacing w:val="-1"/>
          <w:szCs w:val="21"/>
        </w:rPr>
        <w:t>承担该角色所必需的教育、培训、资格和经验，以及保持能力所必需的再培训；</w:t>
      </w:r>
    </w:p>
    <w:p w14:paraId="006B25DB">
      <w:pPr>
        <w:pStyle w:val="12"/>
        <w:numPr>
          <w:ilvl w:val="0"/>
          <w:numId w:val="73"/>
        </w:numPr>
        <w:spacing w:before="22" w:line="360" w:lineRule="auto"/>
        <w:ind w:firstLineChars="0"/>
        <w:rPr>
          <w:rFonts w:hint="eastAsia" w:ascii="Times New Roman" w:hAnsi="宋体" w:cs="宋体"/>
          <w:szCs w:val="21"/>
        </w:rPr>
      </w:pPr>
      <w:r>
        <w:rPr>
          <w:spacing w:val="-6"/>
          <w:szCs w:val="21"/>
        </w:rPr>
        <w:t>工作环境；</w:t>
      </w:r>
    </w:p>
    <w:p w14:paraId="2997E254">
      <w:pPr>
        <w:pStyle w:val="12"/>
        <w:numPr>
          <w:ilvl w:val="0"/>
          <w:numId w:val="73"/>
        </w:numPr>
        <w:spacing w:before="22" w:line="360" w:lineRule="auto"/>
        <w:ind w:firstLineChars="0"/>
        <w:rPr>
          <w:rFonts w:hint="eastAsia" w:ascii="Times New Roman" w:hAnsi="宋体" w:cs="宋体"/>
          <w:szCs w:val="21"/>
        </w:rPr>
      </w:pPr>
      <w:r>
        <w:rPr>
          <w:rFonts w:hint="eastAsia"/>
          <w:szCs w:val="21"/>
        </w:rPr>
        <w:t>源自</w:t>
      </w:r>
      <w:r>
        <w:rPr>
          <w:szCs w:val="21"/>
        </w:rPr>
        <w:t>风险评价过程的预防措施和控制措</w:t>
      </w:r>
      <w:r>
        <w:rPr>
          <w:spacing w:val="-1"/>
          <w:szCs w:val="21"/>
        </w:rPr>
        <w:t>施；</w:t>
      </w:r>
    </w:p>
    <w:p w14:paraId="42D28AF5">
      <w:pPr>
        <w:pStyle w:val="12"/>
        <w:numPr>
          <w:ilvl w:val="0"/>
          <w:numId w:val="73"/>
        </w:numPr>
        <w:spacing w:before="21" w:line="360" w:lineRule="auto"/>
        <w:ind w:firstLineChars="0"/>
        <w:rPr>
          <w:rFonts w:hint="eastAsia" w:ascii="Times New Roman" w:hAnsi="宋体" w:cs="宋体"/>
          <w:szCs w:val="21"/>
        </w:rPr>
      </w:pPr>
      <w:r>
        <w:rPr>
          <w:spacing w:val="-3"/>
          <w:szCs w:val="21"/>
        </w:rPr>
        <w:t>适用于</w:t>
      </w:r>
      <w:r>
        <w:rPr>
          <w:spacing w:val="-38"/>
          <w:szCs w:val="21"/>
        </w:rPr>
        <w:t xml:space="preserve"> </w:t>
      </w:r>
      <w:r>
        <w:rPr>
          <w:spacing w:val="-3"/>
          <w:szCs w:val="21"/>
        </w:rPr>
        <w:t>ESG</w:t>
      </w:r>
      <w:r>
        <w:rPr>
          <w:spacing w:val="-41"/>
          <w:szCs w:val="21"/>
        </w:rPr>
        <w:t xml:space="preserve"> </w:t>
      </w:r>
      <w:r>
        <w:rPr>
          <w:spacing w:val="-3"/>
          <w:szCs w:val="21"/>
        </w:rPr>
        <w:t>管理体系的要求；</w:t>
      </w:r>
    </w:p>
    <w:p w14:paraId="2229A133">
      <w:pPr>
        <w:pStyle w:val="12"/>
        <w:numPr>
          <w:ilvl w:val="0"/>
          <w:numId w:val="73"/>
        </w:numPr>
        <w:spacing w:before="22" w:line="360" w:lineRule="auto"/>
        <w:ind w:firstLineChars="0"/>
        <w:rPr>
          <w:rFonts w:hint="eastAsia" w:ascii="Times New Roman" w:hAnsi="宋体" w:cs="宋体"/>
          <w:szCs w:val="21"/>
        </w:rPr>
      </w:pPr>
      <w:r>
        <w:rPr>
          <w:spacing w:val="-1"/>
          <w:szCs w:val="21"/>
        </w:rPr>
        <w:t>法律法规要求和其他要求；</w:t>
      </w:r>
    </w:p>
    <w:p w14:paraId="3219E88F">
      <w:pPr>
        <w:pStyle w:val="12"/>
        <w:numPr>
          <w:ilvl w:val="0"/>
          <w:numId w:val="73"/>
        </w:numPr>
        <w:spacing w:before="21" w:line="360" w:lineRule="auto"/>
        <w:ind w:firstLineChars="0"/>
        <w:rPr>
          <w:rFonts w:hint="eastAsia" w:ascii="Times New Roman" w:hAnsi="宋体" w:cs="宋体"/>
          <w:szCs w:val="21"/>
        </w:rPr>
      </w:pPr>
      <w:r>
        <w:rPr>
          <w:spacing w:val="-6"/>
          <w:szCs w:val="21"/>
        </w:rPr>
        <w:t>ESG</w:t>
      </w:r>
      <w:r>
        <w:rPr>
          <w:spacing w:val="-42"/>
          <w:szCs w:val="21"/>
        </w:rPr>
        <w:t xml:space="preserve"> </w:t>
      </w:r>
      <w:r>
        <w:rPr>
          <w:spacing w:val="-6"/>
          <w:szCs w:val="21"/>
        </w:rPr>
        <w:t>方针；</w:t>
      </w:r>
    </w:p>
    <w:p w14:paraId="26FB9748">
      <w:pPr>
        <w:pStyle w:val="12"/>
        <w:numPr>
          <w:ilvl w:val="0"/>
          <w:numId w:val="73"/>
        </w:numPr>
        <w:spacing w:before="21" w:line="360" w:lineRule="auto"/>
        <w:ind w:firstLineChars="0"/>
        <w:rPr>
          <w:rFonts w:hint="eastAsia" w:ascii="Times New Roman" w:hAnsi="宋体" w:cs="宋体"/>
          <w:szCs w:val="21"/>
        </w:rPr>
      </w:pPr>
      <w:r>
        <w:rPr>
          <w:spacing w:val="-1"/>
          <w:szCs w:val="21"/>
        </w:rPr>
        <w:t>合规和不合规的潜在后果，包括对社会和环境的影响；</w:t>
      </w:r>
    </w:p>
    <w:p w14:paraId="1CE77D20">
      <w:pPr>
        <w:pStyle w:val="12"/>
        <w:numPr>
          <w:ilvl w:val="0"/>
          <w:numId w:val="73"/>
        </w:numPr>
        <w:spacing w:before="27" w:line="360" w:lineRule="auto"/>
        <w:ind w:firstLineChars="0"/>
        <w:rPr>
          <w:rFonts w:hint="eastAsia" w:ascii="Times New Roman" w:hAnsi="宋体" w:cs="宋体"/>
          <w:szCs w:val="21"/>
        </w:rPr>
      </w:pPr>
      <w:r>
        <w:rPr>
          <w:spacing w:val="-2"/>
          <w:szCs w:val="21"/>
        </w:rPr>
        <w:t>员工基于其知识和技能参与</w:t>
      </w:r>
      <w:r>
        <w:rPr>
          <w:spacing w:val="-29"/>
          <w:szCs w:val="21"/>
        </w:rPr>
        <w:t xml:space="preserve"> </w:t>
      </w:r>
      <w:r>
        <w:rPr>
          <w:spacing w:val="-2"/>
          <w:szCs w:val="21"/>
        </w:rPr>
        <w:t>ESG</w:t>
      </w:r>
      <w:r>
        <w:rPr>
          <w:spacing w:val="-42"/>
          <w:szCs w:val="21"/>
        </w:rPr>
        <w:t xml:space="preserve"> </w:t>
      </w:r>
      <w:r>
        <w:rPr>
          <w:spacing w:val="-2"/>
          <w:szCs w:val="21"/>
        </w:rPr>
        <w:t>管理体系的价值；</w:t>
      </w:r>
    </w:p>
    <w:p w14:paraId="77B7F18A">
      <w:pPr>
        <w:pStyle w:val="12"/>
        <w:numPr>
          <w:ilvl w:val="0"/>
          <w:numId w:val="73"/>
        </w:numPr>
        <w:spacing w:before="24" w:line="360" w:lineRule="auto"/>
        <w:ind w:firstLineChars="0"/>
        <w:rPr>
          <w:rFonts w:hint="eastAsia" w:ascii="Times New Roman" w:hAnsi="宋体" w:cs="宋体"/>
          <w:szCs w:val="21"/>
        </w:rPr>
      </w:pPr>
      <w:r>
        <w:rPr>
          <w:spacing w:val="-1"/>
          <w:szCs w:val="21"/>
        </w:rPr>
        <w:t>与其角色相关的义务和职责；</w:t>
      </w:r>
    </w:p>
    <w:p w14:paraId="66BA2ED2">
      <w:pPr>
        <w:pStyle w:val="12"/>
        <w:numPr>
          <w:ilvl w:val="0"/>
          <w:numId w:val="73"/>
        </w:numPr>
        <w:spacing w:before="21" w:line="360" w:lineRule="auto"/>
        <w:ind w:firstLineChars="0"/>
        <w:rPr>
          <w:rFonts w:hint="eastAsia" w:ascii="Times New Roman" w:hAnsi="宋体" w:cs="宋体"/>
          <w:szCs w:val="21"/>
        </w:rPr>
      </w:pPr>
      <w:r>
        <w:rPr>
          <w:szCs w:val="21"/>
        </w:rPr>
        <w:t>个人能力，包括经验、语言技能、读写</w:t>
      </w:r>
      <w:r>
        <w:rPr>
          <w:spacing w:val="-1"/>
          <w:szCs w:val="21"/>
        </w:rPr>
        <w:t>能力和差异性；</w:t>
      </w:r>
    </w:p>
    <w:p w14:paraId="0FA31984">
      <w:pPr>
        <w:pStyle w:val="12"/>
        <w:numPr>
          <w:ilvl w:val="0"/>
          <w:numId w:val="73"/>
        </w:numPr>
        <w:spacing w:before="28" w:line="360" w:lineRule="auto"/>
        <w:ind w:firstLineChars="0"/>
        <w:rPr>
          <w:rFonts w:hint="eastAsia" w:ascii="Times New Roman" w:hAnsi="宋体" w:cs="宋体"/>
          <w:szCs w:val="21"/>
        </w:rPr>
      </w:pPr>
      <w:r>
        <w:rPr>
          <w:spacing w:val="-1"/>
          <w:szCs w:val="21"/>
        </w:rPr>
        <w:t>因背景或工作变化而必需的相应能力的更新。</w:t>
      </w:r>
    </w:p>
    <w:p w14:paraId="7F168DA7">
      <w:pPr>
        <w:pStyle w:val="12"/>
        <w:spacing w:before="19" w:line="360" w:lineRule="auto"/>
        <w:ind w:firstLine="414"/>
        <w:rPr>
          <w:szCs w:val="21"/>
        </w:rPr>
      </w:pPr>
      <w:r>
        <w:rPr>
          <w:spacing w:val="-3"/>
          <w:szCs w:val="21"/>
        </w:rPr>
        <w:t>员工宜具备应对</w:t>
      </w:r>
      <w:r>
        <w:rPr>
          <w:spacing w:val="-37"/>
          <w:szCs w:val="21"/>
        </w:rPr>
        <w:t xml:space="preserve"> </w:t>
      </w:r>
      <w:r>
        <w:rPr>
          <w:spacing w:val="-3"/>
          <w:szCs w:val="21"/>
        </w:rPr>
        <w:t>ESG</w:t>
      </w:r>
      <w:r>
        <w:rPr>
          <w:spacing w:val="-45"/>
          <w:szCs w:val="21"/>
        </w:rPr>
        <w:t xml:space="preserve"> </w:t>
      </w:r>
      <w:r>
        <w:rPr>
          <w:spacing w:val="-3"/>
          <w:szCs w:val="21"/>
        </w:rPr>
        <w:t>风险的必要能力。企业宜为员工提供充分的、与其工作有关的不良影响因素和</w:t>
      </w:r>
      <w:r>
        <w:rPr>
          <w:szCs w:val="21"/>
        </w:rPr>
        <w:t xml:space="preserve"> </w:t>
      </w:r>
      <w:r>
        <w:rPr>
          <w:spacing w:val="-1"/>
          <w:szCs w:val="21"/>
        </w:rPr>
        <w:t>ESG</w:t>
      </w:r>
      <w:r>
        <w:rPr>
          <w:spacing w:val="-43"/>
          <w:szCs w:val="21"/>
        </w:rPr>
        <w:t xml:space="preserve"> </w:t>
      </w:r>
      <w:r>
        <w:rPr>
          <w:spacing w:val="-1"/>
          <w:szCs w:val="21"/>
        </w:rPr>
        <w:t>风险方面的培训，以使其能够有效地履行其</w:t>
      </w:r>
      <w:r>
        <w:rPr>
          <w:spacing w:val="-47"/>
          <w:szCs w:val="21"/>
        </w:rPr>
        <w:t xml:space="preserve"> </w:t>
      </w:r>
      <w:r>
        <w:rPr>
          <w:spacing w:val="-1"/>
          <w:szCs w:val="21"/>
        </w:rPr>
        <w:t>ESG</w:t>
      </w:r>
      <w:r>
        <w:rPr>
          <w:spacing w:val="-45"/>
          <w:szCs w:val="21"/>
        </w:rPr>
        <w:t xml:space="preserve"> </w:t>
      </w:r>
      <w:r>
        <w:rPr>
          <w:spacing w:val="-1"/>
          <w:szCs w:val="21"/>
        </w:rPr>
        <w:t>方面</w:t>
      </w:r>
      <w:r>
        <w:rPr>
          <w:spacing w:val="-2"/>
          <w:szCs w:val="21"/>
        </w:rPr>
        <w:t>的典型职责。培训的主要内容可包括（但不限</w:t>
      </w:r>
      <w:r>
        <w:rPr>
          <w:spacing w:val="-20"/>
          <w:szCs w:val="21"/>
        </w:rPr>
        <w:t>于</w:t>
      </w:r>
      <w:r>
        <w:rPr>
          <w:spacing w:val="-10"/>
          <w:szCs w:val="21"/>
        </w:rPr>
        <w:t>）：</w:t>
      </w:r>
    </w:p>
    <w:p w14:paraId="1F45426C">
      <w:pPr>
        <w:pStyle w:val="12"/>
        <w:numPr>
          <w:ilvl w:val="0"/>
          <w:numId w:val="74"/>
        </w:numPr>
        <w:spacing w:before="18" w:line="360" w:lineRule="auto"/>
        <w:ind w:firstLineChars="0"/>
        <w:rPr>
          <w:rFonts w:hint="eastAsia" w:ascii="Times New Roman" w:hAnsi="宋体" w:cs="宋体"/>
          <w:szCs w:val="21"/>
        </w:rPr>
      </w:pPr>
      <w:r>
        <w:rPr>
          <w:spacing w:val="-5"/>
          <w:szCs w:val="21"/>
        </w:rPr>
        <w:t>ESG</w:t>
      </w:r>
      <w:r>
        <w:rPr>
          <w:spacing w:val="-21"/>
          <w:szCs w:val="21"/>
        </w:rPr>
        <w:t xml:space="preserve"> </w:t>
      </w:r>
      <w:r>
        <w:rPr>
          <w:spacing w:val="-5"/>
          <w:szCs w:val="21"/>
        </w:rPr>
        <w:t>的定义及企业的</w:t>
      </w:r>
      <w:r>
        <w:rPr>
          <w:spacing w:val="-48"/>
          <w:szCs w:val="21"/>
        </w:rPr>
        <w:t xml:space="preserve"> </w:t>
      </w:r>
      <w:r>
        <w:rPr>
          <w:spacing w:val="-5"/>
          <w:szCs w:val="21"/>
        </w:rPr>
        <w:t>ESG 目标；</w:t>
      </w:r>
    </w:p>
    <w:p w14:paraId="3F11DB5D">
      <w:pPr>
        <w:pStyle w:val="12"/>
        <w:numPr>
          <w:ilvl w:val="0"/>
          <w:numId w:val="74"/>
        </w:numPr>
        <w:spacing w:before="18" w:line="360" w:lineRule="auto"/>
        <w:ind w:firstLineChars="0"/>
        <w:rPr>
          <w:rFonts w:hint="eastAsia" w:ascii="Times New Roman" w:hAnsi="宋体" w:cs="宋体"/>
          <w:szCs w:val="21"/>
        </w:rPr>
      </w:pPr>
      <w:r>
        <w:rPr>
          <w:spacing w:val="-2"/>
          <w:szCs w:val="21"/>
        </w:rPr>
        <w:t>实施</w:t>
      </w:r>
      <w:r>
        <w:rPr>
          <w:spacing w:val="-35"/>
          <w:szCs w:val="21"/>
        </w:rPr>
        <w:t xml:space="preserve"> </w:t>
      </w:r>
      <w:r>
        <w:rPr>
          <w:spacing w:val="-2"/>
          <w:szCs w:val="21"/>
        </w:rPr>
        <w:t>ESG</w:t>
      </w:r>
      <w:r>
        <w:rPr>
          <w:spacing w:val="-39"/>
          <w:szCs w:val="21"/>
        </w:rPr>
        <w:t xml:space="preserve"> </w:t>
      </w:r>
      <w:r>
        <w:rPr>
          <w:spacing w:val="-2"/>
          <w:szCs w:val="21"/>
        </w:rPr>
        <w:t>管理体系的必要性及对企业的益处；</w:t>
      </w:r>
    </w:p>
    <w:p w14:paraId="2B19461E">
      <w:pPr>
        <w:pStyle w:val="12"/>
        <w:numPr>
          <w:ilvl w:val="0"/>
          <w:numId w:val="74"/>
        </w:numPr>
        <w:spacing w:before="22" w:line="360" w:lineRule="auto"/>
        <w:ind w:firstLineChars="0"/>
        <w:rPr>
          <w:rFonts w:hint="eastAsia" w:ascii="Times New Roman" w:hAnsi="宋体" w:cs="宋体"/>
          <w:szCs w:val="21"/>
        </w:rPr>
      </w:pPr>
      <w:r>
        <w:rPr>
          <w:szCs w:val="21"/>
        </w:rPr>
        <w:t>员工需要获得有效行使各自职能所需的知识和技能；</w:t>
      </w:r>
    </w:p>
    <w:p w14:paraId="03A3C3BF">
      <w:pPr>
        <w:pStyle w:val="12"/>
        <w:numPr>
          <w:ilvl w:val="0"/>
          <w:numId w:val="74"/>
        </w:numPr>
        <w:spacing w:before="20" w:line="360" w:lineRule="auto"/>
        <w:ind w:firstLineChars="0"/>
        <w:rPr>
          <w:rFonts w:hint="eastAsia" w:ascii="Times New Roman" w:hAnsi="宋体" w:cs="宋体"/>
          <w:szCs w:val="21"/>
        </w:rPr>
      </w:pPr>
      <w:r>
        <w:rPr>
          <w:spacing w:val="-3"/>
          <w:szCs w:val="21"/>
        </w:rPr>
        <w:t>如何应对</w:t>
      </w:r>
      <w:r>
        <w:rPr>
          <w:spacing w:val="-31"/>
          <w:szCs w:val="21"/>
        </w:rPr>
        <w:t xml:space="preserve"> </w:t>
      </w:r>
      <w:r>
        <w:rPr>
          <w:spacing w:val="-3"/>
          <w:szCs w:val="21"/>
        </w:rPr>
        <w:t>ESG</w:t>
      </w:r>
      <w:r>
        <w:rPr>
          <w:spacing w:val="-41"/>
          <w:szCs w:val="21"/>
        </w:rPr>
        <w:t xml:space="preserve"> </w:t>
      </w:r>
      <w:r>
        <w:rPr>
          <w:spacing w:val="-3"/>
          <w:szCs w:val="21"/>
        </w:rPr>
        <w:t>不良因素及</w:t>
      </w:r>
      <w:r>
        <w:rPr>
          <w:spacing w:val="-48"/>
          <w:szCs w:val="21"/>
        </w:rPr>
        <w:t xml:space="preserve"> </w:t>
      </w:r>
      <w:r>
        <w:rPr>
          <w:spacing w:val="-3"/>
          <w:szCs w:val="21"/>
        </w:rPr>
        <w:t>ESG</w:t>
      </w:r>
      <w:r>
        <w:rPr>
          <w:spacing w:val="-43"/>
          <w:szCs w:val="21"/>
        </w:rPr>
        <w:t xml:space="preserve"> </w:t>
      </w:r>
      <w:r>
        <w:rPr>
          <w:spacing w:val="-3"/>
          <w:szCs w:val="21"/>
        </w:rPr>
        <w:t>风险。</w:t>
      </w:r>
    </w:p>
    <w:p w14:paraId="3C991781">
      <w:pPr>
        <w:pStyle w:val="3"/>
        <w:numPr>
          <w:ilvl w:val="0"/>
          <w:numId w:val="71"/>
        </w:numPr>
        <w:spacing w:before="143" w:line="360" w:lineRule="auto"/>
        <w:ind w:firstLineChars="0"/>
        <w:rPr>
          <w:rFonts w:hint="eastAsia" w:ascii="Times New Roman"/>
          <w:szCs w:val="21"/>
        </w:rPr>
      </w:pPr>
      <w:r>
        <w:rPr>
          <w:spacing w:val="-1"/>
          <w:szCs w:val="21"/>
        </w:rPr>
        <w:t>意识（参见7.3）</w:t>
      </w:r>
    </w:p>
    <w:p w14:paraId="582794A4">
      <w:pPr>
        <w:pStyle w:val="12"/>
        <w:spacing w:before="141" w:line="360" w:lineRule="auto"/>
        <w:ind w:firstLine="418"/>
        <w:rPr>
          <w:szCs w:val="21"/>
        </w:rPr>
      </w:pPr>
      <w:r>
        <w:rPr>
          <w:spacing w:val="-1"/>
          <w:szCs w:val="21"/>
        </w:rPr>
        <w:t>员工（特别是临时工作人员）宜意识到其所面临的</w:t>
      </w:r>
      <w:r>
        <w:rPr>
          <w:spacing w:val="-49"/>
          <w:szCs w:val="21"/>
        </w:rPr>
        <w:t xml:space="preserve"> </w:t>
      </w:r>
      <w:r>
        <w:rPr>
          <w:spacing w:val="-1"/>
          <w:szCs w:val="21"/>
        </w:rPr>
        <w:t>ESG</w:t>
      </w:r>
      <w:r>
        <w:rPr>
          <w:spacing w:val="-43"/>
          <w:szCs w:val="21"/>
        </w:rPr>
        <w:t xml:space="preserve"> </w:t>
      </w:r>
      <w:r>
        <w:rPr>
          <w:spacing w:val="-1"/>
          <w:szCs w:val="21"/>
        </w:rPr>
        <w:t>风险。</w:t>
      </w:r>
    </w:p>
    <w:p w14:paraId="017E3D2F">
      <w:pPr>
        <w:pStyle w:val="12"/>
        <w:spacing w:before="24" w:line="360" w:lineRule="auto"/>
        <w:ind w:firstLine="416"/>
        <w:rPr>
          <w:szCs w:val="21"/>
        </w:rPr>
      </w:pPr>
      <w:r>
        <w:rPr>
          <w:spacing w:val="-2"/>
          <w:szCs w:val="21"/>
        </w:rPr>
        <w:t>企业宜建立专门的意识培养机制，面向员工开展有针对性</w:t>
      </w:r>
      <w:r>
        <w:rPr>
          <w:spacing w:val="-3"/>
          <w:szCs w:val="21"/>
        </w:rPr>
        <w:t>的培训活动，以</w:t>
      </w:r>
      <w:r>
        <w:rPr>
          <w:rFonts w:hint="eastAsia"/>
          <w:spacing w:val="-3"/>
          <w:szCs w:val="21"/>
        </w:rPr>
        <w:t>宣传</w:t>
      </w:r>
      <w:r>
        <w:rPr>
          <w:spacing w:val="-3"/>
          <w:szCs w:val="21"/>
        </w:rPr>
        <w:t>意识、市场意识、品</w:t>
      </w:r>
      <w:r>
        <w:rPr>
          <w:szCs w:val="21"/>
        </w:rPr>
        <w:t xml:space="preserve"> </w:t>
      </w:r>
      <w:r>
        <w:rPr>
          <w:spacing w:val="-1"/>
          <w:szCs w:val="21"/>
        </w:rPr>
        <w:t>牌意识、危机意识和服务意识为牵引，提升员工的</w:t>
      </w:r>
      <w:r>
        <w:rPr>
          <w:spacing w:val="-43"/>
          <w:szCs w:val="21"/>
        </w:rPr>
        <w:t xml:space="preserve"> </w:t>
      </w:r>
      <w:r>
        <w:rPr>
          <w:spacing w:val="-1"/>
          <w:szCs w:val="21"/>
        </w:rPr>
        <w:t>ESG</w:t>
      </w:r>
      <w:r>
        <w:rPr>
          <w:spacing w:val="-43"/>
          <w:szCs w:val="21"/>
        </w:rPr>
        <w:t xml:space="preserve"> </w:t>
      </w:r>
      <w:r>
        <w:rPr>
          <w:spacing w:val="-1"/>
          <w:szCs w:val="21"/>
        </w:rPr>
        <w:t>风险识别能力和公共沟通能力。</w:t>
      </w:r>
    </w:p>
    <w:p w14:paraId="62FDF33D">
      <w:pPr>
        <w:pStyle w:val="12"/>
        <w:spacing w:before="1" w:line="360" w:lineRule="auto"/>
        <w:ind w:firstLine="414"/>
        <w:rPr>
          <w:szCs w:val="21"/>
        </w:rPr>
      </w:pPr>
      <w:r>
        <w:rPr>
          <w:spacing w:val="-3"/>
          <w:szCs w:val="21"/>
        </w:rPr>
        <w:t>企业宜培养员工的参与意识、责任意识和安全意识，引导全员正确理解和认识各自的</w:t>
      </w:r>
      <w:r>
        <w:rPr>
          <w:spacing w:val="-31"/>
          <w:szCs w:val="21"/>
        </w:rPr>
        <w:t xml:space="preserve"> </w:t>
      </w:r>
      <w:r>
        <w:rPr>
          <w:spacing w:val="-3"/>
          <w:szCs w:val="21"/>
        </w:rPr>
        <w:t>ESG</w:t>
      </w:r>
      <w:r>
        <w:rPr>
          <w:spacing w:val="-46"/>
          <w:szCs w:val="21"/>
        </w:rPr>
        <w:t xml:space="preserve"> </w:t>
      </w:r>
      <w:r>
        <w:rPr>
          <w:spacing w:val="-3"/>
          <w:szCs w:val="21"/>
        </w:rPr>
        <w:t>职责，做</w:t>
      </w:r>
      <w:r>
        <w:rPr>
          <w:szCs w:val="21"/>
        </w:rPr>
        <w:t xml:space="preserve"> </w:t>
      </w:r>
      <w:r>
        <w:rPr>
          <w:spacing w:val="-2"/>
          <w:szCs w:val="21"/>
        </w:rPr>
        <w:t>出相应承诺并严格执行，形成具有强</w:t>
      </w:r>
      <w:r>
        <w:rPr>
          <w:spacing w:val="-32"/>
          <w:szCs w:val="21"/>
        </w:rPr>
        <w:t xml:space="preserve"> </w:t>
      </w:r>
      <w:r>
        <w:rPr>
          <w:spacing w:val="-2"/>
          <w:szCs w:val="21"/>
        </w:rPr>
        <w:t>ESG</w:t>
      </w:r>
      <w:r>
        <w:rPr>
          <w:spacing w:val="-40"/>
          <w:szCs w:val="21"/>
        </w:rPr>
        <w:t xml:space="preserve"> </w:t>
      </w:r>
      <w:r>
        <w:rPr>
          <w:spacing w:val="-2"/>
          <w:szCs w:val="21"/>
        </w:rPr>
        <w:t>意识的工作氛围。</w:t>
      </w:r>
    </w:p>
    <w:p w14:paraId="436949B9">
      <w:pPr>
        <w:pStyle w:val="3"/>
        <w:numPr>
          <w:ilvl w:val="0"/>
          <w:numId w:val="71"/>
        </w:numPr>
        <w:spacing w:before="114" w:line="360" w:lineRule="auto"/>
        <w:ind w:firstLineChars="0"/>
        <w:rPr>
          <w:rFonts w:hint="eastAsia" w:ascii="Times New Roman"/>
          <w:szCs w:val="21"/>
        </w:rPr>
      </w:pPr>
      <w:r>
        <w:rPr>
          <w:spacing w:val="-1"/>
          <w:szCs w:val="21"/>
        </w:rPr>
        <w:t>沟通（参见7.4）</w:t>
      </w:r>
    </w:p>
    <w:p w14:paraId="393E05FD">
      <w:pPr>
        <w:pStyle w:val="12"/>
        <w:spacing w:before="145" w:line="360" w:lineRule="auto"/>
        <w:ind w:firstLine="406"/>
        <w:rPr>
          <w:szCs w:val="21"/>
        </w:rPr>
      </w:pPr>
      <w:r>
        <w:rPr>
          <w:spacing w:val="-7"/>
          <w:szCs w:val="21"/>
        </w:rPr>
        <w:t>企</w:t>
      </w:r>
      <w:r>
        <w:rPr>
          <w:spacing w:val="-6"/>
          <w:szCs w:val="21"/>
        </w:rPr>
        <w:t>业所建立的沟通过程宜规定信息的收集、更新和传播，并考虑合规性，以确保所沟通的信息与</w:t>
      </w:r>
      <w:r>
        <w:rPr>
          <w:spacing w:val="-44"/>
          <w:szCs w:val="21"/>
        </w:rPr>
        <w:t xml:space="preserve"> </w:t>
      </w:r>
      <w:r>
        <w:rPr>
          <w:spacing w:val="-6"/>
          <w:szCs w:val="21"/>
        </w:rPr>
        <w:t>ES</w:t>
      </w:r>
      <w:r>
        <w:rPr>
          <w:spacing w:val="-5"/>
          <w:szCs w:val="21"/>
        </w:rPr>
        <w:t>G</w:t>
      </w:r>
      <w:r>
        <w:rPr>
          <w:szCs w:val="21"/>
        </w:rPr>
        <w:t xml:space="preserve"> </w:t>
      </w:r>
      <w:r>
        <w:rPr>
          <w:spacing w:val="-1"/>
          <w:szCs w:val="21"/>
        </w:rPr>
        <w:t>管理体系相关信息一致并可信。</w:t>
      </w:r>
    </w:p>
    <w:p w14:paraId="1B789534">
      <w:pPr>
        <w:pStyle w:val="12"/>
        <w:spacing w:before="1" w:line="360" w:lineRule="auto"/>
        <w:ind w:right="11" w:firstLine="424"/>
        <w:rPr>
          <w:szCs w:val="21"/>
        </w:rPr>
      </w:pPr>
      <w:r>
        <w:rPr>
          <w:spacing w:val="2"/>
          <w:szCs w:val="21"/>
        </w:rPr>
        <w:t>企业所建立的沟通过程宜确保向所有有关的员工和利益相关方提供相关信息，并确保他们能接收</w:t>
      </w:r>
      <w:r>
        <w:rPr>
          <w:rFonts w:hint="eastAsia"/>
          <w:spacing w:val="2"/>
          <w:szCs w:val="21"/>
        </w:rPr>
        <w:t>并</w:t>
      </w:r>
      <w:r>
        <w:rPr>
          <w:szCs w:val="21"/>
        </w:rPr>
        <w:t>易于理解这些信息。企业宜回应重要利</w:t>
      </w:r>
      <w:r>
        <w:rPr>
          <w:spacing w:val="-1"/>
          <w:szCs w:val="21"/>
        </w:rPr>
        <w:t>益相关方的利益诉求和观点，促进相互理解与信任。</w:t>
      </w:r>
    </w:p>
    <w:p w14:paraId="7C009AA4">
      <w:pPr>
        <w:pStyle w:val="12"/>
        <w:spacing w:before="1" w:line="360" w:lineRule="auto"/>
        <w:ind w:firstLine="418"/>
        <w:rPr>
          <w:szCs w:val="21"/>
        </w:rPr>
      </w:pPr>
      <w:r>
        <w:rPr>
          <w:spacing w:val="-1"/>
          <w:szCs w:val="21"/>
        </w:rPr>
        <w:t>其中，ESG</w:t>
      </w:r>
      <w:r>
        <w:rPr>
          <w:spacing w:val="-41"/>
          <w:szCs w:val="21"/>
        </w:rPr>
        <w:t xml:space="preserve"> </w:t>
      </w:r>
      <w:r>
        <w:rPr>
          <w:spacing w:val="-1"/>
          <w:szCs w:val="21"/>
        </w:rPr>
        <w:t>管理体系相关的外部沟通宜包括开展以下</w:t>
      </w:r>
      <w:r>
        <w:rPr>
          <w:spacing w:val="-2"/>
          <w:szCs w:val="21"/>
        </w:rPr>
        <w:t>各项工作的方法：</w:t>
      </w:r>
    </w:p>
    <w:p w14:paraId="3E3992F8">
      <w:pPr>
        <w:pStyle w:val="12"/>
        <w:spacing w:before="20" w:line="360" w:lineRule="auto"/>
        <w:rPr>
          <w:szCs w:val="21"/>
        </w:rPr>
      </w:pPr>
      <w:r>
        <w:rPr>
          <w:szCs w:val="21"/>
        </w:rPr>
        <w:t>——接受、登记和核实对外沟通信息以及公众提出的信息申请；</w:t>
      </w:r>
    </w:p>
    <w:p w14:paraId="41C804A4">
      <w:pPr>
        <w:pStyle w:val="12"/>
        <w:spacing w:before="23" w:line="360" w:lineRule="auto"/>
        <w:rPr>
          <w:szCs w:val="21"/>
        </w:rPr>
      </w:pPr>
      <w:r>
        <w:rPr>
          <w:szCs w:val="21"/>
        </w:rPr>
        <w:t>——审查和评估所提问题的重要性，决定回应</w:t>
      </w:r>
      <w:r>
        <w:rPr>
          <w:spacing w:val="-1"/>
          <w:szCs w:val="21"/>
        </w:rPr>
        <w:t>方式；</w:t>
      </w:r>
    </w:p>
    <w:p w14:paraId="3166EB89">
      <w:pPr>
        <w:pStyle w:val="12"/>
        <w:spacing w:before="22" w:line="360" w:lineRule="auto"/>
        <w:ind w:firstLine="416"/>
        <w:rPr>
          <w:szCs w:val="21"/>
        </w:rPr>
      </w:pPr>
      <w:r>
        <w:rPr>
          <w:spacing w:val="-2"/>
          <w:szCs w:val="21"/>
        </w:rPr>
        <w:t>——做出反应并进行跟踪、记录和公开发布；</w:t>
      </w:r>
    </w:p>
    <w:p w14:paraId="5466A615">
      <w:pPr>
        <w:pStyle w:val="12"/>
        <w:spacing w:before="23" w:line="360" w:lineRule="auto"/>
        <w:rPr>
          <w:szCs w:val="21"/>
        </w:rPr>
      </w:pPr>
      <w:r>
        <w:rPr>
          <w:szCs w:val="21"/>
        </w:rPr>
        <w:t>——根据反馈适时对管理方案和沟通方案进行调</w:t>
      </w:r>
      <w:r>
        <w:rPr>
          <w:spacing w:val="-1"/>
          <w:szCs w:val="21"/>
        </w:rPr>
        <w:t>整。</w:t>
      </w:r>
    </w:p>
    <w:p w14:paraId="00FE6021">
      <w:pPr>
        <w:pStyle w:val="12"/>
        <w:spacing w:before="22" w:line="360" w:lineRule="auto"/>
        <w:ind w:right="2"/>
        <w:rPr>
          <w:szCs w:val="21"/>
        </w:rPr>
      </w:pPr>
      <w:r>
        <w:rPr>
          <w:szCs w:val="21"/>
        </w:rPr>
        <w:t>企业所接收的信息可能包含相关方对与企业 ESG 因素管理有关的特定信息的需求，或可能包</w:t>
      </w:r>
      <w:r>
        <w:rPr>
          <w:spacing w:val="-1"/>
          <w:szCs w:val="21"/>
        </w:rPr>
        <w:t>含对</w:t>
      </w:r>
      <w:r>
        <w:rPr>
          <w:szCs w:val="21"/>
        </w:rPr>
        <w:t xml:space="preserve"> </w:t>
      </w:r>
      <w:r>
        <w:rPr>
          <w:spacing w:val="-7"/>
          <w:szCs w:val="21"/>
        </w:rPr>
        <w:t>企业实施管理的方式的总体印象或看法，这些印象和看法可能是正面或是负面的，若是负面看法（例如：</w:t>
      </w:r>
      <w:r>
        <w:rPr>
          <w:spacing w:val="7"/>
          <w:szCs w:val="21"/>
        </w:rPr>
        <w:t xml:space="preserve"> </w:t>
      </w:r>
      <w:r>
        <w:rPr>
          <w:spacing w:val="-2"/>
          <w:szCs w:val="21"/>
        </w:rPr>
        <w:t>投诉</w:t>
      </w:r>
      <w:r>
        <w:rPr>
          <w:spacing w:val="-18"/>
          <w:szCs w:val="21"/>
        </w:rPr>
        <w:t>），</w:t>
      </w:r>
      <w:r>
        <w:rPr>
          <w:spacing w:val="-2"/>
          <w:szCs w:val="21"/>
        </w:rPr>
        <w:t>则重要的是企业要及时给出明确的回复。对这些投诉进行事后分析，能为寻求</w:t>
      </w:r>
      <w:r>
        <w:rPr>
          <w:spacing w:val="-45"/>
          <w:szCs w:val="21"/>
        </w:rPr>
        <w:t xml:space="preserve"> </w:t>
      </w:r>
      <w:r>
        <w:rPr>
          <w:spacing w:val="-2"/>
          <w:szCs w:val="21"/>
        </w:rPr>
        <w:t>ESG</w:t>
      </w:r>
      <w:r>
        <w:rPr>
          <w:spacing w:val="-41"/>
          <w:szCs w:val="21"/>
        </w:rPr>
        <w:t xml:space="preserve"> </w:t>
      </w:r>
      <w:r>
        <w:rPr>
          <w:spacing w:val="-2"/>
          <w:szCs w:val="21"/>
        </w:rPr>
        <w:t>管理体系的</w:t>
      </w:r>
      <w:r>
        <w:rPr>
          <w:szCs w:val="21"/>
        </w:rPr>
        <w:t xml:space="preserve"> </w:t>
      </w:r>
      <w:r>
        <w:rPr>
          <w:spacing w:val="-2"/>
          <w:szCs w:val="21"/>
        </w:rPr>
        <w:t>改进机会提供有价值的信息。</w:t>
      </w:r>
    </w:p>
    <w:p w14:paraId="39BA8610">
      <w:pPr>
        <w:pStyle w:val="12"/>
        <w:spacing w:before="1" w:line="360" w:lineRule="auto"/>
        <w:ind w:firstLine="414"/>
        <w:rPr>
          <w:szCs w:val="21"/>
        </w:rPr>
      </w:pPr>
      <w:r>
        <w:rPr>
          <w:spacing w:val="-3"/>
          <w:szCs w:val="21"/>
        </w:rPr>
        <w:t>信息交流</w:t>
      </w:r>
      <w:r>
        <w:rPr>
          <w:rFonts w:hint="eastAsia"/>
          <w:spacing w:val="-3"/>
          <w:szCs w:val="21"/>
        </w:rPr>
        <w:t>宜</w:t>
      </w:r>
      <w:r>
        <w:rPr>
          <w:spacing w:val="-3"/>
          <w:szCs w:val="21"/>
        </w:rPr>
        <w:t>具有下列特性：</w:t>
      </w:r>
    </w:p>
    <w:p w14:paraId="43B5F6DE">
      <w:pPr>
        <w:pStyle w:val="12"/>
        <w:numPr>
          <w:ilvl w:val="0"/>
          <w:numId w:val="75"/>
        </w:numPr>
        <w:spacing w:before="23" w:line="360" w:lineRule="auto"/>
        <w:ind w:firstLineChars="0"/>
        <w:rPr>
          <w:rFonts w:hint="eastAsia" w:ascii="Times New Roman" w:hAnsi="宋体" w:cs="宋体"/>
          <w:szCs w:val="21"/>
        </w:rPr>
      </w:pPr>
      <w:r>
        <w:rPr>
          <w:szCs w:val="21"/>
        </w:rPr>
        <w:t>透明性，即企业对其获得报告内容的方式</w:t>
      </w:r>
      <w:r>
        <w:rPr>
          <w:spacing w:val="-1"/>
          <w:szCs w:val="21"/>
        </w:rPr>
        <w:t>是公开的；</w:t>
      </w:r>
    </w:p>
    <w:p w14:paraId="36CC8CE6">
      <w:pPr>
        <w:pStyle w:val="12"/>
        <w:numPr>
          <w:ilvl w:val="0"/>
          <w:numId w:val="75"/>
        </w:numPr>
        <w:spacing w:before="21" w:line="360" w:lineRule="auto"/>
        <w:ind w:firstLineChars="0"/>
        <w:rPr>
          <w:rFonts w:hint="eastAsia" w:ascii="Times New Roman" w:hAnsi="宋体" w:cs="宋体"/>
          <w:szCs w:val="21"/>
        </w:rPr>
      </w:pPr>
      <w:r>
        <w:rPr>
          <w:spacing w:val="-1"/>
          <w:szCs w:val="21"/>
        </w:rPr>
        <w:t>适当性，以使信息满足相关方的需求，并促使其参与；</w:t>
      </w:r>
    </w:p>
    <w:p w14:paraId="60461CC2">
      <w:pPr>
        <w:pStyle w:val="12"/>
        <w:numPr>
          <w:ilvl w:val="0"/>
          <w:numId w:val="75"/>
        </w:numPr>
        <w:spacing w:before="25" w:line="360" w:lineRule="auto"/>
        <w:ind w:firstLineChars="0"/>
        <w:rPr>
          <w:rFonts w:hint="eastAsia" w:ascii="Times New Roman" w:hAnsi="宋体" w:cs="宋体"/>
          <w:szCs w:val="21"/>
        </w:rPr>
      </w:pPr>
      <w:r>
        <w:rPr>
          <w:spacing w:val="-1"/>
          <w:szCs w:val="21"/>
        </w:rPr>
        <w:t>真实性，不会使那些相信所报告信息的人</w:t>
      </w:r>
      <w:r>
        <w:rPr>
          <w:spacing w:val="-2"/>
          <w:szCs w:val="21"/>
        </w:rPr>
        <w:t>员产生误解；</w:t>
      </w:r>
    </w:p>
    <w:p w14:paraId="7CCA2A12">
      <w:pPr>
        <w:pStyle w:val="12"/>
        <w:numPr>
          <w:ilvl w:val="0"/>
          <w:numId w:val="75"/>
        </w:numPr>
        <w:spacing w:before="21" w:line="360" w:lineRule="auto"/>
        <w:ind w:firstLineChars="0"/>
        <w:rPr>
          <w:rFonts w:hint="eastAsia" w:ascii="Times New Roman" w:hAnsi="宋体" w:cs="宋体"/>
          <w:szCs w:val="21"/>
        </w:rPr>
      </w:pPr>
      <w:r>
        <w:rPr>
          <w:spacing w:val="-1"/>
          <w:szCs w:val="21"/>
        </w:rPr>
        <w:t>事实性、准确性与可信性；</w:t>
      </w:r>
    </w:p>
    <w:p w14:paraId="72BCEE72">
      <w:pPr>
        <w:pStyle w:val="12"/>
        <w:numPr>
          <w:ilvl w:val="0"/>
          <w:numId w:val="75"/>
        </w:numPr>
        <w:spacing w:before="20" w:line="360" w:lineRule="auto"/>
        <w:ind w:firstLineChars="0"/>
        <w:rPr>
          <w:rFonts w:hint="eastAsia" w:ascii="Times New Roman" w:hAnsi="宋体" w:cs="宋体"/>
          <w:szCs w:val="21"/>
        </w:rPr>
      </w:pPr>
      <w:r>
        <w:rPr>
          <w:spacing w:val="-1"/>
          <w:szCs w:val="21"/>
        </w:rPr>
        <w:t>不排除相关信息；</w:t>
      </w:r>
    </w:p>
    <w:p w14:paraId="551479A2">
      <w:pPr>
        <w:pStyle w:val="12"/>
        <w:numPr>
          <w:ilvl w:val="0"/>
          <w:numId w:val="75"/>
        </w:numPr>
        <w:spacing w:before="22" w:line="360" w:lineRule="auto"/>
        <w:ind w:firstLineChars="0"/>
      </w:pPr>
      <w:r>
        <w:rPr>
          <w:spacing w:val="-1"/>
          <w:szCs w:val="21"/>
        </w:rPr>
        <w:t>使相关方可理解。</w:t>
      </w:r>
    </w:p>
    <w:p w14:paraId="0D8B1D30">
      <w:pPr>
        <w:pStyle w:val="12"/>
        <w:spacing w:before="22" w:line="360" w:lineRule="auto"/>
      </w:pPr>
      <w:r>
        <w:t>企业可采用的沟通方式：</w:t>
      </w:r>
    </w:p>
    <w:p w14:paraId="2CEB6C0B">
      <w:pPr>
        <w:pStyle w:val="12"/>
        <w:numPr>
          <w:ilvl w:val="0"/>
          <w:numId w:val="76"/>
        </w:numPr>
        <w:spacing w:before="22" w:line="360" w:lineRule="auto"/>
        <w:ind w:firstLineChars="0"/>
      </w:pPr>
      <w:r>
        <w:t>ESG报告；</w:t>
      </w:r>
    </w:p>
    <w:p w14:paraId="5E9C9EE9">
      <w:pPr>
        <w:pStyle w:val="12"/>
        <w:numPr>
          <w:ilvl w:val="0"/>
          <w:numId w:val="76"/>
        </w:numPr>
        <w:spacing w:before="22" w:line="360" w:lineRule="auto"/>
        <w:ind w:firstLineChars="0"/>
      </w:pPr>
      <w:r>
        <w:t>ESG数据系统；</w:t>
      </w:r>
    </w:p>
    <w:p w14:paraId="39894456">
      <w:pPr>
        <w:pStyle w:val="12"/>
        <w:numPr>
          <w:ilvl w:val="0"/>
          <w:numId w:val="76"/>
        </w:numPr>
        <w:spacing w:before="22" w:line="360" w:lineRule="auto"/>
        <w:ind w:firstLineChars="0"/>
      </w:pPr>
      <w:r>
        <w:t>投资者沟通；</w:t>
      </w:r>
    </w:p>
    <w:p w14:paraId="620F5C19">
      <w:pPr>
        <w:pStyle w:val="12"/>
        <w:numPr>
          <w:ilvl w:val="0"/>
          <w:numId w:val="76"/>
        </w:numPr>
        <w:spacing w:before="22" w:line="360" w:lineRule="auto"/>
        <w:ind w:firstLineChars="0"/>
      </w:pPr>
      <w:r>
        <w:t>监管申报；</w:t>
      </w:r>
    </w:p>
    <w:p w14:paraId="024D2884">
      <w:pPr>
        <w:pStyle w:val="12"/>
        <w:numPr>
          <w:ilvl w:val="0"/>
          <w:numId w:val="76"/>
        </w:numPr>
        <w:spacing w:before="22" w:line="360" w:lineRule="auto"/>
        <w:ind w:firstLineChars="0"/>
      </w:pPr>
      <w:r>
        <w:t>利益相关方参与；</w:t>
      </w:r>
    </w:p>
    <w:p w14:paraId="651805F9">
      <w:pPr>
        <w:pStyle w:val="12"/>
        <w:numPr>
          <w:ilvl w:val="0"/>
          <w:numId w:val="76"/>
        </w:numPr>
        <w:spacing w:before="22" w:line="360" w:lineRule="auto"/>
        <w:ind w:firstLineChars="0"/>
      </w:pPr>
      <w:r>
        <w:t>媒体传播；</w:t>
      </w:r>
    </w:p>
    <w:p w14:paraId="65AA203C">
      <w:pPr>
        <w:pStyle w:val="12"/>
        <w:numPr>
          <w:ilvl w:val="0"/>
          <w:numId w:val="76"/>
        </w:numPr>
        <w:spacing w:before="22" w:line="360" w:lineRule="auto"/>
        <w:ind w:firstLineChars="0"/>
      </w:pPr>
      <w:r>
        <w:t>评级与排名；</w:t>
      </w:r>
    </w:p>
    <w:p w14:paraId="4AA39B87">
      <w:pPr>
        <w:pStyle w:val="3"/>
        <w:numPr>
          <w:ilvl w:val="0"/>
          <w:numId w:val="71"/>
        </w:numPr>
        <w:spacing w:before="141" w:line="360" w:lineRule="auto"/>
        <w:ind w:firstLineChars="0"/>
        <w:rPr>
          <w:rFonts w:hint="eastAsia" w:ascii="Times New Roman"/>
          <w:szCs w:val="21"/>
        </w:rPr>
      </w:pPr>
      <w:r>
        <w:rPr>
          <w:szCs w:val="21"/>
        </w:rPr>
        <w:t>形成文件化信息（参见7.</w:t>
      </w:r>
      <w:r>
        <w:rPr>
          <w:spacing w:val="-1"/>
          <w:szCs w:val="21"/>
        </w:rPr>
        <w:t>5）</w:t>
      </w:r>
    </w:p>
    <w:p w14:paraId="01925BF2">
      <w:pPr>
        <w:pStyle w:val="12"/>
        <w:spacing w:before="144" w:line="360" w:lineRule="auto"/>
        <w:rPr>
          <w:szCs w:val="21"/>
        </w:rPr>
      </w:pPr>
      <w:r>
        <w:rPr>
          <w:szCs w:val="21"/>
        </w:rPr>
        <w:t>企业宜在尽可能降低文件化信息复杂程度的同时，确保有效</w:t>
      </w:r>
      <w:r>
        <w:rPr>
          <w:spacing w:val="-1"/>
          <w:szCs w:val="21"/>
        </w:rPr>
        <w:t>、高效和简洁。</w:t>
      </w:r>
    </w:p>
    <w:p w14:paraId="66DDF47B">
      <w:pPr>
        <w:pStyle w:val="12"/>
        <w:spacing w:before="20" w:line="360" w:lineRule="auto"/>
        <w:ind w:right="9" w:firstLine="424"/>
        <w:rPr>
          <w:szCs w:val="21"/>
        </w:rPr>
      </w:pPr>
      <w:r>
        <w:rPr>
          <w:spacing w:val="2"/>
          <w:szCs w:val="21"/>
        </w:rPr>
        <w:t>企业形成文件化的信息宜包括关于满足法律法规要求和其他要求的策划，以及评价这些策划措施</w:t>
      </w:r>
      <w:r>
        <w:rPr>
          <w:spacing w:val="13"/>
          <w:szCs w:val="21"/>
        </w:rPr>
        <w:t xml:space="preserve"> </w:t>
      </w:r>
      <w:r>
        <w:rPr>
          <w:spacing w:val="-1"/>
          <w:szCs w:val="21"/>
        </w:rPr>
        <w:t>有效性的文件化信息。</w:t>
      </w:r>
    </w:p>
    <w:p w14:paraId="6BF8FAE8">
      <w:pPr>
        <w:pStyle w:val="12"/>
        <w:spacing w:line="360" w:lineRule="auto"/>
        <w:ind w:firstLine="418"/>
        <w:rPr>
          <w:szCs w:val="18"/>
        </w:rPr>
      </w:pPr>
      <w:r>
        <w:rPr>
          <w:spacing w:val="-1"/>
          <w:szCs w:val="18"/>
        </w:rPr>
        <w:t>注：不同企业的</w:t>
      </w:r>
      <w:r>
        <w:rPr>
          <w:spacing w:val="-25"/>
          <w:szCs w:val="18"/>
        </w:rPr>
        <w:t xml:space="preserve"> </w:t>
      </w:r>
      <w:r>
        <w:rPr>
          <w:spacing w:val="-1"/>
          <w:szCs w:val="18"/>
        </w:rPr>
        <w:t>ESG</w:t>
      </w:r>
      <w:r>
        <w:rPr>
          <w:spacing w:val="-32"/>
          <w:szCs w:val="18"/>
        </w:rPr>
        <w:t xml:space="preserve"> </w:t>
      </w:r>
      <w:r>
        <w:rPr>
          <w:spacing w:val="-1"/>
          <w:szCs w:val="18"/>
        </w:rPr>
        <w:t>管理体系文件化信息的复杂程度可能不同，取决于：企业的规模和其自身活动、过程、产品和</w:t>
      </w:r>
      <w:r>
        <w:rPr>
          <w:szCs w:val="18"/>
        </w:rPr>
        <w:t xml:space="preserve"> </w:t>
      </w:r>
      <w:r>
        <w:rPr>
          <w:spacing w:val="-1"/>
          <w:szCs w:val="18"/>
        </w:rPr>
        <w:t>服务类型；企业的活动和过程及其与重要利益相关方关系的复杂程度；企业文化与人员能力。</w:t>
      </w:r>
    </w:p>
    <w:p w14:paraId="49BE94FC">
      <w:pPr>
        <w:pStyle w:val="12"/>
        <w:spacing w:before="3" w:line="360" w:lineRule="auto"/>
        <w:ind w:firstLine="416"/>
        <w:rPr>
          <w:szCs w:val="21"/>
        </w:rPr>
      </w:pPr>
      <w:r>
        <w:rPr>
          <w:spacing w:val="-2"/>
          <w:szCs w:val="21"/>
        </w:rPr>
        <w:t>对于文件化信息的控制，企业宜进行以下活动：发行、批准、检索</w:t>
      </w:r>
      <w:r>
        <w:rPr>
          <w:spacing w:val="-3"/>
          <w:szCs w:val="21"/>
        </w:rPr>
        <w:t>和使用，保存和防护，包括易识</w:t>
      </w:r>
      <w:r>
        <w:rPr>
          <w:szCs w:val="21"/>
        </w:rPr>
        <w:t xml:space="preserve"> </w:t>
      </w:r>
      <w:r>
        <w:rPr>
          <w:spacing w:val="-2"/>
          <w:szCs w:val="21"/>
        </w:rPr>
        <w:t>别，变更的控制（例如：版本的管理</w:t>
      </w:r>
      <w:r>
        <w:rPr>
          <w:spacing w:val="-9"/>
          <w:szCs w:val="21"/>
        </w:rPr>
        <w:t>），</w:t>
      </w:r>
      <w:r>
        <w:rPr>
          <w:spacing w:val="-2"/>
          <w:szCs w:val="21"/>
        </w:rPr>
        <w:t>收回和处置等。企业宜对过程中产生或收集的重要文件资料和</w:t>
      </w:r>
      <w:r>
        <w:rPr>
          <w:spacing w:val="1"/>
          <w:szCs w:val="21"/>
        </w:rPr>
        <w:t xml:space="preserve"> </w:t>
      </w:r>
      <w:r>
        <w:rPr>
          <w:spacing w:val="-8"/>
          <w:szCs w:val="21"/>
        </w:rPr>
        <w:t>记录进行整理、编撰、归档，归档记录宜字迹清楚，格式规范，内容客观、真实、</w:t>
      </w:r>
      <w:r>
        <w:rPr>
          <w:spacing w:val="-9"/>
          <w:szCs w:val="21"/>
        </w:rPr>
        <w:t>完整，</w:t>
      </w:r>
      <w:r>
        <w:rPr>
          <w:spacing w:val="-38"/>
          <w:szCs w:val="21"/>
        </w:rPr>
        <w:t xml:space="preserve"> </w:t>
      </w:r>
      <w:r>
        <w:rPr>
          <w:spacing w:val="-9"/>
          <w:szCs w:val="21"/>
        </w:rPr>
        <w:t>注明保存期限，</w:t>
      </w:r>
      <w:r>
        <w:rPr>
          <w:szCs w:val="21"/>
        </w:rPr>
        <w:t xml:space="preserve"> </w:t>
      </w:r>
      <w:r>
        <w:rPr>
          <w:spacing w:val="-1"/>
          <w:szCs w:val="21"/>
        </w:rPr>
        <w:t>并在归档时同时提交和保存电子文档。</w:t>
      </w:r>
    </w:p>
    <w:p w14:paraId="2F666762">
      <w:pPr>
        <w:pStyle w:val="12"/>
        <w:spacing w:before="1" w:line="360" w:lineRule="auto"/>
        <w:ind w:firstLine="416"/>
        <w:rPr>
          <w:szCs w:val="21"/>
        </w:rPr>
      </w:pPr>
      <w:r>
        <w:rPr>
          <w:spacing w:val="-2"/>
          <w:szCs w:val="21"/>
        </w:rPr>
        <w:t>针对涉及知识产权等敏感信息制定管理制度和程序，企业宜采取</w:t>
      </w:r>
      <w:r>
        <w:rPr>
          <w:spacing w:val="-3"/>
          <w:szCs w:val="21"/>
        </w:rPr>
        <w:t>有效的管理措施和技术手段，保证</w:t>
      </w:r>
      <w:r>
        <w:rPr>
          <w:szCs w:val="21"/>
        </w:rPr>
        <w:t xml:space="preserve"> </w:t>
      </w:r>
      <w:r>
        <w:rPr>
          <w:spacing w:val="-2"/>
          <w:szCs w:val="21"/>
        </w:rPr>
        <w:t>信息与知识的适度安全性与保密性。</w:t>
      </w:r>
    </w:p>
    <w:p w14:paraId="0698DA4B">
      <w:pPr>
        <w:pStyle w:val="28"/>
        <w:numPr>
          <w:ilvl w:val="0"/>
          <w:numId w:val="58"/>
        </w:numPr>
        <w:spacing w:before="240" w:after="240" w:line="360" w:lineRule="auto"/>
      </w:pPr>
      <w:bookmarkStart w:id="38" w:name="_Toc4871"/>
      <w:r>
        <w:rPr>
          <w:rFonts w:hint="eastAsia"/>
        </w:rPr>
        <w:t>运行策划和控制（参见 8.1）</w:t>
      </w:r>
      <w:bookmarkEnd w:id="38"/>
    </w:p>
    <w:p w14:paraId="30FB31DC">
      <w:pPr>
        <w:pStyle w:val="3"/>
        <w:numPr>
          <w:ilvl w:val="0"/>
          <w:numId w:val="77"/>
        </w:numPr>
        <w:spacing w:before="68" w:line="360" w:lineRule="auto"/>
        <w:ind w:firstLineChars="0"/>
        <w:rPr>
          <w:rFonts w:hint="eastAsia" w:ascii="Times New Roman"/>
          <w:szCs w:val="21"/>
        </w:rPr>
      </w:pPr>
      <w:r>
        <w:rPr>
          <w:spacing w:val="-1"/>
          <w:szCs w:val="21"/>
        </w:rPr>
        <w:t>总则</w:t>
      </w:r>
    </w:p>
    <w:p w14:paraId="2FB48AC2">
      <w:pPr>
        <w:pStyle w:val="12"/>
        <w:spacing w:before="144" w:line="360" w:lineRule="auto"/>
        <w:ind w:right="74" w:firstLine="416"/>
        <w:rPr>
          <w:szCs w:val="21"/>
        </w:rPr>
      </w:pPr>
      <w:r>
        <w:rPr>
          <w:spacing w:val="-2"/>
          <w:szCs w:val="21"/>
        </w:rPr>
        <w:t>企业</w:t>
      </w:r>
      <w:r>
        <w:rPr>
          <w:rFonts w:hint="eastAsia"/>
          <w:spacing w:val="-2"/>
          <w:szCs w:val="21"/>
        </w:rPr>
        <w:t>宜</w:t>
      </w:r>
      <w:r>
        <w:rPr>
          <w:spacing w:val="-2"/>
          <w:szCs w:val="21"/>
        </w:rPr>
        <w:t>建立和实施过程的运行策划和控制，通过消除</w:t>
      </w:r>
      <w:r>
        <w:rPr>
          <w:spacing w:val="-3"/>
          <w:szCs w:val="21"/>
        </w:rPr>
        <w:t>不良影响因素，或当消除不良影响因素不</w:t>
      </w:r>
      <w:r>
        <w:rPr>
          <w:szCs w:val="21"/>
        </w:rPr>
        <w:t xml:space="preserve"> 可行时，将活动及影响区域的</w:t>
      </w:r>
      <w:r>
        <w:rPr>
          <w:spacing w:val="-47"/>
          <w:szCs w:val="21"/>
        </w:rPr>
        <w:t xml:space="preserve"> </w:t>
      </w:r>
      <w:r>
        <w:rPr>
          <w:szCs w:val="21"/>
        </w:rPr>
        <w:t>ESG</w:t>
      </w:r>
      <w:r>
        <w:rPr>
          <w:spacing w:val="-43"/>
          <w:szCs w:val="21"/>
        </w:rPr>
        <w:t xml:space="preserve"> </w:t>
      </w:r>
      <w:r>
        <w:rPr>
          <w:szCs w:val="21"/>
        </w:rPr>
        <w:t>风险降至最低合理可行</w:t>
      </w:r>
      <w:r>
        <w:rPr>
          <w:spacing w:val="-1"/>
          <w:szCs w:val="21"/>
        </w:rPr>
        <w:t>水平，以对环境、社会和治理更负责任。</w:t>
      </w:r>
    </w:p>
    <w:p w14:paraId="3C3BF30B">
      <w:pPr>
        <w:pStyle w:val="4"/>
        <w:widowControl/>
        <w:numPr>
          <w:ilvl w:val="0"/>
          <w:numId w:val="78"/>
        </w:numPr>
        <w:spacing w:line="360" w:lineRule="auto"/>
        <w:rPr>
          <w:rFonts w:hint="eastAsia" w:ascii="Times New Roman" w:hAnsi="宋体" w:cs="宋体"/>
          <w:szCs w:val="21"/>
        </w:rPr>
      </w:pPr>
      <w:r>
        <w:rPr>
          <w:spacing w:val="-4"/>
          <w:szCs w:val="21"/>
        </w:rPr>
        <w:t>设计研发阶段示例：</w:t>
      </w:r>
    </w:p>
    <w:p w14:paraId="62E7BA2C">
      <w:pPr>
        <w:pStyle w:val="12"/>
        <w:numPr>
          <w:ilvl w:val="0"/>
          <w:numId w:val="79"/>
        </w:numPr>
        <w:spacing w:before="20" w:line="360" w:lineRule="auto"/>
        <w:ind w:firstLineChars="0"/>
        <w:rPr>
          <w:rFonts w:hint="eastAsia" w:ascii="Times New Roman" w:hAnsi="宋体" w:cs="宋体"/>
          <w:szCs w:val="21"/>
        </w:rPr>
      </w:pPr>
      <w:r>
        <w:rPr>
          <w:spacing w:val="-1"/>
          <w:szCs w:val="21"/>
        </w:rPr>
        <w:t>ESG</w:t>
      </w:r>
      <w:r>
        <w:rPr>
          <w:spacing w:val="-37"/>
          <w:szCs w:val="21"/>
        </w:rPr>
        <w:t xml:space="preserve"> </w:t>
      </w:r>
      <w:r>
        <w:rPr>
          <w:spacing w:val="-1"/>
          <w:szCs w:val="21"/>
        </w:rPr>
        <w:t>准则：企业在设计研发阶段</w:t>
      </w:r>
      <w:r>
        <w:rPr>
          <w:rFonts w:hint="eastAsia"/>
          <w:spacing w:val="-1"/>
          <w:szCs w:val="21"/>
        </w:rPr>
        <w:t>宜</w:t>
      </w:r>
      <w:r>
        <w:rPr>
          <w:spacing w:val="-1"/>
          <w:szCs w:val="21"/>
        </w:rPr>
        <w:t>实施产品全生命周期分析，考虑设计研发各阶段的</w:t>
      </w:r>
      <w:r>
        <w:rPr>
          <w:spacing w:val="-46"/>
          <w:szCs w:val="21"/>
        </w:rPr>
        <w:t xml:space="preserve"> </w:t>
      </w:r>
      <w:r>
        <w:rPr>
          <w:spacing w:val="-1"/>
          <w:szCs w:val="21"/>
        </w:rPr>
        <w:t>ESG</w:t>
      </w:r>
      <w:r>
        <w:rPr>
          <w:szCs w:val="21"/>
        </w:rPr>
        <w:t xml:space="preserve"> </w:t>
      </w:r>
      <w:r>
        <w:rPr>
          <w:spacing w:val="-3"/>
          <w:szCs w:val="21"/>
        </w:rPr>
        <w:t>影响及相互联系，评估对利益相关方的影响，满足有关利益相关方期望，符合国家政策和</w:t>
      </w:r>
      <w:r>
        <w:rPr>
          <w:szCs w:val="21"/>
        </w:rPr>
        <w:t xml:space="preserve"> </w:t>
      </w:r>
      <w:r>
        <w:rPr>
          <w:spacing w:val="-6"/>
          <w:szCs w:val="21"/>
        </w:rPr>
        <w:t>发展规划、设计技术规范、可能受影响的利益相关需求和期望</w:t>
      </w:r>
      <w:r>
        <w:rPr>
          <w:spacing w:val="-7"/>
          <w:szCs w:val="21"/>
        </w:rPr>
        <w:t>、法律法规要求和其他要求。</w:t>
      </w:r>
    </w:p>
    <w:p w14:paraId="6EDE0744">
      <w:pPr>
        <w:pStyle w:val="12"/>
        <w:numPr>
          <w:ilvl w:val="0"/>
          <w:numId w:val="79"/>
        </w:numPr>
        <w:spacing w:before="23" w:line="360" w:lineRule="auto"/>
        <w:ind w:firstLineChars="0"/>
        <w:rPr>
          <w:rFonts w:hint="eastAsia" w:ascii="Times New Roman" w:hAnsi="宋体" w:cs="宋体"/>
          <w:szCs w:val="21"/>
        </w:rPr>
      </w:pPr>
      <w:r>
        <w:rPr>
          <w:spacing w:val="-6"/>
          <w:szCs w:val="21"/>
        </w:rPr>
        <w:t>ESG</w:t>
      </w:r>
      <w:r>
        <w:rPr>
          <w:spacing w:val="-45"/>
          <w:szCs w:val="21"/>
        </w:rPr>
        <w:t xml:space="preserve"> </w:t>
      </w:r>
      <w:r>
        <w:rPr>
          <w:spacing w:val="-6"/>
          <w:szCs w:val="21"/>
        </w:rPr>
        <w:t>控制：</w:t>
      </w:r>
    </w:p>
    <w:p w14:paraId="56C9C160">
      <w:pPr>
        <w:pStyle w:val="12"/>
        <w:spacing w:before="129" w:line="360" w:lineRule="auto"/>
        <w:ind w:firstLine="416"/>
        <w:rPr>
          <w:szCs w:val="21"/>
        </w:rPr>
      </w:pPr>
      <w:r>
        <w:rPr>
          <w:spacing w:val="-2"/>
          <w:szCs w:val="21"/>
        </w:rPr>
        <w:t>——遵守法律法规要求和其他要求；</w:t>
      </w:r>
    </w:p>
    <w:p w14:paraId="150C5B84">
      <w:pPr>
        <w:pStyle w:val="12"/>
        <w:spacing w:before="40" w:line="360" w:lineRule="auto"/>
        <w:ind w:firstLine="418"/>
        <w:rPr>
          <w:szCs w:val="21"/>
        </w:rPr>
      </w:pPr>
      <w:r>
        <w:rPr>
          <w:spacing w:val="-1"/>
          <w:szCs w:val="21"/>
        </w:rPr>
        <w:t>——促进利益相关方协商和参与；</w:t>
      </w:r>
    </w:p>
    <w:p w14:paraId="161F900D">
      <w:pPr>
        <w:pStyle w:val="12"/>
        <w:spacing w:before="21" w:line="360" w:lineRule="auto"/>
        <w:ind w:firstLine="414"/>
        <w:rPr>
          <w:szCs w:val="21"/>
        </w:rPr>
      </w:pPr>
      <w:r>
        <w:rPr>
          <w:spacing w:val="-3"/>
          <w:szCs w:val="21"/>
        </w:rPr>
        <w:t>——规划设计方案可行性审核；</w:t>
      </w:r>
    </w:p>
    <w:p w14:paraId="53E605EF">
      <w:pPr>
        <w:pStyle w:val="12"/>
        <w:spacing w:before="22" w:line="360" w:lineRule="auto"/>
        <w:ind w:firstLine="414"/>
        <w:rPr>
          <w:szCs w:val="21"/>
        </w:rPr>
      </w:pPr>
      <w:r>
        <w:rPr>
          <w:spacing w:val="-3"/>
          <w:szCs w:val="21"/>
        </w:rPr>
        <w:t>——设计研发阶段的安全导向；</w:t>
      </w:r>
    </w:p>
    <w:p w14:paraId="3A7E790B">
      <w:pPr>
        <w:pStyle w:val="12"/>
        <w:spacing w:before="19" w:line="360" w:lineRule="auto"/>
        <w:ind w:firstLine="412"/>
        <w:rPr>
          <w:szCs w:val="21"/>
        </w:rPr>
      </w:pPr>
      <w:r>
        <w:rPr>
          <w:spacing w:val="-4"/>
          <w:szCs w:val="21"/>
        </w:rPr>
        <w:t>——其他满足设计开发阶段</w:t>
      </w:r>
      <w:r>
        <w:rPr>
          <w:spacing w:val="-35"/>
          <w:szCs w:val="21"/>
        </w:rPr>
        <w:t xml:space="preserve"> </w:t>
      </w:r>
      <w:r>
        <w:rPr>
          <w:spacing w:val="-4"/>
          <w:szCs w:val="21"/>
        </w:rPr>
        <w:t>ESG 目标的控制。</w:t>
      </w:r>
    </w:p>
    <w:p w14:paraId="20F65EF5">
      <w:pPr>
        <w:pStyle w:val="4"/>
        <w:widowControl/>
        <w:numPr>
          <w:ilvl w:val="0"/>
          <w:numId w:val="78"/>
        </w:numPr>
        <w:spacing w:before="23" w:line="360" w:lineRule="auto"/>
        <w:rPr>
          <w:rFonts w:hint="eastAsia" w:ascii="Times New Roman" w:hAnsi="宋体" w:cs="宋体"/>
          <w:szCs w:val="21"/>
        </w:rPr>
      </w:pPr>
      <w:r>
        <w:rPr>
          <w:spacing w:val="-4"/>
          <w:szCs w:val="21"/>
        </w:rPr>
        <w:t>采购阶段示例：</w:t>
      </w:r>
    </w:p>
    <w:p w14:paraId="26A5AD2E">
      <w:pPr>
        <w:pStyle w:val="12"/>
        <w:numPr>
          <w:ilvl w:val="0"/>
          <w:numId w:val="80"/>
        </w:numPr>
        <w:spacing w:before="22" w:line="360" w:lineRule="auto"/>
        <w:ind w:right="74" w:firstLineChars="0"/>
        <w:rPr>
          <w:rFonts w:hint="eastAsia" w:ascii="Times New Roman" w:hAnsi="宋体" w:cs="宋体"/>
          <w:szCs w:val="21"/>
        </w:rPr>
      </w:pPr>
      <w:r>
        <w:rPr>
          <w:spacing w:val="-7"/>
          <w:szCs w:val="21"/>
        </w:rPr>
        <w:t>ESG</w:t>
      </w:r>
      <w:r>
        <w:rPr>
          <w:spacing w:val="-35"/>
          <w:szCs w:val="21"/>
        </w:rPr>
        <w:t xml:space="preserve"> </w:t>
      </w:r>
      <w:r>
        <w:rPr>
          <w:spacing w:val="-7"/>
          <w:szCs w:val="21"/>
        </w:rPr>
        <w:t>准则：企业</w:t>
      </w:r>
      <w:r>
        <w:rPr>
          <w:rFonts w:hint="eastAsia"/>
          <w:spacing w:val="-7"/>
          <w:szCs w:val="21"/>
        </w:rPr>
        <w:t>宜</w:t>
      </w:r>
      <w:r>
        <w:rPr>
          <w:spacing w:val="-7"/>
          <w:szCs w:val="21"/>
        </w:rPr>
        <w:t>在采购阶段考虑供应商的合规性、能力和意识、信用、业绩和</w:t>
      </w:r>
      <w:r>
        <w:rPr>
          <w:spacing w:val="-46"/>
          <w:szCs w:val="21"/>
        </w:rPr>
        <w:t xml:space="preserve"> </w:t>
      </w:r>
      <w:r>
        <w:rPr>
          <w:spacing w:val="-7"/>
          <w:szCs w:val="21"/>
        </w:rPr>
        <w:t>ESG</w:t>
      </w:r>
      <w:r>
        <w:rPr>
          <w:spacing w:val="-41"/>
          <w:szCs w:val="21"/>
        </w:rPr>
        <w:t xml:space="preserve"> </w:t>
      </w:r>
      <w:r>
        <w:rPr>
          <w:spacing w:val="-7"/>
          <w:szCs w:val="21"/>
        </w:rPr>
        <w:t>绩效，</w:t>
      </w:r>
      <w:r>
        <w:rPr>
          <w:szCs w:val="21"/>
        </w:rPr>
        <w:t xml:space="preserve"> </w:t>
      </w:r>
      <w:r>
        <w:rPr>
          <w:spacing w:val="-3"/>
          <w:szCs w:val="21"/>
        </w:rPr>
        <w:t>确定采购符合规范、程序和工作过程，满足有关利益相关方期望，符合采购文件、合同文</w:t>
      </w:r>
      <w:r>
        <w:rPr>
          <w:szCs w:val="21"/>
        </w:rPr>
        <w:t xml:space="preserve"> </w:t>
      </w:r>
      <w:r>
        <w:rPr>
          <w:spacing w:val="-1"/>
          <w:szCs w:val="21"/>
        </w:rPr>
        <w:t>件、法律法规要求和其他要求。</w:t>
      </w:r>
    </w:p>
    <w:p w14:paraId="3CF17ED3">
      <w:pPr>
        <w:pStyle w:val="12"/>
        <w:numPr>
          <w:ilvl w:val="0"/>
          <w:numId w:val="80"/>
        </w:numPr>
        <w:spacing w:before="20" w:line="360" w:lineRule="auto"/>
        <w:ind w:firstLineChars="0"/>
        <w:rPr>
          <w:rFonts w:hint="eastAsia" w:ascii="Times New Roman" w:hAnsi="宋体" w:cs="宋体"/>
          <w:szCs w:val="21"/>
        </w:rPr>
      </w:pPr>
      <w:r>
        <w:rPr>
          <w:spacing w:val="-6"/>
          <w:szCs w:val="21"/>
        </w:rPr>
        <w:t>ESG</w:t>
      </w:r>
      <w:r>
        <w:rPr>
          <w:spacing w:val="-45"/>
          <w:szCs w:val="21"/>
        </w:rPr>
        <w:t xml:space="preserve"> </w:t>
      </w:r>
      <w:r>
        <w:rPr>
          <w:spacing w:val="-6"/>
          <w:szCs w:val="21"/>
        </w:rPr>
        <w:t>控制：</w:t>
      </w:r>
    </w:p>
    <w:p w14:paraId="179B3893">
      <w:pPr>
        <w:pStyle w:val="12"/>
        <w:spacing w:before="22" w:line="360" w:lineRule="auto"/>
        <w:ind w:firstLine="416"/>
        <w:rPr>
          <w:szCs w:val="21"/>
        </w:rPr>
      </w:pPr>
      <w:r>
        <w:rPr>
          <w:spacing w:val="-2"/>
          <w:szCs w:val="21"/>
        </w:rPr>
        <w:t>——遵守法律法规要求和其他要求；</w:t>
      </w:r>
    </w:p>
    <w:p w14:paraId="38D623AA">
      <w:pPr>
        <w:pStyle w:val="12"/>
        <w:spacing w:before="20" w:line="360" w:lineRule="auto"/>
        <w:ind w:firstLine="418"/>
        <w:rPr>
          <w:szCs w:val="21"/>
        </w:rPr>
      </w:pPr>
      <w:r>
        <w:rPr>
          <w:spacing w:val="-1"/>
          <w:szCs w:val="21"/>
        </w:rPr>
        <w:t>——克服信息不对称；</w:t>
      </w:r>
    </w:p>
    <w:p w14:paraId="0A22F672">
      <w:pPr>
        <w:pStyle w:val="12"/>
        <w:spacing w:before="22" w:line="360" w:lineRule="auto"/>
        <w:ind w:firstLine="414"/>
        <w:rPr>
          <w:szCs w:val="21"/>
        </w:rPr>
      </w:pPr>
      <w:r>
        <w:rPr>
          <w:spacing w:val="-3"/>
          <w:szCs w:val="21"/>
        </w:rPr>
        <w:t>——促进供应商的协商和参与；</w:t>
      </w:r>
    </w:p>
    <w:p w14:paraId="7A55240A">
      <w:pPr>
        <w:pStyle w:val="12"/>
        <w:spacing w:before="21" w:line="360" w:lineRule="auto"/>
        <w:ind w:firstLine="418"/>
        <w:rPr>
          <w:szCs w:val="21"/>
        </w:rPr>
      </w:pPr>
      <w:r>
        <w:rPr>
          <w:spacing w:val="-1"/>
          <w:szCs w:val="21"/>
        </w:rPr>
        <w:t>——采购程序和工作过程；</w:t>
      </w:r>
    </w:p>
    <w:p w14:paraId="2F548F6A">
      <w:pPr>
        <w:pStyle w:val="12"/>
        <w:spacing w:before="24" w:line="360" w:lineRule="auto"/>
        <w:ind w:firstLine="418"/>
        <w:rPr>
          <w:szCs w:val="21"/>
        </w:rPr>
      </w:pPr>
      <w:r>
        <w:rPr>
          <w:spacing w:val="-1"/>
          <w:szCs w:val="21"/>
        </w:rPr>
        <w:t>——产品和服务采购规范；</w:t>
      </w:r>
    </w:p>
    <w:p w14:paraId="5A0EB20B">
      <w:pPr>
        <w:pStyle w:val="12"/>
        <w:spacing w:before="20" w:line="360" w:lineRule="auto"/>
        <w:ind w:firstLine="412"/>
        <w:rPr>
          <w:szCs w:val="21"/>
        </w:rPr>
      </w:pPr>
      <w:r>
        <w:rPr>
          <w:spacing w:val="-4"/>
          <w:szCs w:val="21"/>
        </w:rPr>
        <w:t>——合同履约管理；</w:t>
      </w:r>
    </w:p>
    <w:p w14:paraId="00D1365A">
      <w:pPr>
        <w:pStyle w:val="12"/>
        <w:spacing w:before="23" w:line="360" w:lineRule="auto"/>
        <w:ind w:firstLine="412"/>
        <w:rPr>
          <w:szCs w:val="21"/>
        </w:rPr>
      </w:pPr>
      <w:r>
        <w:rPr>
          <w:spacing w:val="-4"/>
          <w:szCs w:val="21"/>
        </w:rPr>
        <w:t>——促进供应商</w:t>
      </w:r>
      <w:r>
        <w:rPr>
          <w:spacing w:val="-38"/>
          <w:szCs w:val="21"/>
        </w:rPr>
        <w:t xml:space="preserve"> </w:t>
      </w:r>
      <w:r>
        <w:rPr>
          <w:spacing w:val="-4"/>
          <w:szCs w:val="21"/>
        </w:rPr>
        <w:t>ESG</w:t>
      </w:r>
      <w:r>
        <w:rPr>
          <w:spacing w:val="-43"/>
          <w:szCs w:val="21"/>
        </w:rPr>
        <w:t xml:space="preserve"> </w:t>
      </w:r>
      <w:r>
        <w:rPr>
          <w:spacing w:val="-4"/>
          <w:szCs w:val="21"/>
        </w:rPr>
        <w:t>绩效改善；</w:t>
      </w:r>
    </w:p>
    <w:p w14:paraId="751ED2D0">
      <w:pPr>
        <w:pStyle w:val="12"/>
        <w:spacing w:before="21" w:line="360" w:lineRule="auto"/>
        <w:ind w:firstLine="412"/>
        <w:rPr>
          <w:szCs w:val="21"/>
        </w:rPr>
      </w:pPr>
      <w:r>
        <w:rPr>
          <w:spacing w:val="-4"/>
          <w:szCs w:val="21"/>
        </w:rPr>
        <w:t>——其他满足采购阶段</w:t>
      </w:r>
      <w:r>
        <w:rPr>
          <w:spacing w:val="-37"/>
          <w:szCs w:val="21"/>
        </w:rPr>
        <w:t xml:space="preserve"> </w:t>
      </w:r>
      <w:r>
        <w:rPr>
          <w:spacing w:val="-4"/>
          <w:szCs w:val="21"/>
        </w:rPr>
        <w:t>ESG 目标的控制手段。</w:t>
      </w:r>
    </w:p>
    <w:p w14:paraId="3A8A77A4">
      <w:pPr>
        <w:pStyle w:val="4"/>
        <w:widowControl/>
        <w:numPr>
          <w:ilvl w:val="0"/>
          <w:numId w:val="78"/>
        </w:numPr>
        <w:spacing w:before="23" w:line="360" w:lineRule="auto"/>
        <w:rPr>
          <w:rFonts w:hint="eastAsia" w:ascii="Times New Roman" w:hAnsi="宋体" w:cs="宋体"/>
          <w:szCs w:val="21"/>
        </w:rPr>
      </w:pPr>
      <w:r>
        <w:rPr>
          <w:spacing w:val="-5"/>
          <w:szCs w:val="21"/>
        </w:rPr>
        <w:t>生产阶段示例：</w:t>
      </w:r>
    </w:p>
    <w:p w14:paraId="6D1C9A2E">
      <w:pPr>
        <w:pStyle w:val="12"/>
        <w:numPr>
          <w:ilvl w:val="0"/>
          <w:numId w:val="81"/>
        </w:numPr>
        <w:spacing w:before="20" w:line="360" w:lineRule="auto"/>
        <w:ind w:right="74" w:firstLineChars="0"/>
        <w:rPr>
          <w:rFonts w:hint="eastAsia" w:ascii="Times New Roman" w:hAnsi="宋体" w:cs="宋体"/>
          <w:szCs w:val="21"/>
        </w:rPr>
      </w:pPr>
      <w:r>
        <w:rPr>
          <w:spacing w:val="-2"/>
          <w:szCs w:val="21"/>
        </w:rPr>
        <w:t>ESG</w:t>
      </w:r>
      <w:r>
        <w:rPr>
          <w:spacing w:val="-42"/>
          <w:szCs w:val="21"/>
        </w:rPr>
        <w:t xml:space="preserve"> </w:t>
      </w:r>
      <w:r>
        <w:rPr>
          <w:spacing w:val="-2"/>
          <w:szCs w:val="21"/>
        </w:rPr>
        <w:t>准则：企业在生产销售阶段</w:t>
      </w:r>
      <w:r>
        <w:rPr>
          <w:rFonts w:hint="eastAsia"/>
          <w:spacing w:val="-2"/>
          <w:szCs w:val="21"/>
        </w:rPr>
        <w:t>宜</w:t>
      </w:r>
      <w:r>
        <w:rPr>
          <w:spacing w:val="-2"/>
          <w:szCs w:val="21"/>
        </w:rPr>
        <w:t>将生产销售活动带来的不良影响因素</w:t>
      </w:r>
      <w:r>
        <w:rPr>
          <w:spacing w:val="-3"/>
          <w:szCs w:val="21"/>
        </w:rPr>
        <w:t>和</w:t>
      </w:r>
      <w:r>
        <w:rPr>
          <w:spacing w:val="-46"/>
          <w:szCs w:val="21"/>
        </w:rPr>
        <w:t xml:space="preserve"> </w:t>
      </w:r>
      <w:r>
        <w:rPr>
          <w:spacing w:val="-3"/>
          <w:szCs w:val="21"/>
        </w:rPr>
        <w:t>ESG</w:t>
      </w:r>
      <w:r>
        <w:rPr>
          <w:spacing w:val="-46"/>
          <w:szCs w:val="21"/>
        </w:rPr>
        <w:t xml:space="preserve"> </w:t>
      </w:r>
      <w:r>
        <w:rPr>
          <w:spacing w:val="-3"/>
          <w:szCs w:val="21"/>
        </w:rPr>
        <w:t>风险降至最</w:t>
      </w:r>
      <w:r>
        <w:rPr>
          <w:szCs w:val="21"/>
        </w:rPr>
        <w:t xml:space="preserve"> </w:t>
      </w:r>
      <w:r>
        <w:rPr>
          <w:spacing w:val="-3"/>
          <w:szCs w:val="21"/>
        </w:rPr>
        <w:t>低合理可行水平，满足有关利益相关方期望，符合生产技术规范、法律法规要求和其他要</w:t>
      </w:r>
      <w:r>
        <w:rPr>
          <w:spacing w:val="1"/>
          <w:szCs w:val="21"/>
        </w:rPr>
        <w:t xml:space="preserve"> </w:t>
      </w:r>
      <w:r>
        <w:rPr>
          <w:spacing w:val="-10"/>
          <w:szCs w:val="21"/>
        </w:rPr>
        <w:t>求。</w:t>
      </w:r>
    </w:p>
    <w:p w14:paraId="7D53BB1D">
      <w:pPr>
        <w:pStyle w:val="12"/>
        <w:numPr>
          <w:ilvl w:val="0"/>
          <w:numId w:val="81"/>
        </w:numPr>
        <w:spacing w:before="21" w:line="360" w:lineRule="auto"/>
        <w:ind w:firstLineChars="0"/>
        <w:rPr>
          <w:rFonts w:hint="eastAsia" w:ascii="Times New Roman" w:hAnsi="宋体" w:cs="宋体"/>
          <w:szCs w:val="21"/>
        </w:rPr>
      </w:pPr>
      <w:r>
        <w:rPr>
          <w:spacing w:val="-6"/>
          <w:szCs w:val="21"/>
        </w:rPr>
        <w:t>ESG</w:t>
      </w:r>
      <w:r>
        <w:rPr>
          <w:spacing w:val="-45"/>
          <w:szCs w:val="21"/>
        </w:rPr>
        <w:t xml:space="preserve"> </w:t>
      </w:r>
      <w:r>
        <w:rPr>
          <w:spacing w:val="-6"/>
          <w:szCs w:val="21"/>
        </w:rPr>
        <w:t>控制：</w:t>
      </w:r>
    </w:p>
    <w:p w14:paraId="103E30AA">
      <w:pPr>
        <w:pStyle w:val="12"/>
        <w:spacing w:before="129" w:line="360" w:lineRule="auto"/>
        <w:ind w:firstLine="416"/>
        <w:rPr>
          <w:szCs w:val="21"/>
        </w:rPr>
      </w:pPr>
      <w:r>
        <w:rPr>
          <w:spacing w:val="-2"/>
          <w:szCs w:val="21"/>
        </w:rPr>
        <w:t>——遵守法律法规要求和其他要求；</w:t>
      </w:r>
    </w:p>
    <w:p w14:paraId="3CDD973D">
      <w:pPr>
        <w:pStyle w:val="12"/>
        <w:spacing w:before="40" w:line="360" w:lineRule="auto"/>
        <w:ind w:firstLine="418"/>
        <w:rPr>
          <w:szCs w:val="21"/>
        </w:rPr>
      </w:pPr>
      <w:r>
        <w:rPr>
          <w:spacing w:val="-1"/>
          <w:szCs w:val="21"/>
        </w:rPr>
        <w:t>——运用工作程序和系统；</w:t>
      </w:r>
    </w:p>
    <w:p w14:paraId="1BFFE2D1">
      <w:pPr>
        <w:pStyle w:val="12"/>
        <w:spacing w:before="20" w:line="360" w:lineRule="auto"/>
        <w:ind w:firstLine="416"/>
        <w:rPr>
          <w:szCs w:val="21"/>
        </w:rPr>
      </w:pPr>
      <w:r>
        <w:rPr>
          <w:spacing w:val="-2"/>
          <w:szCs w:val="21"/>
        </w:rPr>
        <w:t>——促进有关利益相关方的协商和参与；</w:t>
      </w:r>
    </w:p>
    <w:p w14:paraId="42AD35BB">
      <w:pPr>
        <w:pStyle w:val="12"/>
        <w:spacing w:before="23" w:line="360" w:lineRule="auto"/>
        <w:ind w:firstLine="412"/>
        <w:rPr>
          <w:szCs w:val="21"/>
        </w:rPr>
      </w:pPr>
      <w:r>
        <w:rPr>
          <w:spacing w:val="-4"/>
          <w:szCs w:val="21"/>
        </w:rPr>
        <w:t>——环境影响评价；</w:t>
      </w:r>
    </w:p>
    <w:p w14:paraId="09F31D8E">
      <w:pPr>
        <w:pStyle w:val="12"/>
        <w:spacing w:before="22" w:line="360" w:lineRule="auto"/>
        <w:ind w:firstLine="418"/>
        <w:rPr>
          <w:szCs w:val="21"/>
        </w:rPr>
      </w:pPr>
      <w:r>
        <w:rPr>
          <w:spacing w:val="-1"/>
          <w:szCs w:val="21"/>
        </w:rPr>
        <w:t>——确保员工的能力；</w:t>
      </w:r>
    </w:p>
    <w:p w14:paraId="4EC18329">
      <w:pPr>
        <w:pStyle w:val="12"/>
        <w:spacing w:before="22" w:line="360" w:lineRule="auto"/>
        <w:ind w:firstLine="416"/>
        <w:rPr>
          <w:szCs w:val="21"/>
        </w:rPr>
      </w:pPr>
      <w:r>
        <w:rPr>
          <w:spacing w:val="-2"/>
          <w:szCs w:val="21"/>
        </w:rPr>
        <w:t>——确保符合安全生产和环境保护要求；</w:t>
      </w:r>
    </w:p>
    <w:p w14:paraId="70D1AD09">
      <w:pPr>
        <w:pStyle w:val="12"/>
        <w:spacing w:before="20" w:line="360" w:lineRule="auto"/>
        <w:ind w:firstLine="418"/>
        <w:rPr>
          <w:szCs w:val="21"/>
        </w:rPr>
      </w:pPr>
      <w:r>
        <w:rPr>
          <w:spacing w:val="-1"/>
          <w:szCs w:val="21"/>
        </w:rPr>
        <w:t>——建立车辆安全测试标准，进行安全性能的检查、应急准备、响应方案；</w:t>
      </w:r>
    </w:p>
    <w:p w14:paraId="36E816C0">
      <w:pPr>
        <w:pStyle w:val="12"/>
        <w:spacing w:before="22" w:line="360" w:lineRule="auto"/>
        <w:ind w:firstLine="412"/>
        <w:rPr>
          <w:szCs w:val="21"/>
        </w:rPr>
      </w:pPr>
      <w:r>
        <w:rPr>
          <w:spacing w:val="-4"/>
          <w:szCs w:val="21"/>
        </w:rPr>
        <w:t>——其他满足生产阶段</w:t>
      </w:r>
      <w:r>
        <w:rPr>
          <w:spacing w:val="-37"/>
          <w:szCs w:val="21"/>
        </w:rPr>
        <w:t xml:space="preserve"> </w:t>
      </w:r>
      <w:r>
        <w:rPr>
          <w:spacing w:val="-4"/>
          <w:szCs w:val="21"/>
        </w:rPr>
        <w:t>ESG 目标的控制手段。</w:t>
      </w:r>
    </w:p>
    <w:p w14:paraId="00BD8D8F">
      <w:pPr>
        <w:pStyle w:val="4"/>
        <w:widowControl/>
        <w:numPr>
          <w:ilvl w:val="0"/>
          <w:numId w:val="78"/>
        </w:numPr>
        <w:spacing w:before="20" w:line="360" w:lineRule="auto"/>
        <w:rPr>
          <w:rFonts w:hint="eastAsia" w:ascii="Times New Roman" w:hAnsi="宋体" w:cs="宋体"/>
          <w:szCs w:val="21"/>
        </w:rPr>
      </w:pPr>
      <w:r>
        <w:rPr>
          <w:spacing w:val="-5"/>
          <w:szCs w:val="21"/>
        </w:rPr>
        <w:t>使用阶段示例：</w:t>
      </w:r>
    </w:p>
    <w:p w14:paraId="02EC5735">
      <w:pPr>
        <w:pStyle w:val="12"/>
        <w:numPr>
          <w:ilvl w:val="0"/>
          <w:numId w:val="82"/>
        </w:numPr>
        <w:spacing w:before="23" w:line="360" w:lineRule="auto"/>
        <w:ind w:right="74" w:firstLineChars="0"/>
        <w:rPr>
          <w:rFonts w:hint="eastAsia" w:ascii="Times New Roman" w:hAnsi="宋体" w:cs="宋体"/>
          <w:szCs w:val="21"/>
        </w:rPr>
      </w:pPr>
      <w:r>
        <w:rPr>
          <w:spacing w:val="-2"/>
          <w:szCs w:val="21"/>
        </w:rPr>
        <w:t>ESG</w:t>
      </w:r>
      <w:r>
        <w:rPr>
          <w:spacing w:val="-42"/>
          <w:szCs w:val="21"/>
        </w:rPr>
        <w:t xml:space="preserve"> </w:t>
      </w:r>
      <w:r>
        <w:rPr>
          <w:spacing w:val="-2"/>
          <w:szCs w:val="21"/>
        </w:rPr>
        <w:t>准则：企业在使用阶段</w:t>
      </w:r>
      <w:r>
        <w:rPr>
          <w:rFonts w:hint="eastAsia"/>
          <w:spacing w:val="-2"/>
          <w:szCs w:val="21"/>
        </w:rPr>
        <w:t>宜</w:t>
      </w:r>
      <w:r>
        <w:rPr>
          <w:spacing w:val="-2"/>
          <w:szCs w:val="21"/>
        </w:rPr>
        <w:t>将使用、维修等活动和影响带来的不良影</w:t>
      </w:r>
      <w:r>
        <w:rPr>
          <w:spacing w:val="-3"/>
          <w:szCs w:val="21"/>
        </w:rPr>
        <w:t>响因素和</w:t>
      </w:r>
      <w:r>
        <w:rPr>
          <w:spacing w:val="-47"/>
          <w:szCs w:val="21"/>
        </w:rPr>
        <w:t xml:space="preserve"> </w:t>
      </w:r>
      <w:r>
        <w:rPr>
          <w:spacing w:val="-3"/>
          <w:szCs w:val="21"/>
        </w:rPr>
        <w:t>ESG</w:t>
      </w:r>
      <w:r>
        <w:rPr>
          <w:spacing w:val="-45"/>
          <w:szCs w:val="21"/>
        </w:rPr>
        <w:t xml:space="preserve"> </w:t>
      </w:r>
      <w:r>
        <w:rPr>
          <w:spacing w:val="-3"/>
          <w:szCs w:val="21"/>
        </w:rPr>
        <w:t>风险</w:t>
      </w:r>
      <w:r>
        <w:rPr>
          <w:szCs w:val="21"/>
        </w:rPr>
        <w:t xml:space="preserve"> </w:t>
      </w:r>
      <w:r>
        <w:rPr>
          <w:spacing w:val="-3"/>
          <w:szCs w:val="21"/>
        </w:rPr>
        <w:t>降至最低合理可行水平，满足有关利益相关方期望，符合产品和服务使用、</w:t>
      </w:r>
      <w:r>
        <w:rPr>
          <w:spacing w:val="-4"/>
          <w:szCs w:val="21"/>
        </w:rPr>
        <w:t>操作与维护规</w:t>
      </w:r>
      <w:r>
        <w:rPr>
          <w:szCs w:val="21"/>
        </w:rPr>
        <w:t xml:space="preserve"> </w:t>
      </w:r>
      <w:r>
        <w:rPr>
          <w:spacing w:val="-3"/>
          <w:szCs w:val="21"/>
        </w:rPr>
        <w:t>范、法律法规要求和其他要求。</w:t>
      </w:r>
    </w:p>
    <w:p w14:paraId="3FDA3ED5">
      <w:pPr>
        <w:pStyle w:val="12"/>
        <w:numPr>
          <w:ilvl w:val="0"/>
          <w:numId w:val="82"/>
        </w:numPr>
        <w:spacing w:before="21" w:line="360" w:lineRule="auto"/>
        <w:ind w:firstLineChars="0"/>
        <w:rPr>
          <w:rFonts w:hint="eastAsia" w:ascii="Times New Roman" w:hAnsi="宋体" w:cs="宋体"/>
          <w:szCs w:val="21"/>
        </w:rPr>
      </w:pPr>
      <w:r>
        <w:rPr>
          <w:spacing w:val="-6"/>
          <w:szCs w:val="21"/>
        </w:rPr>
        <w:t>ESG</w:t>
      </w:r>
      <w:r>
        <w:rPr>
          <w:spacing w:val="-45"/>
          <w:szCs w:val="21"/>
        </w:rPr>
        <w:t xml:space="preserve"> </w:t>
      </w:r>
      <w:r>
        <w:rPr>
          <w:spacing w:val="-6"/>
          <w:szCs w:val="21"/>
        </w:rPr>
        <w:t>控制：</w:t>
      </w:r>
    </w:p>
    <w:p w14:paraId="32A947A8">
      <w:pPr>
        <w:pStyle w:val="12"/>
        <w:spacing w:before="129" w:line="360" w:lineRule="auto"/>
        <w:ind w:firstLine="416"/>
        <w:rPr>
          <w:szCs w:val="21"/>
        </w:rPr>
      </w:pPr>
      <w:r>
        <w:rPr>
          <w:spacing w:val="-2"/>
          <w:szCs w:val="21"/>
        </w:rPr>
        <w:t>——遵守法律法规要求和其他要求；</w:t>
      </w:r>
    </w:p>
    <w:p w14:paraId="232ED432">
      <w:pPr>
        <w:pStyle w:val="12"/>
        <w:spacing w:before="39" w:line="360" w:lineRule="auto"/>
        <w:ind w:firstLine="418"/>
        <w:rPr>
          <w:szCs w:val="21"/>
        </w:rPr>
      </w:pPr>
      <w:r>
        <w:rPr>
          <w:spacing w:val="-1"/>
          <w:szCs w:val="21"/>
        </w:rPr>
        <w:t>——使用工作程序和系统；</w:t>
      </w:r>
    </w:p>
    <w:p w14:paraId="568F45AC">
      <w:pPr>
        <w:pStyle w:val="12"/>
        <w:spacing w:before="68" w:line="360" w:lineRule="auto"/>
        <w:ind w:firstLine="416"/>
        <w:rPr>
          <w:szCs w:val="21"/>
        </w:rPr>
      </w:pPr>
      <w:r>
        <w:rPr>
          <w:spacing w:val="-2"/>
          <w:szCs w:val="21"/>
        </w:rPr>
        <w:t>——促进有关利益相关方的协商和参与；</w:t>
      </w:r>
    </w:p>
    <w:p w14:paraId="5170CA93">
      <w:pPr>
        <w:pStyle w:val="12"/>
        <w:spacing w:before="23" w:line="360" w:lineRule="auto"/>
        <w:ind w:firstLine="412"/>
        <w:rPr>
          <w:szCs w:val="21"/>
        </w:rPr>
      </w:pPr>
      <w:r>
        <w:rPr>
          <w:spacing w:val="-4"/>
          <w:szCs w:val="21"/>
        </w:rPr>
        <w:t>——环境影响评价；</w:t>
      </w:r>
    </w:p>
    <w:p w14:paraId="6F18433D">
      <w:pPr>
        <w:pStyle w:val="12"/>
        <w:spacing w:before="21" w:line="360" w:lineRule="auto"/>
        <w:ind w:firstLine="414"/>
        <w:rPr>
          <w:szCs w:val="21"/>
        </w:rPr>
      </w:pPr>
      <w:r>
        <w:rPr>
          <w:spacing w:val="-3"/>
          <w:szCs w:val="21"/>
        </w:rPr>
        <w:t>——驾驶安全隐患分析；</w:t>
      </w:r>
    </w:p>
    <w:p w14:paraId="10D87333">
      <w:pPr>
        <w:pStyle w:val="12"/>
        <w:spacing w:before="22" w:line="360" w:lineRule="auto"/>
        <w:ind w:firstLine="416"/>
        <w:rPr>
          <w:szCs w:val="21"/>
        </w:rPr>
      </w:pPr>
      <w:r>
        <w:rPr>
          <w:spacing w:val="-2"/>
          <w:szCs w:val="21"/>
        </w:rPr>
        <w:t>——产品和服务使用、操作与维护规范；</w:t>
      </w:r>
    </w:p>
    <w:p w14:paraId="5AC81EB4">
      <w:pPr>
        <w:pStyle w:val="12"/>
        <w:spacing w:before="20" w:line="360" w:lineRule="auto"/>
        <w:ind w:firstLine="418"/>
        <w:rPr>
          <w:szCs w:val="21"/>
        </w:rPr>
      </w:pPr>
      <w:r>
        <w:rPr>
          <w:spacing w:val="-1"/>
          <w:szCs w:val="21"/>
        </w:rPr>
        <w:t>——确保员工的能力；</w:t>
      </w:r>
    </w:p>
    <w:p w14:paraId="4A4EBB8D">
      <w:pPr>
        <w:pStyle w:val="12"/>
        <w:spacing w:before="22" w:line="360" w:lineRule="auto"/>
        <w:rPr>
          <w:szCs w:val="21"/>
        </w:rPr>
      </w:pPr>
      <w:r>
        <w:rPr>
          <w:szCs w:val="21"/>
        </w:rPr>
        <w:t>——确保设备及材料符合安全管理和环境保护</w:t>
      </w:r>
      <w:r>
        <w:rPr>
          <w:spacing w:val="-1"/>
          <w:szCs w:val="21"/>
        </w:rPr>
        <w:t>要求；</w:t>
      </w:r>
    </w:p>
    <w:p w14:paraId="497DFA19">
      <w:pPr>
        <w:pStyle w:val="12"/>
        <w:spacing w:before="21" w:line="360" w:lineRule="auto"/>
        <w:ind w:firstLine="412"/>
        <w:rPr>
          <w:szCs w:val="21"/>
        </w:rPr>
      </w:pPr>
      <w:r>
        <w:rPr>
          <w:spacing w:val="-4"/>
          <w:szCs w:val="21"/>
        </w:rPr>
        <w:t>——其他满足使用阶段</w:t>
      </w:r>
      <w:r>
        <w:rPr>
          <w:spacing w:val="-37"/>
          <w:szCs w:val="21"/>
        </w:rPr>
        <w:t xml:space="preserve"> </w:t>
      </w:r>
      <w:r>
        <w:rPr>
          <w:spacing w:val="-4"/>
          <w:szCs w:val="21"/>
        </w:rPr>
        <w:t>ESG 目标的控制手段。</w:t>
      </w:r>
    </w:p>
    <w:p w14:paraId="00F05DD0">
      <w:pPr>
        <w:pStyle w:val="4"/>
        <w:widowControl/>
        <w:numPr>
          <w:ilvl w:val="0"/>
          <w:numId w:val="78"/>
        </w:numPr>
        <w:spacing w:before="22" w:line="360" w:lineRule="auto"/>
        <w:rPr>
          <w:rFonts w:hint="eastAsia" w:ascii="Times New Roman" w:hAnsi="宋体" w:cs="宋体"/>
          <w:szCs w:val="21"/>
        </w:rPr>
      </w:pPr>
      <w:r>
        <w:rPr>
          <w:spacing w:val="-6"/>
          <w:szCs w:val="21"/>
        </w:rPr>
        <w:t>回收处置阶段示例：</w:t>
      </w:r>
    </w:p>
    <w:p w14:paraId="204BA80A">
      <w:pPr>
        <w:pStyle w:val="12"/>
        <w:numPr>
          <w:ilvl w:val="0"/>
          <w:numId w:val="83"/>
        </w:numPr>
        <w:spacing w:before="22" w:line="360" w:lineRule="auto"/>
        <w:ind w:firstLineChars="0"/>
        <w:rPr>
          <w:rFonts w:hint="eastAsia" w:ascii="Times New Roman" w:hAnsi="宋体" w:cs="宋体"/>
          <w:szCs w:val="21"/>
        </w:rPr>
      </w:pPr>
      <w:r>
        <w:rPr>
          <w:spacing w:val="-1"/>
          <w:szCs w:val="21"/>
        </w:rPr>
        <w:t>ESG</w:t>
      </w:r>
      <w:r>
        <w:rPr>
          <w:spacing w:val="-37"/>
          <w:szCs w:val="21"/>
        </w:rPr>
        <w:t xml:space="preserve"> </w:t>
      </w:r>
      <w:r>
        <w:rPr>
          <w:spacing w:val="-1"/>
          <w:szCs w:val="21"/>
        </w:rPr>
        <w:t>准则：企业在回收处置阶段</w:t>
      </w:r>
      <w:r>
        <w:rPr>
          <w:rFonts w:hint="eastAsia"/>
          <w:spacing w:val="-1"/>
          <w:szCs w:val="21"/>
        </w:rPr>
        <w:t>宜</w:t>
      </w:r>
      <w:r>
        <w:rPr>
          <w:spacing w:val="-1"/>
          <w:szCs w:val="21"/>
        </w:rPr>
        <w:t>将回收、处置等活动和影响带来的不良影响因素和</w:t>
      </w:r>
      <w:r>
        <w:rPr>
          <w:spacing w:val="-46"/>
          <w:szCs w:val="21"/>
        </w:rPr>
        <w:t xml:space="preserve"> </w:t>
      </w:r>
      <w:r>
        <w:rPr>
          <w:spacing w:val="-1"/>
          <w:szCs w:val="21"/>
        </w:rPr>
        <w:t>ESG</w:t>
      </w:r>
      <w:r>
        <w:rPr>
          <w:szCs w:val="21"/>
        </w:rPr>
        <w:t xml:space="preserve"> </w:t>
      </w:r>
      <w:r>
        <w:rPr>
          <w:spacing w:val="-3"/>
          <w:szCs w:val="21"/>
        </w:rPr>
        <w:t>风险降低至最低合理可行水平，满足有关利益相关方期望，符合产品回收处置规范、法律</w:t>
      </w:r>
      <w:r>
        <w:rPr>
          <w:szCs w:val="21"/>
        </w:rPr>
        <w:t xml:space="preserve"> </w:t>
      </w:r>
      <w:r>
        <w:rPr>
          <w:spacing w:val="-1"/>
          <w:szCs w:val="21"/>
        </w:rPr>
        <w:t>法规要求和其他要求。</w:t>
      </w:r>
    </w:p>
    <w:p w14:paraId="117A594F">
      <w:pPr>
        <w:pStyle w:val="12"/>
        <w:numPr>
          <w:ilvl w:val="0"/>
          <w:numId w:val="83"/>
        </w:numPr>
        <w:spacing w:before="20" w:line="360" w:lineRule="auto"/>
        <w:ind w:firstLineChars="0"/>
        <w:rPr>
          <w:rFonts w:hint="eastAsia" w:ascii="Times New Roman" w:hAnsi="宋体" w:cs="宋体"/>
          <w:szCs w:val="21"/>
        </w:rPr>
      </w:pPr>
      <w:r>
        <w:rPr>
          <w:spacing w:val="-6"/>
          <w:szCs w:val="21"/>
        </w:rPr>
        <w:t>ESG</w:t>
      </w:r>
      <w:r>
        <w:rPr>
          <w:spacing w:val="-45"/>
          <w:szCs w:val="21"/>
        </w:rPr>
        <w:t xml:space="preserve"> </w:t>
      </w:r>
      <w:r>
        <w:rPr>
          <w:spacing w:val="-6"/>
          <w:szCs w:val="21"/>
        </w:rPr>
        <w:t>控制：</w:t>
      </w:r>
    </w:p>
    <w:p w14:paraId="1DC0EA3B">
      <w:pPr>
        <w:pStyle w:val="12"/>
        <w:spacing w:before="21" w:line="360" w:lineRule="auto"/>
        <w:ind w:firstLine="416"/>
        <w:rPr>
          <w:szCs w:val="21"/>
        </w:rPr>
      </w:pPr>
      <w:r>
        <w:rPr>
          <w:spacing w:val="-2"/>
          <w:szCs w:val="21"/>
        </w:rPr>
        <w:t>——应用法律法规要求和其他要求；</w:t>
      </w:r>
    </w:p>
    <w:p w14:paraId="0CE68FF3">
      <w:pPr>
        <w:pStyle w:val="12"/>
        <w:spacing w:before="21" w:line="360" w:lineRule="auto"/>
        <w:ind w:firstLine="418"/>
        <w:rPr>
          <w:szCs w:val="21"/>
        </w:rPr>
      </w:pPr>
      <w:r>
        <w:rPr>
          <w:spacing w:val="-1"/>
          <w:szCs w:val="21"/>
        </w:rPr>
        <w:t>——运用工作程序和系统；</w:t>
      </w:r>
    </w:p>
    <w:p w14:paraId="042D0315">
      <w:pPr>
        <w:pStyle w:val="12"/>
        <w:spacing w:before="22" w:line="360" w:lineRule="auto"/>
        <w:ind w:firstLine="416"/>
        <w:rPr>
          <w:szCs w:val="21"/>
        </w:rPr>
      </w:pPr>
      <w:r>
        <w:rPr>
          <w:spacing w:val="-2"/>
          <w:szCs w:val="21"/>
        </w:rPr>
        <w:t>——促进有关利益相关方的协商和参与；</w:t>
      </w:r>
    </w:p>
    <w:p w14:paraId="4DDBF563">
      <w:pPr>
        <w:pStyle w:val="12"/>
        <w:spacing w:before="21" w:line="360" w:lineRule="auto"/>
        <w:ind w:firstLine="412"/>
        <w:rPr>
          <w:szCs w:val="21"/>
        </w:rPr>
      </w:pPr>
      <w:r>
        <w:rPr>
          <w:spacing w:val="-4"/>
          <w:szCs w:val="21"/>
        </w:rPr>
        <w:t>——环境影响评价；</w:t>
      </w:r>
    </w:p>
    <w:p w14:paraId="0A61B45E">
      <w:pPr>
        <w:pStyle w:val="12"/>
        <w:spacing w:before="24" w:line="360" w:lineRule="auto"/>
        <w:ind w:firstLine="414"/>
        <w:rPr>
          <w:szCs w:val="21"/>
        </w:rPr>
      </w:pPr>
      <w:r>
        <w:rPr>
          <w:spacing w:val="-3"/>
          <w:szCs w:val="21"/>
        </w:rPr>
        <w:t>——车辆召回规范要求；</w:t>
      </w:r>
    </w:p>
    <w:p w14:paraId="61512A67">
      <w:pPr>
        <w:pStyle w:val="12"/>
        <w:spacing w:before="20" w:line="360" w:lineRule="auto"/>
        <w:ind w:firstLine="412"/>
        <w:rPr>
          <w:szCs w:val="21"/>
        </w:rPr>
      </w:pPr>
      <w:r>
        <w:rPr>
          <w:spacing w:val="-4"/>
          <w:szCs w:val="21"/>
        </w:rPr>
        <w:t>——其他满足回收阶段</w:t>
      </w:r>
      <w:r>
        <w:rPr>
          <w:spacing w:val="-37"/>
          <w:szCs w:val="21"/>
        </w:rPr>
        <w:t xml:space="preserve"> </w:t>
      </w:r>
      <w:r>
        <w:rPr>
          <w:spacing w:val="-4"/>
          <w:szCs w:val="21"/>
        </w:rPr>
        <w:t>ESG 目标的控制手段。</w:t>
      </w:r>
    </w:p>
    <w:p w14:paraId="01D48A5D">
      <w:pPr>
        <w:pStyle w:val="3"/>
        <w:numPr>
          <w:ilvl w:val="0"/>
          <w:numId w:val="77"/>
        </w:numPr>
        <w:spacing w:before="142" w:line="360" w:lineRule="auto"/>
        <w:ind w:firstLineChars="0"/>
        <w:rPr>
          <w:rFonts w:hint="eastAsia" w:ascii="Times New Roman"/>
          <w:szCs w:val="21"/>
        </w:rPr>
      </w:pPr>
      <w:r>
        <w:rPr>
          <w:szCs w:val="21"/>
        </w:rPr>
        <w:t>消除不良影响因素和降低ESG风险</w:t>
      </w:r>
    </w:p>
    <w:p w14:paraId="51CCB633">
      <w:pPr>
        <w:pStyle w:val="12"/>
        <w:spacing w:before="141" w:line="360" w:lineRule="auto"/>
        <w:ind w:firstLine="416"/>
        <w:rPr>
          <w:szCs w:val="21"/>
        </w:rPr>
      </w:pPr>
      <w:r>
        <w:rPr>
          <w:spacing w:val="-2"/>
          <w:szCs w:val="21"/>
        </w:rPr>
        <w:t>控制层级旨在提供一种系统的方法来增强企业履行</w:t>
      </w:r>
      <w:r>
        <w:rPr>
          <w:spacing w:val="-32"/>
          <w:szCs w:val="21"/>
        </w:rPr>
        <w:t xml:space="preserve"> </w:t>
      </w:r>
      <w:r>
        <w:rPr>
          <w:spacing w:val="-2"/>
          <w:szCs w:val="21"/>
        </w:rPr>
        <w:t>ESG</w:t>
      </w:r>
      <w:r>
        <w:rPr>
          <w:spacing w:val="-36"/>
          <w:szCs w:val="21"/>
        </w:rPr>
        <w:t xml:space="preserve"> </w:t>
      </w:r>
      <w:r>
        <w:rPr>
          <w:spacing w:val="-2"/>
          <w:szCs w:val="21"/>
        </w:rPr>
        <w:t>责任、消除不良影响因素和降低或控制</w:t>
      </w:r>
      <w:r>
        <w:rPr>
          <w:spacing w:val="-47"/>
          <w:szCs w:val="21"/>
        </w:rPr>
        <w:t xml:space="preserve"> </w:t>
      </w:r>
      <w:r>
        <w:rPr>
          <w:spacing w:val="-2"/>
          <w:szCs w:val="21"/>
        </w:rPr>
        <w:t>ESG</w:t>
      </w:r>
      <w:r>
        <w:rPr>
          <w:szCs w:val="21"/>
        </w:rPr>
        <w:t xml:space="preserve"> </w:t>
      </w:r>
      <w:r>
        <w:rPr>
          <w:spacing w:val="-2"/>
          <w:szCs w:val="21"/>
        </w:rPr>
        <w:t>风险。每个层级的控制效果低于前一个层级</w:t>
      </w:r>
      <w:r>
        <w:rPr>
          <w:spacing w:val="-3"/>
          <w:szCs w:val="21"/>
        </w:rPr>
        <w:t>。为了成功地将</w:t>
      </w:r>
      <w:r>
        <w:rPr>
          <w:spacing w:val="-47"/>
          <w:szCs w:val="21"/>
        </w:rPr>
        <w:t xml:space="preserve"> </w:t>
      </w:r>
      <w:r>
        <w:rPr>
          <w:spacing w:val="-3"/>
          <w:szCs w:val="21"/>
        </w:rPr>
        <w:t>ESG</w:t>
      </w:r>
      <w:r>
        <w:rPr>
          <w:spacing w:val="-43"/>
          <w:szCs w:val="21"/>
        </w:rPr>
        <w:t xml:space="preserve"> </w:t>
      </w:r>
      <w:r>
        <w:rPr>
          <w:spacing w:val="-3"/>
          <w:szCs w:val="21"/>
        </w:rPr>
        <w:t>风险尽可能降至最低合理可行水平，通</w:t>
      </w:r>
      <w:r>
        <w:rPr>
          <w:szCs w:val="21"/>
        </w:rPr>
        <w:t xml:space="preserve"> </w:t>
      </w:r>
      <w:r>
        <w:rPr>
          <w:spacing w:val="-2"/>
          <w:szCs w:val="21"/>
        </w:rPr>
        <w:t>常采用多个控制的组合。</w:t>
      </w:r>
    </w:p>
    <w:p w14:paraId="3576A702">
      <w:pPr>
        <w:pStyle w:val="12"/>
        <w:spacing w:before="1" w:line="360" w:lineRule="auto"/>
        <w:ind w:firstLine="416"/>
        <w:rPr>
          <w:szCs w:val="21"/>
        </w:rPr>
      </w:pPr>
      <w:r>
        <w:rPr>
          <w:spacing w:val="-2"/>
          <w:szCs w:val="21"/>
        </w:rPr>
        <w:t>以下示例说明了每个层级可以实施的措施：</w:t>
      </w:r>
    </w:p>
    <w:p w14:paraId="23F1D876">
      <w:pPr>
        <w:pStyle w:val="12"/>
        <w:numPr>
          <w:ilvl w:val="0"/>
          <w:numId w:val="84"/>
        </w:numPr>
        <w:spacing w:before="20" w:line="360" w:lineRule="auto"/>
        <w:ind w:firstLineChars="0"/>
        <w:rPr>
          <w:rFonts w:hint="eastAsia" w:ascii="Times New Roman" w:hAnsi="宋体" w:cs="宋体"/>
          <w:szCs w:val="21"/>
        </w:rPr>
      </w:pPr>
      <w:r>
        <w:rPr>
          <w:szCs w:val="21"/>
        </w:rPr>
        <w:t>消除：消除不良影响因素，包括终止对环境带来的严重影响等；</w:t>
      </w:r>
    </w:p>
    <w:p w14:paraId="1009ED74">
      <w:pPr>
        <w:pStyle w:val="12"/>
        <w:numPr>
          <w:ilvl w:val="0"/>
          <w:numId w:val="84"/>
        </w:numPr>
        <w:spacing w:before="22" w:line="360" w:lineRule="auto"/>
        <w:ind w:firstLineChars="0"/>
        <w:rPr>
          <w:rFonts w:hint="eastAsia" w:ascii="Times New Roman" w:hAnsi="宋体" w:cs="宋体"/>
          <w:szCs w:val="21"/>
        </w:rPr>
      </w:pPr>
      <w:r>
        <w:rPr>
          <w:szCs w:val="21"/>
        </w:rPr>
        <w:t>替代：用小影响替代大影响，包括公开回应用户诉</w:t>
      </w:r>
      <w:r>
        <w:rPr>
          <w:spacing w:val="-1"/>
          <w:szCs w:val="21"/>
        </w:rPr>
        <w:t>求；使用新技术提升车辆安全性等；</w:t>
      </w:r>
    </w:p>
    <w:p w14:paraId="67E732A9">
      <w:pPr>
        <w:pStyle w:val="12"/>
        <w:numPr>
          <w:ilvl w:val="0"/>
          <w:numId w:val="84"/>
        </w:numPr>
        <w:spacing w:before="21" w:line="360" w:lineRule="auto"/>
        <w:ind w:right="47" w:firstLineChars="0"/>
        <w:rPr>
          <w:rFonts w:hint="eastAsia" w:ascii="Times New Roman" w:hAnsi="宋体" w:cs="宋体"/>
          <w:szCs w:val="21"/>
        </w:rPr>
      </w:pPr>
      <w:r>
        <w:rPr>
          <w:spacing w:val="-3"/>
          <w:szCs w:val="21"/>
        </w:rPr>
        <w:t>工程控制和工作重组或两者兼用：包括采用</w:t>
      </w:r>
      <w:r>
        <w:rPr>
          <w:spacing w:val="-4"/>
          <w:szCs w:val="21"/>
        </w:rPr>
        <w:t>自动化、智能化设备，改善车辆制造环境及流程，</w:t>
      </w:r>
      <w:r>
        <w:rPr>
          <w:szCs w:val="21"/>
        </w:rPr>
        <w:t xml:space="preserve"> </w:t>
      </w:r>
      <w:r>
        <w:rPr>
          <w:spacing w:val="-2"/>
          <w:szCs w:val="21"/>
        </w:rPr>
        <w:t>采用工作重组避免员工超负荷工作；</w:t>
      </w:r>
    </w:p>
    <w:p w14:paraId="2B8F6E17">
      <w:pPr>
        <w:pStyle w:val="12"/>
        <w:numPr>
          <w:ilvl w:val="0"/>
          <w:numId w:val="84"/>
        </w:numPr>
        <w:spacing w:before="20" w:line="360" w:lineRule="auto"/>
        <w:ind w:firstLineChars="0"/>
        <w:rPr>
          <w:rFonts w:hint="eastAsia" w:ascii="Times New Roman" w:hAnsi="宋体" w:cs="宋体"/>
          <w:szCs w:val="21"/>
        </w:rPr>
      </w:pPr>
      <w:r>
        <w:rPr>
          <w:szCs w:val="21"/>
        </w:rPr>
        <w:t>管理控制：包括培训，应急管理，安全管理，运行目标控制等。</w:t>
      </w:r>
    </w:p>
    <w:p w14:paraId="387F2306">
      <w:pPr>
        <w:pStyle w:val="3"/>
        <w:numPr>
          <w:ilvl w:val="0"/>
          <w:numId w:val="77"/>
        </w:numPr>
        <w:spacing w:before="143" w:line="360" w:lineRule="auto"/>
        <w:ind w:firstLineChars="0"/>
        <w:rPr>
          <w:rFonts w:hint="eastAsia" w:ascii="Times New Roman"/>
          <w:szCs w:val="21"/>
        </w:rPr>
      </w:pPr>
      <w:r>
        <w:rPr>
          <w:szCs w:val="21"/>
        </w:rPr>
        <w:t>变更管理</w:t>
      </w:r>
    </w:p>
    <w:p w14:paraId="006F7FA4">
      <w:pPr>
        <w:pStyle w:val="12"/>
        <w:spacing w:before="140" w:line="360" w:lineRule="auto"/>
        <w:ind w:firstLine="416"/>
        <w:rPr>
          <w:szCs w:val="21"/>
        </w:rPr>
      </w:pPr>
      <w:r>
        <w:rPr>
          <w:spacing w:val="-2"/>
          <w:szCs w:val="21"/>
        </w:rPr>
        <w:t>设定对变更过程进行管理的目标，在变更（生产时间节点</w:t>
      </w:r>
      <w:r>
        <w:rPr>
          <w:spacing w:val="-3"/>
          <w:szCs w:val="21"/>
        </w:rPr>
        <w:t>变化、技术变化、设计规范变化、测试标</w:t>
      </w:r>
      <w:r>
        <w:rPr>
          <w:szCs w:val="21"/>
        </w:rPr>
        <w:t xml:space="preserve"> </w:t>
      </w:r>
      <w:r>
        <w:rPr>
          <w:spacing w:val="-2"/>
          <w:szCs w:val="21"/>
        </w:rPr>
        <w:t>准变化、法律法规要求和其他要求变化等）发生时，</w:t>
      </w:r>
      <w:r>
        <w:rPr>
          <w:spacing w:val="-3"/>
          <w:szCs w:val="21"/>
        </w:rPr>
        <w:t>尽可能减少将新的不良影响因素和</w:t>
      </w:r>
      <w:r>
        <w:rPr>
          <w:spacing w:val="-46"/>
          <w:szCs w:val="21"/>
        </w:rPr>
        <w:t xml:space="preserve"> </w:t>
      </w:r>
      <w:r>
        <w:rPr>
          <w:spacing w:val="-3"/>
          <w:szCs w:val="21"/>
        </w:rPr>
        <w:t>ESG</w:t>
      </w:r>
      <w:r>
        <w:rPr>
          <w:spacing w:val="-44"/>
          <w:szCs w:val="21"/>
        </w:rPr>
        <w:t xml:space="preserve"> </w:t>
      </w:r>
      <w:r>
        <w:rPr>
          <w:spacing w:val="-3"/>
          <w:szCs w:val="21"/>
        </w:rPr>
        <w:t>风险引入工</w:t>
      </w:r>
      <w:r>
        <w:rPr>
          <w:szCs w:val="21"/>
        </w:rPr>
        <w:t xml:space="preserve"> </w:t>
      </w:r>
      <w:r>
        <w:rPr>
          <w:spacing w:val="-2"/>
          <w:szCs w:val="21"/>
        </w:rPr>
        <w:t>作环境而使工作对社会、环境和公司治理更负责任。根据预期变更的性质，企业</w:t>
      </w:r>
      <w:r>
        <w:rPr>
          <w:spacing w:val="-3"/>
          <w:szCs w:val="21"/>
        </w:rPr>
        <w:t>可以使用适当的方法来</w:t>
      </w:r>
      <w:r>
        <w:rPr>
          <w:szCs w:val="21"/>
        </w:rPr>
        <w:t xml:space="preserve"> </w:t>
      </w:r>
      <w:r>
        <w:rPr>
          <w:spacing w:val="1"/>
          <w:szCs w:val="21"/>
        </w:rPr>
        <w:t>评价</w:t>
      </w:r>
      <w:r>
        <w:rPr>
          <w:spacing w:val="-45"/>
          <w:szCs w:val="21"/>
        </w:rPr>
        <w:t xml:space="preserve"> </w:t>
      </w:r>
      <w:r>
        <w:rPr>
          <w:szCs w:val="21"/>
        </w:rPr>
        <w:t>ESG</w:t>
      </w:r>
      <w:r>
        <w:rPr>
          <w:spacing w:val="-44"/>
          <w:szCs w:val="21"/>
        </w:rPr>
        <w:t xml:space="preserve"> </w:t>
      </w:r>
      <w:r>
        <w:rPr>
          <w:spacing w:val="1"/>
          <w:szCs w:val="21"/>
        </w:rPr>
        <w:t>风险和机遇变化。变更管理的需求可能是策划（见6.2.4）的输出。</w:t>
      </w:r>
    </w:p>
    <w:p w14:paraId="50805D9D">
      <w:pPr>
        <w:pStyle w:val="28"/>
        <w:numPr>
          <w:ilvl w:val="0"/>
          <w:numId w:val="58"/>
        </w:numPr>
        <w:spacing w:before="240" w:after="240" w:line="360" w:lineRule="auto"/>
      </w:pPr>
      <w:bookmarkStart w:id="39" w:name="_Toc13268"/>
      <w:r>
        <w:t>供应链管理（参见 8.2）</w:t>
      </w:r>
      <w:bookmarkEnd w:id="39"/>
    </w:p>
    <w:p w14:paraId="6794423A">
      <w:pPr>
        <w:pStyle w:val="3"/>
        <w:numPr>
          <w:ilvl w:val="0"/>
          <w:numId w:val="85"/>
        </w:numPr>
        <w:spacing w:before="142" w:line="360" w:lineRule="auto"/>
        <w:ind w:firstLineChars="0"/>
        <w:rPr>
          <w:rFonts w:hint="eastAsia" w:ascii="Times New Roman"/>
          <w:szCs w:val="21"/>
        </w:rPr>
      </w:pPr>
      <w:r>
        <w:rPr>
          <w:spacing w:val="-1"/>
          <w:szCs w:val="21"/>
        </w:rPr>
        <w:t>总则</w:t>
      </w:r>
    </w:p>
    <w:p w14:paraId="3DBD897B">
      <w:pPr>
        <w:pStyle w:val="12"/>
        <w:spacing w:before="254" w:line="360" w:lineRule="auto"/>
        <w:ind w:firstLine="418"/>
        <w:rPr>
          <w:szCs w:val="21"/>
        </w:rPr>
      </w:pPr>
      <w:r>
        <w:rPr>
          <w:spacing w:val="-1"/>
          <w:szCs w:val="21"/>
        </w:rPr>
        <w:t>企业宜与供应商和其他相关方接触，鼓励实施责任采购或可持续采购。</w:t>
      </w:r>
    </w:p>
    <w:p w14:paraId="2B50086E">
      <w:pPr>
        <w:pStyle w:val="12"/>
        <w:spacing w:before="39" w:line="360" w:lineRule="auto"/>
        <w:ind w:firstLine="416"/>
        <w:rPr>
          <w:szCs w:val="21"/>
        </w:rPr>
      </w:pPr>
      <w:r>
        <w:rPr>
          <w:spacing w:val="-2"/>
          <w:szCs w:val="21"/>
        </w:rPr>
        <w:t>采购过程宜用于供应商及其产品和服务被引入企业前，确定、评价</w:t>
      </w:r>
      <w:r>
        <w:rPr>
          <w:spacing w:val="-3"/>
          <w:szCs w:val="21"/>
        </w:rPr>
        <w:t>和消除其不良影响因素，并降低</w:t>
      </w:r>
      <w:r>
        <w:rPr>
          <w:szCs w:val="21"/>
        </w:rPr>
        <w:t xml:space="preserve"> </w:t>
      </w:r>
      <w:r>
        <w:rPr>
          <w:spacing w:val="-2"/>
          <w:szCs w:val="21"/>
        </w:rPr>
        <w:t>与之相关的</w:t>
      </w:r>
      <w:r>
        <w:rPr>
          <w:spacing w:val="-47"/>
          <w:szCs w:val="21"/>
        </w:rPr>
        <w:t xml:space="preserve"> </w:t>
      </w:r>
      <w:r>
        <w:rPr>
          <w:spacing w:val="-2"/>
          <w:szCs w:val="21"/>
        </w:rPr>
        <w:t>ESG</w:t>
      </w:r>
      <w:r>
        <w:rPr>
          <w:spacing w:val="-46"/>
          <w:szCs w:val="21"/>
        </w:rPr>
        <w:t xml:space="preserve"> </w:t>
      </w:r>
      <w:r>
        <w:rPr>
          <w:spacing w:val="-2"/>
          <w:szCs w:val="21"/>
        </w:rPr>
        <w:t>风险。</w:t>
      </w:r>
    </w:p>
    <w:p w14:paraId="38602825">
      <w:pPr>
        <w:pStyle w:val="12"/>
        <w:spacing w:before="3" w:line="360" w:lineRule="auto"/>
        <w:ind w:firstLine="416"/>
        <w:rPr>
          <w:szCs w:val="21"/>
        </w:rPr>
      </w:pPr>
      <w:r>
        <w:rPr>
          <w:spacing w:val="-2"/>
          <w:szCs w:val="21"/>
        </w:rPr>
        <w:t>企业的采购过程宜强调包括选择供应商和购买产品和服务在内的相关</w:t>
      </w:r>
      <w:r>
        <w:rPr>
          <w:spacing w:val="-31"/>
          <w:szCs w:val="21"/>
        </w:rPr>
        <w:t xml:space="preserve"> </w:t>
      </w:r>
      <w:r>
        <w:rPr>
          <w:spacing w:val="-2"/>
          <w:szCs w:val="21"/>
        </w:rPr>
        <w:t>ESG</w:t>
      </w:r>
      <w:r>
        <w:rPr>
          <w:spacing w:val="-42"/>
          <w:szCs w:val="21"/>
        </w:rPr>
        <w:t xml:space="preserve"> </w:t>
      </w:r>
      <w:r>
        <w:rPr>
          <w:spacing w:val="-2"/>
          <w:szCs w:val="21"/>
        </w:rPr>
        <w:t>准则，以符合企业的</w:t>
      </w:r>
      <w:r>
        <w:rPr>
          <w:spacing w:val="-46"/>
          <w:szCs w:val="21"/>
        </w:rPr>
        <w:t xml:space="preserve"> </w:t>
      </w:r>
      <w:r>
        <w:rPr>
          <w:spacing w:val="-2"/>
          <w:szCs w:val="21"/>
        </w:rPr>
        <w:t>ESG</w:t>
      </w:r>
      <w:r>
        <w:rPr>
          <w:szCs w:val="21"/>
        </w:rPr>
        <w:t xml:space="preserve"> </w:t>
      </w:r>
      <w:r>
        <w:rPr>
          <w:spacing w:val="-2"/>
          <w:szCs w:val="21"/>
        </w:rPr>
        <w:t xml:space="preserve">管理体系。ESG 准则宜用于评价 ESG </w:t>
      </w:r>
      <w:r>
        <w:rPr>
          <w:spacing w:val="-3"/>
          <w:szCs w:val="21"/>
        </w:rPr>
        <w:t>风险是否可接受以及是否能够为促进企业 ESG</w:t>
      </w:r>
      <w:r>
        <w:rPr>
          <w:spacing w:val="30"/>
          <w:szCs w:val="21"/>
        </w:rPr>
        <w:t xml:space="preserve"> </w:t>
      </w:r>
      <w:r>
        <w:rPr>
          <w:spacing w:val="-3"/>
          <w:szCs w:val="21"/>
        </w:rPr>
        <w:t>目标的实现做出贡</w:t>
      </w:r>
      <w:r>
        <w:rPr>
          <w:szCs w:val="21"/>
        </w:rPr>
        <w:t xml:space="preserve"> </w:t>
      </w:r>
      <w:r>
        <w:rPr>
          <w:spacing w:val="-1"/>
          <w:szCs w:val="21"/>
        </w:rPr>
        <w:t>献，并宜与其他业务过程有关采购过程的准则相融合。</w:t>
      </w:r>
    </w:p>
    <w:p w14:paraId="5BF0F885">
      <w:pPr>
        <w:pStyle w:val="12"/>
        <w:spacing w:before="1" w:line="360" w:lineRule="auto"/>
        <w:ind w:firstLine="418"/>
        <w:rPr>
          <w:szCs w:val="21"/>
        </w:rPr>
      </w:pPr>
      <w:r>
        <w:rPr>
          <w:spacing w:val="-1"/>
          <w:szCs w:val="21"/>
        </w:rPr>
        <w:t>采购过程还宜应对协商（见</w:t>
      </w:r>
      <w:r>
        <w:rPr>
          <w:spacing w:val="-39"/>
          <w:szCs w:val="21"/>
        </w:rPr>
        <w:t xml:space="preserve"> </w:t>
      </w:r>
      <w:r>
        <w:rPr>
          <w:spacing w:val="-1"/>
          <w:szCs w:val="21"/>
        </w:rPr>
        <w:t>5.5）和沟通（见</w:t>
      </w:r>
      <w:r>
        <w:rPr>
          <w:spacing w:val="-31"/>
          <w:szCs w:val="21"/>
        </w:rPr>
        <w:t xml:space="preserve"> </w:t>
      </w:r>
      <w:r>
        <w:rPr>
          <w:spacing w:val="-1"/>
          <w:szCs w:val="21"/>
        </w:rPr>
        <w:t>7.</w:t>
      </w:r>
      <w:r>
        <w:rPr>
          <w:spacing w:val="-2"/>
          <w:szCs w:val="21"/>
        </w:rPr>
        <w:t>4）的任何需求。</w:t>
      </w:r>
    </w:p>
    <w:p w14:paraId="467AE16E">
      <w:pPr>
        <w:pStyle w:val="12"/>
        <w:spacing w:before="21" w:line="360" w:lineRule="auto"/>
        <w:ind w:firstLine="416"/>
        <w:rPr>
          <w:szCs w:val="21"/>
        </w:rPr>
      </w:pPr>
      <w:r>
        <w:rPr>
          <w:spacing w:val="-2"/>
          <w:szCs w:val="21"/>
        </w:rPr>
        <w:t>企业宜证实采购活动符合企业</w:t>
      </w:r>
      <w:r>
        <w:rPr>
          <w:spacing w:val="-37"/>
          <w:szCs w:val="21"/>
        </w:rPr>
        <w:t xml:space="preserve"> </w:t>
      </w:r>
      <w:r>
        <w:rPr>
          <w:spacing w:val="-2"/>
          <w:szCs w:val="21"/>
        </w:rPr>
        <w:t>ESG</w:t>
      </w:r>
      <w:r>
        <w:rPr>
          <w:spacing w:val="-39"/>
          <w:szCs w:val="21"/>
        </w:rPr>
        <w:t xml:space="preserve"> </w:t>
      </w:r>
      <w:r>
        <w:rPr>
          <w:spacing w:val="-2"/>
          <w:szCs w:val="21"/>
        </w:rPr>
        <w:t>管理体系，通过确保下列事项：</w:t>
      </w:r>
    </w:p>
    <w:p w14:paraId="73270E00">
      <w:pPr>
        <w:pStyle w:val="12"/>
        <w:numPr>
          <w:ilvl w:val="0"/>
          <w:numId w:val="86"/>
        </w:numPr>
        <w:spacing w:before="24" w:line="360" w:lineRule="auto"/>
        <w:ind w:firstLineChars="0"/>
        <w:rPr>
          <w:rFonts w:hint="eastAsia" w:ascii="Times New Roman" w:hAnsi="宋体" w:cs="宋体"/>
          <w:szCs w:val="21"/>
        </w:rPr>
      </w:pPr>
      <w:r>
        <w:rPr>
          <w:spacing w:val="-1"/>
          <w:szCs w:val="21"/>
        </w:rPr>
        <w:t>不良影响因素及其</w:t>
      </w:r>
      <w:r>
        <w:rPr>
          <w:spacing w:val="-37"/>
          <w:szCs w:val="21"/>
        </w:rPr>
        <w:t xml:space="preserve"> </w:t>
      </w:r>
      <w:r>
        <w:rPr>
          <w:spacing w:val="-1"/>
          <w:szCs w:val="21"/>
        </w:rPr>
        <w:t>ESG</w:t>
      </w:r>
      <w:r>
        <w:rPr>
          <w:spacing w:val="-43"/>
          <w:szCs w:val="21"/>
        </w:rPr>
        <w:t xml:space="preserve"> </w:t>
      </w:r>
      <w:r>
        <w:rPr>
          <w:spacing w:val="-1"/>
          <w:szCs w:val="21"/>
        </w:rPr>
        <w:t>风险在供应商遴选过程和产品或服务采购过程中已持续辨识和评价；</w:t>
      </w:r>
    </w:p>
    <w:p w14:paraId="3C511C6C">
      <w:pPr>
        <w:pStyle w:val="12"/>
        <w:numPr>
          <w:ilvl w:val="0"/>
          <w:numId w:val="86"/>
        </w:numPr>
        <w:spacing w:before="68" w:line="360" w:lineRule="auto"/>
        <w:ind w:firstLineChars="0"/>
        <w:rPr>
          <w:rFonts w:hint="eastAsia" w:ascii="Times New Roman" w:hAnsi="宋体" w:cs="宋体"/>
          <w:szCs w:val="21"/>
        </w:rPr>
      </w:pPr>
      <w:r>
        <w:rPr>
          <w:szCs w:val="21"/>
        </w:rPr>
        <w:t>相关风险控制措施已列入采购合同之中，得到实施并保持有效；</w:t>
      </w:r>
    </w:p>
    <w:p w14:paraId="0EBC2FFB">
      <w:pPr>
        <w:pStyle w:val="12"/>
        <w:numPr>
          <w:ilvl w:val="0"/>
          <w:numId w:val="86"/>
        </w:numPr>
        <w:spacing w:before="23" w:line="360" w:lineRule="auto"/>
        <w:ind w:firstLineChars="0"/>
        <w:rPr>
          <w:rFonts w:hint="eastAsia" w:ascii="Times New Roman" w:hAnsi="宋体" w:cs="宋体"/>
          <w:szCs w:val="21"/>
        </w:rPr>
      </w:pPr>
      <w:r>
        <w:rPr>
          <w:szCs w:val="21"/>
        </w:rPr>
        <w:t>供应商履行企业相关</w:t>
      </w:r>
      <w:r>
        <w:rPr>
          <w:spacing w:val="-46"/>
          <w:szCs w:val="21"/>
        </w:rPr>
        <w:t xml:space="preserve"> </w:t>
      </w:r>
      <w:r>
        <w:rPr>
          <w:szCs w:val="21"/>
        </w:rPr>
        <w:t>ESG</w:t>
      </w:r>
      <w:r>
        <w:rPr>
          <w:spacing w:val="-45"/>
          <w:szCs w:val="21"/>
        </w:rPr>
        <w:t xml:space="preserve"> </w:t>
      </w:r>
      <w:r>
        <w:rPr>
          <w:szCs w:val="21"/>
        </w:rPr>
        <w:t>准则的</w:t>
      </w:r>
      <w:r>
        <w:rPr>
          <w:spacing w:val="-1"/>
          <w:szCs w:val="21"/>
        </w:rPr>
        <w:t>能力得到定期评审并持续保持；</w:t>
      </w:r>
    </w:p>
    <w:p w14:paraId="6489745E">
      <w:pPr>
        <w:pStyle w:val="12"/>
        <w:numPr>
          <w:ilvl w:val="0"/>
          <w:numId w:val="86"/>
        </w:numPr>
        <w:spacing w:before="20" w:line="360" w:lineRule="auto"/>
        <w:ind w:firstLineChars="0"/>
        <w:rPr>
          <w:rFonts w:hint="eastAsia" w:ascii="Times New Roman" w:hAnsi="宋体" w:cs="宋体"/>
          <w:szCs w:val="21"/>
        </w:rPr>
      </w:pPr>
      <w:r>
        <w:rPr>
          <w:spacing w:val="-2"/>
          <w:szCs w:val="21"/>
        </w:rPr>
        <w:t>采购过程符合法律法规要求和其他要求；</w:t>
      </w:r>
    </w:p>
    <w:p w14:paraId="08421F3B">
      <w:pPr>
        <w:pStyle w:val="12"/>
        <w:numPr>
          <w:ilvl w:val="0"/>
          <w:numId w:val="86"/>
        </w:numPr>
        <w:spacing w:before="24" w:line="360" w:lineRule="auto"/>
        <w:ind w:right="55" w:firstLineChars="0"/>
        <w:rPr>
          <w:rFonts w:hint="eastAsia" w:ascii="Times New Roman" w:hAnsi="宋体" w:cs="宋体"/>
          <w:szCs w:val="21"/>
        </w:rPr>
      </w:pPr>
      <w:r>
        <w:rPr>
          <w:spacing w:val="-2"/>
          <w:szCs w:val="21"/>
        </w:rPr>
        <w:t>采购过程公平公正，对于不宜公开或按照有关</w:t>
      </w:r>
      <w:r>
        <w:rPr>
          <w:spacing w:val="-3"/>
          <w:szCs w:val="21"/>
        </w:rPr>
        <w:t>规定不开展公开招标的采购，宜说明情况（如涉</w:t>
      </w:r>
      <w:r>
        <w:rPr>
          <w:szCs w:val="21"/>
        </w:rPr>
        <w:t xml:space="preserve"> 及技术秘密等</w:t>
      </w:r>
      <w:r>
        <w:rPr>
          <w:spacing w:val="4"/>
          <w:szCs w:val="21"/>
        </w:rPr>
        <w:t>），</w:t>
      </w:r>
      <w:r>
        <w:rPr>
          <w:szCs w:val="21"/>
        </w:rPr>
        <w:t>并解释如何满足</w:t>
      </w:r>
      <w:r>
        <w:rPr>
          <w:spacing w:val="-45"/>
          <w:szCs w:val="21"/>
        </w:rPr>
        <w:t xml:space="preserve"> </w:t>
      </w:r>
      <w:r>
        <w:rPr>
          <w:szCs w:val="21"/>
        </w:rPr>
        <w:t>ESG</w:t>
      </w:r>
      <w:r>
        <w:rPr>
          <w:spacing w:val="-42"/>
          <w:szCs w:val="21"/>
        </w:rPr>
        <w:t xml:space="preserve"> </w:t>
      </w:r>
      <w:r>
        <w:rPr>
          <w:szCs w:val="21"/>
        </w:rPr>
        <w:t>准则要求和控制ESG</w:t>
      </w:r>
      <w:r>
        <w:rPr>
          <w:spacing w:val="-43"/>
          <w:szCs w:val="21"/>
        </w:rPr>
        <w:t xml:space="preserve"> </w:t>
      </w:r>
      <w:r>
        <w:rPr>
          <w:szCs w:val="21"/>
        </w:rPr>
        <w:t>风险。</w:t>
      </w:r>
    </w:p>
    <w:p w14:paraId="6BB4CF2E">
      <w:pPr>
        <w:pStyle w:val="3"/>
        <w:numPr>
          <w:ilvl w:val="0"/>
          <w:numId w:val="85"/>
        </w:numPr>
        <w:spacing w:before="143" w:line="360" w:lineRule="auto"/>
        <w:ind w:firstLineChars="0"/>
        <w:rPr>
          <w:rFonts w:hint="eastAsia" w:ascii="Times New Roman"/>
          <w:szCs w:val="21"/>
        </w:rPr>
      </w:pPr>
      <w:r>
        <w:rPr>
          <w:szCs w:val="21"/>
        </w:rPr>
        <w:t>供应商</w:t>
      </w:r>
    </w:p>
    <w:p w14:paraId="127D131F">
      <w:pPr>
        <w:pStyle w:val="12"/>
        <w:spacing w:before="142" w:line="360" w:lineRule="auto"/>
        <w:ind w:right="55" w:firstLine="416"/>
        <w:rPr>
          <w:szCs w:val="21"/>
        </w:rPr>
      </w:pPr>
      <w:r>
        <w:rPr>
          <w:spacing w:val="-2"/>
          <w:szCs w:val="21"/>
        </w:rPr>
        <w:t>企业需对供应商（包括但不限于原材料供应商、装配服务</w:t>
      </w:r>
      <w:r>
        <w:rPr>
          <w:spacing w:val="-3"/>
          <w:szCs w:val="21"/>
        </w:rPr>
        <w:t>提供方、外包及分包方、经销商等）提供</w:t>
      </w:r>
      <w:r>
        <w:rPr>
          <w:szCs w:val="21"/>
        </w:rPr>
        <w:t xml:space="preserve"> 的产品和服务进行控制以实现 ESG 管理体系的预期结果。</w:t>
      </w:r>
      <w:r>
        <w:rPr>
          <w:rFonts w:hint="eastAsia"/>
          <w:szCs w:val="21"/>
        </w:rPr>
        <w:t>供应商提供的产品和服务符合本文件要求，仍属于企业的ESG责任</w:t>
      </w:r>
      <w:r>
        <w:rPr>
          <w:spacing w:val="-6"/>
          <w:szCs w:val="21"/>
        </w:rPr>
        <w:t>。</w:t>
      </w:r>
    </w:p>
    <w:p w14:paraId="63534608">
      <w:pPr>
        <w:pStyle w:val="12"/>
        <w:spacing w:before="1" w:line="360" w:lineRule="auto"/>
        <w:rPr>
          <w:szCs w:val="21"/>
        </w:rPr>
      </w:pPr>
      <w:r>
        <w:rPr>
          <w:szCs w:val="21"/>
        </w:rPr>
        <w:t>企业宜通过以下事项，确定对供应商提供的产品和服务</w:t>
      </w:r>
      <w:r>
        <w:rPr>
          <w:spacing w:val="-1"/>
          <w:szCs w:val="21"/>
        </w:rPr>
        <w:t>的控制程度：</w:t>
      </w:r>
    </w:p>
    <w:p w14:paraId="0CB27C79">
      <w:pPr>
        <w:pStyle w:val="12"/>
        <w:spacing w:before="23" w:line="360" w:lineRule="auto"/>
        <w:ind w:firstLine="418"/>
        <w:rPr>
          <w:szCs w:val="21"/>
        </w:rPr>
      </w:pPr>
      <w:r>
        <w:rPr>
          <w:spacing w:val="-1"/>
          <w:szCs w:val="21"/>
        </w:rPr>
        <w:t>——供应商满足企业</w:t>
      </w:r>
      <w:r>
        <w:rPr>
          <w:spacing w:val="-45"/>
          <w:szCs w:val="21"/>
        </w:rPr>
        <w:t xml:space="preserve"> </w:t>
      </w:r>
      <w:r>
        <w:rPr>
          <w:spacing w:val="-1"/>
          <w:szCs w:val="21"/>
        </w:rPr>
        <w:t>ESG</w:t>
      </w:r>
      <w:r>
        <w:rPr>
          <w:spacing w:val="-40"/>
          <w:szCs w:val="21"/>
        </w:rPr>
        <w:t xml:space="preserve"> </w:t>
      </w:r>
      <w:r>
        <w:rPr>
          <w:spacing w:val="-1"/>
          <w:szCs w:val="21"/>
        </w:rPr>
        <w:t>管理体系要求的能力；</w:t>
      </w:r>
    </w:p>
    <w:p w14:paraId="365DE016">
      <w:pPr>
        <w:pStyle w:val="12"/>
        <w:spacing w:before="21" w:line="360" w:lineRule="auto"/>
        <w:ind w:firstLine="414"/>
        <w:rPr>
          <w:szCs w:val="21"/>
        </w:rPr>
      </w:pPr>
      <w:r>
        <w:rPr>
          <w:spacing w:val="-3"/>
          <w:szCs w:val="21"/>
        </w:rPr>
        <w:t>——供应商提供产品和服务对企业实现</w:t>
      </w:r>
      <w:r>
        <w:rPr>
          <w:spacing w:val="-44"/>
          <w:szCs w:val="21"/>
        </w:rPr>
        <w:t xml:space="preserve"> </w:t>
      </w:r>
      <w:r>
        <w:rPr>
          <w:spacing w:val="-3"/>
          <w:szCs w:val="21"/>
        </w:rPr>
        <w:t>ESG 目标的潜在影响；</w:t>
      </w:r>
    </w:p>
    <w:p w14:paraId="4A6A7353">
      <w:pPr>
        <w:pStyle w:val="12"/>
        <w:spacing w:before="24" w:line="360" w:lineRule="auto"/>
        <w:rPr>
          <w:szCs w:val="21"/>
        </w:rPr>
      </w:pPr>
      <w:r>
        <w:rPr>
          <w:szCs w:val="21"/>
        </w:rPr>
        <w:t>——供应商按照合同文件要求（质量、时间、数量等）提供产品和服务的条件、意愿和能力；</w:t>
      </w:r>
    </w:p>
    <w:p w14:paraId="70D70DFE">
      <w:pPr>
        <w:pStyle w:val="12"/>
        <w:spacing w:before="21" w:line="360" w:lineRule="auto"/>
        <w:rPr>
          <w:szCs w:val="21"/>
        </w:rPr>
      </w:pPr>
      <w:r>
        <w:rPr>
          <w:szCs w:val="21"/>
        </w:rPr>
        <w:t>——供应商具备充足的资源、能力等支持车辆安全保障和满足有关利益相关方期望；</w:t>
      </w:r>
    </w:p>
    <w:p w14:paraId="0540B71F">
      <w:pPr>
        <w:pStyle w:val="12"/>
        <w:spacing w:before="23" w:line="360" w:lineRule="auto"/>
        <w:rPr>
          <w:szCs w:val="21"/>
        </w:rPr>
      </w:pPr>
      <w:r>
        <w:rPr>
          <w:szCs w:val="21"/>
        </w:rPr>
        <w:t>——企业确定适当的控制措施或评价控制措施的充分性的技术能力；</w:t>
      </w:r>
    </w:p>
    <w:p w14:paraId="1EBDDED4">
      <w:pPr>
        <w:pStyle w:val="12"/>
        <w:spacing w:before="22" w:line="360" w:lineRule="auto"/>
        <w:ind w:firstLine="418"/>
        <w:rPr>
          <w:szCs w:val="21"/>
        </w:rPr>
      </w:pPr>
      <w:r>
        <w:rPr>
          <w:spacing w:val="-1"/>
          <w:szCs w:val="21"/>
        </w:rPr>
        <w:t>——企业通过应用其采购过程实现必要的控制</w:t>
      </w:r>
      <w:r>
        <w:rPr>
          <w:spacing w:val="-2"/>
          <w:szCs w:val="21"/>
        </w:rPr>
        <w:t>的能力；</w:t>
      </w:r>
    </w:p>
    <w:p w14:paraId="751A3830">
      <w:pPr>
        <w:pStyle w:val="12"/>
        <w:spacing w:before="23" w:line="360" w:lineRule="auto"/>
        <w:ind w:firstLine="418"/>
        <w:rPr>
          <w:szCs w:val="21"/>
        </w:rPr>
      </w:pPr>
      <w:r>
        <w:rPr>
          <w:spacing w:val="-1"/>
          <w:szCs w:val="21"/>
        </w:rPr>
        <w:t>——改进的机遇；</w:t>
      </w:r>
    </w:p>
    <w:p w14:paraId="09EA8D17">
      <w:pPr>
        <w:pStyle w:val="12"/>
        <w:spacing w:before="21" w:line="360" w:lineRule="auto"/>
        <w:ind w:firstLine="418"/>
        <w:rPr>
          <w:szCs w:val="21"/>
        </w:rPr>
      </w:pPr>
      <w:r>
        <w:rPr>
          <w:spacing w:val="-1"/>
          <w:szCs w:val="21"/>
        </w:rPr>
        <w:t>——法律法规要求和其他要求（包括合同文件）对供应商的控制程度。</w:t>
      </w:r>
    </w:p>
    <w:p w14:paraId="06336461">
      <w:pPr>
        <w:pStyle w:val="28"/>
        <w:numPr>
          <w:ilvl w:val="0"/>
          <w:numId w:val="58"/>
        </w:numPr>
        <w:spacing w:before="240" w:after="240" w:line="360" w:lineRule="auto"/>
      </w:pPr>
      <w:bookmarkStart w:id="40" w:name="_Toc16994"/>
      <w:r>
        <w:t>应急准备和响应（参见 8.3）</w:t>
      </w:r>
      <w:bookmarkEnd w:id="40"/>
    </w:p>
    <w:p w14:paraId="7C9E997A">
      <w:pPr>
        <w:pStyle w:val="12"/>
        <w:spacing w:before="142" w:line="360" w:lineRule="auto"/>
        <w:rPr>
          <w:szCs w:val="21"/>
        </w:rPr>
      </w:pPr>
      <w:r>
        <w:rPr>
          <w:szCs w:val="21"/>
        </w:rPr>
        <w:t>应急准备和响应策划包括任何时间发生的自然的或人为的事件，主要包括以下事件类型：</w:t>
      </w:r>
    </w:p>
    <w:p w14:paraId="6B72DF05">
      <w:pPr>
        <w:pStyle w:val="12"/>
        <w:numPr>
          <w:ilvl w:val="0"/>
          <w:numId w:val="87"/>
        </w:numPr>
        <w:spacing w:before="24" w:line="360" w:lineRule="auto"/>
        <w:ind w:right="55" w:firstLineChars="0"/>
        <w:rPr>
          <w:rFonts w:hint="eastAsia" w:ascii="Times New Roman" w:hAnsi="宋体" w:cs="宋体"/>
          <w:szCs w:val="21"/>
        </w:rPr>
      </w:pPr>
      <w:r>
        <w:rPr>
          <w:spacing w:val="-2"/>
          <w:szCs w:val="21"/>
        </w:rPr>
        <w:t>始发事件：导致预期运行事件或事故工况并对车辆使用等</w:t>
      </w:r>
      <w:r>
        <w:rPr>
          <w:spacing w:val="-3"/>
          <w:szCs w:val="21"/>
        </w:rPr>
        <w:t>各项功能造成威胁的明确事件，包括</w:t>
      </w:r>
      <w:r>
        <w:rPr>
          <w:szCs w:val="21"/>
        </w:rPr>
        <w:t xml:space="preserve"> </w:t>
      </w:r>
      <w:r>
        <w:rPr>
          <w:spacing w:val="-6"/>
          <w:szCs w:val="21"/>
        </w:rPr>
        <w:t>自然始发事件和人为始发事件；</w:t>
      </w:r>
    </w:p>
    <w:p w14:paraId="30E2ACD7">
      <w:pPr>
        <w:pStyle w:val="12"/>
        <w:numPr>
          <w:ilvl w:val="0"/>
          <w:numId w:val="87"/>
        </w:numPr>
        <w:spacing w:before="24" w:line="360" w:lineRule="auto"/>
        <w:ind w:right="55" w:firstLineChars="0"/>
        <w:rPr>
          <w:rFonts w:hint="eastAsia" w:ascii="Times New Roman" w:hAnsi="宋体" w:cs="宋体"/>
          <w:szCs w:val="21"/>
        </w:rPr>
      </w:pPr>
      <w:r>
        <w:rPr>
          <w:spacing w:val="-2"/>
          <w:szCs w:val="21"/>
        </w:rPr>
        <w:t>相互作用事件：一个事件或相关事件序列，由于其与驾驶</w:t>
      </w:r>
      <w:r>
        <w:rPr>
          <w:rFonts w:hint="eastAsia"/>
          <w:spacing w:val="-2"/>
          <w:szCs w:val="21"/>
        </w:rPr>
        <w:t>车辆</w:t>
      </w:r>
      <w:r>
        <w:rPr>
          <w:spacing w:val="-2"/>
          <w:szCs w:val="21"/>
        </w:rPr>
        <w:t>相互</w:t>
      </w:r>
      <w:r>
        <w:rPr>
          <w:spacing w:val="-3"/>
          <w:szCs w:val="21"/>
        </w:rPr>
        <w:t>作用，可能对企业人员或有</w:t>
      </w:r>
      <w:r>
        <w:rPr>
          <w:szCs w:val="21"/>
        </w:rPr>
        <w:t xml:space="preserve"> </w:t>
      </w:r>
      <w:r>
        <w:rPr>
          <w:spacing w:val="-1"/>
          <w:szCs w:val="21"/>
        </w:rPr>
        <w:t>关利益相关方以及车辆安全相关物项产生影响。</w:t>
      </w:r>
    </w:p>
    <w:p w14:paraId="030D8ED9">
      <w:pPr>
        <w:pStyle w:val="12"/>
        <w:spacing w:before="23" w:line="360" w:lineRule="auto"/>
        <w:ind w:firstLine="418"/>
        <w:rPr>
          <w:szCs w:val="21"/>
        </w:rPr>
      </w:pPr>
      <w:r>
        <w:rPr>
          <w:spacing w:val="-1"/>
          <w:szCs w:val="21"/>
        </w:rPr>
        <w:t>应急准备的示例可包括（但不限于</w:t>
      </w:r>
      <w:r>
        <w:rPr>
          <w:spacing w:val="5"/>
          <w:szCs w:val="21"/>
        </w:rPr>
        <w:t>）：</w:t>
      </w:r>
    </w:p>
    <w:p w14:paraId="3A2DCD09">
      <w:pPr>
        <w:pStyle w:val="12"/>
        <w:numPr>
          <w:ilvl w:val="0"/>
          <w:numId w:val="88"/>
        </w:numPr>
        <w:spacing w:before="19" w:line="360" w:lineRule="auto"/>
        <w:ind w:firstLineChars="0"/>
        <w:rPr>
          <w:rFonts w:hint="eastAsia" w:ascii="Times New Roman" w:hAnsi="宋体" w:cs="宋体"/>
          <w:szCs w:val="21"/>
        </w:rPr>
      </w:pPr>
      <w:r>
        <w:rPr>
          <w:szCs w:val="21"/>
        </w:rPr>
        <w:t>开发共享资源，建立利益相关方应急</w:t>
      </w:r>
      <w:r>
        <w:rPr>
          <w:spacing w:val="-1"/>
          <w:szCs w:val="21"/>
        </w:rPr>
        <w:t>响应体系；</w:t>
      </w:r>
    </w:p>
    <w:p w14:paraId="0A1FA093">
      <w:pPr>
        <w:pStyle w:val="12"/>
        <w:numPr>
          <w:ilvl w:val="0"/>
          <w:numId w:val="88"/>
        </w:numPr>
        <w:spacing w:before="22" w:line="360" w:lineRule="auto"/>
        <w:ind w:firstLineChars="0"/>
        <w:rPr>
          <w:rFonts w:hint="eastAsia" w:ascii="Times New Roman" w:hAnsi="宋体" w:cs="宋体"/>
          <w:szCs w:val="21"/>
        </w:rPr>
      </w:pPr>
      <w:r>
        <w:rPr>
          <w:spacing w:val="-1"/>
          <w:szCs w:val="21"/>
        </w:rPr>
        <w:t>与利益相关方举行定期磋商，识别企业自身</w:t>
      </w:r>
      <w:r>
        <w:rPr>
          <w:rFonts w:hint="eastAsia"/>
          <w:spacing w:val="-1"/>
          <w:szCs w:val="21"/>
        </w:rPr>
        <w:t>生</w:t>
      </w:r>
      <w:r>
        <w:rPr>
          <w:spacing w:val="-1"/>
          <w:szCs w:val="21"/>
        </w:rPr>
        <w:t>产运营及其产品运行过程可能出现的紧急情况；</w:t>
      </w:r>
    </w:p>
    <w:p w14:paraId="7A5FEAC2">
      <w:pPr>
        <w:pStyle w:val="12"/>
        <w:numPr>
          <w:ilvl w:val="0"/>
          <w:numId w:val="87"/>
        </w:numPr>
        <w:spacing w:before="21" w:line="360" w:lineRule="auto"/>
        <w:ind w:firstLineChars="0"/>
        <w:rPr>
          <w:rFonts w:hint="eastAsia" w:ascii="Times New Roman" w:hAnsi="宋体" w:cs="宋体"/>
          <w:szCs w:val="21"/>
        </w:rPr>
      </w:pPr>
      <w:r>
        <w:rPr>
          <w:spacing w:val="-1"/>
          <w:szCs w:val="21"/>
        </w:rPr>
        <w:t>开展员工访谈调查，考察其应急意识，了解不足和改进建议；</w:t>
      </w:r>
    </w:p>
    <w:p w14:paraId="4CBE1FFE">
      <w:pPr>
        <w:pStyle w:val="12"/>
        <w:numPr>
          <w:ilvl w:val="0"/>
          <w:numId w:val="87"/>
        </w:numPr>
        <w:spacing w:before="23" w:line="360" w:lineRule="auto"/>
        <w:ind w:firstLineChars="0"/>
        <w:rPr>
          <w:rFonts w:hint="eastAsia" w:ascii="Times New Roman" w:hAnsi="宋体" w:cs="宋体"/>
          <w:szCs w:val="21"/>
        </w:rPr>
      </w:pPr>
      <w:r>
        <w:rPr>
          <w:spacing w:val="-1"/>
          <w:szCs w:val="21"/>
        </w:rPr>
        <w:t>将早期预警和预防措施作为应急准备和响应机制</w:t>
      </w:r>
      <w:r>
        <w:rPr>
          <w:rFonts w:hint="eastAsia"/>
          <w:spacing w:val="-1"/>
          <w:szCs w:val="21"/>
        </w:rPr>
        <w:t>应</w:t>
      </w:r>
      <w:r>
        <w:rPr>
          <w:spacing w:val="-1"/>
          <w:szCs w:val="21"/>
        </w:rPr>
        <w:t>具备的组成部分；</w:t>
      </w:r>
    </w:p>
    <w:p w14:paraId="34DE3581">
      <w:pPr>
        <w:pStyle w:val="12"/>
        <w:numPr>
          <w:ilvl w:val="0"/>
          <w:numId w:val="87"/>
        </w:numPr>
        <w:spacing w:before="21" w:line="360" w:lineRule="auto"/>
        <w:ind w:firstLineChars="0"/>
        <w:rPr>
          <w:rFonts w:hint="eastAsia" w:ascii="Times New Roman" w:hAnsi="宋体" w:cs="宋体"/>
          <w:szCs w:val="21"/>
        </w:rPr>
      </w:pPr>
      <w:r>
        <w:rPr>
          <w:szCs w:val="21"/>
        </w:rPr>
        <w:t>与外部专业机构合作，针对本行业和公司产品常见的紧急情况制定应急响应</w:t>
      </w:r>
      <w:r>
        <w:rPr>
          <w:spacing w:val="-1"/>
          <w:szCs w:val="21"/>
        </w:rPr>
        <w:t>和准备计划。</w:t>
      </w:r>
    </w:p>
    <w:p w14:paraId="4BB774B9">
      <w:pPr>
        <w:pStyle w:val="12"/>
        <w:spacing w:before="21" w:line="360" w:lineRule="auto"/>
        <w:ind w:firstLine="418"/>
        <w:rPr>
          <w:szCs w:val="21"/>
        </w:rPr>
      </w:pPr>
      <w:r>
        <w:rPr>
          <w:spacing w:val="-1"/>
          <w:szCs w:val="21"/>
        </w:rPr>
        <w:t>应急响应和准备计划应包括（但不限于</w:t>
      </w:r>
      <w:r>
        <w:rPr>
          <w:spacing w:val="6"/>
          <w:szCs w:val="21"/>
        </w:rPr>
        <w:t>）：</w:t>
      </w:r>
    </w:p>
    <w:p w14:paraId="5805B566">
      <w:pPr>
        <w:pStyle w:val="12"/>
        <w:numPr>
          <w:ilvl w:val="0"/>
          <w:numId w:val="89"/>
        </w:numPr>
        <w:spacing w:before="23" w:line="360" w:lineRule="auto"/>
        <w:ind w:right="65" w:firstLineChars="0"/>
        <w:rPr>
          <w:rFonts w:hint="eastAsia" w:ascii="Times New Roman" w:hAnsi="宋体" w:cs="宋体"/>
          <w:szCs w:val="21"/>
        </w:rPr>
      </w:pPr>
      <w:r>
        <w:rPr>
          <w:spacing w:val="2"/>
          <w:szCs w:val="21"/>
        </w:rPr>
        <w:t>基于风险评估对潜在紧急情况的识别，包括对车辆安全紧急情况发生的可能性和可能产生的</w:t>
      </w:r>
      <w:r>
        <w:rPr>
          <w:spacing w:val="11"/>
          <w:szCs w:val="21"/>
        </w:rPr>
        <w:t xml:space="preserve"> </w:t>
      </w:r>
      <w:r>
        <w:rPr>
          <w:szCs w:val="21"/>
        </w:rPr>
        <w:t>后果、生命财产危害的特征、事件发生的特定环境及背景</w:t>
      </w:r>
      <w:r>
        <w:rPr>
          <w:spacing w:val="-1"/>
          <w:szCs w:val="21"/>
        </w:rPr>
        <w:t>等的识别；</w:t>
      </w:r>
    </w:p>
    <w:p w14:paraId="6E0CDBE0">
      <w:pPr>
        <w:pStyle w:val="12"/>
        <w:numPr>
          <w:ilvl w:val="0"/>
          <w:numId w:val="89"/>
        </w:numPr>
        <w:spacing w:before="23" w:line="360" w:lineRule="auto"/>
        <w:ind w:firstLineChars="0"/>
        <w:rPr>
          <w:rFonts w:hint="eastAsia" w:ascii="Times New Roman" w:hAnsi="宋体" w:cs="宋体"/>
          <w:szCs w:val="21"/>
        </w:rPr>
      </w:pPr>
      <w:r>
        <w:rPr>
          <w:szCs w:val="21"/>
        </w:rPr>
        <w:t>对识别出的应急情况的响应程序和标准，以决定何时采取何种防护行动；</w:t>
      </w:r>
    </w:p>
    <w:p w14:paraId="7E5C07B3">
      <w:pPr>
        <w:pStyle w:val="12"/>
        <w:numPr>
          <w:ilvl w:val="0"/>
          <w:numId w:val="89"/>
        </w:numPr>
        <w:spacing w:before="20" w:line="360" w:lineRule="auto"/>
        <w:ind w:firstLineChars="0"/>
        <w:rPr>
          <w:rFonts w:hint="eastAsia" w:ascii="Times New Roman" w:hAnsi="宋体" w:cs="宋体"/>
          <w:szCs w:val="21"/>
        </w:rPr>
      </w:pPr>
      <w:r>
        <w:rPr>
          <w:spacing w:val="-6"/>
          <w:szCs w:val="21"/>
        </w:rPr>
        <w:t>有效应对相关事故等突发事件的管理制度和程序，如驾乘人员营救程序、车辆事故调查程序等；</w:t>
      </w:r>
    </w:p>
    <w:p w14:paraId="2BA04A73">
      <w:pPr>
        <w:pStyle w:val="12"/>
        <w:numPr>
          <w:ilvl w:val="0"/>
          <w:numId w:val="89"/>
        </w:numPr>
        <w:spacing w:before="23" w:line="360" w:lineRule="auto"/>
        <w:ind w:firstLineChars="0"/>
        <w:rPr>
          <w:rFonts w:hint="eastAsia" w:ascii="Times New Roman" w:hAnsi="宋体" w:cs="宋体"/>
          <w:szCs w:val="21"/>
        </w:rPr>
      </w:pPr>
      <w:r>
        <w:rPr>
          <w:spacing w:val="-1"/>
          <w:szCs w:val="21"/>
        </w:rPr>
        <w:t>培训和应急演练程序，包括与本地应急响应机构的联合演练；</w:t>
      </w:r>
    </w:p>
    <w:p w14:paraId="3F54F153">
      <w:pPr>
        <w:pStyle w:val="12"/>
        <w:numPr>
          <w:ilvl w:val="0"/>
          <w:numId w:val="89"/>
        </w:numPr>
        <w:spacing w:before="21" w:line="360" w:lineRule="auto"/>
        <w:ind w:firstLineChars="0"/>
        <w:rPr>
          <w:rFonts w:hint="eastAsia" w:ascii="Times New Roman" w:hAnsi="宋体" w:cs="宋体"/>
          <w:szCs w:val="21"/>
        </w:rPr>
      </w:pPr>
      <w:r>
        <w:rPr>
          <w:spacing w:val="-1"/>
          <w:szCs w:val="21"/>
        </w:rPr>
        <w:t>定期审查和更新应急响应计划的程序。</w:t>
      </w:r>
    </w:p>
    <w:p w14:paraId="38BAC4EF">
      <w:pPr>
        <w:pStyle w:val="28"/>
        <w:numPr>
          <w:ilvl w:val="0"/>
          <w:numId w:val="58"/>
        </w:numPr>
        <w:spacing w:before="240" w:after="240" w:line="360" w:lineRule="auto"/>
      </w:pPr>
      <w:bookmarkStart w:id="41" w:name="_Toc22476"/>
      <w:r>
        <w:t>监视、测量、分析和绩效评价（参见 9.1）</w:t>
      </w:r>
      <w:bookmarkEnd w:id="41"/>
    </w:p>
    <w:p w14:paraId="7021DF1C">
      <w:pPr>
        <w:pStyle w:val="3"/>
        <w:numPr>
          <w:ilvl w:val="0"/>
          <w:numId w:val="90"/>
        </w:numPr>
        <w:spacing w:before="142" w:line="360" w:lineRule="auto"/>
        <w:ind w:firstLineChars="0"/>
        <w:rPr>
          <w:rFonts w:hint="eastAsia" w:ascii="Times New Roman"/>
          <w:szCs w:val="21"/>
        </w:rPr>
      </w:pPr>
      <w:r>
        <w:rPr>
          <w:spacing w:val="-1"/>
          <w:szCs w:val="21"/>
        </w:rPr>
        <w:t>总则</w:t>
      </w:r>
    </w:p>
    <w:p w14:paraId="5E7930A7">
      <w:pPr>
        <w:pStyle w:val="12"/>
        <w:spacing w:before="144" w:line="360" w:lineRule="auto"/>
        <w:ind w:firstLine="418"/>
        <w:rPr>
          <w:szCs w:val="21"/>
        </w:rPr>
      </w:pPr>
      <w:r>
        <w:rPr>
          <w:spacing w:val="-1"/>
          <w:szCs w:val="21"/>
        </w:rPr>
        <w:t>为了实现</w:t>
      </w:r>
      <w:r>
        <w:rPr>
          <w:spacing w:val="-47"/>
          <w:szCs w:val="21"/>
        </w:rPr>
        <w:t xml:space="preserve"> </w:t>
      </w:r>
      <w:r>
        <w:rPr>
          <w:spacing w:val="-1"/>
          <w:szCs w:val="21"/>
        </w:rPr>
        <w:t>ESG</w:t>
      </w:r>
      <w:r>
        <w:rPr>
          <w:spacing w:val="-39"/>
          <w:szCs w:val="21"/>
        </w:rPr>
        <w:t xml:space="preserve"> </w:t>
      </w:r>
      <w:r>
        <w:rPr>
          <w:spacing w:val="-1"/>
          <w:szCs w:val="21"/>
        </w:rPr>
        <w:t>管理体系的预期结果，过程宜予以监视、测量和分析，并与其他业务过</w:t>
      </w:r>
      <w:r>
        <w:rPr>
          <w:spacing w:val="-2"/>
          <w:szCs w:val="21"/>
        </w:rPr>
        <w:t>程相融合：</w:t>
      </w:r>
    </w:p>
    <w:p w14:paraId="6A4C5DB1">
      <w:pPr>
        <w:pStyle w:val="12"/>
        <w:numPr>
          <w:ilvl w:val="0"/>
          <w:numId w:val="91"/>
        </w:numPr>
        <w:spacing w:before="20" w:line="360" w:lineRule="auto"/>
        <w:ind w:firstLineChars="0"/>
        <w:rPr>
          <w:rFonts w:hint="eastAsia" w:ascii="Times New Roman" w:hAnsi="宋体" w:cs="宋体"/>
          <w:szCs w:val="21"/>
        </w:rPr>
      </w:pPr>
      <w:r>
        <w:rPr>
          <w:szCs w:val="21"/>
        </w:rPr>
        <w:t>监视和测量的示例可包括（但不限于</w:t>
      </w:r>
      <w:r>
        <w:rPr>
          <w:spacing w:val="-12"/>
          <w:szCs w:val="21"/>
        </w:rPr>
        <w:t>）：</w:t>
      </w:r>
    </w:p>
    <w:p w14:paraId="0EB34624">
      <w:pPr>
        <w:pStyle w:val="12"/>
        <w:numPr>
          <w:ilvl w:val="0"/>
          <w:numId w:val="92"/>
        </w:numPr>
        <w:spacing w:before="22" w:line="360" w:lineRule="auto"/>
        <w:ind w:firstLineChars="0"/>
        <w:rPr>
          <w:rFonts w:hint="eastAsia" w:ascii="Times New Roman" w:hAnsi="宋体" w:cs="宋体"/>
          <w:szCs w:val="21"/>
        </w:rPr>
      </w:pPr>
      <w:r>
        <w:rPr>
          <w:spacing w:val="-1"/>
          <w:szCs w:val="21"/>
        </w:rPr>
        <w:t>抱怨、投诉和负面舆情等；</w:t>
      </w:r>
    </w:p>
    <w:p w14:paraId="0E9689B4">
      <w:pPr>
        <w:pStyle w:val="12"/>
        <w:numPr>
          <w:ilvl w:val="0"/>
          <w:numId w:val="92"/>
        </w:numPr>
        <w:spacing w:before="19" w:line="360" w:lineRule="auto"/>
        <w:ind w:firstLineChars="0"/>
        <w:rPr>
          <w:rFonts w:hint="eastAsia" w:ascii="Times New Roman" w:hAnsi="宋体" w:cs="宋体"/>
          <w:szCs w:val="21"/>
        </w:rPr>
      </w:pPr>
      <w:r>
        <w:rPr>
          <w:spacing w:val="-2"/>
          <w:szCs w:val="21"/>
        </w:rPr>
        <w:t>相关事件，包括安全事件、发展趋势等；</w:t>
      </w:r>
    </w:p>
    <w:p w14:paraId="402D81D4">
      <w:pPr>
        <w:pStyle w:val="12"/>
        <w:numPr>
          <w:ilvl w:val="0"/>
          <w:numId w:val="92"/>
        </w:numPr>
        <w:spacing w:before="23" w:line="360" w:lineRule="auto"/>
        <w:ind w:firstLineChars="0"/>
        <w:rPr>
          <w:rFonts w:hint="eastAsia" w:ascii="Times New Roman" w:hAnsi="宋体" w:cs="宋体"/>
          <w:szCs w:val="21"/>
        </w:rPr>
      </w:pPr>
      <w:r>
        <w:rPr>
          <w:szCs w:val="21"/>
        </w:rPr>
        <w:t>运行控制和应急演练的有效性，或更改现有控制或引入新的控制的需</w:t>
      </w:r>
      <w:r>
        <w:rPr>
          <w:spacing w:val="-1"/>
          <w:szCs w:val="21"/>
        </w:rPr>
        <w:t>求；</w:t>
      </w:r>
    </w:p>
    <w:p w14:paraId="2CDA67C6">
      <w:pPr>
        <w:pStyle w:val="12"/>
        <w:numPr>
          <w:ilvl w:val="0"/>
          <w:numId w:val="92"/>
        </w:numPr>
        <w:spacing w:before="68" w:line="360" w:lineRule="auto"/>
        <w:ind w:firstLineChars="0"/>
        <w:rPr>
          <w:rFonts w:hint="eastAsia" w:ascii="Times New Roman" w:hAnsi="宋体" w:cs="宋体"/>
          <w:szCs w:val="21"/>
        </w:rPr>
      </w:pPr>
      <w:r>
        <w:rPr>
          <w:spacing w:val="-3"/>
          <w:szCs w:val="21"/>
        </w:rPr>
        <w:t>能力和意识。</w:t>
      </w:r>
    </w:p>
    <w:p w14:paraId="51CBF4E4">
      <w:pPr>
        <w:pStyle w:val="12"/>
        <w:numPr>
          <w:ilvl w:val="0"/>
          <w:numId w:val="91"/>
        </w:numPr>
        <w:spacing w:before="22" w:line="360" w:lineRule="auto"/>
        <w:ind w:firstLineChars="0"/>
        <w:rPr>
          <w:rFonts w:hint="eastAsia" w:ascii="Times New Roman" w:hAnsi="宋体" w:cs="宋体"/>
          <w:szCs w:val="21"/>
        </w:rPr>
      </w:pPr>
      <w:r>
        <w:rPr>
          <w:szCs w:val="21"/>
        </w:rPr>
        <w:t>为了评价法律法规要求的满足情况，监视和测量示例可包括（但不限于</w:t>
      </w:r>
      <w:r>
        <w:rPr>
          <w:spacing w:val="-9"/>
          <w:szCs w:val="21"/>
        </w:rPr>
        <w:t>）：</w:t>
      </w:r>
    </w:p>
    <w:p w14:paraId="187EA021">
      <w:pPr>
        <w:pStyle w:val="12"/>
        <w:numPr>
          <w:ilvl w:val="0"/>
          <w:numId w:val="93"/>
        </w:numPr>
        <w:spacing w:before="21" w:line="360" w:lineRule="auto"/>
        <w:ind w:right="8" w:firstLineChars="0"/>
        <w:rPr>
          <w:rFonts w:hint="eastAsia" w:ascii="Times New Roman" w:hAnsi="宋体" w:cs="宋体"/>
          <w:szCs w:val="21"/>
        </w:rPr>
      </w:pPr>
      <w:r>
        <w:rPr>
          <w:spacing w:val="2"/>
          <w:szCs w:val="21"/>
        </w:rPr>
        <w:t>已识别的法律法规要求（如所有法律法规要求是否已确定，有关</w:t>
      </w:r>
      <w:r>
        <w:rPr>
          <w:spacing w:val="1"/>
          <w:szCs w:val="21"/>
        </w:rPr>
        <w:t>文件化信息是否保持更</w:t>
      </w:r>
      <w:r>
        <w:rPr>
          <w:szCs w:val="21"/>
        </w:rPr>
        <w:t xml:space="preserve"> </w:t>
      </w:r>
      <w:r>
        <w:rPr>
          <w:spacing w:val="-18"/>
          <w:w w:val="99"/>
          <w:szCs w:val="21"/>
        </w:rPr>
        <w:t>新</w:t>
      </w:r>
      <w:r>
        <w:rPr>
          <w:spacing w:val="-9"/>
          <w:szCs w:val="21"/>
        </w:rPr>
        <w:t>）；</w:t>
      </w:r>
    </w:p>
    <w:p w14:paraId="4CD1C889">
      <w:pPr>
        <w:pStyle w:val="12"/>
        <w:numPr>
          <w:ilvl w:val="0"/>
          <w:numId w:val="93"/>
        </w:numPr>
        <w:spacing w:before="19" w:line="360" w:lineRule="auto"/>
        <w:ind w:firstLineChars="0"/>
        <w:rPr>
          <w:rFonts w:hint="eastAsia" w:ascii="Times New Roman" w:hAnsi="宋体" w:cs="宋体"/>
          <w:szCs w:val="21"/>
        </w:rPr>
      </w:pPr>
      <w:r>
        <w:rPr>
          <w:spacing w:val="-5"/>
          <w:szCs w:val="21"/>
        </w:rPr>
        <w:t>已识别的合规差距状况。</w:t>
      </w:r>
    </w:p>
    <w:p w14:paraId="2707129A">
      <w:pPr>
        <w:pStyle w:val="12"/>
        <w:numPr>
          <w:ilvl w:val="0"/>
          <w:numId w:val="91"/>
        </w:numPr>
        <w:spacing w:before="23" w:line="360" w:lineRule="auto"/>
        <w:ind w:firstLineChars="0"/>
        <w:rPr>
          <w:rFonts w:hint="eastAsia" w:ascii="Times New Roman" w:hAnsi="宋体" w:cs="宋体"/>
          <w:szCs w:val="21"/>
        </w:rPr>
      </w:pPr>
      <w:r>
        <w:rPr>
          <w:szCs w:val="21"/>
        </w:rPr>
        <w:t>为了评价其他要求的满足情况，监视和测量示例可包括（但不限于</w:t>
      </w:r>
      <w:r>
        <w:rPr>
          <w:spacing w:val="-12"/>
          <w:szCs w:val="21"/>
        </w:rPr>
        <w:t>）：</w:t>
      </w:r>
    </w:p>
    <w:p w14:paraId="556167D3">
      <w:pPr>
        <w:pStyle w:val="12"/>
        <w:numPr>
          <w:ilvl w:val="0"/>
          <w:numId w:val="94"/>
        </w:numPr>
        <w:spacing w:before="21" w:line="360" w:lineRule="auto"/>
        <w:ind w:firstLineChars="0"/>
        <w:rPr>
          <w:rFonts w:hint="eastAsia" w:ascii="Times New Roman" w:hAnsi="宋体" w:cs="宋体"/>
          <w:szCs w:val="21"/>
        </w:rPr>
      </w:pPr>
      <w:r>
        <w:rPr>
          <w:spacing w:val="-8"/>
          <w:szCs w:val="21"/>
        </w:rPr>
        <w:t>合同文件；</w:t>
      </w:r>
    </w:p>
    <w:p w14:paraId="14D8E73E">
      <w:pPr>
        <w:pStyle w:val="12"/>
        <w:numPr>
          <w:ilvl w:val="0"/>
          <w:numId w:val="94"/>
        </w:numPr>
        <w:spacing w:before="22" w:line="360" w:lineRule="auto"/>
        <w:ind w:firstLineChars="0"/>
        <w:rPr>
          <w:rFonts w:hint="eastAsia" w:ascii="Times New Roman" w:hAnsi="宋体" w:cs="宋体"/>
          <w:szCs w:val="21"/>
        </w:rPr>
      </w:pPr>
      <w:r>
        <w:rPr>
          <w:spacing w:val="-3"/>
          <w:szCs w:val="21"/>
        </w:rPr>
        <w:t>标准、规范和条例；</w:t>
      </w:r>
    </w:p>
    <w:p w14:paraId="602BE3FA">
      <w:pPr>
        <w:pStyle w:val="12"/>
        <w:numPr>
          <w:ilvl w:val="0"/>
          <w:numId w:val="94"/>
        </w:numPr>
        <w:spacing w:before="21" w:line="360" w:lineRule="auto"/>
        <w:ind w:firstLineChars="0"/>
        <w:rPr>
          <w:rFonts w:hint="eastAsia" w:ascii="Times New Roman" w:hAnsi="宋体" w:cs="宋体"/>
          <w:szCs w:val="21"/>
        </w:rPr>
      </w:pPr>
      <w:r>
        <w:rPr>
          <w:spacing w:val="-6"/>
          <w:szCs w:val="21"/>
        </w:rPr>
        <w:t>公司规章制度；</w:t>
      </w:r>
    </w:p>
    <w:p w14:paraId="0ED5DF57">
      <w:pPr>
        <w:pStyle w:val="12"/>
        <w:numPr>
          <w:ilvl w:val="0"/>
          <w:numId w:val="94"/>
        </w:numPr>
        <w:spacing w:before="21" w:line="360" w:lineRule="auto"/>
        <w:ind w:firstLineChars="0"/>
        <w:rPr>
          <w:rFonts w:hint="eastAsia" w:ascii="Times New Roman" w:hAnsi="宋体" w:cs="宋体"/>
          <w:szCs w:val="21"/>
        </w:rPr>
      </w:pPr>
      <w:r>
        <w:rPr>
          <w:spacing w:val="-2"/>
          <w:szCs w:val="21"/>
        </w:rPr>
        <w:t>其他有关规定要求。</w:t>
      </w:r>
    </w:p>
    <w:p w14:paraId="3DE5C733">
      <w:pPr>
        <w:pStyle w:val="12"/>
        <w:numPr>
          <w:ilvl w:val="0"/>
          <w:numId w:val="91"/>
        </w:numPr>
        <w:spacing w:before="23" w:line="360" w:lineRule="auto"/>
        <w:ind w:firstLineChars="0"/>
        <w:rPr>
          <w:rFonts w:hint="eastAsia" w:ascii="Times New Roman" w:hAnsi="宋体" w:cs="宋体"/>
          <w:szCs w:val="21"/>
        </w:rPr>
      </w:pPr>
      <w:r>
        <w:rPr>
          <w:spacing w:val="-1"/>
          <w:szCs w:val="21"/>
        </w:rPr>
        <w:t>准则是企业用于比较</w:t>
      </w:r>
      <w:r>
        <w:rPr>
          <w:spacing w:val="-41"/>
          <w:szCs w:val="21"/>
        </w:rPr>
        <w:t xml:space="preserve"> </w:t>
      </w:r>
      <w:r>
        <w:rPr>
          <w:spacing w:val="-1"/>
          <w:szCs w:val="21"/>
        </w:rPr>
        <w:t>ESG</w:t>
      </w:r>
      <w:r>
        <w:rPr>
          <w:spacing w:val="-43"/>
          <w:szCs w:val="21"/>
        </w:rPr>
        <w:t xml:space="preserve"> </w:t>
      </w:r>
      <w:r>
        <w:rPr>
          <w:spacing w:val="-1"/>
          <w:szCs w:val="21"/>
        </w:rPr>
        <w:t>绩效的参照：</w:t>
      </w:r>
    </w:p>
    <w:p w14:paraId="3317CB04">
      <w:pPr>
        <w:pStyle w:val="12"/>
        <w:numPr>
          <w:ilvl w:val="0"/>
          <w:numId w:val="95"/>
        </w:numPr>
        <w:spacing w:before="19" w:line="360" w:lineRule="auto"/>
        <w:ind w:firstLineChars="0"/>
        <w:rPr>
          <w:rFonts w:hint="eastAsia" w:ascii="Times New Roman" w:hAnsi="宋体" w:cs="宋体"/>
          <w:szCs w:val="21"/>
        </w:rPr>
      </w:pPr>
      <w:r>
        <w:rPr>
          <w:spacing w:val="-8"/>
          <w:szCs w:val="21"/>
        </w:rPr>
        <w:t>基准示例：</w:t>
      </w:r>
    </w:p>
    <w:p w14:paraId="32D429FA">
      <w:pPr>
        <w:pStyle w:val="12"/>
        <w:numPr>
          <w:ilvl w:val="0"/>
          <w:numId w:val="96"/>
        </w:numPr>
        <w:spacing w:before="23" w:line="360" w:lineRule="auto"/>
        <w:ind w:firstLineChars="0"/>
        <w:rPr>
          <w:spacing w:val="-1"/>
          <w:szCs w:val="21"/>
        </w:rPr>
      </w:pPr>
      <w:r>
        <w:rPr>
          <w:spacing w:val="-1"/>
          <w:szCs w:val="21"/>
        </w:rPr>
        <w:t xml:space="preserve">其他汽车行业企业； </w:t>
      </w:r>
    </w:p>
    <w:p w14:paraId="105B2747">
      <w:pPr>
        <w:pStyle w:val="12"/>
        <w:numPr>
          <w:ilvl w:val="0"/>
          <w:numId w:val="96"/>
        </w:numPr>
        <w:spacing w:before="23" w:line="360" w:lineRule="auto"/>
        <w:ind w:firstLineChars="0"/>
        <w:rPr>
          <w:spacing w:val="-1"/>
          <w:szCs w:val="21"/>
        </w:rPr>
      </w:pPr>
      <w:r>
        <w:rPr>
          <w:spacing w:val="-1"/>
          <w:szCs w:val="21"/>
        </w:rPr>
        <w:t>标准和规范；</w:t>
      </w:r>
    </w:p>
    <w:p w14:paraId="13FE7EE6">
      <w:pPr>
        <w:pStyle w:val="12"/>
        <w:numPr>
          <w:ilvl w:val="0"/>
          <w:numId w:val="96"/>
        </w:numPr>
        <w:spacing w:before="23" w:line="360" w:lineRule="auto"/>
        <w:ind w:firstLineChars="0"/>
        <w:rPr>
          <w:spacing w:val="-1"/>
          <w:szCs w:val="21"/>
        </w:rPr>
      </w:pPr>
      <w:r>
        <w:rPr>
          <w:spacing w:val="-1"/>
          <w:szCs w:val="21"/>
        </w:rPr>
        <w:t>企业自身的准则和目标；</w:t>
      </w:r>
    </w:p>
    <w:p w14:paraId="2557088F">
      <w:pPr>
        <w:pStyle w:val="12"/>
        <w:numPr>
          <w:ilvl w:val="0"/>
          <w:numId w:val="96"/>
        </w:numPr>
        <w:spacing w:before="23" w:line="360" w:lineRule="auto"/>
        <w:ind w:firstLineChars="0"/>
        <w:rPr>
          <w:spacing w:val="-1"/>
          <w:szCs w:val="21"/>
        </w:rPr>
      </w:pPr>
      <w:r>
        <w:rPr>
          <w:spacing w:val="-1"/>
          <w:szCs w:val="21"/>
        </w:rPr>
        <w:t>ESG 数据和信息；</w:t>
      </w:r>
    </w:p>
    <w:p w14:paraId="16F028F9">
      <w:pPr>
        <w:pStyle w:val="12"/>
        <w:numPr>
          <w:ilvl w:val="0"/>
          <w:numId w:val="95"/>
        </w:numPr>
        <w:spacing w:before="23" w:line="360" w:lineRule="auto"/>
        <w:ind w:firstLineChars="0"/>
        <w:rPr>
          <w:rFonts w:hint="eastAsia" w:ascii="Times New Roman" w:hAnsi="宋体" w:cs="宋体"/>
          <w:szCs w:val="21"/>
        </w:rPr>
      </w:pPr>
      <w:r>
        <w:rPr>
          <w:spacing w:val="-5"/>
          <w:szCs w:val="21"/>
        </w:rPr>
        <w:t>测量准则示例：</w:t>
      </w:r>
    </w:p>
    <w:p w14:paraId="166095D3">
      <w:pPr>
        <w:pStyle w:val="12"/>
        <w:numPr>
          <w:ilvl w:val="0"/>
          <w:numId w:val="97"/>
        </w:numPr>
        <w:spacing w:before="23" w:line="360" w:lineRule="auto"/>
        <w:ind w:firstLineChars="0"/>
        <w:rPr>
          <w:spacing w:val="-1"/>
          <w:szCs w:val="21"/>
        </w:rPr>
      </w:pPr>
      <w:r>
        <w:rPr>
          <w:spacing w:val="-1"/>
          <w:szCs w:val="21"/>
        </w:rPr>
        <w:t>若准则是对事件的比较，则企业可选择考虑事件的频率、类型、严重程度或数量；此时 每一项准则内，指标可以是确定的比率；</w:t>
      </w:r>
    </w:p>
    <w:p w14:paraId="1260906E">
      <w:pPr>
        <w:pStyle w:val="12"/>
        <w:numPr>
          <w:ilvl w:val="0"/>
          <w:numId w:val="97"/>
        </w:numPr>
        <w:spacing w:before="23" w:line="360" w:lineRule="auto"/>
        <w:ind w:firstLineChars="0"/>
        <w:rPr>
          <w:spacing w:val="-1"/>
          <w:szCs w:val="21"/>
        </w:rPr>
      </w:pPr>
      <w:r>
        <w:rPr>
          <w:spacing w:val="-1"/>
          <w:szCs w:val="21"/>
        </w:rPr>
        <w:t>若准则是对纠正措施完成情况的比较，则指标可以是按时完成的百分比。</w:t>
      </w:r>
    </w:p>
    <w:p w14:paraId="1D917819">
      <w:pPr>
        <w:pStyle w:val="12"/>
        <w:spacing w:before="24" w:line="360" w:lineRule="auto"/>
        <w:rPr>
          <w:szCs w:val="21"/>
        </w:rPr>
      </w:pPr>
      <w:r>
        <w:rPr>
          <w:szCs w:val="21"/>
        </w:rPr>
        <w:t>监视包含持续的检查、监督、审核或确定状态等，以便识别所要求的或所期望的 ESG 绩效水平变</w:t>
      </w:r>
      <w:r>
        <w:rPr>
          <w:spacing w:val="4"/>
          <w:szCs w:val="21"/>
        </w:rPr>
        <w:t xml:space="preserve"> </w:t>
      </w:r>
      <w:r>
        <w:rPr>
          <w:spacing w:val="-1"/>
          <w:szCs w:val="21"/>
        </w:rPr>
        <w:t>化。监视可适用于</w:t>
      </w:r>
      <w:r>
        <w:rPr>
          <w:spacing w:val="-47"/>
          <w:szCs w:val="21"/>
        </w:rPr>
        <w:t xml:space="preserve"> </w:t>
      </w:r>
      <w:r>
        <w:rPr>
          <w:spacing w:val="-1"/>
          <w:szCs w:val="21"/>
        </w:rPr>
        <w:t>ESG</w:t>
      </w:r>
      <w:r>
        <w:rPr>
          <w:spacing w:val="-39"/>
          <w:szCs w:val="21"/>
        </w:rPr>
        <w:t xml:space="preserve"> </w:t>
      </w:r>
      <w:r>
        <w:rPr>
          <w:spacing w:val="-1"/>
          <w:szCs w:val="21"/>
        </w:rPr>
        <w:t>管理体系运行、过程或控制。</w:t>
      </w:r>
    </w:p>
    <w:p w14:paraId="70B90A08">
      <w:pPr>
        <w:pStyle w:val="12"/>
        <w:spacing w:line="360" w:lineRule="auto"/>
        <w:ind w:firstLine="418"/>
        <w:rPr>
          <w:szCs w:val="21"/>
        </w:rPr>
      </w:pPr>
      <w:r>
        <w:rPr>
          <w:spacing w:val="-1"/>
          <w:szCs w:val="21"/>
        </w:rPr>
        <w:t>监视示例包括（但不限于</w:t>
      </w:r>
      <w:r>
        <w:rPr>
          <w:spacing w:val="-10"/>
          <w:szCs w:val="21"/>
        </w:rPr>
        <w:t>）：</w:t>
      </w:r>
    </w:p>
    <w:p w14:paraId="05C2C288">
      <w:pPr>
        <w:pStyle w:val="12"/>
        <w:numPr>
          <w:ilvl w:val="0"/>
          <w:numId w:val="98"/>
        </w:numPr>
        <w:spacing w:before="20" w:line="360" w:lineRule="auto"/>
        <w:ind w:firstLineChars="0"/>
        <w:rPr>
          <w:rFonts w:hint="eastAsia" w:ascii="Times New Roman" w:hAnsi="宋体" w:cs="宋体"/>
          <w:szCs w:val="21"/>
        </w:rPr>
      </w:pPr>
      <w:r>
        <w:rPr>
          <w:spacing w:val="-9"/>
          <w:szCs w:val="21"/>
        </w:rPr>
        <w:t>访谈；</w:t>
      </w:r>
    </w:p>
    <w:p w14:paraId="1BAD84FE">
      <w:pPr>
        <w:pStyle w:val="12"/>
        <w:numPr>
          <w:ilvl w:val="0"/>
          <w:numId w:val="98"/>
        </w:numPr>
        <w:spacing w:before="21" w:line="360" w:lineRule="auto"/>
        <w:ind w:firstLineChars="0"/>
        <w:rPr>
          <w:rFonts w:hint="eastAsia" w:ascii="Times New Roman" w:hAnsi="宋体" w:cs="宋体"/>
          <w:szCs w:val="21"/>
        </w:rPr>
      </w:pPr>
      <w:r>
        <w:rPr>
          <w:spacing w:val="-1"/>
          <w:szCs w:val="21"/>
        </w:rPr>
        <w:t>文件化信息评审；</w:t>
      </w:r>
    </w:p>
    <w:p w14:paraId="6AD3D6D8">
      <w:pPr>
        <w:pStyle w:val="12"/>
        <w:numPr>
          <w:ilvl w:val="0"/>
          <w:numId w:val="98"/>
        </w:numPr>
        <w:spacing w:before="20" w:line="360" w:lineRule="auto"/>
        <w:ind w:firstLineChars="0"/>
        <w:rPr>
          <w:rFonts w:hint="eastAsia" w:ascii="Times New Roman" w:hAnsi="宋体" w:cs="宋体"/>
          <w:szCs w:val="21"/>
        </w:rPr>
      </w:pPr>
      <w:r>
        <w:rPr>
          <w:spacing w:val="-1"/>
          <w:szCs w:val="21"/>
        </w:rPr>
        <w:t>对正在执行的过程进行监督审查等。</w:t>
      </w:r>
    </w:p>
    <w:p w14:paraId="5BE5FCC0">
      <w:pPr>
        <w:pStyle w:val="12"/>
        <w:spacing w:before="22" w:line="360" w:lineRule="auto"/>
        <w:rPr>
          <w:szCs w:val="21"/>
        </w:rPr>
      </w:pPr>
      <w:r>
        <w:rPr>
          <w:szCs w:val="21"/>
        </w:rPr>
        <w:t>测量通常涉及为目标及指标赋值，是获取定量数据</w:t>
      </w:r>
      <w:r>
        <w:rPr>
          <w:spacing w:val="-1"/>
          <w:szCs w:val="21"/>
        </w:rPr>
        <w:t>的基础。</w:t>
      </w:r>
    </w:p>
    <w:p w14:paraId="211E3B54">
      <w:pPr>
        <w:pStyle w:val="12"/>
        <w:spacing w:before="21" w:line="360" w:lineRule="auto"/>
        <w:ind w:firstLine="418"/>
        <w:rPr>
          <w:szCs w:val="21"/>
        </w:rPr>
      </w:pPr>
      <w:r>
        <w:rPr>
          <w:spacing w:val="-1"/>
          <w:szCs w:val="21"/>
        </w:rPr>
        <w:t>测量示例包括（但不限于</w:t>
      </w:r>
      <w:r>
        <w:rPr>
          <w:spacing w:val="-10"/>
          <w:szCs w:val="21"/>
        </w:rPr>
        <w:t>）：</w:t>
      </w:r>
    </w:p>
    <w:p w14:paraId="1FD6B65F">
      <w:pPr>
        <w:pStyle w:val="12"/>
        <w:numPr>
          <w:ilvl w:val="0"/>
          <w:numId w:val="99"/>
        </w:numPr>
        <w:spacing w:before="22" w:line="360" w:lineRule="auto"/>
        <w:ind w:firstLineChars="0"/>
        <w:rPr>
          <w:rFonts w:hint="eastAsia" w:ascii="Times New Roman" w:hAnsi="宋体" w:cs="宋体"/>
          <w:szCs w:val="21"/>
        </w:rPr>
      </w:pPr>
      <w:r>
        <w:rPr>
          <w:spacing w:val="-3"/>
          <w:szCs w:val="21"/>
        </w:rPr>
        <w:t>策划的目标及指标实现程度；</w:t>
      </w:r>
    </w:p>
    <w:p w14:paraId="0B1F1E7A">
      <w:pPr>
        <w:pStyle w:val="12"/>
        <w:numPr>
          <w:ilvl w:val="0"/>
          <w:numId w:val="99"/>
        </w:numPr>
        <w:spacing w:before="19" w:line="360" w:lineRule="auto"/>
        <w:ind w:firstLineChars="0"/>
        <w:rPr>
          <w:rFonts w:hint="eastAsia" w:ascii="Times New Roman" w:hAnsi="宋体" w:cs="宋体"/>
          <w:szCs w:val="21"/>
        </w:rPr>
      </w:pPr>
      <w:r>
        <w:rPr>
          <w:spacing w:val="-3"/>
          <w:szCs w:val="21"/>
        </w:rPr>
        <w:t>策划的目标及指标数据；</w:t>
      </w:r>
    </w:p>
    <w:p w14:paraId="43E0D821">
      <w:pPr>
        <w:pStyle w:val="12"/>
        <w:numPr>
          <w:ilvl w:val="0"/>
          <w:numId w:val="99"/>
        </w:numPr>
        <w:spacing w:before="20" w:line="360" w:lineRule="auto"/>
        <w:ind w:firstLineChars="0"/>
        <w:rPr>
          <w:rFonts w:hint="eastAsia" w:ascii="Times New Roman" w:hAnsi="宋体" w:cs="宋体"/>
          <w:szCs w:val="21"/>
        </w:rPr>
      </w:pPr>
      <w:r>
        <w:rPr>
          <w:spacing w:val="-2"/>
          <w:szCs w:val="21"/>
        </w:rPr>
        <w:t>策划的目标及指标偏差率。</w:t>
      </w:r>
    </w:p>
    <w:p w14:paraId="23D05177">
      <w:pPr>
        <w:pStyle w:val="12"/>
        <w:spacing w:before="23" w:line="360" w:lineRule="auto"/>
        <w:ind w:firstLine="418"/>
        <w:rPr>
          <w:szCs w:val="21"/>
        </w:rPr>
      </w:pPr>
      <w:r>
        <w:rPr>
          <w:spacing w:val="-1"/>
          <w:szCs w:val="21"/>
        </w:rPr>
        <w:t>分析是检查数据以揭示关系、模式和趋势的过程，从测量数据中得出结论。</w:t>
      </w:r>
    </w:p>
    <w:p w14:paraId="09D21627">
      <w:pPr>
        <w:pStyle w:val="12"/>
        <w:spacing w:before="20" w:line="360" w:lineRule="auto"/>
        <w:ind w:firstLine="418"/>
        <w:rPr>
          <w:szCs w:val="21"/>
        </w:rPr>
      </w:pPr>
      <w:r>
        <w:rPr>
          <w:spacing w:val="-1"/>
          <w:szCs w:val="21"/>
        </w:rPr>
        <w:t>分析示例包括（但不限于</w:t>
      </w:r>
      <w:r>
        <w:rPr>
          <w:spacing w:val="-11"/>
          <w:szCs w:val="21"/>
        </w:rPr>
        <w:t>）：</w:t>
      </w:r>
    </w:p>
    <w:p w14:paraId="5BA89A6D">
      <w:pPr>
        <w:pStyle w:val="12"/>
        <w:numPr>
          <w:ilvl w:val="0"/>
          <w:numId w:val="100"/>
        </w:numPr>
        <w:spacing w:before="22" w:line="360" w:lineRule="auto"/>
        <w:ind w:firstLineChars="0"/>
        <w:rPr>
          <w:rFonts w:hint="eastAsia" w:ascii="Times New Roman" w:hAnsi="宋体" w:cs="宋体"/>
          <w:szCs w:val="21"/>
        </w:rPr>
      </w:pPr>
      <w:r>
        <w:rPr>
          <w:spacing w:val="-1"/>
          <w:szCs w:val="21"/>
        </w:rPr>
        <w:t>策划的目标及指标偏差的根本原因；</w:t>
      </w:r>
    </w:p>
    <w:p w14:paraId="6E3933A4">
      <w:pPr>
        <w:pStyle w:val="12"/>
        <w:numPr>
          <w:ilvl w:val="0"/>
          <w:numId w:val="100"/>
        </w:numPr>
        <w:spacing w:before="21" w:line="360" w:lineRule="auto"/>
        <w:ind w:firstLineChars="0"/>
        <w:rPr>
          <w:rFonts w:hint="eastAsia" w:ascii="Times New Roman" w:hAnsi="宋体" w:cs="宋体"/>
          <w:szCs w:val="21"/>
        </w:rPr>
      </w:pPr>
      <w:r>
        <w:rPr>
          <w:spacing w:val="1"/>
          <w:szCs w:val="21"/>
        </w:rPr>
        <w:t>策划的目标及指标设置的合理性；</w:t>
      </w:r>
    </w:p>
    <w:p w14:paraId="237F17EF">
      <w:pPr>
        <w:pStyle w:val="12"/>
        <w:numPr>
          <w:ilvl w:val="0"/>
          <w:numId w:val="100"/>
        </w:numPr>
        <w:spacing w:before="22" w:line="360" w:lineRule="auto"/>
        <w:ind w:firstLineChars="0"/>
        <w:rPr>
          <w:rFonts w:hint="eastAsia" w:ascii="Times New Roman" w:hAnsi="宋体" w:cs="宋体"/>
          <w:szCs w:val="21"/>
        </w:rPr>
      </w:pPr>
      <w:r>
        <w:rPr>
          <w:spacing w:val="-3"/>
          <w:szCs w:val="21"/>
        </w:rPr>
        <w:t>策划的目标及指标实现趋势。</w:t>
      </w:r>
    </w:p>
    <w:p w14:paraId="5DC60151">
      <w:pPr>
        <w:pStyle w:val="12"/>
        <w:spacing w:before="20" w:line="360" w:lineRule="auto"/>
        <w:rPr>
          <w:szCs w:val="21"/>
        </w:rPr>
      </w:pPr>
      <w:r>
        <w:rPr>
          <w:szCs w:val="21"/>
        </w:rPr>
        <w:t>绩效评价是为确定主题事项在实现所制定的ESG管理体系目标</w:t>
      </w:r>
      <w:r>
        <w:rPr>
          <w:rFonts w:hint="eastAsia"/>
          <w:szCs w:val="21"/>
        </w:rPr>
        <w:t>中</w:t>
      </w:r>
      <w:r>
        <w:rPr>
          <w:szCs w:val="21"/>
        </w:rPr>
        <w:t>适宜性、充分性和有效性所开展</w:t>
      </w:r>
      <w:r>
        <w:rPr>
          <w:spacing w:val="1"/>
          <w:szCs w:val="21"/>
        </w:rPr>
        <w:t xml:space="preserve"> </w:t>
      </w:r>
      <w:r>
        <w:rPr>
          <w:spacing w:val="-4"/>
          <w:szCs w:val="21"/>
        </w:rPr>
        <w:t>的一项活动。</w:t>
      </w:r>
    </w:p>
    <w:p w14:paraId="102D63EF">
      <w:pPr>
        <w:pStyle w:val="3"/>
        <w:numPr>
          <w:ilvl w:val="0"/>
          <w:numId w:val="90"/>
        </w:numPr>
        <w:spacing w:before="112" w:line="360" w:lineRule="auto"/>
        <w:ind w:firstLineChars="0"/>
        <w:rPr>
          <w:rFonts w:hint="eastAsia" w:ascii="Times New Roman"/>
          <w:szCs w:val="21"/>
        </w:rPr>
      </w:pPr>
      <w:r>
        <w:rPr>
          <w:szCs w:val="21"/>
        </w:rPr>
        <w:t>合规性评价</w:t>
      </w:r>
    </w:p>
    <w:p w14:paraId="385F83B1">
      <w:pPr>
        <w:pStyle w:val="12"/>
        <w:spacing w:before="143" w:line="360" w:lineRule="auto"/>
        <w:ind w:firstLine="416"/>
        <w:rPr>
          <w:szCs w:val="21"/>
        </w:rPr>
      </w:pPr>
      <w:r>
        <w:rPr>
          <w:spacing w:val="-2"/>
          <w:szCs w:val="21"/>
        </w:rPr>
        <w:t>合规性评价的频次和时机可能会发生变化，这取决于要求的重</w:t>
      </w:r>
      <w:r>
        <w:rPr>
          <w:spacing w:val="-3"/>
          <w:szCs w:val="21"/>
        </w:rPr>
        <w:t>要性、运行状况的变化、法律法规要</w:t>
      </w:r>
      <w:r>
        <w:rPr>
          <w:szCs w:val="21"/>
        </w:rPr>
        <w:t xml:space="preserve"> </w:t>
      </w:r>
      <w:r>
        <w:rPr>
          <w:spacing w:val="-2"/>
          <w:szCs w:val="21"/>
        </w:rPr>
        <w:t>求和其他要求变化、车辆设计研发和运行计划变化以及企业以往的业绩等</w:t>
      </w:r>
      <w:r>
        <w:rPr>
          <w:spacing w:val="-3"/>
          <w:szCs w:val="21"/>
        </w:rPr>
        <w:t>。企业可以使用多种方法保持</w:t>
      </w:r>
      <w:r>
        <w:rPr>
          <w:szCs w:val="21"/>
        </w:rPr>
        <w:t xml:space="preserve"> </w:t>
      </w:r>
      <w:r>
        <w:rPr>
          <w:spacing w:val="-2"/>
          <w:szCs w:val="21"/>
        </w:rPr>
        <w:t>对其合规状况的认识和理解。</w:t>
      </w:r>
    </w:p>
    <w:p w14:paraId="434BFC29">
      <w:pPr>
        <w:pStyle w:val="3"/>
        <w:numPr>
          <w:ilvl w:val="0"/>
          <w:numId w:val="90"/>
        </w:numPr>
        <w:spacing w:before="115" w:line="360" w:lineRule="auto"/>
        <w:ind w:firstLineChars="0"/>
        <w:rPr>
          <w:rFonts w:hint="eastAsia" w:ascii="Times New Roman"/>
          <w:szCs w:val="21"/>
        </w:rPr>
      </w:pPr>
      <w:r>
        <w:rPr>
          <w:spacing w:val="-1"/>
          <w:szCs w:val="21"/>
        </w:rPr>
        <w:t>内部审核（参见9.2）</w:t>
      </w:r>
    </w:p>
    <w:p w14:paraId="55158916">
      <w:pPr>
        <w:pStyle w:val="12"/>
        <w:spacing w:before="143" w:line="360" w:lineRule="auto"/>
        <w:ind w:firstLine="416"/>
        <w:rPr>
          <w:szCs w:val="21"/>
        </w:rPr>
      </w:pPr>
      <w:r>
        <w:rPr>
          <w:spacing w:val="-2"/>
          <w:szCs w:val="21"/>
        </w:rPr>
        <w:t>审核方案的详略程度宜基于</w:t>
      </w:r>
      <w:r>
        <w:rPr>
          <w:spacing w:val="-33"/>
          <w:szCs w:val="21"/>
        </w:rPr>
        <w:t xml:space="preserve"> </w:t>
      </w:r>
      <w:r>
        <w:rPr>
          <w:spacing w:val="-2"/>
          <w:szCs w:val="21"/>
        </w:rPr>
        <w:t>ESG</w:t>
      </w:r>
      <w:r>
        <w:rPr>
          <w:spacing w:val="-41"/>
          <w:szCs w:val="21"/>
        </w:rPr>
        <w:t xml:space="preserve"> </w:t>
      </w:r>
      <w:r>
        <w:rPr>
          <w:spacing w:val="-2"/>
          <w:szCs w:val="21"/>
        </w:rPr>
        <w:t>管理体系的复杂性和成熟度水平。</w:t>
      </w:r>
    </w:p>
    <w:p w14:paraId="3638E2D1">
      <w:pPr>
        <w:pStyle w:val="3"/>
        <w:numPr>
          <w:ilvl w:val="0"/>
          <w:numId w:val="90"/>
        </w:numPr>
        <w:spacing w:before="68" w:line="360" w:lineRule="auto"/>
        <w:ind w:firstLineChars="0"/>
        <w:rPr>
          <w:rFonts w:hint="eastAsia" w:ascii="Times New Roman"/>
          <w:szCs w:val="21"/>
        </w:rPr>
      </w:pPr>
      <w:r>
        <w:rPr>
          <w:rFonts w:ascii="宋体" w:hAnsi="Calibri" w:eastAsia="宋体"/>
          <w:spacing w:val="2"/>
          <w:szCs w:val="21"/>
        </w:rPr>
        <w:t>企业可通过创建过程将内部审核员的审核角色从日常承担的职责中分离出来，或者使用符合有关</w:t>
      </w:r>
      <w:r>
        <w:rPr>
          <w:rFonts w:ascii="宋体" w:hAnsi="Calibri" w:eastAsia="宋体"/>
          <w:spacing w:val="10"/>
          <w:szCs w:val="21"/>
        </w:rPr>
        <w:t xml:space="preserve"> </w:t>
      </w:r>
      <w:r>
        <w:rPr>
          <w:rFonts w:ascii="宋体" w:hAnsi="Calibri" w:eastAsia="宋体"/>
          <w:szCs w:val="21"/>
        </w:rPr>
        <w:t>要求的外部人员承担内部审核职能，以确保内部审核的客观性和</w:t>
      </w:r>
      <w:r>
        <w:rPr>
          <w:rFonts w:ascii="宋体" w:hAnsi="Calibri" w:eastAsia="宋体"/>
          <w:spacing w:val="-1"/>
          <w:szCs w:val="21"/>
        </w:rPr>
        <w:t>公正性。</w:t>
      </w:r>
    </w:p>
    <w:p w14:paraId="3F622CE4">
      <w:pPr>
        <w:pStyle w:val="3"/>
        <w:numPr>
          <w:ilvl w:val="0"/>
          <w:numId w:val="90"/>
        </w:numPr>
        <w:spacing w:before="68" w:line="360" w:lineRule="auto"/>
        <w:ind w:firstLineChars="0"/>
        <w:rPr>
          <w:rFonts w:hint="eastAsia" w:ascii="Times New Roman"/>
          <w:szCs w:val="21"/>
        </w:rPr>
      </w:pPr>
      <w:r>
        <w:rPr>
          <w:spacing w:val="-1"/>
          <w:szCs w:val="21"/>
        </w:rPr>
        <w:t>管理评审（参见9.3）</w:t>
      </w:r>
    </w:p>
    <w:p w14:paraId="3460ECD0">
      <w:pPr>
        <w:pStyle w:val="12"/>
        <w:spacing w:before="143" w:line="360" w:lineRule="auto"/>
        <w:ind w:firstLine="414"/>
        <w:rPr>
          <w:szCs w:val="21"/>
        </w:rPr>
      </w:pPr>
      <w:r>
        <w:rPr>
          <w:spacing w:val="-3"/>
          <w:szCs w:val="21"/>
        </w:rPr>
        <w:t>管理评审所用术语宜理解如下：</w:t>
      </w:r>
    </w:p>
    <w:p w14:paraId="0569B411">
      <w:pPr>
        <w:pStyle w:val="12"/>
        <w:numPr>
          <w:ilvl w:val="0"/>
          <w:numId w:val="101"/>
        </w:numPr>
        <w:spacing w:before="19" w:line="360" w:lineRule="auto"/>
        <w:ind w:firstLineChars="0"/>
        <w:rPr>
          <w:rFonts w:hint="eastAsia" w:ascii="Times New Roman" w:hAnsi="宋体" w:cs="宋体"/>
          <w:szCs w:val="21"/>
        </w:rPr>
      </w:pPr>
      <w:r>
        <w:rPr>
          <w:spacing w:val="-1"/>
          <w:szCs w:val="21"/>
        </w:rPr>
        <w:t>适宜性：指</w:t>
      </w:r>
      <w:r>
        <w:rPr>
          <w:spacing w:val="-46"/>
          <w:szCs w:val="21"/>
        </w:rPr>
        <w:t xml:space="preserve"> </w:t>
      </w:r>
      <w:r>
        <w:rPr>
          <w:spacing w:val="-1"/>
          <w:szCs w:val="21"/>
        </w:rPr>
        <w:t>ESG</w:t>
      </w:r>
      <w:r>
        <w:rPr>
          <w:spacing w:val="-42"/>
          <w:szCs w:val="21"/>
        </w:rPr>
        <w:t xml:space="preserve"> </w:t>
      </w:r>
      <w:r>
        <w:rPr>
          <w:spacing w:val="-1"/>
          <w:szCs w:val="21"/>
        </w:rPr>
        <w:t>管理体系如何适合于企业及其运行、文化和业务</w:t>
      </w:r>
      <w:r>
        <w:rPr>
          <w:spacing w:val="-2"/>
          <w:szCs w:val="21"/>
        </w:rPr>
        <w:t>系统；</w:t>
      </w:r>
    </w:p>
    <w:p w14:paraId="432DB51C">
      <w:pPr>
        <w:pStyle w:val="12"/>
        <w:numPr>
          <w:ilvl w:val="0"/>
          <w:numId w:val="101"/>
        </w:numPr>
        <w:spacing w:before="22" w:line="360" w:lineRule="auto"/>
        <w:ind w:firstLineChars="0"/>
        <w:rPr>
          <w:rFonts w:hint="eastAsia" w:ascii="Times New Roman" w:hAnsi="宋体" w:cs="宋体"/>
          <w:szCs w:val="21"/>
        </w:rPr>
      </w:pPr>
      <w:r>
        <w:rPr>
          <w:spacing w:val="-2"/>
          <w:szCs w:val="21"/>
        </w:rPr>
        <w:t>充分性：指</w:t>
      </w:r>
      <w:r>
        <w:rPr>
          <w:spacing w:val="-33"/>
          <w:szCs w:val="21"/>
        </w:rPr>
        <w:t xml:space="preserve"> </w:t>
      </w:r>
      <w:r>
        <w:rPr>
          <w:spacing w:val="-2"/>
          <w:szCs w:val="21"/>
        </w:rPr>
        <w:t>ESG</w:t>
      </w:r>
      <w:r>
        <w:rPr>
          <w:spacing w:val="-41"/>
          <w:szCs w:val="21"/>
        </w:rPr>
        <w:t xml:space="preserve"> </w:t>
      </w:r>
      <w:r>
        <w:rPr>
          <w:spacing w:val="-2"/>
          <w:szCs w:val="21"/>
        </w:rPr>
        <w:t>管理体系是否得到恰当实施；</w:t>
      </w:r>
    </w:p>
    <w:p w14:paraId="4B89D135">
      <w:pPr>
        <w:pStyle w:val="12"/>
        <w:numPr>
          <w:ilvl w:val="0"/>
          <w:numId w:val="101"/>
        </w:numPr>
        <w:spacing w:before="21" w:line="360" w:lineRule="auto"/>
        <w:ind w:firstLineChars="0"/>
        <w:rPr>
          <w:rFonts w:hint="eastAsia" w:ascii="Times New Roman" w:hAnsi="宋体" w:cs="宋体"/>
          <w:szCs w:val="21"/>
        </w:rPr>
      </w:pPr>
      <w:r>
        <w:rPr>
          <w:spacing w:val="-1"/>
          <w:szCs w:val="21"/>
        </w:rPr>
        <w:t>有效性：是指</w:t>
      </w:r>
      <w:r>
        <w:rPr>
          <w:spacing w:val="-40"/>
          <w:szCs w:val="21"/>
        </w:rPr>
        <w:t xml:space="preserve"> </w:t>
      </w:r>
      <w:r>
        <w:rPr>
          <w:spacing w:val="-1"/>
          <w:szCs w:val="21"/>
        </w:rPr>
        <w:t>ESG</w:t>
      </w:r>
      <w:r>
        <w:rPr>
          <w:spacing w:val="-38"/>
          <w:szCs w:val="21"/>
        </w:rPr>
        <w:t xml:space="preserve"> </w:t>
      </w:r>
      <w:r>
        <w:rPr>
          <w:spacing w:val="-1"/>
          <w:szCs w:val="21"/>
        </w:rPr>
        <w:t>管理体系是否正在实现预期结果。</w:t>
      </w:r>
    </w:p>
    <w:p w14:paraId="012BB686">
      <w:pPr>
        <w:pStyle w:val="12"/>
        <w:spacing w:before="22" w:line="360" w:lineRule="auto"/>
        <w:ind w:right="74" w:firstLine="416"/>
        <w:rPr>
          <w:szCs w:val="21"/>
        </w:rPr>
      </w:pPr>
      <w:r>
        <w:rPr>
          <w:spacing w:val="-2"/>
          <w:szCs w:val="21"/>
        </w:rPr>
        <w:t>9.3 中的</w:t>
      </w:r>
      <w:r>
        <w:rPr>
          <w:spacing w:val="-10"/>
          <w:szCs w:val="21"/>
        </w:rPr>
        <w:t xml:space="preserve"> </w:t>
      </w:r>
      <w:r>
        <w:rPr>
          <w:spacing w:val="-2"/>
          <w:szCs w:val="21"/>
        </w:rPr>
        <w:t>a）至 i）不必在一次管理评审中均得到处理，企业宜根据自身情况确定何时和如何处理</w:t>
      </w:r>
      <w:r>
        <w:rPr>
          <w:szCs w:val="21"/>
        </w:rPr>
        <w:t xml:space="preserve"> </w:t>
      </w:r>
      <w:r>
        <w:rPr>
          <w:spacing w:val="-2"/>
          <w:szCs w:val="21"/>
        </w:rPr>
        <w:t>管理评审的问题。企业可根据自身实际情况，评估将年度总结或半年总</w:t>
      </w:r>
      <w:r>
        <w:rPr>
          <w:spacing w:val="-3"/>
          <w:szCs w:val="21"/>
        </w:rPr>
        <w:t>结与管理评审融合的可能性和必</w:t>
      </w:r>
      <w:r>
        <w:rPr>
          <w:szCs w:val="21"/>
        </w:rPr>
        <w:t xml:space="preserve"> </w:t>
      </w:r>
      <w:r>
        <w:rPr>
          <w:spacing w:val="-1"/>
          <w:szCs w:val="21"/>
        </w:rPr>
        <w:t>要性，以进一步提升管理评审的充分性和有效性。</w:t>
      </w:r>
    </w:p>
    <w:p w14:paraId="0505E51C">
      <w:pPr>
        <w:pStyle w:val="3"/>
        <w:numPr>
          <w:ilvl w:val="0"/>
          <w:numId w:val="90"/>
        </w:numPr>
        <w:spacing w:before="115" w:line="360" w:lineRule="auto"/>
        <w:ind w:firstLineChars="0"/>
        <w:rPr>
          <w:rFonts w:hint="eastAsia" w:ascii="Times New Roman"/>
          <w:szCs w:val="21"/>
        </w:rPr>
      </w:pPr>
      <w:r>
        <w:rPr>
          <w:spacing w:val="-1"/>
          <w:szCs w:val="21"/>
        </w:rPr>
        <w:t>外部评价（参见9.4）</w:t>
      </w:r>
    </w:p>
    <w:p w14:paraId="4E332004">
      <w:pPr>
        <w:pStyle w:val="12"/>
        <w:spacing w:before="141" w:line="360" w:lineRule="auto"/>
        <w:ind w:firstLine="414"/>
        <w:rPr>
          <w:szCs w:val="21"/>
        </w:rPr>
      </w:pPr>
      <w:r>
        <w:rPr>
          <w:spacing w:val="-3"/>
          <w:szCs w:val="21"/>
        </w:rPr>
        <w:t>第三方认证审核（如有）是对企业</w:t>
      </w:r>
      <w:r>
        <w:rPr>
          <w:spacing w:val="-31"/>
          <w:szCs w:val="21"/>
        </w:rPr>
        <w:t xml:space="preserve"> </w:t>
      </w:r>
      <w:r>
        <w:rPr>
          <w:spacing w:val="-3"/>
          <w:szCs w:val="21"/>
        </w:rPr>
        <w:t>ESG</w:t>
      </w:r>
      <w:r>
        <w:rPr>
          <w:spacing w:val="-39"/>
          <w:szCs w:val="21"/>
        </w:rPr>
        <w:t xml:space="preserve"> </w:t>
      </w:r>
      <w:r>
        <w:rPr>
          <w:spacing w:val="-3"/>
          <w:szCs w:val="21"/>
        </w:rPr>
        <w:t>管理体系的适宜性、充分性和有效性进行审核，由获得认可</w:t>
      </w:r>
    </w:p>
    <w:p w14:paraId="1A600B4F">
      <w:pPr>
        <w:pStyle w:val="12"/>
        <w:spacing w:line="360" w:lineRule="auto"/>
        <w:ind w:firstLine="418"/>
        <w:rPr>
          <w:szCs w:val="21"/>
        </w:rPr>
      </w:pPr>
      <w:r>
        <w:rPr>
          <w:spacing w:val="-1"/>
          <w:szCs w:val="21"/>
        </w:rPr>
        <w:t>的认证机构证明企业的管理体系符合本文件、法律法规要求和</w:t>
      </w:r>
      <w:r>
        <w:rPr>
          <w:spacing w:val="-2"/>
          <w:szCs w:val="21"/>
        </w:rPr>
        <w:t>其他要求的合格评定活动。</w:t>
      </w:r>
      <w:r>
        <w:rPr>
          <w:szCs w:val="21"/>
        </w:rPr>
        <w:t xml:space="preserve"> </w:t>
      </w:r>
      <w:r>
        <w:rPr>
          <w:spacing w:val="-3"/>
          <w:szCs w:val="21"/>
        </w:rPr>
        <w:t>A.19  改进（参见第</w:t>
      </w:r>
      <w:r>
        <w:rPr>
          <w:spacing w:val="-22"/>
          <w:szCs w:val="21"/>
        </w:rPr>
        <w:t xml:space="preserve"> </w:t>
      </w:r>
      <w:r>
        <w:rPr>
          <w:spacing w:val="-3"/>
          <w:szCs w:val="21"/>
        </w:rPr>
        <w:t>10</w:t>
      </w:r>
      <w:r>
        <w:rPr>
          <w:spacing w:val="-43"/>
          <w:szCs w:val="21"/>
        </w:rPr>
        <w:t xml:space="preserve"> </w:t>
      </w:r>
      <w:r>
        <w:rPr>
          <w:spacing w:val="-3"/>
          <w:szCs w:val="21"/>
        </w:rPr>
        <w:t>章）</w:t>
      </w:r>
    </w:p>
    <w:p w14:paraId="719EA5B8">
      <w:pPr>
        <w:pStyle w:val="12"/>
        <w:numPr>
          <w:ilvl w:val="0"/>
          <w:numId w:val="102"/>
        </w:numPr>
        <w:spacing w:line="360" w:lineRule="auto"/>
        <w:ind w:firstLineChars="0"/>
        <w:rPr>
          <w:rFonts w:ascii="Times New Roman"/>
          <w:szCs w:val="21"/>
        </w:rPr>
      </w:pPr>
      <w:r>
        <w:rPr>
          <w:spacing w:val="-1"/>
          <w:szCs w:val="21"/>
        </w:rPr>
        <w:t>总则</w:t>
      </w:r>
    </w:p>
    <w:p w14:paraId="6E4883BE">
      <w:pPr>
        <w:pStyle w:val="12"/>
        <w:spacing w:before="142" w:line="360" w:lineRule="auto"/>
        <w:ind w:right="74" w:firstLine="414"/>
        <w:rPr>
          <w:szCs w:val="21"/>
        </w:rPr>
      </w:pPr>
      <w:r>
        <w:rPr>
          <w:spacing w:val="-3"/>
          <w:szCs w:val="21"/>
        </w:rPr>
        <w:t>在采取措施进行改进时，企业宜考虑来自</w:t>
      </w:r>
      <w:r>
        <w:rPr>
          <w:spacing w:val="-30"/>
          <w:szCs w:val="21"/>
        </w:rPr>
        <w:t xml:space="preserve"> </w:t>
      </w:r>
      <w:r>
        <w:rPr>
          <w:spacing w:val="-3"/>
          <w:szCs w:val="21"/>
        </w:rPr>
        <w:t>ESG</w:t>
      </w:r>
      <w:r>
        <w:rPr>
          <w:spacing w:val="-43"/>
          <w:szCs w:val="21"/>
        </w:rPr>
        <w:t xml:space="preserve"> </w:t>
      </w:r>
      <w:r>
        <w:rPr>
          <w:spacing w:val="-3"/>
          <w:szCs w:val="21"/>
        </w:rPr>
        <w:t>绩效的分析和评价、合规性评价、内部审核、管理评</w:t>
      </w:r>
      <w:r>
        <w:rPr>
          <w:szCs w:val="21"/>
        </w:rPr>
        <w:t xml:space="preserve"> </w:t>
      </w:r>
      <w:r>
        <w:rPr>
          <w:spacing w:val="-2"/>
          <w:szCs w:val="21"/>
        </w:rPr>
        <w:t>审和外部评价的结果。</w:t>
      </w:r>
    </w:p>
    <w:p w14:paraId="6EF3129F">
      <w:pPr>
        <w:pStyle w:val="12"/>
        <w:spacing w:before="1" w:line="360" w:lineRule="auto"/>
        <w:ind w:firstLine="416"/>
        <w:rPr>
          <w:szCs w:val="21"/>
        </w:rPr>
      </w:pPr>
      <w:r>
        <w:rPr>
          <w:spacing w:val="-2"/>
          <w:szCs w:val="21"/>
        </w:rPr>
        <w:t>改进示例包括：纠正措施、持续改进等。</w:t>
      </w:r>
    </w:p>
    <w:p w14:paraId="7E1E4EAD">
      <w:pPr>
        <w:pStyle w:val="12"/>
        <w:numPr>
          <w:ilvl w:val="0"/>
          <w:numId w:val="102"/>
        </w:numPr>
        <w:spacing w:line="360" w:lineRule="auto"/>
        <w:ind w:firstLineChars="0"/>
        <w:rPr>
          <w:rFonts w:ascii="Times New Roman"/>
          <w:szCs w:val="21"/>
        </w:rPr>
      </w:pPr>
      <w:r>
        <w:rPr>
          <w:szCs w:val="21"/>
        </w:rPr>
        <w:t>事件、不符合和纠正措施</w:t>
      </w:r>
    </w:p>
    <w:p w14:paraId="6BBD38DB">
      <w:pPr>
        <w:pStyle w:val="12"/>
        <w:spacing w:before="143" w:line="360" w:lineRule="auto"/>
        <w:ind w:right="74" w:firstLine="416"/>
        <w:rPr>
          <w:szCs w:val="21"/>
        </w:rPr>
      </w:pPr>
      <w:r>
        <w:rPr>
          <w:spacing w:val="-2"/>
          <w:szCs w:val="21"/>
        </w:rPr>
        <w:t>事件调查和不符合评审可以是分开的过程，也可以合并为一个过</w:t>
      </w:r>
      <w:r>
        <w:rPr>
          <w:spacing w:val="-3"/>
          <w:szCs w:val="21"/>
        </w:rPr>
        <w:t>程，对于分开和合并的决策，取决</w:t>
      </w:r>
      <w:r>
        <w:rPr>
          <w:szCs w:val="21"/>
        </w:rPr>
        <w:t xml:space="preserve"> </w:t>
      </w:r>
      <w:r>
        <w:rPr>
          <w:spacing w:val="-3"/>
          <w:szCs w:val="21"/>
        </w:rPr>
        <w:t>于企业的有关要求。</w:t>
      </w:r>
    </w:p>
    <w:p w14:paraId="553B2D0F">
      <w:pPr>
        <w:pStyle w:val="12"/>
        <w:spacing w:line="360" w:lineRule="auto"/>
        <w:ind w:firstLine="418"/>
        <w:rPr>
          <w:szCs w:val="21"/>
        </w:rPr>
      </w:pPr>
      <w:r>
        <w:rPr>
          <w:spacing w:val="-1"/>
          <w:szCs w:val="21"/>
        </w:rPr>
        <w:t>事件、不符合和纠正措施的示例可包括（但不限于</w:t>
      </w:r>
      <w:r>
        <w:rPr>
          <w:spacing w:val="-4"/>
          <w:szCs w:val="21"/>
        </w:rPr>
        <w:t>）：</w:t>
      </w:r>
    </w:p>
    <w:p w14:paraId="5A3C69E5">
      <w:pPr>
        <w:pStyle w:val="12"/>
        <w:numPr>
          <w:ilvl w:val="0"/>
          <w:numId w:val="103"/>
        </w:numPr>
        <w:spacing w:before="23" w:line="360" w:lineRule="auto"/>
        <w:ind w:firstLineChars="0"/>
        <w:rPr>
          <w:rFonts w:hint="eastAsia" w:ascii="Times New Roman" w:hAnsi="宋体" w:cs="宋体"/>
          <w:szCs w:val="21"/>
        </w:rPr>
      </w:pPr>
      <w:r>
        <w:rPr>
          <w:spacing w:val="-1"/>
          <w:szCs w:val="21"/>
        </w:rPr>
        <w:t>事件：缺陷产品召回事件；腐败事件</w:t>
      </w:r>
      <w:r>
        <w:rPr>
          <w:spacing w:val="-2"/>
          <w:szCs w:val="21"/>
        </w:rPr>
        <w:t>；劳资纠纷事件等；</w:t>
      </w:r>
    </w:p>
    <w:p w14:paraId="5AB7610A">
      <w:pPr>
        <w:pStyle w:val="12"/>
        <w:numPr>
          <w:ilvl w:val="0"/>
          <w:numId w:val="103"/>
        </w:numPr>
        <w:spacing w:before="19" w:line="360" w:lineRule="auto"/>
        <w:ind w:firstLineChars="0"/>
        <w:rPr>
          <w:rFonts w:hint="eastAsia" w:ascii="Times New Roman" w:hAnsi="宋体" w:cs="宋体"/>
          <w:szCs w:val="21"/>
        </w:rPr>
      </w:pPr>
      <w:r>
        <w:rPr>
          <w:spacing w:val="-1"/>
          <w:szCs w:val="21"/>
        </w:rPr>
        <w:t>不符合：未满足法律法规要求和其他要求；未按标准运行</w:t>
      </w:r>
      <w:r>
        <w:rPr>
          <w:spacing w:val="-46"/>
          <w:szCs w:val="21"/>
        </w:rPr>
        <w:t xml:space="preserve"> </w:t>
      </w:r>
      <w:r>
        <w:rPr>
          <w:spacing w:val="-1"/>
          <w:szCs w:val="21"/>
        </w:rPr>
        <w:t>ESG</w:t>
      </w:r>
      <w:r>
        <w:rPr>
          <w:spacing w:val="-41"/>
          <w:szCs w:val="21"/>
        </w:rPr>
        <w:t xml:space="preserve"> </w:t>
      </w:r>
      <w:r>
        <w:rPr>
          <w:spacing w:val="-1"/>
          <w:szCs w:val="21"/>
        </w:rPr>
        <w:t>管理</w:t>
      </w:r>
      <w:r>
        <w:rPr>
          <w:spacing w:val="-2"/>
          <w:szCs w:val="21"/>
        </w:rPr>
        <w:t>体系等；</w:t>
      </w:r>
    </w:p>
    <w:p w14:paraId="48129739">
      <w:pPr>
        <w:pStyle w:val="12"/>
        <w:numPr>
          <w:ilvl w:val="0"/>
          <w:numId w:val="103"/>
        </w:numPr>
        <w:spacing w:before="23" w:line="360" w:lineRule="auto"/>
        <w:ind w:firstLineChars="0"/>
        <w:rPr>
          <w:rFonts w:hint="eastAsia" w:ascii="Times New Roman" w:hAnsi="宋体" w:cs="宋体"/>
          <w:szCs w:val="21"/>
        </w:rPr>
      </w:pPr>
      <w:r>
        <w:rPr>
          <w:spacing w:val="-2"/>
          <w:szCs w:val="21"/>
        </w:rPr>
        <w:t>纠正措施（见</w:t>
      </w:r>
      <w:r>
        <w:rPr>
          <w:spacing w:val="-43"/>
          <w:szCs w:val="21"/>
        </w:rPr>
        <w:t xml:space="preserve"> </w:t>
      </w:r>
      <w:r>
        <w:rPr>
          <w:spacing w:val="-2"/>
          <w:szCs w:val="21"/>
        </w:rPr>
        <w:t>8.1.2</w:t>
      </w:r>
      <w:r>
        <w:rPr>
          <w:spacing w:val="-7"/>
          <w:szCs w:val="21"/>
        </w:rPr>
        <w:t>）：</w:t>
      </w:r>
    </w:p>
    <w:p w14:paraId="0C403057">
      <w:pPr>
        <w:pStyle w:val="12"/>
        <w:numPr>
          <w:ilvl w:val="0"/>
          <w:numId w:val="104"/>
        </w:numPr>
        <w:spacing w:before="20" w:line="360" w:lineRule="auto"/>
        <w:ind w:firstLineChars="0"/>
        <w:rPr>
          <w:rFonts w:hint="eastAsia" w:ascii="Times New Roman" w:hAnsi="宋体" w:cs="宋体"/>
          <w:szCs w:val="21"/>
        </w:rPr>
      </w:pPr>
      <w:r>
        <w:rPr>
          <w:spacing w:val="-2"/>
          <w:szCs w:val="21"/>
        </w:rPr>
        <w:t>消除不良影响：实施措施终止环境、社会负面影响；</w:t>
      </w:r>
    </w:p>
    <w:p w14:paraId="158B29CA">
      <w:pPr>
        <w:pStyle w:val="12"/>
        <w:numPr>
          <w:ilvl w:val="0"/>
          <w:numId w:val="104"/>
        </w:numPr>
        <w:spacing w:before="24" w:line="360" w:lineRule="auto"/>
        <w:ind w:right="91" w:firstLineChars="0"/>
        <w:rPr>
          <w:rFonts w:hint="eastAsia" w:ascii="Times New Roman" w:hAnsi="宋体" w:cs="宋体"/>
          <w:szCs w:val="21"/>
        </w:rPr>
      </w:pPr>
      <w:r>
        <w:rPr>
          <w:szCs w:val="21"/>
        </w:rPr>
        <w:t>用较小不良影响替代较大不良影响：投入资源进行技术</w:t>
      </w:r>
      <w:r>
        <w:rPr>
          <w:spacing w:val="-1"/>
          <w:szCs w:val="21"/>
        </w:rPr>
        <w:t>改造；开展培训提升可能受影响的利益相关方应对影响的能力和意识等。</w:t>
      </w:r>
    </w:p>
    <w:p w14:paraId="16CED5FE">
      <w:pPr>
        <w:pStyle w:val="12"/>
        <w:spacing w:before="22" w:line="360" w:lineRule="auto"/>
        <w:ind w:firstLine="406"/>
        <w:rPr>
          <w:szCs w:val="21"/>
        </w:rPr>
      </w:pPr>
      <w:r>
        <w:rPr>
          <w:spacing w:val="-7"/>
          <w:szCs w:val="21"/>
        </w:rPr>
        <w:t>根本原因分析是指通过探究发生事件或不符合的有关因素（如</w:t>
      </w:r>
      <w:r>
        <w:rPr>
          <w:spacing w:val="-8"/>
          <w:szCs w:val="21"/>
        </w:rPr>
        <w:t>沟通、能力、人为因素、自然因素等）</w:t>
      </w:r>
      <w:r>
        <w:rPr>
          <w:szCs w:val="21"/>
        </w:rPr>
        <w:t xml:space="preserve">  </w:t>
      </w:r>
      <w:r>
        <w:rPr>
          <w:spacing w:val="-1"/>
          <w:szCs w:val="21"/>
        </w:rPr>
        <w:t>和导致事物发生变化的根源或者导致事物发生变化的最本质的原因，以便防止其再次发生而提供输入。</w:t>
      </w:r>
    </w:p>
    <w:p w14:paraId="17F4402D">
      <w:pPr>
        <w:pStyle w:val="12"/>
        <w:spacing w:before="1" w:line="360" w:lineRule="auto"/>
        <w:ind w:firstLine="418"/>
        <w:rPr>
          <w:szCs w:val="21"/>
        </w:rPr>
      </w:pPr>
      <w:r>
        <w:rPr>
          <w:spacing w:val="-1"/>
          <w:szCs w:val="21"/>
        </w:rPr>
        <w:t>纠正措施有效性的评审是指对所实施的纠正措施充分控制有关因素和根本原因发生的程度的评审。</w:t>
      </w:r>
    </w:p>
    <w:p w14:paraId="104EBC18">
      <w:pPr>
        <w:pStyle w:val="12"/>
        <w:numPr>
          <w:ilvl w:val="0"/>
          <w:numId w:val="102"/>
        </w:numPr>
        <w:spacing w:line="360" w:lineRule="auto"/>
        <w:ind w:firstLineChars="0"/>
        <w:rPr>
          <w:rFonts w:ascii="Times New Roman"/>
          <w:szCs w:val="21"/>
        </w:rPr>
      </w:pPr>
      <w:r>
        <w:rPr>
          <w:szCs w:val="21"/>
        </w:rPr>
        <w:t>持续改进</w:t>
      </w:r>
    </w:p>
    <w:p w14:paraId="37928B9B">
      <w:pPr>
        <w:pStyle w:val="12"/>
        <w:spacing w:before="141" w:line="360" w:lineRule="auto"/>
        <w:ind w:firstLine="418"/>
        <w:rPr>
          <w:szCs w:val="21"/>
        </w:rPr>
      </w:pPr>
      <w:r>
        <w:rPr>
          <w:spacing w:val="-1"/>
          <w:szCs w:val="21"/>
        </w:rPr>
        <w:t>持续改进需考虑重要因素包括（但不限于</w:t>
      </w:r>
      <w:r>
        <w:rPr>
          <w:spacing w:val="-7"/>
          <w:szCs w:val="21"/>
        </w:rPr>
        <w:t>）：</w:t>
      </w:r>
    </w:p>
    <w:p w14:paraId="0C029D91">
      <w:pPr>
        <w:pStyle w:val="12"/>
        <w:numPr>
          <w:ilvl w:val="0"/>
          <w:numId w:val="105"/>
        </w:numPr>
        <w:spacing w:before="23" w:line="360" w:lineRule="auto"/>
        <w:ind w:firstLineChars="0"/>
        <w:rPr>
          <w:rFonts w:hint="eastAsia" w:ascii="Times New Roman" w:hAnsi="宋体" w:cs="宋体"/>
          <w:szCs w:val="21"/>
        </w:rPr>
      </w:pPr>
      <w:r>
        <w:rPr>
          <w:spacing w:val="-1"/>
          <w:szCs w:val="21"/>
        </w:rPr>
        <w:t>相关法律法规要求和其他要求的重大修改；</w:t>
      </w:r>
    </w:p>
    <w:p w14:paraId="5B637880">
      <w:pPr>
        <w:pStyle w:val="12"/>
        <w:numPr>
          <w:ilvl w:val="0"/>
          <w:numId w:val="105"/>
        </w:numPr>
        <w:spacing w:before="20" w:line="360" w:lineRule="auto"/>
        <w:ind w:firstLineChars="0"/>
        <w:rPr>
          <w:rFonts w:hint="eastAsia" w:ascii="Times New Roman" w:hAnsi="宋体" w:cs="宋体"/>
          <w:szCs w:val="21"/>
        </w:rPr>
      </w:pPr>
      <w:r>
        <w:rPr>
          <w:spacing w:val="-1"/>
          <w:szCs w:val="21"/>
        </w:rPr>
        <w:t>汽车行业内外部环境的重大变化；</w:t>
      </w:r>
    </w:p>
    <w:p w14:paraId="1212A284">
      <w:pPr>
        <w:pStyle w:val="12"/>
        <w:numPr>
          <w:ilvl w:val="0"/>
          <w:numId w:val="105"/>
        </w:numPr>
        <w:spacing w:before="22" w:line="360" w:lineRule="auto"/>
        <w:ind w:firstLineChars="0"/>
        <w:rPr>
          <w:rFonts w:hint="eastAsia" w:ascii="Times New Roman" w:hAnsi="宋体" w:cs="宋体"/>
          <w:szCs w:val="21"/>
        </w:rPr>
      </w:pPr>
      <w:r>
        <w:rPr>
          <w:szCs w:val="21"/>
        </w:rPr>
        <w:t>汽车相关技术（如制造工艺、车辆安全及车联网等方面</w:t>
      </w:r>
      <w:r>
        <w:rPr>
          <w:spacing w:val="-1"/>
          <w:szCs w:val="21"/>
        </w:rPr>
        <w:t>）的发展和革新；</w:t>
      </w:r>
    </w:p>
    <w:p w14:paraId="6FF15786">
      <w:pPr>
        <w:pStyle w:val="12"/>
        <w:numPr>
          <w:ilvl w:val="0"/>
          <w:numId w:val="105"/>
        </w:numPr>
        <w:spacing w:before="21" w:line="360" w:lineRule="auto"/>
        <w:ind w:firstLineChars="0"/>
        <w:rPr>
          <w:rFonts w:hint="eastAsia" w:ascii="Times New Roman" w:hAnsi="宋体" w:cs="宋体"/>
          <w:szCs w:val="21"/>
        </w:rPr>
      </w:pPr>
      <w:r>
        <w:rPr>
          <w:spacing w:val="-1"/>
          <w:szCs w:val="21"/>
        </w:rPr>
        <w:t>利益相关方的合理化期望和需求；</w:t>
      </w:r>
    </w:p>
    <w:p w14:paraId="18B7AB04">
      <w:pPr>
        <w:pStyle w:val="12"/>
        <w:numPr>
          <w:ilvl w:val="0"/>
          <w:numId w:val="105"/>
        </w:numPr>
        <w:spacing w:before="21" w:line="360" w:lineRule="auto"/>
        <w:ind w:firstLineChars="0"/>
        <w:rPr>
          <w:rFonts w:hint="eastAsia" w:ascii="Times New Roman" w:hAnsi="宋体" w:cs="宋体"/>
          <w:szCs w:val="21"/>
        </w:rPr>
      </w:pPr>
      <w:r>
        <w:rPr>
          <w:spacing w:val="-2"/>
          <w:szCs w:val="21"/>
        </w:rPr>
        <w:t>ESG</w:t>
      </w:r>
      <w:r>
        <w:rPr>
          <w:spacing w:val="-41"/>
          <w:szCs w:val="21"/>
        </w:rPr>
        <w:t xml:space="preserve"> </w:t>
      </w:r>
      <w:r>
        <w:rPr>
          <w:spacing w:val="-2"/>
          <w:szCs w:val="21"/>
        </w:rPr>
        <w:t>方针、目标和准则等重大变化。</w:t>
      </w:r>
    </w:p>
    <w:p w14:paraId="59286B54">
      <w:pPr>
        <w:pStyle w:val="12"/>
        <w:spacing w:before="20" w:line="360" w:lineRule="auto"/>
        <w:ind w:firstLine="418"/>
        <w:rPr>
          <w:szCs w:val="21"/>
        </w:rPr>
      </w:pPr>
      <w:r>
        <w:rPr>
          <w:spacing w:val="-1"/>
          <w:szCs w:val="21"/>
        </w:rPr>
        <w:t>持续改进问题的示例包括（但不限于</w:t>
      </w:r>
      <w:r>
        <w:rPr>
          <w:spacing w:val="-8"/>
          <w:szCs w:val="21"/>
        </w:rPr>
        <w:t>）：</w:t>
      </w:r>
    </w:p>
    <w:p w14:paraId="7EAA5C2A">
      <w:pPr>
        <w:pStyle w:val="12"/>
        <w:numPr>
          <w:ilvl w:val="0"/>
          <w:numId w:val="106"/>
        </w:numPr>
        <w:spacing w:before="23" w:line="360" w:lineRule="auto"/>
        <w:ind w:firstLineChars="0"/>
        <w:rPr>
          <w:rFonts w:hint="eastAsia" w:ascii="Times New Roman" w:hAnsi="宋体" w:cs="宋体"/>
          <w:szCs w:val="21"/>
        </w:rPr>
      </w:pPr>
      <w:r>
        <w:rPr>
          <w:spacing w:val="-3"/>
          <w:szCs w:val="21"/>
        </w:rPr>
        <w:t>新技术；</w:t>
      </w:r>
    </w:p>
    <w:p w14:paraId="689EB19D">
      <w:pPr>
        <w:pStyle w:val="12"/>
        <w:numPr>
          <w:ilvl w:val="0"/>
          <w:numId w:val="106"/>
        </w:numPr>
        <w:spacing w:before="20" w:line="360" w:lineRule="auto"/>
        <w:ind w:firstLineChars="0"/>
        <w:rPr>
          <w:rFonts w:hint="eastAsia" w:ascii="Times New Roman" w:hAnsi="宋体" w:cs="宋体"/>
          <w:szCs w:val="21"/>
        </w:rPr>
      </w:pPr>
      <w:r>
        <w:rPr>
          <w:spacing w:val="-1"/>
          <w:szCs w:val="21"/>
        </w:rPr>
        <w:t>企业内部和外部</w:t>
      </w:r>
      <w:r>
        <w:rPr>
          <w:spacing w:val="-42"/>
          <w:szCs w:val="21"/>
        </w:rPr>
        <w:t xml:space="preserve"> </w:t>
      </w:r>
      <w:r>
        <w:rPr>
          <w:spacing w:val="-1"/>
          <w:szCs w:val="21"/>
        </w:rPr>
        <w:t>ESG</w:t>
      </w:r>
      <w:r>
        <w:rPr>
          <w:spacing w:val="-41"/>
          <w:szCs w:val="21"/>
        </w:rPr>
        <w:t xml:space="preserve"> </w:t>
      </w:r>
      <w:r>
        <w:rPr>
          <w:spacing w:val="-1"/>
          <w:szCs w:val="21"/>
        </w:rPr>
        <w:t>实践；</w:t>
      </w:r>
    </w:p>
    <w:p w14:paraId="2B10C5B4">
      <w:pPr>
        <w:pStyle w:val="12"/>
        <w:numPr>
          <w:ilvl w:val="0"/>
          <w:numId w:val="106"/>
        </w:numPr>
        <w:spacing w:before="23" w:line="360" w:lineRule="auto"/>
        <w:ind w:firstLineChars="0"/>
        <w:rPr>
          <w:rFonts w:hint="eastAsia" w:ascii="Times New Roman" w:hAnsi="宋体" w:cs="宋体"/>
          <w:szCs w:val="21"/>
        </w:rPr>
      </w:pPr>
      <w:r>
        <w:rPr>
          <w:spacing w:val="-1"/>
          <w:szCs w:val="21"/>
        </w:rPr>
        <w:t>利益相关方的合理化问题的新知识和新理</w:t>
      </w:r>
      <w:r>
        <w:rPr>
          <w:spacing w:val="-2"/>
          <w:szCs w:val="21"/>
        </w:rPr>
        <w:t>解；</w:t>
      </w:r>
    </w:p>
    <w:p w14:paraId="3D7D52EC">
      <w:pPr>
        <w:pStyle w:val="12"/>
        <w:numPr>
          <w:ilvl w:val="0"/>
          <w:numId w:val="106"/>
        </w:numPr>
        <w:spacing w:before="19" w:line="360" w:lineRule="auto"/>
        <w:ind w:firstLineChars="0"/>
        <w:rPr>
          <w:rFonts w:hint="eastAsia" w:ascii="Times New Roman" w:hAnsi="宋体" w:cs="宋体"/>
          <w:szCs w:val="21"/>
        </w:rPr>
      </w:pPr>
      <w:r>
        <w:rPr>
          <w:spacing w:val="-4"/>
          <w:szCs w:val="21"/>
        </w:rPr>
        <w:t>员工能力和技能的变化；</w:t>
      </w:r>
    </w:p>
    <w:p w14:paraId="0BE2FAFC">
      <w:pPr>
        <w:pStyle w:val="12"/>
        <w:numPr>
          <w:ilvl w:val="0"/>
          <w:numId w:val="106"/>
        </w:numPr>
        <w:spacing w:before="22" w:line="360" w:lineRule="auto"/>
        <w:ind w:firstLineChars="0"/>
        <w:rPr>
          <w:rFonts w:hint="eastAsia" w:ascii="Times New Roman" w:hAnsi="宋体" w:cs="宋体"/>
          <w:szCs w:val="21"/>
        </w:rPr>
      </w:pPr>
      <w:r>
        <w:rPr>
          <w:spacing w:val="-1"/>
          <w:szCs w:val="21"/>
        </w:rPr>
        <w:t>基于资源优化配置促进</w:t>
      </w:r>
      <w:r>
        <w:rPr>
          <w:spacing w:val="-47"/>
          <w:szCs w:val="21"/>
        </w:rPr>
        <w:t xml:space="preserve"> </w:t>
      </w:r>
      <w:r>
        <w:rPr>
          <w:spacing w:val="-1"/>
          <w:szCs w:val="21"/>
        </w:rPr>
        <w:t>ESG</w:t>
      </w:r>
      <w:r>
        <w:rPr>
          <w:spacing w:val="-41"/>
          <w:szCs w:val="21"/>
        </w:rPr>
        <w:t xml:space="preserve"> </w:t>
      </w:r>
      <w:r>
        <w:rPr>
          <w:spacing w:val="-1"/>
          <w:szCs w:val="21"/>
        </w:rPr>
        <w:t>绩效改进。</w:t>
      </w:r>
    </w:p>
    <w:p w14:paraId="1DC34175">
      <w:pPr>
        <w:spacing w:line="360" w:lineRule="auto"/>
        <w:rPr>
          <w:rFonts w:hint="eastAsia" w:ascii="宋体" w:hAnsi="宋体" w:eastAsia="宋体" w:cs="宋体"/>
          <w:lang w:eastAsia="zh-CN"/>
        </w:rPr>
        <w:sectPr>
          <w:headerReference r:id="rId12" w:type="default"/>
          <w:footerReference r:id="rId13" w:type="default"/>
          <w:pgSz w:w="11907" w:h="16839"/>
          <w:pgMar w:top="1716" w:right="1054" w:bottom="1340" w:left="1421" w:header="1391" w:footer="1106" w:gutter="0"/>
          <w:cols w:space="720" w:num="1"/>
        </w:sectPr>
      </w:pPr>
    </w:p>
    <w:p w14:paraId="66B2E9E9">
      <w:pPr>
        <w:pStyle w:val="33"/>
        <w:tabs>
          <w:tab w:val="left" w:pos="6406"/>
        </w:tabs>
        <w:spacing w:before="60" w:after="120"/>
        <w:rPr>
          <w:lang w:eastAsia="en-US"/>
        </w:rPr>
      </w:pPr>
      <w:bookmarkStart w:id="42" w:name="_Toc22659"/>
      <w:r>
        <w:rPr>
          <w:rFonts w:hint="eastAsia"/>
        </w:rPr>
        <w:t>参 考 文 献</w:t>
      </w:r>
      <w:bookmarkEnd w:id="42"/>
    </w:p>
    <w:p w14:paraId="78C489A0">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GB/T 1.1—2020 标准化工作导则 第1部分：标准化文件的结构和起草规则</w:t>
      </w:r>
    </w:p>
    <w:p w14:paraId="26E0B43D">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GB/T 4754—2017 国民经济行业分类</w:t>
      </w:r>
    </w:p>
    <w:p w14:paraId="156F5E68">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GB/T 20001.11—2022 标准编写规则 第11部分：管理体系标准</w:t>
      </w:r>
    </w:p>
    <w:p w14:paraId="6C8571E1">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rPr>
      </w:pPr>
      <w:r>
        <w:rPr>
          <w:rFonts w:hint="eastAsia" w:ascii="宋体" w:hAnsi="宋体" w:eastAsia="宋体" w:cs="宋体"/>
          <w:snapToGrid/>
          <w:sz w:val="22"/>
          <w:szCs w:val="22"/>
        </w:rPr>
        <w:t>GB/T 23331—2020 能源管理体系 要求及使用指南</w:t>
      </w:r>
    </w:p>
    <w:p w14:paraId="566EA41F">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rPr>
      </w:pPr>
      <w:r>
        <w:rPr>
          <w:rFonts w:hint="eastAsia" w:ascii="宋体" w:hAnsi="宋体" w:eastAsia="宋体" w:cs="宋体"/>
          <w:snapToGrid/>
          <w:sz w:val="22"/>
          <w:szCs w:val="22"/>
        </w:rPr>
        <w:t>GB/T 24001—2016 环境管理体系 要求及使用指南</w:t>
      </w:r>
    </w:p>
    <w:p w14:paraId="6D9B1BF1">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rPr>
      </w:pPr>
      <w:r>
        <w:rPr>
          <w:rFonts w:hint="eastAsia" w:ascii="宋体" w:hAnsi="宋体" w:eastAsia="宋体" w:cs="宋体"/>
          <w:snapToGrid/>
          <w:sz w:val="22"/>
          <w:szCs w:val="22"/>
        </w:rPr>
        <w:t>GB/T 24353—2022 风险管理指南</w:t>
      </w:r>
    </w:p>
    <w:p w14:paraId="728BCEDB">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rPr>
      </w:pPr>
      <w:r>
        <w:rPr>
          <w:rFonts w:hint="eastAsia" w:ascii="宋体" w:hAnsi="宋体" w:eastAsia="宋体" w:cs="宋体"/>
          <w:snapToGrid/>
          <w:sz w:val="22"/>
          <w:szCs w:val="22"/>
        </w:rPr>
        <w:t>GB/T 35770—2022 合规管理体系 要求及使用指南</w:t>
      </w:r>
    </w:p>
    <w:p w14:paraId="788B8D62">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rPr>
      </w:pPr>
      <w:r>
        <w:rPr>
          <w:rFonts w:hint="eastAsia" w:ascii="宋体" w:hAnsi="宋体" w:eastAsia="宋体" w:cs="宋体"/>
          <w:snapToGrid/>
          <w:sz w:val="22"/>
          <w:szCs w:val="22"/>
        </w:rPr>
        <w:t>GB/T 36000—2015 社会责任指南</w:t>
      </w:r>
    </w:p>
    <w:p w14:paraId="1CBBE31D">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GB/T 36001—2015 社会责任报告编写指南</w:t>
      </w:r>
    </w:p>
    <w:p w14:paraId="6F048269">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GB/T 45001—2020 职业健康安全管理体系 要求及使用指南</w:t>
      </w:r>
    </w:p>
    <w:p w14:paraId="1B0BDCCD">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rPr>
      </w:pPr>
      <w:r>
        <w:rPr>
          <w:rFonts w:hint="eastAsia" w:ascii="宋体" w:hAnsi="宋体" w:eastAsia="宋体" w:cs="宋体"/>
          <w:snapToGrid/>
          <w:sz w:val="22"/>
          <w:szCs w:val="22"/>
        </w:rPr>
        <w:t>ISO 26000</w:t>
      </w:r>
      <w:r>
        <w:rPr>
          <w:rFonts w:hint="eastAsia" w:ascii="宋体" w:hAnsi="宋体" w:eastAsia="宋体" w:cs="宋体"/>
          <w:snapToGrid/>
          <w:sz w:val="22"/>
          <w:szCs w:val="22"/>
          <w:lang w:eastAsia="zh-CN"/>
        </w:rPr>
        <w:t>:</w:t>
      </w:r>
      <w:r>
        <w:rPr>
          <w:rFonts w:hint="eastAsia" w:ascii="宋体" w:hAnsi="宋体" w:eastAsia="宋体" w:cs="宋体"/>
          <w:snapToGrid/>
          <w:sz w:val="22"/>
          <w:szCs w:val="22"/>
        </w:rPr>
        <w:t>2010 社会责任指南</w:t>
      </w:r>
    </w:p>
    <w:p w14:paraId="31225241">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《中华人民共和国生态环境法典》</w:t>
      </w:r>
    </w:p>
    <w:p w14:paraId="0CBA60C8">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《中华人民共和国道路交通安全法》</w:t>
      </w:r>
    </w:p>
    <w:p w14:paraId="651F91F9">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《中华人民共和国个人信息保护法》</w:t>
      </w:r>
    </w:p>
    <w:p w14:paraId="072FFBF1">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《中华人民共和国产品质量法》</w:t>
      </w:r>
    </w:p>
    <w:p w14:paraId="56E0F10A">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《中华人民共和国劳动法》</w:t>
      </w:r>
    </w:p>
    <w:p w14:paraId="0E8BF815">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《中华人民共和国公司法》</w:t>
      </w:r>
    </w:p>
    <w:p w14:paraId="2AB9033D">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《中华人民共和国反不正当竞争法》</w:t>
      </w:r>
    </w:p>
    <w:p w14:paraId="16BE0B30">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《中华人民共和国反垄断法》</w:t>
      </w:r>
    </w:p>
    <w:p w14:paraId="13BFE39E">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企业环境信息依法披露管理办法</w:t>
      </w:r>
    </w:p>
    <w:p w14:paraId="438BDA32">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财政部《企业可持续披露准则——基本准则（试行）》（财会〔2024〕17号）</w:t>
      </w:r>
    </w:p>
    <w:p w14:paraId="673E9A09">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上海证券交易所 上市公司自律监管指引第14号——可持续发展报告（试行）</w:t>
      </w:r>
    </w:p>
    <w:p w14:paraId="67A83E5B">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深圳证券交易所 上市公司自律监管指引第17号——可持续发展报告（试行）</w:t>
      </w:r>
    </w:p>
    <w:p w14:paraId="3C6D2943">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北京证券交易所 上市公司持续监管指引第11号——可持续发展报告（试行）</w:t>
      </w:r>
    </w:p>
    <w:p w14:paraId="42D4C103">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香港联合交易所 主板上市规则 附录C2《环境、社会及管治报告守则》</w:t>
      </w:r>
    </w:p>
    <w:p w14:paraId="76FD697A">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rPr>
      </w:pPr>
      <w:r>
        <w:rPr>
          <w:rFonts w:hint="eastAsia" w:ascii="宋体" w:hAnsi="宋体" w:eastAsia="宋体" w:cs="宋体"/>
          <w:snapToGrid/>
          <w:sz w:val="22"/>
          <w:szCs w:val="22"/>
        </w:rPr>
        <w:t>全球报告倡议组织（GRI）可持续发展报告标准（GRI Standards）</w:t>
      </w:r>
    </w:p>
    <w:p w14:paraId="72C461E8">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rPr>
      </w:pPr>
      <w:r>
        <w:rPr>
          <w:rFonts w:hint="eastAsia" w:ascii="宋体" w:hAnsi="宋体" w:eastAsia="宋体" w:cs="宋体"/>
          <w:snapToGrid/>
          <w:sz w:val="22"/>
          <w:szCs w:val="22"/>
        </w:rPr>
        <w:t>可持续行业分类系统（Sustainable Industry Classification System，SICS）</w:t>
      </w:r>
    </w:p>
    <w:p w14:paraId="72ECF365">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rPr>
      </w:pPr>
      <w:r>
        <w:rPr>
          <w:rFonts w:hint="eastAsia" w:ascii="宋体" w:hAnsi="宋体" w:eastAsia="宋体" w:cs="宋体"/>
          <w:snapToGrid/>
          <w:sz w:val="22"/>
          <w:szCs w:val="22"/>
        </w:rPr>
        <w:t>全球行业分类标准（Global Industry Classification Standard，GICS）</w:t>
      </w:r>
    </w:p>
    <w:p w14:paraId="07425C1C">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国际可持续准则理事会（ISSB）《国际财务报告可持续披露准则第1号——可持续相关财务信息披露一般要求》（IFRS S1）</w:t>
      </w:r>
    </w:p>
    <w:p w14:paraId="17D45FBD">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国际可持续准则理事会（ISSB）《国际财务报告可持续披露准则第2号——气候相关披露》（IFRS S2）</w:t>
      </w:r>
    </w:p>
    <w:p w14:paraId="496986AA">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联合国《2030年可持续发展议程》</w:t>
      </w:r>
    </w:p>
    <w:p w14:paraId="705FF9A7">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lang w:eastAsia="zh-CN"/>
        </w:rPr>
      </w:pPr>
      <w:r>
        <w:rPr>
          <w:rFonts w:hint="eastAsia" w:ascii="宋体" w:hAnsi="宋体" w:eastAsia="宋体" w:cs="宋体"/>
          <w:snapToGrid/>
          <w:sz w:val="22"/>
          <w:szCs w:val="22"/>
          <w:lang w:eastAsia="zh-CN"/>
        </w:rPr>
        <w:t>美国纳斯达克交易所《ESG报告指南》2.0版本</w:t>
      </w:r>
    </w:p>
    <w:p w14:paraId="2CF969F7">
      <w:pPr>
        <w:numPr>
          <w:ilvl w:val="0"/>
          <w:numId w:val="107"/>
        </w:numPr>
        <w:kinsoku/>
        <w:autoSpaceDE/>
        <w:autoSpaceDN/>
        <w:adjustRightInd/>
        <w:snapToGrid/>
        <w:spacing w:after="40" w:line="276" w:lineRule="auto"/>
        <w:textAlignment w:val="auto"/>
        <w:rPr>
          <w:rFonts w:hint="eastAsia" w:ascii="宋体" w:hAnsi="宋体" w:eastAsia="宋体" w:cs="宋体"/>
          <w:snapToGrid/>
          <w:sz w:val="24"/>
          <w:szCs w:val="22"/>
        </w:rPr>
      </w:pPr>
      <w:r>
        <w:rPr>
          <w:rFonts w:hint="eastAsia" w:ascii="宋体" w:hAnsi="宋体" w:eastAsia="宋体" w:cs="宋体"/>
          <w:snapToGrid/>
          <w:sz w:val="24"/>
          <w:szCs w:val="22"/>
        </w:rPr>
        <w:t>IWA 48:2024Framework for implementing environmental, social and governance (ESG) principles</w:t>
      </w:r>
    </w:p>
    <w:p w14:paraId="7762EA97">
      <w:pPr>
        <w:pStyle w:val="27"/>
        <w:spacing w:before="68" w:line="360" w:lineRule="auto"/>
        <w:rPr>
          <w:sz w:val="21"/>
          <w:szCs w:val="21"/>
        </w:rPr>
      </w:pPr>
    </w:p>
    <w:sectPr>
      <w:headerReference r:id="rId14" w:type="default"/>
      <w:footerReference r:id="rId15" w:type="default"/>
      <w:pgSz w:w="11907" w:h="16839"/>
      <w:pgMar w:top="1716" w:right="1128" w:bottom="1340" w:left="1428" w:header="1391" w:footer="110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160F1">
    <w:pPr>
      <w:pStyle w:val="14"/>
    </w:pPr>
    <w: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540CA0">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30540CA0">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DE19A">
    <w:pPr>
      <w:spacing w:line="230" w:lineRule="auto"/>
      <w:ind w:left="8958"/>
      <w:rPr>
        <w:rFonts w:hint="eastAsia"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11F2B1">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E1eNA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TV40CwCAABXBAAADgAAAAAAAAABACAAAAAfAQAAZHJzL2Uyb0RvYy54bWxQSwUGAAAAAAYA&#10;BgBZAQAAvQUAAAAA&#10;">
              <v:fill on="f" focussize="0,0"/>
              <v:stroke on="f" weight="0.5pt"/>
              <v:imagedata o:title=""/>
              <o:lock v:ext="edit" aspectratio="f"/>
              <v:textbox inset="0mm,0mm,0mm,0mm" style="mso-fit-shape-to-text:t;">
                <w:txbxContent>
                  <w:p w14:paraId="5E11F2B1">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CA671">
    <w:pPr>
      <w:spacing w:line="229" w:lineRule="auto"/>
      <w:ind w:left="9042"/>
      <w:rPr>
        <w:rFonts w:hint="eastAsia"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0AB11E">
                          <w:pPr>
                            <w:pStyle w:val="1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7B0AB11E">
                    <w:pPr>
                      <w:pStyle w:val="14"/>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F8DC2">
    <w:pPr>
      <w:pStyle w:val="14"/>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582A37">
                          <w:pPr>
                            <w:pStyle w:val="14"/>
                          </w:pPr>
                          <w:r>
                            <w:fldChar w:fldCharType="begin"/>
                          </w:r>
                          <w:r>
                            <w:instrText xml:space="preserve"> PAGE  \* MERGEFORMAT </w:instrText>
                          </w:r>
                          <w:r>
                            <w:fldChar w:fldCharType="separate"/>
                          </w:r>
                          <w:r>
                            <w:t>IV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16582A37">
                    <w:pPr>
                      <w:pStyle w:val="14"/>
                    </w:pPr>
                    <w:r>
                      <w:fldChar w:fldCharType="begin"/>
                    </w:r>
                    <w:r>
                      <w:instrText xml:space="preserve"> PAGE  \* MERGEFORMAT </w:instrText>
                    </w:r>
                    <w:r>
                      <w:fldChar w:fldCharType="separate"/>
                    </w:r>
                    <w:r>
                      <w:t>IV</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103CA">
    <w:pPr>
      <w:spacing w:line="229" w:lineRule="auto"/>
      <w:ind w:left="8952"/>
      <w:rPr>
        <w:rFonts w:hint="eastAsia"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72DE9">
                          <w:pPr>
                            <w:pStyle w:val="14"/>
                          </w:pPr>
                          <w:r>
                            <w:fldChar w:fldCharType="begin"/>
                          </w:r>
                          <w:r>
                            <w:instrText xml:space="preserve"> PAGE  \* MERGEFORMAT </w:instrText>
                          </w:r>
                          <w:r>
                            <w:fldChar w:fldCharType="separate"/>
                          </w:r>
                          <w:r>
                            <w:t>XVI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14:paraId="07672DE9">
                    <w:pPr>
                      <w:pStyle w:val="14"/>
                    </w:pPr>
                    <w:r>
                      <w:fldChar w:fldCharType="begin"/>
                    </w:r>
                    <w:r>
                      <w:instrText xml:space="preserve"> PAGE  \* MERGEFORMAT </w:instrText>
                    </w:r>
                    <w:r>
                      <w:fldChar w:fldCharType="separate"/>
                    </w:r>
                    <w:r>
                      <w:t>XVI</w:t>
                    </w:r>
                    <w:r>
                      <w:fldChar w:fldCharType="end"/>
                    </w:r>
                  </w:p>
                </w:txbxContent>
              </v:textbox>
            </v:shape>
          </w:pict>
        </mc:Fallback>
      </mc:AlternateContent>
    </w:r>
    <w:r>
      <w:rPr>
        <w:rFonts w:ascii="宋体" w:hAnsi="宋体" w:eastAsia="宋体" w:cs="宋体"/>
        <w:spacing w:val="-5"/>
        <w:sz w:val="18"/>
        <w:szCs w:val="18"/>
      </w:rPr>
      <w:t>15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215DE">
    <w:pPr>
      <w:spacing w:line="229" w:lineRule="auto"/>
      <w:ind w:left="8955"/>
      <w:rPr>
        <w:rFonts w:hint="eastAsia"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F3531A">
                          <w:pPr>
                            <w:pStyle w:val="14"/>
                          </w:pPr>
                          <w:r>
                            <w:fldChar w:fldCharType="begin"/>
                          </w:r>
                          <w:r>
                            <w:instrText xml:space="preserve"> PAGE  \* MERGEFORMAT </w:instrText>
                          </w:r>
                          <w:r>
                            <w:fldChar w:fldCharType="separate"/>
                          </w:r>
                          <w:r>
                            <w:t>XXVII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14:paraId="1BF3531A">
                    <w:pPr>
                      <w:pStyle w:val="14"/>
                    </w:pPr>
                    <w:r>
                      <w:fldChar w:fldCharType="begin"/>
                    </w:r>
                    <w:r>
                      <w:instrText xml:space="preserve"> PAGE  \* MERGEFORMAT </w:instrText>
                    </w:r>
                    <w:r>
                      <w:fldChar w:fldCharType="separate"/>
                    </w:r>
                    <w:r>
                      <w:t>XXVII</w:t>
                    </w:r>
                    <w:r>
                      <w:fldChar w:fldCharType="end"/>
                    </w:r>
                  </w:p>
                </w:txbxContent>
              </v:textbox>
            </v:shape>
          </w:pict>
        </mc:Fallback>
      </mc:AlternateContent>
    </w:r>
    <w:r>
      <w:rPr>
        <w:rFonts w:ascii="宋体" w:hAnsi="宋体" w:eastAsia="宋体" w:cs="宋体"/>
        <w:spacing w:val="-2"/>
        <w:sz w:val="18"/>
        <w:szCs w:val="18"/>
      </w:rPr>
      <w:t>27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23539">
    <w:pPr>
      <w:spacing w:line="229" w:lineRule="auto"/>
      <w:ind w:left="8947"/>
      <w:rPr>
        <w:rFonts w:hint="eastAsia"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87561">
                          <w:pPr>
                            <w:pStyle w:val="14"/>
                          </w:pPr>
                          <w:r>
                            <w:fldChar w:fldCharType="begin"/>
                          </w:r>
                          <w:r>
                            <w:instrText xml:space="preserve"> PAGE  \* MERGEFORMAT </w:instrText>
                          </w:r>
                          <w:r>
                            <w:fldChar w:fldCharType="separate"/>
                          </w:r>
                          <w:r>
                            <w:t>XLV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69D87561">
                    <w:pPr>
                      <w:pStyle w:val="14"/>
                    </w:pPr>
                    <w:r>
                      <w:fldChar w:fldCharType="begin"/>
                    </w:r>
                    <w:r>
                      <w:instrText xml:space="preserve"> PAGE  \* MERGEFORMAT </w:instrText>
                    </w:r>
                    <w:r>
                      <w:fldChar w:fldCharType="separate"/>
                    </w:r>
                    <w:r>
                      <w:t>XLV</w:t>
                    </w:r>
                    <w:r>
                      <w:fldChar w:fldCharType="end"/>
                    </w:r>
                  </w:p>
                </w:txbxContent>
              </v:textbox>
            </v:shape>
          </w:pict>
        </mc:Fallback>
      </mc:AlternateContent>
    </w:r>
    <w:r>
      <w:rPr>
        <w:rFonts w:ascii="宋体" w:hAnsi="宋体" w:eastAsia="宋体" w:cs="宋体"/>
        <w:spacing w:val="-2"/>
        <w:sz w:val="18"/>
        <w:szCs w:val="18"/>
      </w:rPr>
      <w:t>28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6C88D">
    <w:pPr>
      <w:pStyle w:val="12"/>
      <w:spacing w:before="56" w:line="227" w:lineRule="auto"/>
      <w:ind w:firstLine="416"/>
      <w:jc w:val="right"/>
      <w:rPr>
        <w:spacing w:val="-2"/>
        <w:szCs w:val="21"/>
      </w:rPr>
    </w:pPr>
    <w:r>
      <w:rPr>
        <w:rFonts w:hint="eastAsia"/>
        <w:spacing w:val="-2"/>
        <w:szCs w:val="21"/>
      </w:rPr>
      <w:t>T/XXXXXXX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001B8">
    <w:pPr>
      <w:pStyle w:val="12"/>
      <w:spacing w:before="56" w:line="227" w:lineRule="auto"/>
      <w:ind w:firstLine="416"/>
      <w:jc w:val="right"/>
      <w:rPr>
        <w:rFonts w:eastAsia="黑体"/>
        <w:spacing w:val="-2"/>
        <w:szCs w:val="21"/>
      </w:rPr>
    </w:pPr>
    <w:r>
      <w:rPr>
        <w:rFonts w:hint="eastAsia"/>
        <w:spacing w:val="-2"/>
        <w:szCs w:val="21"/>
      </w:rPr>
      <w:t>T/XXXXXXX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399ED">
    <w:pPr>
      <w:pStyle w:val="12"/>
      <w:spacing w:before="56" w:line="227" w:lineRule="auto"/>
      <w:ind w:left="7467" w:firstLine="416"/>
      <w:jc w:val="right"/>
      <w:rPr>
        <w:spacing w:val="-2"/>
        <w:szCs w:val="21"/>
      </w:rPr>
    </w:pPr>
    <w:r>
      <w:rPr>
        <w:rFonts w:hint="eastAsia"/>
        <w:spacing w:val="-2"/>
        <w:szCs w:val="21"/>
      </w:rPr>
      <w:t>T/XXXXXXX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23435">
    <w:pPr>
      <w:pStyle w:val="12"/>
      <w:spacing w:before="56" w:line="227" w:lineRule="auto"/>
      <w:ind w:firstLine="416"/>
      <w:jc w:val="right"/>
      <w:rPr>
        <w:spacing w:val="-2"/>
        <w:szCs w:val="21"/>
      </w:rPr>
    </w:pPr>
    <w:r>
      <w:rPr>
        <w:rFonts w:hint="eastAsia"/>
        <w:spacing w:val="-2"/>
        <w:szCs w:val="21"/>
      </w:rPr>
      <w:t>T/XXXXXXX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A8B64">
    <w:pPr>
      <w:pStyle w:val="12"/>
      <w:spacing w:before="56" w:line="227" w:lineRule="auto"/>
      <w:ind w:left="7471" w:firstLine="416"/>
      <w:jc w:val="right"/>
      <w:rPr>
        <w:spacing w:val="-2"/>
        <w:szCs w:val="21"/>
      </w:rPr>
    </w:pPr>
    <w:r>
      <w:rPr>
        <w:rFonts w:hint="eastAsia"/>
        <w:spacing w:val="-2"/>
        <w:szCs w:val="21"/>
      </w:rPr>
      <w:t>T/XXXXXXX</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7F63C">
    <w:pPr>
      <w:pStyle w:val="12"/>
      <w:spacing w:before="56" w:line="227" w:lineRule="auto"/>
      <w:ind w:firstLine="416"/>
      <w:jc w:val="right"/>
      <w:rPr>
        <w:spacing w:val="-2"/>
        <w:szCs w:val="21"/>
      </w:rPr>
    </w:pPr>
    <w:r>
      <w:rPr>
        <w:rFonts w:hint="eastAsia"/>
        <w:spacing w:val="-2"/>
        <w:szCs w:val="21"/>
      </w:rPr>
      <w:t>T/XXXXXXX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0559F4"/>
    <w:multiLevelType w:val="multilevel"/>
    <w:tmpl w:val="830559F4"/>
    <w:lvl w:ilvl="0" w:tentative="0">
      <w:start w:val="1"/>
      <w:numFmt w:val="decimal"/>
      <w:lvlText w:val="A.%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8430144C"/>
    <w:multiLevelType w:val="singleLevel"/>
    <w:tmpl w:val="8430144C"/>
    <w:lvl w:ilvl="0" w:tentative="0">
      <w:start w:val="1"/>
      <w:numFmt w:val="lowerLetter"/>
      <w:suff w:val="space"/>
      <w:lvlText w:val="%1)"/>
      <w:lvlJc w:val="left"/>
      <w:pPr>
        <w:ind w:left="0" w:firstLine="408"/>
      </w:pPr>
      <w:rPr>
        <w:rFonts w:hint="default"/>
      </w:rPr>
    </w:lvl>
  </w:abstractNum>
  <w:abstractNum w:abstractNumId="2">
    <w:nsid w:val="871640C3"/>
    <w:multiLevelType w:val="singleLevel"/>
    <w:tmpl w:val="871640C3"/>
    <w:lvl w:ilvl="0" w:tentative="0">
      <w:start w:val="1"/>
      <w:numFmt w:val="lowerLetter"/>
      <w:suff w:val="space"/>
      <w:lvlText w:val="%1)"/>
      <w:lvlJc w:val="left"/>
      <w:pPr>
        <w:ind w:left="0" w:firstLine="408"/>
      </w:pPr>
      <w:rPr>
        <w:rFonts w:hint="default"/>
      </w:rPr>
    </w:lvl>
  </w:abstractNum>
  <w:abstractNum w:abstractNumId="3">
    <w:nsid w:val="88FC04C2"/>
    <w:multiLevelType w:val="singleLevel"/>
    <w:tmpl w:val="88FC04C2"/>
    <w:lvl w:ilvl="0" w:tentative="0">
      <w:start w:val="1"/>
      <w:numFmt w:val="lowerLetter"/>
      <w:suff w:val="space"/>
      <w:lvlText w:val="%1)"/>
      <w:lvlJc w:val="left"/>
      <w:pPr>
        <w:ind w:left="0" w:firstLine="0"/>
      </w:pPr>
      <w:rPr>
        <w:rFonts w:hint="default"/>
      </w:rPr>
    </w:lvl>
  </w:abstractNum>
  <w:abstractNum w:abstractNumId="4">
    <w:nsid w:val="90435036"/>
    <w:multiLevelType w:val="singleLevel"/>
    <w:tmpl w:val="90435036"/>
    <w:lvl w:ilvl="0" w:tentative="0">
      <w:start w:val="1"/>
      <w:numFmt w:val="decimal"/>
      <w:suff w:val="space"/>
      <w:lvlText w:val="6.2.2.%1"/>
      <w:lvlJc w:val="left"/>
      <w:pPr>
        <w:ind w:left="0" w:firstLine="0"/>
      </w:pPr>
      <w:rPr>
        <w:rFonts w:hint="default"/>
      </w:rPr>
    </w:lvl>
  </w:abstractNum>
  <w:abstractNum w:abstractNumId="5">
    <w:nsid w:val="93960441"/>
    <w:multiLevelType w:val="singleLevel"/>
    <w:tmpl w:val="93960441"/>
    <w:lvl w:ilvl="0" w:tentative="0">
      <w:start w:val="1"/>
      <w:numFmt w:val="lowerLetter"/>
      <w:suff w:val="space"/>
      <w:lvlText w:val="%1)"/>
      <w:lvlJc w:val="left"/>
      <w:pPr>
        <w:ind w:left="0" w:firstLine="416"/>
      </w:pPr>
      <w:rPr>
        <w:rFonts w:hint="default"/>
      </w:rPr>
    </w:lvl>
  </w:abstractNum>
  <w:abstractNum w:abstractNumId="6">
    <w:nsid w:val="943672E9"/>
    <w:multiLevelType w:val="singleLevel"/>
    <w:tmpl w:val="943672E9"/>
    <w:lvl w:ilvl="0" w:tentative="0">
      <w:start w:val="1"/>
      <w:numFmt w:val="decimal"/>
      <w:suff w:val="space"/>
      <w:lvlText w:val="%1)"/>
      <w:lvlJc w:val="left"/>
      <w:pPr>
        <w:ind w:left="0" w:firstLine="408"/>
      </w:pPr>
      <w:rPr>
        <w:rFonts w:hint="default"/>
      </w:rPr>
    </w:lvl>
  </w:abstractNum>
  <w:abstractNum w:abstractNumId="7">
    <w:nsid w:val="946F0264"/>
    <w:multiLevelType w:val="singleLevel"/>
    <w:tmpl w:val="946F0264"/>
    <w:lvl w:ilvl="0" w:tentative="0">
      <w:start w:val="1"/>
      <w:numFmt w:val="lowerLetter"/>
      <w:suff w:val="space"/>
      <w:lvlText w:val="%1)"/>
      <w:lvlJc w:val="left"/>
      <w:pPr>
        <w:ind w:left="0" w:firstLine="420"/>
      </w:pPr>
      <w:rPr>
        <w:rFonts w:hint="default"/>
      </w:rPr>
    </w:lvl>
  </w:abstractNum>
  <w:abstractNum w:abstractNumId="8">
    <w:nsid w:val="94F04DF1"/>
    <w:multiLevelType w:val="singleLevel"/>
    <w:tmpl w:val="94F04DF1"/>
    <w:lvl w:ilvl="0" w:tentative="0">
      <w:start w:val="1"/>
      <w:numFmt w:val="lowerLetter"/>
      <w:suff w:val="space"/>
      <w:lvlText w:val="%1)"/>
      <w:lvlJc w:val="left"/>
      <w:pPr>
        <w:ind w:left="0" w:firstLine="420"/>
      </w:pPr>
      <w:rPr>
        <w:rFonts w:hint="default"/>
      </w:rPr>
    </w:lvl>
  </w:abstractNum>
  <w:abstractNum w:abstractNumId="9">
    <w:nsid w:val="95B1684A"/>
    <w:multiLevelType w:val="singleLevel"/>
    <w:tmpl w:val="95B1684A"/>
    <w:lvl w:ilvl="0" w:tentative="0">
      <w:start w:val="1"/>
      <w:numFmt w:val="lowerLetter"/>
      <w:suff w:val="space"/>
      <w:lvlText w:val="%1)"/>
      <w:lvlJc w:val="left"/>
      <w:pPr>
        <w:ind w:left="0" w:firstLine="412"/>
      </w:pPr>
      <w:rPr>
        <w:rFonts w:hint="default"/>
      </w:rPr>
    </w:lvl>
  </w:abstractNum>
  <w:abstractNum w:abstractNumId="10">
    <w:nsid w:val="96809D42"/>
    <w:multiLevelType w:val="singleLevel"/>
    <w:tmpl w:val="96809D42"/>
    <w:lvl w:ilvl="0" w:tentative="0">
      <w:start w:val="1"/>
      <w:numFmt w:val="lowerLetter"/>
      <w:suff w:val="space"/>
      <w:lvlText w:val="%1)"/>
      <w:lvlJc w:val="left"/>
      <w:pPr>
        <w:ind w:left="0" w:firstLine="416"/>
      </w:pPr>
      <w:rPr>
        <w:rFonts w:hint="default"/>
      </w:rPr>
    </w:lvl>
  </w:abstractNum>
  <w:abstractNum w:abstractNumId="11">
    <w:nsid w:val="986E376A"/>
    <w:multiLevelType w:val="singleLevel"/>
    <w:tmpl w:val="986E376A"/>
    <w:lvl w:ilvl="0" w:tentative="0">
      <w:start w:val="1"/>
      <w:numFmt w:val="decimal"/>
      <w:suff w:val="space"/>
      <w:lvlText w:val="6.1.%1"/>
      <w:lvlJc w:val="left"/>
      <w:pPr>
        <w:ind w:left="0" w:firstLine="0"/>
      </w:pPr>
      <w:rPr>
        <w:rFonts w:hint="default"/>
      </w:rPr>
    </w:lvl>
  </w:abstractNum>
  <w:abstractNum w:abstractNumId="12">
    <w:nsid w:val="990523B1"/>
    <w:multiLevelType w:val="singleLevel"/>
    <w:tmpl w:val="990523B1"/>
    <w:lvl w:ilvl="0" w:tentative="0">
      <w:start w:val="1"/>
      <w:numFmt w:val="lowerLetter"/>
      <w:suff w:val="nothing"/>
      <w:lvlText w:val="%1）"/>
      <w:lvlJc w:val="left"/>
      <w:pPr>
        <w:ind w:left="0" w:firstLine="412"/>
      </w:pPr>
      <w:rPr>
        <w:rFonts w:hint="default"/>
      </w:rPr>
    </w:lvl>
  </w:abstractNum>
  <w:abstractNum w:abstractNumId="13">
    <w:nsid w:val="9B8471AE"/>
    <w:multiLevelType w:val="singleLevel"/>
    <w:tmpl w:val="9B8471AE"/>
    <w:lvl w:ilvl="0" w:tentative="0">
      <w:start w:val="1"/>
      <w:numFmt w:val="lowerLetter"/>
      <w:suff w:val="space"/>
      <w:lvlText w:val="%1)"/>
      <w:lvlJc w:val="left"/>
      <w:pPr>
        <w:ind w:left="0" w:firstLine="420"/>
      </w:pPr>
      <w:rPr>
        <w:rFonts w:hint="default"/>
      </w:rPr>
    </w:lvl>
  </w:abstractNum>
  <w:abstractNum w:abstractNumId="14">
    <w:nsid w:val="9C819EA9"/>
    <w:multiLevelType w:val="singleLevel"/>
    <w:tmpl w:val="9C819EA9"/>
    <w:lvl w:ilvl="0" w:tentative="0">
      <w:start w:val="1"/>
      <w:numFmt w:val="decimal"/>
      <w:suff w:val="space"/>
      <w:lvlText w:val="%1)"/>
      <w:lvlJc w:val="left"/>
      <w:pPr>
        <w:ind w:left="0" w:firstLine="392"/>
      </w:pPr>
      <w:rPr>
        <w:rFonts w:hint="default"/>
      </w:rPr>
    </w:lvl>
  </w:abstractNum>
  <w:abstractNum w:abstractNumId="15">
    <w:nsid w:val="9CD687FD"/>
    <w:multiLevelType w:val="singleLevel"/>
    <w:tmpl w:val="9CD687FD"/>
    <w:lvl w:ilvl="0" w:tentative="0">
      <w:start w:val="1"/>
      <w:numFmt w:val="lowerLetter"/>
      <w:suff w:val="space"/>
      <w:lvlText w:val="%1)"/>
      <w:lvlJc w:val="left"/>
      <w:pPr>
        <w:ind w:left="0" w:firstLine="0"/>
      </w:pPr>
      <w:rPr>
        <w:rFonts w:hint="default"/>
      </w:rPr>
    </w:lvl>
  </w:abstractNum>
  <w:abstractNum w:abstractNumId="16">
    <w:nsid w:val="9FED19B2"/>
    <w:multiLevelType w:val="singleLevel"/>
    <w:tmpl w:val="9FED19B2"/>
    <w:lvl w:ilvl="0" w:tentative="0">
      <w:start w:val="1"/>
      <w:numFmt w:val="decimal"/>
      <w:suff w:val="space"/>
      <w:lvlText w:val="A.5.%1"/>
      <w:lvlJc w:val="left"/>
      <w:pPr>
        <w:ind w:left="0" w:firstLine="0"/>
      </w:pPr>
      <w:rPr>
        <w:rFonts w:hint="default"/>
      </w:rPr>
    </w:lvl>
  </w:abstractNum>
  <w:abstractNum w:abstractNumId="17">
    <w:nsid w:val="A04D6E97"/>
    <w:multiLevelType w:val="singleLevel"/>
    <w:tmpl w:val="A04D6E97"/>
    <w:lvl w:ilvl="0" w:tentative="0">
      <w:start w:val="1"/>
      <w:numFmt w:val="lowerLetter"/>
      <w:suff w:val="space"/>
      <w:lvlText w:val="%1)"/>
      <w:lvlJc w:val="left"/>
      <w:pPr>
        <w:ind w:left="0" w:firstLine="416"/>
      </w:pPr>
      <w:rPr>
        <w:rFonts w:hint="default"/>
      </w:rPr>
    </w:lvl>
  </w:abstractNum>
  <w:abstractNum w:abstractNumId="18">
    <w:nsid w:val="A2BE61CA"/>
    <w:multiLevelType w:val="singleLevel"/>
    <w:tmpl w:val="A2BE61CA"/>
    <w:lvl w:ilvl="0" w:tentative="0">
      <w:start w:val="1"/>
      <w:numFmt w:val="lowerLetter"/>
      <w:suff w:val="space"/>
      <w:lvlText w:val="%1)"/>
      <w:lvlJc w:val="left"/>
      <w:pPr>
        <w:ind w:left="0" w:firstLine="408"/>
      </w:pPr>
      <w:rPr>
        <w:rFonts w:hint="default"/>
      </w:rPr>
    </w:lvl>
  </w:abstractNum>
  <w:abstractNum w:abstractNumId="19">
    <w:nsid w:val="A3C6C795"/>
    <w:multiLevelType w:val="singleLevel"/>
    <w:tmpl w:val="A3C6C795"/>
    <w:lvl w:ilvl="0" w:tentative="0">
      <w:start w:val="1"/>
      <w:numFmt w:val="lowerLetter"/>
      <w:suff w:val="space"/>
      <w:lvlText w:val="%1)"/>
      <w:lvlJc w:val="left"/>
      <w:pPr>
        <w:ind w:left="0" w:firstLine="420"/>
      </w:pPr>
      <w:rPr>
        <w:rFonts w:hint="default"/>
      </w:rPr>
    </w:lvl>
  </w:abstractNum>
  <w:abstractNum w:abstractNumId="20">
    <w:nsid w:val="A4DB72F8"/>
    <w:multiLevelType w:val="singleLevel"/>
    <w:tmpl w:val="A4DB72F8"/>
    <w:lvl w:ilvl="0" w:tentative="0">
      <w:start w:val="1"/>
      <w:numFmt w:val="lowerLetter"/>
      <w:suff w:val="space"/>
      <w:lvlText w:val="%1)"/>
      <w:lvlJc w:val="left"/>
      <w:pPr>
        <w:ind w:left="0" w:firstLine="416"/>
      </w:pPr>
      <w:rPr>
        <w:rFonts w:hint="default"/>
      </w:rPr>
    </w:lvl>
  </w:abstractNum>
  <w:abstractNum w:abstractNumId="21">
    <w:nsid w:val="A547704B"/>
    <w:multiLevelType w:val="singleLevel"/>
    <w:tmpl w:val="A547704B"/>
    <w:lvl w:ilvl="0" w:tentative="0">
      <w:start w:val="1"/>
      <w:numFmt w:val="decimal"/>
      <w:suff w:val="space"/>
      <w:lvlText w:val="6.2.%1"/>
      <w:lvlJc w:val="left"/>
      <w:pPr>
        <w:ind w:left="0" w:firstLine="0"/>
      </w:pPr>
      <w:rPr>
        <w:rFonts w:hint="default"/>
      </w:rPr>
    </w:lvl>
  </w:abstractNum>
  <w:abstractNum w:abstractNumId="22">
    <w:nsid w:val="A66D2ED4"/>
    <w:multiLevelType w:val="singleLevel"/>
    <w:tmpl w:val="A66D2ED4"/>
    <w:lvl w:ilvl="0" w:tentative="0">
      <w:start w:val="1"/>
      <w:numFmt w:val="lowerLetter"/>
      <w:suff w:val="space"/>
      <w:lvlText w:val="%1)"/>
      <w:lvlJc w:val="left"/>
      <w:pPr>
        <w:ind w:left="0" w:firstLine="412"/>
      </w:pPr>
      <w:rPr>
        <w:rFonts w:hint="default"/>
      </w:rPr>
    </w:lvl>
  </w:abstractNum>
  <w:abstractNum w:abstractNumId="23">
    <w:nsid w:val="AA5950CC"/>
    <w:multiLevelType w:val="singleLevel"/>
    <w:tmpl w:val="AA5950CC"/>
    <w:lvl w:ilvl="0" w:tentative="0">
      <w:start w:val="1"/>
      <w:numFmt w:val="lowerLetter"/>
      <w:suff w:val="space"/>
      <w:lvlText w:val="%1)"/>
      <w:lvlJc w:val="left"/>
      <w:pPr>
        <w:ind w:left="0" w:firstLine="416"/>
      </w:pPr>
      <w:rPr>
        <w:rFonts w:hint="default"/>
      </w:rPr>
    </w:lvl>
  </w:abstractNum>
  <w:abstractNum w:abstractNumId="24">
    <w:nsid w:val="AAF0BE50"/>
    <w:multiLevelType w:val="singleLevel"/>
    <w:tmpl w:val="AAF0BE50"/>
    <w:lvl w:ilvl="0" w:tentative="0">
      <w:start w:val="1"/>
      <w:numFmt w:val="decimal"/>
      <w:suff w:val="space"/>
      <w:lvlText w:val="9.1.%1"/>
      <w:lvlJc w:val="left"/>
      <w:pPr>
        <w:ind w:left="0" w:firstLine="0"/>
      </w:pPr>
      <w:rPr>
        <w:rFonts w:hint="default"/>
      </w:rPr>
    </w:lvl>
  </w:abstractNum>
  <w:abstractNum w:abstractNumId="25">
    <w:nsid w:val="ACD44672"/>
    <w:multiLevelType w:val="singleLevel"/>
    <w:tmpl w:val="ACD44672"/>
    <w:lvl w:ilvl="0" w:tentative="0">
      <w:start w:val="1"/>
      <w:numFmt w:val="lowerLetter"/>
      <w:suff w:val="space"/>
      <w:lvlText w:val="%1)"/>
      <w:lvlJc w:val="left"/>
      <w:pPr>
        <w:ind w:left="0" w:firstLine="420"/>
      </w:pPr>
      <w:rPr>
        <w:rFonts w:hint="default"/>
      </w:rPr>
    </w:lvl>
  </w:abstractNum>
  <w:abstractNum w:abstractNumId="26">
    <w:nsid w:val="ADC7CBC2"/>
    <w:multiLevelType w:val="singleLevel"/>
    <w:tmpl w:val="ADC7CBC2"/>
    <w:lvl w:ilvl="0" w:tentative="0">
      <w:start w:val="1"/>
      <w:numFmt w:val="lowerLetter"/>
      <w:suff w:val="space"/>
      <w:lvlText w:val="%1)"/>
      <w:lvlJc w:val="left"/>
      <w:pPr>
        <w:ind w:left="0" w:firstLine="400"/>
      </w:pPr>
      <w:rPr>
        <w:rFonts w:hint="default"/>
      </w:rPr>
    </w:lvl>
  </w:abstractNum>
  <w:abstractNum w:abstractNumId="27">
    <w:nsid w:val="B4852AC3"/>
    <w:multiLevelType w:val="singleLevel"/>
    <w:tmpl w:val="B4852AC3"/>
    <w:lvl w:ilvl="0" w:tentative="0">
      <w:start w:val="1"/>
      <w:numFmt w:val="lowerLetter"/>
      <w:suff w:val="space"/>
      <w:lvlText w:val="%1)"/>
      <w:lvlJc w:val="left"/>
      <w:pPr>
        <w:ind w:left="0" w:firstLine="416"/>
      </w:pPr>
      <w:rPr>
        <w:rFonts w:hint="default"/>
      </w:rPr>
    </w:lvl>
  </w:abstractNum>
  <w:abstractNum w:abstractNumId="28">
    <w:nsid w:val="BC36F405"/>
    <w:multiLevelType w:val="singleLevel"/>
    <w:tmpl w:val="BC36F405"/>
    <w:lvl w:ilvl="0" w:tentative="0">
      <w:start w:val="1"/>
      <w:numFmt w:val="lowerLetter"/>
      <w:suff w:val="space"/>
      <w:lvlText w:val="%1)"/>
      <w:lvlJc w:val="left"/>
      <w:pPr>
        <w:ind w:left="0" w:firstLine="420"/>
      </w:pPr>
      <w:rPr>
        <w:rFonts w:hint="default"/>
      </w:rPr>
    </w:lvl>
  </w:abstractNum>
  <w:abstractNum w:abstractNumId="29">
    <w:nsid w:val="BEA1B3DC"/>
    <w:multiLevelType w:val="singleLevel"/>
    <w:tmpl w:val="BEA1B3DC"/>
    <w:lvl w:ilvl="0" w:tentative="0">
      <w:start w:val="1"/>
      <w:numFmt w:val="lowerLetter"/>
      <w:suff w:val="space"/>
      <w:lvlText w:val="%1)"/>
      <w:lvlJc w:val="left"/>
      <w:pPr>
        <w:ind w:left="0" w:firstLine="416"/>
      </w:pPr>
      <w:rPr>
        <w:rFonts w:hint="default"/>
      </w:rPr>
    </w:lvl>
  </w:abstractNum>
  <w:abstractNum w:abstractNumId="30">
    <w:nsid w:val="BFC73D92"/>
    <w:multiLevelType w:val="singleLevel"/>
    <w:tmpl w:val="BFC73D92"/>
    <w:lvl w:ilvl="0" w:tentative="0">
      <w:start w:val="1"/>
      <w:numFmt w:val="lowerLetter"/>
      <w:suff w:val="space"/>
      <w:lvlText w:val="%1)"/>
      <w:lvlJc w:val="left"/>
      <w:pPr>
        <w:ind w:left="0" w:firstLine="412"/>
      </w:pPr>
      <w:rPr>
        <w:rFonts w:hint="default"/>
      </w:rPr>
    </w:lvl>
  </w:abstractNum>
  <w:abstractNum w:abstractNumId="31">
    <w:nsid w:val="C1E11A7A"/>
    <w:multiLevelType w:val="singleLevel"/>
    <w:tmpl w:val="C1E11A7A"/>
    <w:lvl w:ilvl="0" w:tentative="0">
      <w:start w:val="1"/>
      <w:numFmt w:val="decimal"/>
      <w:suff w:val="space"/>
      <w:lvlText w:val="%1)"/>
      <w:lvlJc w:val="left"/>
      <w:pPr>
        <w:ind w:left="0" w:firstLine="416"/>
      </w:pPr>
      <w:rPr>
        <w:rFonts w:hint="default"/>
      </w:rPr>
    </w:lvl>
  </w:abstractNum>
  <w:abstractNum w:abstractNumId="32">
    <w:nsid w:val="C9D8E94B"/>
    <w:multiLevelType w:val="singleLevel"/>
    <w:tmpl w:val="C9D8E94B"/>
    <w:lvl w:ilvl="0" w:tentative="0">
      <w:start w:val="1"/>
      <w:numFmt w:val="decimal"/>
      <w:suff w:val="space"/>
      <w:lvlText w:val="5.1.%1"/>
      <w:lvlJc w:val="left"/>
      <w:pPr>
        <w:ind w:left="0" w:firstLine="0"/>
      </w:pPr>
      <w:rPr>
        <w:rFonts w:hint="default"/>
      </w:rPr>
    </w:lvl>
  </w:abstractNum>
  <w:abstractNum w:abstractNumId="33">
    <w:nsid w:val="D1E9187F"/>
    <w:multiLevelType w:val="singleLevel"/>
    <w:tmpl w:val="D1E9187F"/>
    <w:lvl w:ilvl="0" w:tentative="0">
      <w:start w:val="1"/>
      <w:numFmt w:val="lowerLetter"/>
      <w:suff w:val="space"/>
      <w:lvlText w:val="%1)"/>
      <w:lvlJc w:val="left"/>
      <w:pPr>
        <w:ind w:left="0" w:firstLine="412"/>
      </w:pPr>
      <w:rPr>
        <w:rFonts w:hint="default"/>
      </w:rPr>
    </w:lvl>
  </w:abstractNum>
  <w:abstractNum w:abstractNumId="34">
    <w:nsid w:val="D21DF83B"/>
    <w:multiLevelType w:val="singleLevel"/>
    <w:tmpl w:val="D21DF83B"/>
    <w:lvl w:ilvl="0" w:tentative="0">
      <w:start w:val="1"/>
      <w:numFmt w:val="lowerLetter"/>
      <w:suff w:val="space"/>
      <w:lvlText w:val="%1)"/>
      <w:lvlJc w:val="left"/>
      <w:pPr>
        <w:ind w:left="0" w:firstLine="420"/>
      </w:pPr>
      <w:rPr>
        <w:rFonts w:hint="default"/>
      </w:rPr>
    </w:lvl>
  </w:abstractNum>
  <w:abstractNum w:abstractNumId="35">
    <w:nsid w:val="D41BE38E"/>
    <w:multiLevelType w:val="singleLevel"/>
    <w:tmpl w:val="D41BE38E"/>
    <w:lvl w:ilvl="0" w:tentative="0">
      <w:start w:val="1"/>
      <w:numFmt w:val="decimal"/>
      <w:suff w:val="space"/>
      <w:lvlText w:val="%1)"/>
      <w:lvlJc w:val="left"/>
      <w:pPr>
        <w:ind w:left="0" w:firstLine="388"/>
      </w:pPr>
      <w:rPr>
        <w:rFonts w:hint="default"/>
      </w:rPr>
    </w:lvl>
  </w:abstractNum>
  <w:abstractNum w:abstractNumId="36">
    <w:nsid w:val="D7D80B3B"/>
    <w:multiLevelType w:val="singleLevel"/>
    <w:tmpl w:val="D7D80B3B"/>
    <w:lvl w:ilvl="0" w:tentative="0">
      <w:start w:val="1"/>
      <w:numFmt w:val="decimal"/>
      <w:suff w:val="space"/>
      <w:lvlText w:val="9.%1"/>
      <w:lvlJc w:val="left"/>
      <w:pPr>
        <w:ind w:left="0" w:firstLine="0"/>
      </w:pPr>
      <w:rPr>
        <w:rFonts w:hint="default"/>
      </w:rPr>
    </w:lvl>
  </w:abstractNum>
  <w:abstractNum w:abstractNumId="37">
    <w:nsid w:val="D8ADEF54"/>
    <w:multiLevelType w:val="singleLevel"/>
    <w:tmpl w:val="D8ADEF54"/>
    <w:lvl w:ilvl="0" w:tentative="0">
      <w:start w:val="1"/>
      <w:numFmt w:val="decimal"/>
      <w:suff w:val="space"/>
      <w:lvlText w:val="%1)"/>
      <w:lvlJc w:val="left"/>
      <w:pPr>
        <w:ind w:left="0" w:firstLine="416"/>
      </w:pPr>
      <w:rPr>
        <w:rFonts w:hint="default"/>
      </w:rPr>
    </w:lvl>
  </w:abstractNum>
  <w:abstractNum w:abstractNumId="38">
    <w:nsid w:val="DED1AD64"/>
    <w:multiLevelType w:val="singleLevel"/>
    <w:tmpl w:val="DED1AD64"/>
    <w:lvl w:ilvl="0" w:tentative="0">
      <w:start w:val="1"/>
      <w:numFmt w:val="lowerLetter"/>
      <w:suff w:val="space"/>
      <w:lvlText w:val="%1)"/>
      <w:lvlJc w:val="left"/>
      <w:pPr>
        <w:ind w:left="0" w:firstLine="416"/>
      </w:pPr>
      <w:rPr>
        <w:rFonts w:hint="default"/>
      </w:rPr>
    </w:lvl>
  </w:abstractNum>
  <w:abstractNum w:abstractNumId="39">
    <w:nsid w:val="DF246C23"/>
    <w:multiLevelType w:val="singleLevel"/>
    <w:tmpl w:val="DF246C23"/>
    <w:lvl w:ilvl="0" w:tentative="0">
      <w:start w:val="1"/>
      <w:numFmt w:val="decimal"/>
      <w:suff w:val="space"/>
      <w:lvlText w:val="%1)"/>
      <w:lvlJc w:val="left"/>
      <w:pPr>
        <w:ind w:left="0" w:firstLine="416"/>
      </w:pPr>
      <w:rPr>
        <w:rFonts w:hint="default"/>
      </w:rPr>
    </w:lvl>
  </w:abstractNum>
  <w:abstractNum w:abstractNumId="40">
    <w:nsid w:val="E987C4B7"/>
    <w:multiLevelType w:val="singleLevel"/>
    <w:tmpl w:val="E987C4B7"/>
    <w:lvl w:ilvl="0" w:tentative="0">
      <w:start w:val="1"/>
      <w:numFmt w:val="decimal"/>
      <w:suff w:val="space"/>
      <w:lvlText w:val="A.10.%1"/>
      <w:lvlJc w:val="left"/>
      <w:pPr>
        <w:ind w:left="0" w:firstLine="0"/>
      </w:pPr>
      <w:rPr>
        <w:rFonts w:hint="default"/>
      </w:rPr>
    </w:lvl>
  </w:abstractNum>
  <w:abstractNum w:abstractNumId="41">
    <w:nsid w:val="EA2B42B1"/>
    <w:multiLevelType w:val="singleLevel"/>
    <w:tmpl w:val="EA2B42B1"/>
    <w:lvl w:ilvl="0" w:tentative="0">
      <w:start w:val="1"/>
      <w:numFmt w:val="decimal"/>
      <w:suff w:val="space"/>
      <w:lvlText w:val="%1)"/>
      <w:lvlJc w:val="left"/>
      <w:pPr>
        <w:ind w:left="0" w:firstLine="416"/>
      </w:pPr>
      <w:rPr>
        <w:rFonts w:hint="default"/>
      </w:rPr>
    </w:lvl>
  </w:abstractNum>
  <w:abstractNum w:abstractNumId="42">
    <w:nsid w:val="EA9513EC"/>
    <w:multiLevelType w:val="singleLevel"/>
    <w:tmpl w:val="EA9513EC"/>
    <w:lvl w:ilvl="0" w:tentative="0">
      <w:start w:val="1"/>
      <w:numFmt w:val="decimal"/>
      <w:suff w:val="space"/>
      <w:lvlText w:val="%1)"/>
      <w:lvlJc w:val="left"/>
      <w:pPr>
        <w:ind w:left="0" w:firstLine="416"/>
      </w:pPr>
      <w:rPr>
        <w:rFonts w:hint="default"/>
      </w:rPr>
    </w:lvl>
  </w:abstractNum>
  <w:abstractNum w:abstractNumId="43">
    <w:nsid w:val="F36473CD"/>
    <w:multiLevelType w:val="singleLevel"/>
    <w:tmpl w:val="F36473CD"/>
    <w:lvl w:ilvl="0" w:tentative="0">
      <w:start w:val="1"/>
      <w:numFmt w:val="lowerLetter"/>
      <w:suff w:val="space"/>
      <w:lvlText w:val="%1)"/>
      <w:lvlJc w:val="left"/>
      <w:pPr>
        <w:ind w:left="0" w:firstLine="404"/>
      </w:pPr>
      <w:rPr>
        <w:rFonts w:hint="default"/>
      </w:rPr>
    </w:lvl>
  </w:abstractNum>
  <w:abstractNum w:abstractNumId="44">
    <w:nsid w:val="F68DD1F3"/>
    <w:multiLevelType w:val="singleLevel"/>
    <w:tmpl w:val="F68DD1F3"/>
    <w:lvl w:ilvl="0" w:tentative="0">
      <w:start w:val="1"/>
      <w:numFmt w:val="lowerLetter"/>
      <w:suff w:val="space"/>
      <w:lvlText w:val="%1)"/>
      <w:lvlJc w:val="left"/>
      <w:pPr>
        <w:ind w:left="0" w:firstLine="412"/>
      </w:pPr>
      <w:rPr>
        <w:rFonts w:hint="default"/>
      </w:rPr>
    </w:lvl>
  </w:abstractNum>
  <w:abstractNum w:abstractNumId="45">
    <w:nsid w:val="F8058535"/>
    <w:multiLevelType w:val="multilevel"/>
    <w:tmpl w:val="F8058535"/>
    <w:lvl w:ilvl="0" w:tentative="0">
      <w:start w:val="1"/>
      <w:numFmt w:val="decimal"/>
      <w:suff w:val="nothing"/>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46">
    <w:nsid w:val="F8CC70FA"/>
    <w:multiLevelType w:val="singleLevel"/>
    <w:tmpl w:val="F8CC70FA"/>
    <w:lvl w:ilvl="0" w:tentative="0">
      <w:start w:val="1"/>
      <w:numFmt w:val="lowerLetter"/>
      <w:suff w:val="space"/>
      <w:lvlText w:val="%1)"/>
      <w:lvlJc w:val="left"/>
      <w:pPr>
        <w:ind w:left="0" w:firstLine="420"/>
      </w:pPr>
      <w:rPr>
        <w:rFonts w:hint="default"/>
      </w:rPr>
    </w:lvl>
  </w:abstractNum>
  <w:abstractNum w:abstractNumId="47">
    <w:nsid w:val="FE2013B3"/>
    <w:multiLevelType w:val="singleLevel"/>
    <w:tmpl w:val="FE2013B3"/>
    <w:lvl w:ilvl="0" w:tentative="0">
      <w:start w:val="1"/>
      <w:numFmt w:val="decimal"/>
      <w:suff w:val="space"/>
      <w:lvlText w:val="9.2.%1"/>
      <w:lvlJc w:val="left"/>
      <w:pPr>
        <w:ind w:left="0" w:firstLine="0"/>
      </w:pPr>
      <w:rPr>
        <w:rFonts w:hint="default"/>
      </w:rPr>
    </w:lvl>
  </w:abstractNum>
  <w:abstractNum w:abstractNumId="48">
    <w:nsid w:val="01B0B14E"/>
    <w:multiLevelType w:val="singleLevel"/>
    <w:tmpl w:val="01B0B14E"/>
    <w:lvl w:ilvl="0" w:tentative="0">
      <w:start w:val="1"/>
      <w:numFmt w:val="lowerLetter"/>
      <w:suff w:val="space"/>
      <w:lvlText w:val="%1)"/>
      <w:lvlJc w:val="left"/>
      <w:pPr>
        <w:ind w:left="0" w:firstLine="408"/>
      </w:pPr>
      <w:rPr>
        <w:rFonts w:hint="default"/>
      </w:rPr>
    </w:lvl>
  </w:abstractNum>
  <w:abstractNum w:abstractNumId="49">
    <w:nsid w:val="01F9F550"/>
    <w:multiLevelType w:val="singleLevel"/>
    <w:tmpl w:val="01F9F550"/>
    <w:lvl w:ilvl="0" w:tentative="0">
      <w:start w:val="1"/>
      <w:numFmt w:val="decimal"/>
      <w:suff w:val="space"/>
      <w:lvlText w:val="%1)"/>
      <w:lvlJc w:val="left"/>
      <w:pPr>
        <w:ind w:left="0" w:firstLine="416"/>
      </w:pPr>
      <w:rPr>
        <w:rFonts w:hint="default"/>
      </w:rPr>
    </w:lvl>
  </w:abstractNum>
  <w:abstractNum w:abstractNumId="50">
    <w:nsid w:val="0339A10B"/>
    <w:multiLevelType w:val="singleLevel"/>
    <w:tmpl w:val="0339A10B"/>
    <w:lvl w:ilvl="0" w:tentative="0">
      <w:start w:val="1"/>
      <w:numFmt w:val="lowerLetter"/>
      <w:suff w:val="nothing"/>
      <w:lvlText w:val="%1）"/>
      <w:lvlJc w:val="left"/>
      <w:pPr>
        <w:ind w:left="0" w:firstLine="408"/>
      </w:pPr>
      <w:rPr>
        <w:rFonts w:hint="default"/>
      </w:rPr>
    </w:lvl>
  </w:abstractNum>
  <w:abstractNum w:abstractNumId="51">
    <w:nsid w:val="05093419"/>
    <w:multiLevelType w:val="singleLevel"/>
    <w:tmpl w:val="05093419"/>
    <w:lvl w:ilvl="0" w:tentative="0">
      <w:start w:val="1"/>
      <w:numFmt w:val="lowerLetter"/>
      <w:suff w:val="space"/>
      <w:lvlText w:val="%1)"/>
      <w:lvlJc w:val="left"/>
      <w:pPr>
        <w:ind w:left="0" w:firstLine="420"/>
      </w:pPr>
      <w:rPr>
        <w:rFonts w:hint="default"/>
      </w:rPr>
    </w:lvl>
  </w:abstractNum>
  <w:abstractNum w:abstractNumId="52">
    <w:nsid w:val="08379052"/>
    <w:multiLevelType w:val="singleLevel"/>
    <w:tmpl w:val="08379052"/>
    <w:lvl w:ilvl="0" w:tentative="0">
      <w:start w:val="1"/>
      <w:numFmt w:val="lowerLetter"/>
      <w:suff w:val="space"/>
      <w:lvlText w:val="%1)"/>
      <w:lvlJc w:val="left"/>
      <w:pPr>
        <w:ind w:left="0" w:firstLine="404"/>
      </w:pPr>
      <w:rPr>
        <w:rFonts w:hint="default"/>
      </w:rPr>
    </w:lvl>
  </w:abstractNum>
  <w:abstractNum w:abstractNumId="53">
    <w:nsid w:val="0AB5A409"/>
    <w:multiLevelType w:val="singleLevel"/>
    <w:tmpl w:val="0AB5A409"/>
    <w:lvl w:ilvl="0" w:tentative="0">
      <w:start w:val="1"/>
      <w:numFmt w:val="lowerLetter"/>
      <w:suff w:val="space"/>
      <w:lvlText w:val="%1)"/>
      <w:lvlJc w:val="left"/>
      <w:pPr>
        <w:ind w:left="0" w:firstLine="412"/>
      </w:pPr>
      <w:rPr>
        <w:rFonts w:hint="default"/>
      </w:rPr>
    </w:lvl>
  </w:abstractNum>
  <w:abstractNum w:abstractNumId="54">
    <w:nsid w:val="0B004953"/>
    <w:multiLevelType w:val="singleLevel"/>
    <w:tmpl w:val="0B004953"/>
    <w:lvl w:ilvl="0" w:tentative="0">
      <w:start w:val="1"/>
      <w:numFmt w:val="lowerLetter"/>
      <w:suff w:val="space"/>
      <w:lvlText w:val="%1)"/>
      <w:lvlJc w:val="left"/>
      <w:pPr>
        <w:ind w:left="0" w:firstLine="392"/>
      </w:pPr>
      <w:rPr>
        <w:rFonts w:hint="default"/>
      </w:rPr>
    </w:lvl>
  </w:abstractNum>
  <w:abstractNum w:abstractNumId="55">
    <w:nsid w:val="0E2D5D40"/>
    <w:multiLevelType w:val="singleLevel"/>
    <w:tmpl w:val="0E2D5D40"/>
    <w:lvl w:ilvl="0" w:tentative="0">
      <w:start w:val="1"/>
      <w:numFmt w:val="decimal"/>
      <w:suff w:val="space"/>
      <w:lvlText w:val="A.15.%1"/>
      <w:lvlJc w:val="left"/>
      <w:pPr>
        <w:ind w:left="0" w:firstLine="0"/>
      </w:pPr>
      <w:rPr>
        <w:rFonts w:hint="default"/>
      </w:rPr>
    </w:lvl>
  </w:abstractNum>
  <w:abstractNum w:abstractNumId="56">
    <w:nsid w:val="0F3B7495"/>
    <w:multiLevelType w:val="singleLevel"/>
    <w:tmpl w:val="0F3B7495"/>
    <w:lvl w:ilvl="0" w:tentative="0">
      <w:start w:val="1"/>
      <w:numFmt w:val="decimal"/>
      <w:suff w:val="space"/>
      <w:lvlText w:val="7.4.%1"/>
      <w:lvlJc w:val="left"/>
      <w:pPr>
        <w:ind w:left="0" w:firstLine="0"/>
      </w:pPr>
      <w:rPr>
        <w:rFonts w:hint="default"/>
      </w:rPr>
    </w:lvl>
  </w:abstractNum>
  <w:abstractNum w:abstractNumId="57">
    <w:nsid w:val="10551F26"/>
    <w:multiLevelType w:val="singleLevel"/>
    <w:tmpl w:val="10551F26"/>
    <w:lvl w:ilvl="0" w:tentative="0">
      <w:start w:val="1"/>
      <w:numFmt w:val="decimal"/>
      <w:suff w:val="space"/>
      <w:lvlText w:val="%1)"/>
      <w:lvlJc w:val="left"/>
      <w:pPr>
        <w:ind w:left="0" w:firstLine="416"/>
      </w:pPr>
      <w:rPr>
        <w:rFonts w:hint="default"/>
      </w:rPr>
    </w:lvl>
  </w:abstractNum>
  <w:abstractNum w:abstractNumId="58">
    <w:nsid w:val="16F4F3EC"/>
    <w:multiLevelType w:val="singleLevel"/>
    <w:tmpl w:val="16F4F3EC"/>
    <w:lvl w:ilvl="0" w:tentative="0">
      <w:start w:val="1"/>
      <w:numFmt w:val="lowerLetter"/>
      <w:suff w:val="space"/>
      <w:lvlText w:val="%1)"/>
      <w:lvlJc w:val="left"/>
      <w:pPr>
        <w:ind w:left="0" w:firstLine="416"/>
      </w:pPr>
      <w:rPr>
        <w:rFonts w:hint="default"/>
      </w:rPr>
    </w:lvl>
  </w:abstractNum>
  <w:abstractNum w:abstractNumId="59">
    <w:nsid w:val="175F8C04"/>
    <w:multiLevelType w:val="singleLevel"/>
    <w:tmpl w:val="175F8C04"/>
    <w:lvl w:ilvl="0" w:tentative="0">
      <w:start w:val="1"/>
      <w:numFmt w:val="decimal"/>
      <w:suff w:val="space"/>
      <w:lvlText w:val="%1)"/>
      <w:lvlJc w:val="left"/>
      <w:pPr>
        <w:ind w:left="0" w:firstLine="416"/>
      </w:pPr>
      <w:rPr>
        <w:rFonts w:hint="default"/>
      </w:rPr>
    </w:lvl>
  </w:abstractNum>
  <w:abstractNum w:abstractNumId="60">
    <w:nsid w:val="1855FAE5"/>
    <w:multiLevelType w:val="singleLevel"/>
    <w:tmpl w:val="1855FAE5"/>
    <w:lvl w:ilvl="0" w:tentative="0">
      <w:start w:val="1"/>
      <w:numFmt w:val="decimal"/>
      <w:suff w:val="space"/>
      <w:lvlText w:val="A.16.%1"/>
      <w:lvlJc w:val="left"/>
      <w:pPr>
        <w:ind w:left="0" w:firstLine="0"/>
      </w:pPr>
      <w:rPr>
        <w:rFonts w:hint="default"/>
      </w:rPr>
    </w:lvl>
  </w:abstractNum>
  <w:abstractNum w:abstractNumId="61">
    <w:nsid w:val="2094500A"/>
    <w:multiLevelType w:val="singleLevel"/>
    <w:tmpl w:val="2094500A"/>
    <w:lvl w:ilvl="0" w:tentative="0">
      <w:start w:val="1"/>
      <w:numFmt w:val="lowerLetter"/>
      <w:suff w:val="space"/>
      <w:lvlText w:val="%1)"/>
      <w:lvlJc w:val="left"/>
      <w:pPr>
        <w:ind w:left="0" w:firstLine="420"/>
      </w:pPr>
      <w:rPr>
        <w:rFonts w:hint="default"/>
      </w:rPr>
    </w:lvl>
  </w:abstractNum>
  <w:abstractNum w:abstractNumId="62">
    <w:nsid w:val="25E5A31F"/>
    <w:multiLevelType w:val="singleLevel"/>
    <w:tmpl w:val="25E5A31F"/>
    <w:lvl w:ilvl="0" w:tentative="0">
      <w:start w:val="1"/>
      <w:numFmt w:val="lowerLetter"/>
      <w:suff w:val="space"/>
      <w:lvlText w:val="%1)"/>
      <w:lvlJc w:val="left"/>
      <w:pPr>
        <w:ind w:left="0" w:firstLine="420"/>
      </w:pPr>
      <w:rPr>
        <w:rFonts w:hint="default"/>
      </w:rPr>
    </w:lvl>
  </w:abstractNum>
  <w:abstractNum w:abstractNumId="63">
    <w:nsid w:val="29E422E4"/>
    <w:multiLevelType w:val="singleLevel"/>
    <w:tmpl w:val="29E422E4"/>
    <w:lvl w:ilvl="0" w:tentative="0">
      <w:start w:val="1"/>
      <w:numFmt w:val="decimal"/>
      <w:suff w:val="space"/>
      <w:lvlText w:val="A.19.%1"/>
      <w:lvlJc w:val="left"/>
      <w:pPr>
        <w:ind w:left="0" w:firstLine="416"/>
      </w:pPr>
      <w:rPr>
        <w:rFonts w:hint="default"/>
      </w:rPr>
    </w:lvl>
  </w:abstractNum>
  <w:abstractNum w:abstractNumId="64">
    <w:nsid w:val="2C20118F"/>
    <w:multiLevelType w:val="singleLevel"/>
    <w:tmpl w:val="2C20118F"/>
    <w:lvl w:ilvl="0" w:tentative="0">
      <w:start w:val="1"/>
      <w:numFmt w:val="lowerLetter"/>
      <w:suff w:val="space"/>
      <w:lvlText w:val="%1)"/>
      <w:lvlJc w:val="left"/>
      <w:pPr>
        <w:ind w:left="0" w:firstLine="420"/>
      </w:pPr>
      <w:rPr>
        <w:rFonts w:hint="default"/>
      </w:rPr>
    </w:lvl>
  </w:abstractNum>
  <w:abstractNum w:abstractNumId="65">
    <w:nsid w:val="2EE48DBE"/>
    <w:multiLevelType w:val="singleLevel"/>
    <w:tmpl w:val="2EE48DBE"/>
    <w:lvl w:ilvl="0" w:tentative="0">
      <w:start w:val="1"/>
      <w:numFmt w:val="decimal"/>
      <w:suff w:val="space"/>
      <w:lvlText w:val="A.18.%1"/>
      <w:lvlJc w:val="left"/>
      <w:pPr>
        <w:ind w:left="0" w:firstLine="0"/>
      </w:pPr>
      <w:rPr>
        <w:rFonts w:hint="default"/>
      </w:rPr>
    </w:lvl>
  </w:abstractNum>
  <w:abstractNum w:abstractNumId="66">
    <w:nsid w:val="2FAFE3A2"/>
    <w:multiLevelType w:val="singleLevel"/>
    <w:tmpl w:val="2FAFE3A2"/>
    <w:lvl w:ilvl="0" w:tentative="0">
      <w:start w:val="1"/>
      <w:numFmt w:val="lowerLetter"/>
      <w:suff w:val="space"/>
      <w:lvlText w:val="%1)"/>
      <w:lvlJc w:val="left"/>
      <w:pPr>
        <w:ind w:left="0" w:firstLine="412"/>
      </w:pPr>
      <w:rPr>
        <w:rFonts w:hint="default"/>
      </w:rPr>
    </w:lvl>
  </w:abstractNum>
  <w:abstractNum w:abstractNumId="67">
    <w:nsid w:val="2FFA3350"/>
    <w:multiLevelType w:val="singleLevel"/>
    <w:tmpl w:val="2FFA3350"/>
    <w:lvl w:ilvl="0" w:tentative="0">
      <w:start w:val="1"/>
      <w:numFmt w:val="decimal"/>
      <w:suff w:val="space"/>
      <w:lvlText w:val="A.14.%1"/>
      <w:lvlJc w:val="left"/>
      <w:pPr>
        <w:ind w:left="0" w:firstLine="0"/>
      </w:pPr>
      <w:rPr>
        <w:rFonts w:hint="default"/>
      </w:rPr>
    </w:lvl>
  </w:abstractNum>
  <w:abstractNum w:abstractNumId="68">
    <w:nsid w:val="308C8083"/>
    <w:multiLevelType w:val="singleLevel"/>
    <w:tmpl w:val="308C8083"/>
    <w:lvl w:ilvl="0" w:tentative="0">
      <w:start w:val="1"/>
      <w:numFmt w:val="lowerLetter"/>
      <w:suff w:val="space"/>
      <w:lvlText w:val="%1)"/>
      <w:lvlJc w:val="left"/>
      <w:pPr>
        <w:ind w:left="0" w:firstLine="416"/>
      </w:pPr>
      <w:rPr>
        <w:rFonts w:hint="default"/>
      </w:rPr>
    </w:lvl>
  </w:abstractNum>
  <w:abstractNum w:abstractNumId="69">
    <w:nsid w:val="31A135F1"/>
    <w:multiLevelType w:val="singleLevel"/>
    <w:tmpl w:val="31A135F1"/>
    <w:lvl w:ilvl="0" w:tentative="0">
      <w:start w:val="1"/>
      <w:numFmt w:val="lowerLetter"/>
      <w:suff w:val="space"/>
      <w:lvlText w:val="%1)"/>
      <w:lvlJc w:val="left"/>
      <w:pPr>
        <w:ind w:left="0" w:firstLine="384"/>
      </w:pPr>
      <w:rPr>
        <w:rFonts w:hint="default"/>
      </w:rPr>
    </w:lvl>
  </w:abstractNum>
  <w:abstractNum w:abstractNumId="70">
    <w:nsid w:val="324322D4"/>
    <w:multiLevelType w:val="singleLevel"/>
    <w:tmpl w:val="324322D4"/>
    <w:lvl w:ilvl="0" w:tentative="0">
      <w:start w:val="1"/>
      <w:numFmt w:val="decimal"/>
      <w:suff w:val="space"/>
      <w:lvlText w:val="%1)"/>
      <w:lvlJc w:val="left"/>
      <w:pPr>
        <w:ind w:left="0" w:firstLine="416"/>
      </w:pPr>
      <w:rPr>
        <w:rFonts w:hint="default"/>
      </w:rPr>
    </w:lvl>
  </w:abstractNum>
  <w:abstractNum w:abstractNumId="71">
    <w:nsid w:val="33764E4A"/>
    <w:multiLevelType w:val="singleLevel"/>
    <w:tmpl w:val="33764E4A"/>
    <w:lvl w:ilvl="0" w:tentative="0">
      <w:start w:val="1"/>
      <w:numFmt w:val="decimal"/>
      <w:suff w:val="space"/>
      <w:lvlText w:val="%1)"/>
      <w:lvlJc w:val="left"/>
      <w:pPr>
        <w:ind w:left="0" w:firstLine="412"/>
      </w:pPr>
      <w:rPr>
        <w:rFonts w:hint="default"/>
      </w:rPr>
    </w:lvl>
  </w:abstractNum>
  <w:abstractNum w:abstractNumId="72">
    <w:nsid w:val="347A48DA"/>
    <w:multiLevelType w:val="singleLevel"/>
    <w:tmpl w:val="347A48DA"/>
    <w:lvl w:ilvl="0" w:tentative="0">
      <w:start w:val="1"/>
      <w:numFmt w:val="lowerLetter"/>
      <w:suff w:val="space"/>
      <w:lvlText w:val="%1)"/>
      <w:lvlJc w:val="left"/>
      <w:pPr>
        <w:ind w:left="0" w:firstLine="420"/>
      </w:pPr>
      <w:rPr>
        <w:rFonts w:hint="default"/>
      </w:rPr>
    </w:lvl>
  </w:abstractNum>
  <w:abstractNum w:abstractNumId="73">
    <w:nsid w:val="347B90BB"/>
    <w:multiLevelType w:val="singleLevel"/>
    <w:tmpl w:val="347B90BB"/>
    <w:lvl w:ilvl="0" w:tentative="0">
      <w:start w:val="1"/>
      <w:numFmt w:val="decimal"/>
      <w:suff w:val="space"/>
      <w:lvlText w:val="%1)"/>
      <w:lvlJc w:val="left"/>
      <w:pPr>
        <w:ind w:left="0" w:firstLine="388"/>
      </w:pPr>
      <w:rPr>
        <w:rFonts w:hint="default"/>
      </w:rPr>
    </w:lvl>
  </w:abstractNum>
  <w:abstractNum w:abstractNumId="74">
    <w:nsid w:val="357BAEC7"/>
    <w:multiLevelType w:val="singleLevel"/>
    <w:tmpl w:val="357BAEC7"/>
    <w:lvl w:ilvl="0" w:tentative="0">
      <w:start w:val="1"/>
      <w:numFmt w:val="decimal"/>
      <w:suff w:val="space"/>
      <w:lvlText w:val="6.3.%1"/>
      <w:lvlJc w:val="left"/>
      <w:pPr>
        <w:ind w:left="0" w:firstLine="0"/>
      </w:pPr>
      <w:rPr>
        <w:rFonts w:hint="default"/>
      </w:rPr>
    </w:lvl>
  </w:abstractNum>
  <w:abstractNum w:abstractNumId="75">
    <w:nsid w:val="35B8DA83"/>
    <w:multiLevelType w:val="singleLevel"/>
    <w:tmpl w:val="35B8DA83"/>
    <w:lvl w:ilvl="0" w:tentative="0">
      <w:start w:val="1"/>
      <w:numFmt w:val="lowerLetter"/>
      <w:suff w:val="space"/>
      <w:lvlText w:val="%1)"/>
      <w:lvlJc w:val="left"/>
      <w:pPr>
        <w:ind w:left="0" w:firstLine="420"/>
      </w:pPr>
      <w:rPr>
        <w:rFonts w:hint="default"/>
      </w:rPr>
    </w:lvl>
  </w:abstractNum>
  <w:abstractNum w:abstractNumId="76">
    <w:nsid w:val="35CE00A0"/>
    <w:multiLevelType w:val="singleLevel"/>
    <w:tmpl w:val="35CE00A0"/>
    <w:lvl w:ilvl="0" w:tentative="0">
      <w:start w:val="1"/>
      <w:numFmt w:val="lowerLetter"/>
      <w:suff w:val="space"/>
      <w:lvlText w:val="%1)"/>
      <w:lvlJc w:val="left"/>
      <w:pPr>
        <w:ind w:left="0" w:firstLine="420"/>
      </w:pPr>
      <w:rPr>
        <w:rFonts w:hint="default"/>
      </w:rPr>
    </w:lvl>
  </w:abstractNum>
  <w:abstractNum w:abstractNumId="77">
    <w:nsid w:val="3790AEED"/>
    <w:multiLevelType w:val="singleLevel"/>
    <w:tmpl w:val="3790AEED"/>
    <w:lvl w:ilvl="0" w:tentative="0">
      <w:start w:val="1"/>
      <w:numFmt w:val="lowerLetter"/>
      <w:suff w:val="space"/>
      <w:lvlText w:val="%1)"/>
      <w:lvlJc w:val="left"/>
      <w:pPr>
        <w:ind w:left="0" w:firstLine="408"/>
      </w:pPr>
      <w:rPr>
        <w:rFonts w:hint="default"/>
      </w:rPr>
    </w:lvl>
  </w:abstractNum>
  <w:abstractNum w:abstractNumId="78">
    <w:nsid w:val="3C2929F3"/>
    <w:multiLevelType w:val="singleLevel"/>
    <w:tmpl w:val="3C2929F3"/>
    <w:lvl w:ilvl="0" w:tentative="0">
      <w:start w:val="1"/>
      <w:numFmt w:val="lowerLetter"/>
      <w:suff w:val="space"/>
      <w:lvlText w:val="%1)"/>
      <w:lvlJc w:val="left"/>
      <w:pPr>
        <w:ind w:left="0" w:firstLine="416"/>
      </w:pPr>
      <w:rPr>
        <w:rFonts w:hint="default"/>
      </w:rPr>
    </w:lvl>
  </w:abstractNum>
  <w:abstractNum w:abstractNumId="79">
    <w:nsid w:val="3DE36723"/>
    <w:multiLevelType w:val="singleLevel"/>
    <w:tmpl w:val="3DE36723"/>
    <w:lvl w:ilvl="0" w:tentative="0">
      <w:start w:val="1"/>
      <w:numFmt w:val="decimal"/>
      <w:suff w:val="space"/>
      <w:lvlText w:val="%1)"/>
      <w:lvlJc w:val="left"/>
      <w:pPr>
        <w:ind w:left="0" w:firstLine="412"/>
      </w:pPr>
      <w:rPr>
        <w:rFonts w:hint="default"/>
      </w:rPr>
    </w:lvl>
  </w:abstractNum>
  <w:abstractNum w:abstractNumId="80">
    <w:nsid w:val="419AF335"/>
    <w:multiLevelType w:val="singleLevel"/>
    <w:tmpl w:val="419AF335"/>
    <w:lvl w:ilvl="0" w:tentative="0">
      <w:start w:val="1"/>
      <w:numFmt w:val="lowerLetter"/>
      <w:suff w:val="space"/>
      <w:lvlText w:val="%1)"/>
      <w:lvlJc w:val="left"/>
      <w:pPr>
        <w:ind w:left="0" w:firstLine="420"/>
      </w:pPr>
      <w:rPr>
        <w:rFonts w:hint="default"/>
      </w:rPr>
    </w:lvl>
  </w:abstractNum>
  <w:abstractNum w:abstractNumId="81">
    <w:nsid w:val="429DEE10"/>
    <w:multiLevelType w:val="singleLevel"/>
    <w:tmpl w:val="429DEE10"/>
    <w:lvl w:ilvl="0" w:tentative="0">
      <w:start w:val="1"/>
      <w:numFmt w:val="lowerLetter"/>
      <w:suff w:val="space"/>
      <w:lvlText w:val="%1)"/>
      <w:lvlJc w:val="left"/>
      <w:pPr>
        <w:ind w:left="0" w:firstLine="408"/>
      </w:pPr>
      <w:rPr>
        <w:rFonts w:hint="default"/>
      </w:rPr>
    </w:lvl>
  </w:abstractNum>
  <w:abstractNum w:abstractNumId="82">
    <w:nsid w:val="4A5B973A"/>
    <w:multiLevelType w:val="singleLevel"/>
    <w:tmpl w:val="4A5B973A"/>
    <w:lvl w:ilvl="0" w:tentative="0">
      <w:start w:val="1"/>
      <w:numFmt w:val="lowerLetter"/>
      <w:suff w:val="space"/>
      <w:lvlText w:val="%1)"/>
      <w:lvlJc w:val="left"/>
      <w:pPr>
        <w:ind w:left="0" w:firstLine="428"/>
      </w:pPr>
      <w:rPr>
        <w:rFonts w:hint="default"/>
      </w:rPr>
    </w:lvl>
  </w:abstractNum>
  <w:abstractNum w:abstractNumId="83">
    <w:nsid w:val="4CD431DA"/>
    <w:multiLevelType w:val="singleLevel"/>
    <w:tmpl w:val="4CD431DA"/>
    <w:lvl w:ilvl="0" w:tentative="0">
      <w:start w:val="1"/>
      <w:numFmt w:val="decimal"/>
      <w:suff w:val="space"/>
      <w:lvlText w:val="10.%1"/>
      <w:lvlJc w:val="left"/>
      <w:pPr>
        <w:ind w:left="0" w:firstLine="0"/>
      </w:pPr>
      <w:rPr>
        <w:rFonts w:hint="default"/>
      </w:rPr>
    </w:lvl>
  </w:abstractNum>
  <w:abstractNum w:abstractNumId="84">
    <w:nsid w:val="4D69DFB5"/>
    <w:multiLevelType w:val="singleLevel"/>
    <w:tmpl w:val="4D69DFB5"/>
    <w:lvl w:ilvl="0" w:tentative="0">
      <w:start w:val="1"/>
      <w:numFmt w:val="decimal"/>
      <w:suff w:val="space"/>
      <w:lvlText w:val="%1)"/>
      <w:lvlJc w:val="left"/>
      <w:pPr>
        <w:ind w:left="0" w:firstLine="416"/>
      </w:pPr>
      <w:rPr>
        <w:rFonts w:hint="default"/>
      </w:rPr>
    </w:lvl>
  </w:abstractNum>
  <w:abstractNum w:abstractNumId="85">
    <w:nsid w:val="4E9091FD"/>
    <w:multiLevelType w:val="singleLevel"/>
    <w:tmpl w:val="4E9091FD"/>
    <w:lvl w:ilvl="0" w:tentative="0">
      <w:start w:val="1"/>
      <w:numFmt w:val="lowerLetter"/>
      <w:suff w:val="space"/>
      <w:lvlText w:val="%1)"/>
      <w:lvlJc w:val="left"/>
      <w:pPr>
        <w:ind w:left="0" w:firstLine="420"/>
      </w:pPr>
      <w:rPr>
        <w:rFonts w:hint="default"/>
      </w:rPr>
    </w:lvl>
  </w:abstractNum>
  <w:abstractNum w:abstractNumId="86">
    <w:nsid w:val="5262B4EF"/>
    <w:multiLevelType w:val="singleLevel"/>
    <w:tmpl w:val="5262B4EF"/>
    <w:lvl w:ilvl="0" w:tentative="0">
      <w:start w:val="1"/>
      <w:numFmt w:val="lowerLetter"/>
      <w:suff w:val="space"/>
      <w:lvlText w:val="%1)"/>
      <w:lvlJc w:val="left"/>
      <w:pPr>
        <w:ind w:left="0" w:firstLine="416"/>
      </w:pPr>
      <w:rPr>
        <w:rFonts w:hint="default"/>
      </w:rPr>
    </w:lvl>
  </w:abstractNum>
  <w:abstractNum w:abstractNumId="87">
    <w:nsid w:val="53011AA2"/>
    <w:multiLevelType w:val="singleLevel"/>
    <w:tmpl w:val="53011AA2"/>
    <w:lvl w:ilvl="0" w:tentative="0">
      <w:start w:val="1"/>
      <w:numFmt w:val="lowerLetter"/>
      <w:suff w:val="space"/>
      <w:lvlText w:val="%1)"/>
      <w:lvlJc w:val="left"/>
      <w:pPr>
        <w:ind w:left="0" w:firstLine="416"/>
      </w:pPr>
      <w:rPr>
        <w:rFonts w:hint="default"/>
      </w:rPr>
    </w:lvl>
  </w:abstractNum>
  <w:abstractNum w:abstractNumId="88">
    <w:nsid w:val="553713B5"/>
    <w:multiLevelType w:val="singleLevel"/>
    <w:tmpl w:val="553713B5"/>
    <w:lvl w:ilvl="0" w:tentative="0">
      <w:start w:val="1"/>
      <w:numFmt w:val="lowerLetter"/>
      <w:suff w:val="space"/>
      <w:lvlText w:val="%1)"/>
      <w:lvlJc w:val="left"/>
      <w:pPr>
        <w:ind w:left="0" w:firstLine="408"/>
      </w:pPr>
      <w:rPr>
        <w:rFonts w:hint="default"/>
      </w:rPr>
    </w:lvl>
  </w:abstractNum>
  <w:abstractNum w:abstractNumId="89">
    <w:nsid w:val="5841FB3C"/>
    <w:multiLevelType w:val="singleLevel"/>
    <w:tmpl w:val="5841FB3C"/>
    <w:lvl w:ilvl="0" w:tentative="0">
      <w:start w:val="1"/>
      <w:numFmt w:val="lowerLetter"/>
      <w:suff w:val="space"/>
      <w:lvlText w:val="%1)"/>
      <w:lvlJc w:val="left"/>
      <w:pPr>
        <w:ind w:left="0" w:firstLine="412"/>
      </w:pPr>
      <w:rPr>
        <w:rFonts w:hint="default"/>
      </w:rPr>
    </w:lvl>
  </w:abstractNum>
  <w:abstractNum w:abstractNumId="90">
    <w:nsid w:val="58A9E33E"/>
    <w:multiLevelType w:val="singleLevel"/>
    <w:tmpl w:val="58A9E33E"/>
    <w:lvl w:ilvl="0" w:tentative="0">
      <w:start w:val="1"/>
      <w:numFmt w:val="lowerLetter"/>
      <w:suff w:val="space"/>
      <w:lvlText w:val="%1)"/>
      <w:lvlJc w:val="left"/>
      <w:pPr>
        <w:ind w:left="0" w:firstLine="416"/>
      </w:pPr>
      <w:rPr>
        <w:rFonts w:hint="default"/>
      </w:rPr>
    </w:lvl>
  </w:abstractNum>
  <w:abstractNum w:abstractNumId="91">
    <w:nsid w:val="58D41088"/>
    <w:multiLevelType w:val="singleLevel"/>
    <w:tmpl w:val="58D41088"/>
    <w:lvl w:ilvl="0" w:tentative="0">
      <w:start w:val="1"/>
      <w:numFmt w:val="lowerLetter"/>
      <w:suff w:val="space"/>
      <w:lvlText w:val="%1)"/>
      <w:lvlJc w:val="left"/>
      <w:pPr>
        <w:ind w:left="0" w:firstLine="400"/>
      </w:pPr>
      <w:rPr>
        <w:rFonts w:hint="default"/>
      </w:rPr>
    </w:lvl>
  </w:abstractNum>
  <w:abstractNum w:abstractNumId="92">
    <w:nsid w:val="60B0354F"/>
    <w:multiLevelType w:val="singleLevel"/>
    <w:tmpl w:val="60B0354F"/>
    <w:lvl w:ilvl="0" w:tentative="0">
      <w:start w:val="1"/>
      <w:numFmt w:val="lowerLetter"/>
      <w:suff w:val="space"/>
      <w:lvlText w:val="%1)"/>
      <w:lvlJc w:val="left"/>
      <w:pPr>
        <w:ind w:left="0" w:firstLine="416"/>
      </w:pPr>
      <w:rPr>
        <w:rFonts w:hint="default"/>
      </w:rPr>
    </w:lvl>
  </w:abstractNum>
  <w:abstractNum w:abstractNumId="93">
    <w:nsid w:val="61F5374F"/>
    <w:multiLevelType w:val="singleLevel"/>
    <w:tmpl w:val="61F5374F"/>
    <w:lvl w:ilvl="0" w:tentative="0">
      <w:start w:val="1"/>
      <w:numFmt w:val="decimal"/>
      <w:suff w:val="space"/>
      <w:lvlText w:val="7.5.%1"/>
      <w:lvlJc w:val="left"/>
      <w:pPr>
        <w:ind w:left="0" w:firstLine="0"/>
      </w:pPr>
      <w:rPr>
        <w:rFonts w:hint="default"/>
      </w:rPr>
    </w:lvl>
  </w:abstractNum>
  <w:abstractNum w:abstractNumId="94">
    <w:nsid w:val="631ECEB7"/>
    <w:multiLevelType w:val="singleLevel"/>
    <w:tmpl w:val="631ECEB7"/>
    <w:lvl w:ilvl="0" w:tentative="0">
      <w:start w:val="1"/>
      <w:numFmt w:val="lowerLetter"/>
      <w:suff w:val="space"/>
      <w:lvlText w:val="%1)"/>
      <w:lvlJc w:val="left"/>
      <w:pPr>
        <w:ind w:left="0" w:firstLine="416"/>
      </w:pPr>
      <w:rPr>
        <w:rFonts w:hint="default"/>
      </w:rPr>
    </w:lvl>
  </w:abstractNum>
  <w:abstractNum w:abstractNumId="95">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28"/>
      <w:suff w:val="nothing"/>
      <w:lvlText w:val="%1%2　"/>
      <w:lvlJc w:val="left"/>
      <w:pPr>
        <w:ind w:left="0" w:firstLine="0"/>
      </w:pPr>
      <w:rPr>
        <w:rFonts w:hint="eastAsia" w:ascii="黑体" w:eastAsia="黑体"/>
        <w:b w:val="0"/>
        <w:i w:val="0"/>
        <w:sz w:val="21"/>
      </w:rPr>
    </w:lvl>
    <w:lvl w:ilvl="2" w:tentative="0">
      <w:start w:val="1"/>
      <w:numFmt w:val="decimal"/>
      <w:pStyle w:val="32"/>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suff w:val="nothing"/>
      <w:lvlText w:val="%1%2.%3.%4　"/>
      <w:lvlJc w:val="left"/>
      <w:pPr>
        <w:ind w:left="1842" w:firstLine="0"/>
      </w:pPr>
      <w:rPr>
        <w:rFonts w:cs="Times New Roman"/>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4" w:tentative="0">
      <w:start w:val="1"/>
      <w:numFmt w:val="decimal"/>
      <w:suff w:val="nothing"/>
      <w:lvlText w:val="%1%2.%3.%4.%5　"/>
      <w:lvlJc w:val="left"/>
      <w:pPr>
        <w:ind w:left="1417"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1276"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6">
    <w:nsid w:val="6D41254B"/>
    <w:multiLevelType w:val="singleLevel"/>
    <w:tmpl w:val="6D41254B"/>
    <w:lvl w:ilvl="0" w:tentative="0">
      <w:start w:val="1"/>
      <w:numFmt w:val="decimal"/>
      <w:suff w:val="space"/>
      <w:lvlText w:val="%1)"/>
      <w:lvlJc w:val="left"/>
      <w:pPr>
        <w:ind w:left="0" w:firstLine="408"/>
      </w:pPr>
      <w:rPr>
        <w:rFonts w:hint="default"/>
      </w:rPr>
    </w:lvl>
  </w:abstractNum>
  <w:abstractNum w:abstractNumId="97">
    <w:nsid w:val="6E130E02"/>
    <w:multiLevelType w:val="singleLevel"/>
    <w:tmpl w:val="6E130E02"/>
    <w:lvl w:ilvl="0" w:tentative="0">
      <w:start w:val="1"/>
      <w:numFmt w:val="decimal"/>
      <w:suff w:val="nothing"/>
      <w:lvlText w:val="%1）"/>
      <w:lvlJc w:val="left"/>
      <w:pPr>
        <w:ind w:left="0" w:firstLine="412"/>
      </w:pPr>
      <w:rPr>
        <w:rFonts w:hint="default"/>
      </w:rPr>
    </w:lvl>
  </w:abstractNum>
  <w:abstractNum w:abstractNumId="98">
    <w:nsid w:val="6F76C076"/>
    <w:multiLevelType w:val="singleLevel"/>
    <w:tmpl w:val="6F76C076"/>
    <w:lvl w:ilvl="0" w:tentative="0">
      <w:start w:val="1"/>
      <w:numFmt w:val="decimal"/>
      <w:suff w:val="space"/>
      <w:lvlText w:val="%1)"/>
      <w:lvlJc w:val="left"/>
      <w:pPr>
        <w:ind w:left="0" w:firstLine="416"/>
      </w:pPr>
      <w:rPr>
        <w:rFonts w:hint="default"/>
      </w:rPr>
    </w:lvl>
  </w:abstractNum>
  <w:abstractNum w:abstractNumId="99">
    <w:nsid w:val="6F8B927C"/>
    <w:multiLevelType w:val="singleLevel"/>
    <w:tmpl w:val="6F8B927C"/>
    <w:lvl w:ilvl="0" w:tentative="0">
      <w:start w:val="1"/>
      <w:numFmt w:val="lowerLetter"/>
      <w:suff w:val="space"/>
      <w:lvlText w:val="%1)"/>
      <w:lvlJc w:val="left"/>
      <w:pPr>
        <w:ind w:left="0" w:firstLine="400"/>
      </w:pPr>
      <w:rPr>
        <w:rFonts w:hint="default"/>
      </w:rPr>
    </w:lvl>
  </w:abstractNum>
  <w:abstractNum w:abstractNumId="100">
    <w:nsid w:val="70812284"/>
    <w:multiLevelType w:val="singleLevel"/>
    <w:tmpl w:val="70812284"/>
    <w:lvl w:ilvl="0" w:tentative="0">
      <w:start w:val="1"/>
      <w:numFmt w:val="lowerLetter"/>
      <w:suff w:val="nothing"/>
      <w:lvlText w:val="%1）"/>
      <w:lvlJc w:val="left"/>
      <w:pPr>
        <w:ind w:left="0" w:firstLine="416"/>
      </w:pPr>
      <w:rPr>
        <w:rFonts w:hint="default"/>
      </w:rPr>
    </w:lvl>
  </w:abstractNum>
  <w:abstractNum w:abstractNumId="101">
    <w:nsid w:val="70DF36C1"/>
    <w:multiLevelType w:val="singleLevel"/>
    <w:tmpl w:val="70DF36C1"/>
    <w:lvl w:ilvl="0" w:tentative="0">
      <w:start w:val="1"/>
      <w:numFmt w:val="lowerLetter"/>
      <w:suff w:val="space"/>
      <w:lvlText w:val="%1)"/>
      <w:lvlJc w:val="left"/>
      <w:pPr>
        <w:ind w:left="0" w:firstLine="420"/>
      </w:pPr>
      <w:rPr>
        <w:rFonts w:hint="default"/>
      </w:rPr>
    </w:lvl>
  </w:abstractNum>
  <w:abstractNum w:abstractNumId="102">
    <w:nsid w:val="72EB5210"/>
    <w:multiLevelType w:val="singleLevel"/>
    <w:tmpl w:val="72EB5210"/>
    <w:lvl w:ilvl="0" w:tentative="0">
      <w:start w:val="1"/>
      <w:numFmt w:val="decimal"/>
      <w:suff w:val="space"/>
      <w:lvlText w:val="%1)"/>
      <w:lvlJc w:val="left"/>
      <w:pPr>
        <w:ind w:left="0" w:firstLine="428"/>
      </w:pPr>
      <w:rPr>
        <w:rFonts w:hint="default"/>
      </w:rPr>
    </w:lvl>
  </w:abstractNum>
  <w:abstractNum w:abstractNumId="103">
    <w:nsid w:val="78D62B22"/>
    <w:multiLevelType w:val="singleLevel"/>
    <w:tmpl w:val="78D62B22"/>
    <w:lvl w:ilvl="0" w:tentative="0">
      <w:start w:val="1"/>
      <w:numFmt w:val="lowerLetter"/>
      <w:suff w:val="space"/>
      <w:lvlText w:val="%1)"/>
      <w:lvlJc w:val="left"/>
      <w:pPr>
        <w:ind w:left="0" w:firstLine="396"/>
      </w:pPr>
      <w:rPr>
        <w:rFonts w:hint="default"/>
      </w:rPr>
    </w:lvl>
  </w:abstractNum>
  <w:abstractNum w:abstractNumId="104">
    <w:nsid w:val="7B98D358"/>
    <w:multiLevelType w:val="singleLevel"/>
    <w:tmpl w:val="7B98D358"/>
    <w:lvl w:ilvl="0" w:tentative="0">
      <w:start w:val="1"/>
      <w:numFmt w:val="lowerLetter"/>
      <w:suff w:val="space"/>
      <w:lvlText w:val="%1)"/>
      <w:lvlJc w:val="left"/>
      <w:pPr>
        <w:ind w:left="0" w:firstLine="420"/>
      </w:pPr>
      <w:rPr>
        <w:rFonts w:hint="default"/>
      </w:rPr>
    </w:lvl>
  </w:abstractNum>
  <w:abstractNum w:abstractNumId="105">
    <w:nsid w:val="7C508BD9"/>
    <w:multiLevelType w:val="singleLevel"/>
    <w:tmpl w:val="7C508BD9"/>
    <w:lvl w:ilvl="0" w:tentative="0">
      <w:start w:val="1"/>
      <w:numFmt w:val="lowerLetter"/>
      <w:suff w:val="space"/>
      <w:lvlText w:val="%1)"/>
      <w:lvlJc w:val="left"/>
      <w:pPr>
        <w:ind w:left="0" w:firstLine="404"/>
      </w:pPr>
      <w:rPr>
        <w:rFonts w:hint="default"/>
      </w:rPr>
    </w:lvl>
  </w:abstractNum>
  <w:abstractNum w:abstractNumId="106">
    <w:nsid w:val="7E663437"/>
    <w:multiLevelType w:val="singleLevel"/>
    <w:tmpl w:val="7E663437"/>
    <w:lvl w:ilvl="0" w:tentative="0">
      <w:start w:val="1"/>
      <w:numFmt w:val="decimal"/>
      <w:suff w:val="space"/>
      <w:lvlText w:val="8.1.%1"/>
      <w:lvlJc w:val="left"/>
      <w:pPr>
        <w:ind w:left="0" w:firstLine="0"/>
      </w:pPr>
      <w:rPr>
        <w:rFonts w:hint="default"/>
      </w:rPr>
    </w:lvl>
  </w:abstractNum>
  <w:num w:numId="1">
    <w:abstractNumId w:val="95"/>
  </w:num>
  <w:num w:numId="2">
    <w:abstractNumId w:val="19"/>
  </w:num>
  <w:num w:numId="3">
    <w:abstractNumId w:val="90"/>
  </w:num>
  <w:num w:numId="4">
    <w:abstractNumId w:val="61"/>
  </w:num>
  <w:num w:numId="5">
    <w:abstractNumId w:val="23"/>
  </w:num>
  <w:num w:numId="6">
    <w:abstractNumId w:val="29"/>
  </w:num>
  <w:num w:numId="7">
    <w:abstractNumId w:val="32"/>
  </w:num>
  <w:num w:numId="8">
    <w:abstractNumId w:val="92"/>
  </w:num>
  <w:num w:numId="9">
    <w:abstractNumId w:val="30"/>
  </w:num>
  <w:num w:numId="10">
    <w:abstractNumId w:val="53"/>
  </w:num>
  <w:num w:numId="11">
    <w:abstractNumId w:val="20"/>
  </w:num>
  <w:num w:numId="12">
    <w:abstractNumId w:val="105"/>
  </w:num>
  <w:num w:numId="13">
    <w:abstractNumId w:val="7"/>
  </w:num>
  <w:num w:numId="14">
    <w:abstractNumId w:val="41"/>
  </w:num>
  <w:num w:numId="15">
    <w:abstractNumId w:val="49"/>
  </w:num>
  <w:num w:numId="16">
    <w:abstractNumId w:val="11"/>
  </w:num>
  <w:num w:numId="17">
    <w:abstractNumId w:val="52"/>
  </w:num>
  <w:num w:numId="18">
    <w:abstractNumId w:val="51"/>
  </w:num>
  <w:num w:numId="19">
    <w:abstractNumId w:val="28"/>
  </w:num>
  <w:num w:numId="20">
    <w:abstractNumId w:val="21"/>
  </w:num>
  <w:num w:numId="21">
    <w:abstractNumId w:val="4"/>
  </w:num>
  <w:num w:numId="22">
    <w:abstractNumId w:val="18"/>
  </w:num>
  <w:num w:numId="23">
    <w:abstractNumId w:val="62"/>
  </w:num>
  <w:num w:numId="24">
    <w:abstractNumId w:val="74"/>
  </w:num>
  <w:num w:numId="25">
    <w:abstractNumId w:val="101"/>
  </w:num>
  <w:num w:numId="26">
    <w:abstractNumId w:val="68"/>
  </w:num>
  <w:num w:numId="27">
    <w:abstractNumId w:val="27"/>
  </w:num>
  <w:num w:numId="28">
    <w:abstractNumId w:val="81"/>
  </w:num>
  <w:num w:numId="29">
    <w:abstractNumId w:val="56"/>
  </w:num>
  <w:num w:numId="30">
    <w:abstractNumId w:val="58"/>
  </w:num>
  <w:num w:numId="31">
    <w:abstractNumId w:val="50"/>
  </w:num>
  <w:num w:numId="32">
    <w:abstractNumId w:val="93"/>
  </w:num>
  <w:num w:numId="33">
    <w:abstractNumId w:val="94"/>
  </w:num>
  <w:num w:numId="34">
    <w:abstractNumId w:val="106"/>
  </w:num>
  <w:num w:numId="35">
    <w:abstractNumId w:val="99"/>
  </w:num>
  <w:num w:numId="36">
    <w:abstractNumId w:val="77"/>
  </w:num>
  <w:num w:numId="37">
    <w:abstractNumId w:val="43"/>
  </w:num>
  <w:num w:numId="38">
    <w:abstractNumId w:val="85"/>
  </w:num>
  <w:num w:numId="39">
    <w:abstractNumId w:val="12"/>
  </w:num>
  <w:num w:numId="40">
    <w:abstractNumId w:val="36"/>
  </w:num>
  <w:num w:numId="41">
    <w:abstractNumId w:val="24"/>
  </w:num>
  <w:num w:numId="42">
    <w:abstractNumId w:val="89"/>
  </w:num>
  <w:num w:numId="43">
    <w:abstractNumId w:val="59"/>
  </w:num>
  <w:num w:numId="44">
    <w:abstractNumId w:val="66"/>
  </w:num>
  <w:num w:numId="45">
    <w:abstractNumId w:val="47"/>
  </w:num>
  <w:num w:numId="46">
    <w:abstractNumId w:val="48"/>
  </w:num>
  <w:num w:numId="47">
    <w:abstractNumId w:val="96"/>
  </w:num>
  <w:num w:numId="48">
    <w:abstractNumId w:val="54"/>
  </w:num>
  <w:num w:numId="49">
    <w:abstractNumId w:val="91"/>
  </w:num>
  <w:num w:numId="50">
    <w:abstractNumId w:val="84"/>
  </w:num>
  <w:num w:numId="51">
    <w:abstractNumId w:val="98"/>
  </w:num>
  <w:num w:numId="52">
    <w:abstractNumId w:val="33"/>
  </w:num>
  <w:num w:numId="53">
    <w:abstractNumId w:val="83"/>
  </w:num>
  <w:num w:numId="54">
    <w:abstractNumId w:val="5"/>
  </w:num>
  <w:num w:numId="55">
    <w:abstractNumId w:val="37"/>
  </w:num>
  <w:num w:numId="56">
    <w:abstractNumId w:val="6"/>
  </w:num>
  <w:num w:numId="57">
    <w:abstractNumId w:val="103"/>
  </w:num>
  <w:num w:numId="58">
    <w:abstractNumId w:val="0"/>
  </w:num>
  <w:num w:numId="59">
    <w:abstractNumId w:val="80"/>
  </w:num>
  <w:num w:numId="60">
    <w:abstractNumId w:val="104"/>
  </w:num>
  <w:num w:numId="61">
    <w:abstractNumId w:val="16"/>
  </w:num>
  <w:num w:numId="62">
    <w:abstractNumId w:val="9"/>
  </w:num>
  <w:num w:numId="63">
    <w:abstractNumId w:val="76"/>
  </w:num>
  <w:num w:numId="64">
    <w:abstractNumId w:val="78"/>
  </w:num>
  <w:num w:numId="65">
    <w:abstractNumId w:val="40"/>
  </w:num>
  <w:num w:numId="66">
    <w:abstractNumId w:val="88"/>
  </w:num>
  <w:num w:numId="67">
    <w:abstractNumId w:val="15"/>
  </w:num>
  <w:num w:numId="68">
    <w:abstractNumId w:val="13"/>
  </w:num>
  <w:num w:numId="69">
    <w:abstractNumId w:val="31"/>
  </w:num>
  <w:num w:numId="70">
    <w:abstractNumId w:val="42"/>
  </w:num>
  <w:num w:numId="71">
    <w:abstractNumId w:val="67"/>
  </w:num>
  <w:num w:numId="72">
    <w:abstractNumId w:val="22"/>
  </w:num>
  <w:num w:numId="73">
    <w:abstractNumId w:val="87"/>
  </w:num>
  <w:num w:numId="74">
    <w:abstractNumId w:val="26"/>
  </w:num>
  <w:num w:numId="75">
    <w:abstractNumId w:val="72"/>
  </w:num>
  <w:num w:numId="76">
    <w:abstractNumId w:val="25"/>
  </w:num>
  <w:num w:numId="77">
    <w:abstractNumId w:val="55"/>
  </w:num>
  <w:num w:numId="78">
    <w:abstractNumId w:val="3"/>
  </w:num>
  <w:num w:numId="79">
    <w:abstractNumId w:val="70"/>
  </w:num>
  <w:num w:numId="80">
    <w:abstractNumId w:val="14"/>
  </w:num>
  <w:num w:numId="81">
    <w:abstractNumId w:val="79"/>
  </w:num>
  <w:num w:numId="82">
    <w:abstractNumId w:val="71"/>
  </w:num>
  <w:num w:numId="83">
    <w:abstractNumId w:val="39"/>
  </w:num>
  <w:num w:numId="84">
    <w:abstractNumId w:val="34"/>
  </w:num>
  <w:num w:numId="85">
    <w:abstractNumId w:val="60"/>
  </w:num>
  <w:num w:numId="86">
    <w:abstractNumId w:val="38"/>
  </w:num>
  <w:num w:numId="87">
    <w:abstractNumId w:val="44"/>
  </w:num>
  <w:num w:numId="88">
    <w:abstractNumId w:val="46"/>
  </w:num>
  <w:num w:numId="89">
    <w:abstractNumId w:val="82"/>
  </w:num>
  <w:num w:numId="90">
    <w:abstractNumId w:val="65"/>
  </w:num>
  <w:num w:numId="91">
    <w:abstractNumId w:val="75"/>
  </w:num>
  <w:num w:numId="92">
    <w:abstractNumId w:val="57"/>
  </w:num>
  <w:num w:numId="93">
    <w:abstractNumId w:val="102"/>
  </w:num>
  <w:num w:numId="94">
    <w:abstractNumId w:val="35"/>
  </w:num>
  <w:num w:numId="95">
    <w:abstractNumId w:val="73"/>
  </w:num>
  <w:num w:numId="96">
    <w:abstractNumId w:val="64"/>
  </w:num>
  <w:num w:numId="97">
    <w:abstractNumId w:val="8"/>
  </w:num>
  <w:num w:numId="98">
    <w:abstractNumId w:val="69"/>
  </w:num>
  <w:num w:numId="99">
    <w:abstractNumId w:val="2"/>
  </w:num>
  <w:num w:numId="100">
    <w:abstractNumId w:val="17"/>
  </w:num>
  <w:num w:numId="101">
    <w:abstractNumId w:val="86"/>
  </w:num>
  <w:num w:numId="102">
    <w:abstractNumId w:val="63"/>
  </w:num>
  <w:num w:numId="103">
    <w:abstractNumId w:val="10"/>
  </w:num>
  <w:num w:numId="104">
    <w:abstractNumId w:val="97"/>
  </w:num>
  <w:num w:numId="105">
    <w:abstractNumId w:val="100"/>
  </w:num>
  <w:num w:numId="106">
    <w:abstractNumId w:val="1"/>
  </w:num>
  <w:num w:numId="10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displayBackgroundShape w:val="1"/>
  <w:trackRevisions w:val="1"/>
  <w:documentProtection w:enforcement="0"/>
  <w:defaultTabStop w:val="420"/>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CC56A4"/>
    <w:rsid w:val="005E499F"/>
    <w:rsid w:val="00B369EE"/>
    <w:rsid w:val="00C200E1"/>
    <w:rsid w:val="00CC56A4"/>
    <w:rsid w:val="0713031E"/>
    <w:rsid w:val="073473C8"/>
    <w:rsid w:val="18837CE9"/>
    <w:rsid w:val="1B9A0FF2"/>
    <w:rsid w:val="1D552C3C"/>
    <w:rsid w:val="27775331"/>
    <w:rsid w:val="281F31F2"/>
    <w:rsid w:val="2F852B58"/>
    <w:rsid w:val="3667648C"/>
    <w:rsid w:val="421C7C85"/>
    <w:rsid w:val="4420459F"/>
    <w:rsid w:val="55061141"/>
    <w:rsid w:val="5E7E3065"/>
    <w:rsid w:val="60A97819"/>
    <w:rsid w:val="61C51EDF"/>
    <w:rsid w:val="62AE6046"/>
    <w:rsid w:val="7C331D4E"/>
    <w:rsid w:val="7C816B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next w:val="1"/>
    <w:qFormat/>
    <w:uiPriority w:val="0"/>
    <w:pPr>
      <w:shd w:val="clear" w:color="FFFFFF" w:fill="FFFFFF"/>
      <w:spacing w:before="900" w:after="360" w:afterLines="150"/>
      <w:jc w:val="center"/>
      <w:outlineLvl w:val="0"/>
    </w:pPr>
    <w:rPr>
      <w:rFonts w:ascii="黑体" w:hAnsi="Times New Roman" w:eastAsia="黑体" w:cs="Times New Roman"/>
      <w:spacing w:val="320"/>
      <w:sz w:val="32"/>
      <w:lang w:val="en-US" w:eastAsia="zh-CN" w:bidi="ar-SA"/>
    </w:rPr>
  </w:style>
  <w:style w:type="paragraph" w:styleId="3">
    <w:name w:val="heading 2"/>
    <w:next w:val="1"/>
    <w:unhideWhenUsed/>
    <w:qFormat/>
    <w:uiPriority w:val="0"/>
    <w:pPr>
      <w:ind w:left="420" w:hanging="420" w:hangingChars="200"/>
      <w:jc w:val="both"/>
      <w:outlineLvl w:val="1"/>
    </w:pPr>
    <w:rPr>
      <w:rFonts w:ascii="黑体" w:hAnsi="黑体" w:eastAsia="黑体" w:cs="Times New Roman"/>
      <w:sz w:val="21"/>
      <w:lang w:val="en-US" w:eastAsia="zh-CN" w:bidi="ar-SA"/>
    </w:rPr>
  </w:style>
  <w:style w:type="paragraph" w:styleId="4">
    <w:name w:val="heading 3"/>
    <w:next w:val="1"/>
    <w:unhideWhenUsed/>
    <w:qFormat/>
    <w:uiPriority w:val="0"/>
    <w:pPr>
      <w:widowControl w:val="0"/>
      <w:jc w:val="both"/>
      <w:outlineLvl w:val="2"/>
    </w:pPr>
    <w:rPr>
      <w:rFonts w:ascii="宋体" w:hAnsi="Times New Roman" w:eastAsia="宋体" w:cs="Times New Roman"/>
      <w:sz w:val="21"/>
      <w:lang w:val="en-US" w:eastAsia="zh-CN" w:bidi="ar-SA"/>
    </w:rPr>
  </w:style>
  <w:style w:type="paragraph" w:styleId="5">
    <w:name w:val="heading 4"/>
    <w:next w:val="1"/>
    <w:unhideWhenUsed/>
    <w:qFormat/>
    <w:uiPriority w:val="0"/>
    <w:pPr>
      <w:keepNext/>
      <w:keepLines/>
      <w:widowControl w:val="0"/>
      <w:adjustRightInd w:val="0"/>
      <w:spacing w:before="100" w:after="100" w:line="360" w:lineRule="auto"/>
      <w:jc w:val="both"/>
      <w:outlineLvl w:val="3"/>
    </w:pPr>
    <w:rPr>
      <w:rFonts w:ascii="Times New Roman" w:hAnsi="Times New Roman" w:eastAsia="宋体" w:cs="Times New Roman"/>
      <w:b/>
      <w:bCs/>
      <w:kern w:val="2"/>
      <w:sz w:val="28"/>
      <w:szCs w:val="28"/>
      <w:lang w:val="en-US" w:eastAsia="zh-CN" w:bidi="ar-SA"/>
    </w:rPr>
  </w:style>
  <w:style w:type="paragraph" w:styleId="6">
    <w:name w:val="heading 5"/>
    <w:next w:val="1"/>
    <w:semiHidden/>
    <w:unhideWhenUsed/>
    <w:qFormat/>
    <w:uiPriority w:val="0"/>
    <w:pPr>
      <w:keepNext/>
      <w:keepLines/>
      <w:widowControl w:val="0"/>
      <w:adjustRightInd w:val="0"/>
      <w:spacing w:before="100" w:after="100" w:line="360" w:lineRule="auto"/>
      <w:jc w:val="both"/>
      <w:outlineLvl w:val="4"/>
    </w:pPr>
    <w:rPr>
      <w:rFonts w:ascii="Times New Roman" w:hAnsi="Times New Roman" w:eastAsia="宋体" w:cs="Times New Roman"/>
      <w:b/>
      <w:bCs/>
      <w:kern w:val="2"/>
      <w:sz w:val="28"/>
      <w:szCs w:val="28"/>
      <w:lang w:val="en-US" w:eastAsia="zh-CN" w:bidi="ar-SA"/>
    </w:rPr>
  </w:style>
  <w:style w:type="paragraph" w:styleId="7">
    <w:name w:val="heading 6"/>
    <w:next w:val="1"/>
    <w:semiHidden/>
    <w:unhideWhenUsed/>
    <w:qFormat/>
    <w:uiPriority w:val="0"/>
    <w:pPr>
      <w:keepNext/>
      <w:keepLines/>
      <w:widowControl w:val="0"/>
      <w:adjustRightInd w:val="0"/>
      <w:spacing w:before="100" w:after="100" w:line="360" w:lineRule="auto"/>
      <w:jc w:val="both"/>
      <w:outlineLvl w:val="5"/>
    </w:pPr>
    <w:rPr>
      <w:rFonts w:ascii="Times New Roman" w:hAnsi="Times New Roman" w:eastAsia="宋体" w:cs="Times New Roman"/>
      <w:b/>
      <w:bCs/>
      <w:kern w:val="2"/>
      <w:sz w:val="28"/>
      <w:szCs w:val="24"/>
      <w:lang w:val="en-US" w:eastAsia="zh-CN" w:bidi="ar-SA"/>
    </w:rPr>
  </w:style>
  <w:style w:type="paragraph" w:styleId="8">
    <w:name w:val="heading 7"/>
    <w:next w:val="1"/>
    <w:semiHidden/>
    <w:unhideWhenUsed/>
    <w:qFormat/>
    <w:uiPriority w:val="0"/>
    <w:pPr>
      <w:keepNext/>
      <w:keepLines/>
      <w:widowControl w:val="0"/>
      <w:adjustRightInd w:val="0"/>
      <w:spacing w:before="100" w:after="100" w:line="360" w:lineRule="auto"/>
      <w:jc w:val="both"/>
      <w:outlineLvl w:val="6"/>
    </w:pPr>
    <w:rPr>
      <w:rFonts w:ascii="Times New Roman" w:hAnsi="Times New Roman" w:eastAsia="宋体" w:cs="Times New Roman"/>
      <w:b/>
      <w:bCs/>
      <w:kern w:val="2"/>
      <w:sz w:val="24"/>
      <w:szCs w:val="24"/>
      <w:lang w:val="en-US" w:eastAsia="zh-CN" w:bidi="ar-SA"/>
    </w:rPr>
  </w:style>
  <w:style w:type="paragraph" w:styleId="9">
    <w:name w:val="heading 8"/>
    <w:next w:val="1"/>
    <w:semiHidden/>
    <w:unhideWhenUsed/>
    <w:qFormat/>
    <w:uiPriority w:val="0"/>
    <w:pPr>
      <w:keepNext/>
      <w:keepLines/>
      <w:widowControl w:val="0"/>
      <w:adjustRightInd w:val="0"/>
      <w:spacing w:before="100" w:after="100" w:line="360" w:lineRule="auto"/>
      <w:jc w:val="both"/>
      <w:outlineLvl w:val="7"/>
    </w:pPr>
    <w:rPr>
      <w:rFonts w:ascii="Times New Roman" w:hAnsi="Times New Roman" w:eastAsia="宋体" w:cs="Times New Roman"/>
      <w:b/>
      <w:kern w:val="2"/>
      <w:sz w:val="24"/>
      <w:szCs w:val="24"/>
      <w:lang w:val="en-US" w:eastAsia="zh-CN" w:bidi="ar-SA"/>
    </w:rPr>
  </w:style>
  <w:style w:type="paragraph" w:styleId="10">
    <w:name w:val="heading 9"/>
    <w:next w:val="1"/>
    <w:semiHidden/>
    <w:unhideWhenUsed/>
    <w:qFormat/>
    <w:uiPriority w:val="0"/>
    <w:pPr>
      <w:keepNext/>
      <w:keepLines/>
      <w:widowControl w:val="0"/>
      <w:adjustRightInd w:val="0"/>
      <w:spacing w:before="100" w:after="100" w:line="360" w:lineRule="auto"/>
      <w:jc w:val="both"/>
      <w:outlineLvl w:val="8"/>
    </w:pPr>
    <w:rPr>
      <w:rFonts w:ascii="Times New Roman" w:hAnsi="Times New Roman" w:eastAsia="宋体" w:cs="Times New Roman"/>
      <w:b/>
      <w:kern w:val="2"/>
      <w:sz w:val="21"/>
      <w:szCs w:val="21"/>
      <w:lang w:val="en-US" w:eastAsia="zh-CN" w:bidi="ar-SA"/>
    </w:rPr>
  </w:style>
  <w:style w:type="character" w:default="1" w:styleId="21">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qFormat/>
    <w:uiPriority w:val="0"/>
  </w:style>
  <w:style w:type="paragraph" w:styleId="12">
    <w:name w:val="Body Text"/>
    <w:semiHidden/>
    <w:qFormat/>
    <w:uiPriority w:val="0"/>
    <w:pPr>
      <w:autoSpaceDE w:val="0"/>
      <w:autoSpaceDN w:val="0"/>
      <w:ind w:firstLine="420" w:firstLineChars="200"/>
      <w:jc w:val="both"/>
    </w:pPr>
    <w:rPr>
      <w:rFonts w:ascii="宋体" w:hAnsi="Calibri" w:eastAsia="宋体" w:cs="Times New Roman"/>
      <w:sz w:val="21"/>
      <w:lang w:val="en-US" w:eastAsia="zh-CN" w:bidi="ar-SA"/>
    </w:rPr>
  </w:style>
  <w:style w:type="paragraph" w:styleId="13">
    <w:name w:val="toc 3"/>
    <w:basedOn w:val="1"/>
    <w:next w:val="1"/>
    <w:uiPriority w:val="0"/>
    <w:pPr>
      <w:ind w:left="840" w:leftChars="400"/>
    </w:pPr>
  </w:style>
  <w:style w:type="paragraph" w:styleId="14">
    <w:name w:val="footer"/>
    <w:basedOn w:val="1"/>
    <w:qFormat/>
    <w:uiPriority w:val="0"/>
    <w:pPr>
      <w:tabs>
        <w:tab w:val="center" w:pos="4153"/>
        <w:tab w:val="right" w:pos="8306"/>
      </w:tabs>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6">
    <w:name w:val="toc 1"/>
    <w:basedOn w:val="1"/>
    <w:next w:val="1"/>
    <w:unhideWhenUsed/>
    <w:qFormat/>
    <w:uiPriority w:val="39"/>
    <w:rPr>
      <w:rFonts w:ascii="宋体"/>
    </w:rPr>
  </w:style>
  <w:style w:type="paragraph" w:styleId="17">
    <w:name w:val="Subtitle"/>
    <w:qFormat/>
    <w:uiPriority w:val="0"/>
    <w:pPr>
      <w:widowControl w:val="0"/>
      <w:adjustRightInd w:val="0"/>
      <w:spacing w:before="100" w:after="100"/>
      <w:jc w:val="center"/>
    </w:pPr>
    <w:rPr>
      <w:rFonts w:ascii="Times New Roman" w:hAnsi="Times New Roman" w:eastAsia="黑体" w:cs="Times New Roman"/>
      <w:b/>
      <w:kern w:val="28"/>
      <w:sz w:val="32"/>
      <w:szCs w:val="24"/>
      <w:lang w:val="en-US" w:eastAsia="zh-CN" w:bidi="ar-SA"/>
    </w:rPr>
  </w:style>
  <w:style w:type="paragraph" w:styleId="18">
    <w:name w:val="toc 2"/>
    <w:basedOn w:val="1"/>
    <w:next w:val="1"/>
    <w:qFormat/>
    <w:uiPriority w:val="0"/>
    <w:pPr>
      <w:ind w:left="420" w:leftChars="200"/>
    </w:pPr>
  </w:style>
  <w:style w:type="paragraph" w:styleId="19">
    <w:name w:val="Title"/>
    <w:qFormat/>
    <w:uiPriority w:val="0"/>
    <w:pPr>
      <w:spacing w:before="436" w:beforeLines="182" w:after="528" w:afterLines="220" w:line="400" w:lineRule="exact"/>
      <w:jc w:val="center"/>
    </w:pPr>
    <w:rPr>
      <w:rFonts w:ascii="Times New Roman" w:hAnsi="黑体" w:eastAsia="黑体" w:cs="Times New Roman"/>
      <w:kern w:val="2"/>
      <w:sz w:val="32"/>
      <w:szCs w:val="32"/>
      <w:lang w:val="en-US" w:eastAsia="zh-CN" w:bidi="ar-SA"/>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customStyle="1" w:styleId="23">
    <w:name w:val="段"/>
    <w:qFormat/>
    <w:uiPriority w:val="0"/>
    <w:pPr>
      <w:tabs>
        <w:tab w:val="center" w:pos="4201"/>
        <w:tab w:val="right" w:leader="dot" w:pos="9298"/>
      </w:tabs>
      <w:autoSpaceDE w:val="0"/>
      <w:autoSpaceDN w:val="0"/>
      <w:ind w:firstLine="420" w:firstLineChars="200"/>
      <w:jc w:val="both"/>
    </w:pPr>
    <w:rPr>
      <w:rFonts w:ascii="宋体" w:hAnsiTheme="minorHAnsi" w:eastAsiaTheme="minorEastAsia" w:cstheme="minorBidi"/>
      <w:kern w:val="2"/>
      <w:sz w:val="21"/>
      <w:szCs w:val="22"/>
      <w:lang w:val="en-US" w:eastAsia="zh-CN" w:bidi="ar-SA"/>
    </w:rPr>
  </w:style>
  <w:style w:type="paragraph" w:customStyle="1" w:styleId="24">
    <w:name w:val="附录标题"/>
    <w:next w:val="1"/>
    <w:qFormat/>
    <w:uiPriority w:val="0"/>
    <w:pPr>
      <w:widowControl w:val="0"/>
      <w:adjustRightInd w:val="0"/>
      <w:spacing w:before="100" w:after="100" w:line="360" w:lineRule="auto"/>
      <w:jc w:val="both"/>
      <w:outlineLvl w:val="0"/>
    </w:pPr>
    <w:rPr>
      <w:rFonts w:ascii="Times New Roman" w:hAnsi="Times New Roman" w:eastAsia="宋体" w:cs="Times New Roman"/>
      <w:lang w:val="en-US" w:eastAsia="zh-CN" w:bidi="ar-SA"/>
    </w:rPr>
  </w:style>
  <w:style w:type="paragraph" w:customStyle="1" w:styleId="25">
    <w:name w:val="目录标题"/>
    <w:next w:val="1"/>
    <w:qFormat/>
    <w:uiPriority w:val="0"/>
    <w:pPr>
      <w:widowControl w:val="0"/>
      <w:adjustRightInd w:val="0"/>
      <w:spacing w:before="480" w:after="360" w:afterLines="150"/>
      <w:jc w:val="center"/>
    </w:pPr>
    <w:rPr>
      <w:rFonts w:ascii="Times New Roman" w:hAnsi="Times New Roman" w:eastAsia="宋体" w:cs="Times New Roman"/>
      <w:lang w:val="en-US" w:eastAsia="zh-CN" w:bidi="ar-SA"/>
    </w:rPr>
  </w:style>
  <w:style w:type="paragraph" w:customStyle="1" w:styleId="26">
    <w:name w:val="参考文献条目"/>
    <w:next w:val="1"/>
    <w:qFormat/>
    <w:uiPriority w:val="0"/>
    <w:pPr>
      <w:autoSpaceDE w:val="0"/>
      <w:autoSpaceDN w:val="0"/>
      <w:ind w:firstLine="420" w:firstLineChars="200"/>
      <w:jc w:val="both"/>
    </w:pPr>
    <w:rPr>
      <w:rFonts w:ascii="Times New Roman" w:hAnsi="Times New Roman" w:eastAsia="宋体" w:cs="Times New Roman"/>
      <w:lang w:val="en-US" w:eastAsia="zh-CN" w:bidi="ar-SA"/>
    </w:rPr>
  </w:style>
  <w:style w:type="paragraph" w:customStyle="1" w:styleId="27">
    <w:name w:val="参考文献标题"/>
    <w:next w:val="1"/>
    <w:qFormat/>
    <w:uiPriority w:val="0"/>
    <w:pPr>
      <w:shd w:val="clear" w:color="FFFFFF" w:fill="FFFFFF"/>
      <w:spacing w:before="560" w:after="120" w:afterLines="50"/>
      <w:jc w:val="center"/>
      <w:outlineLvl w:val="0"/>
    </w:pPr>
    <w:rPr>
      <w:rFonts w:ascii="Times New Roman" w:hAnsi="Times New Roman" w:eastAsia="宋体" w:cs="Times New Roman"/>
      <w:lang w:val="en-US" w:eastAsia="zh-CN" w:bidi="ar-SA"/>
    </w:rPr>
  </w:style>
  <w:style w:type="paragraph" w:customStyle="1" w:styleId="28">
    <w:name w:val="标准文件_章标题"/>
    <w:next w:val="29"/>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2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0">
    <w:name w:val="标准文件_术语条一"/>
    <w:basedOn w:val="31"/>
    <w:next w:val="29"/>
    <w:qFormat/>
    <w:uiPriority w:val="0"/>
  </w:style>
  <w:style w:type="paragraph" w:customStyle="1" w:styleId="31">
    <w:name w:val="标准文件_一级无标题"/>
    <w:basedOn w:val="32"/>
    <w:qFormat/>
    <w:uiPriority w:val="0"/>
    <w:pPr>
      <w:spacing w:before="0" w:beforeLines="0" w:after="0" w:afterLines="0"/>
      <w:outlineLvl w:val="9"/>
    </w:pPr>
    <w:rPr>
      <w:rFonts w:ascii="宋体" w:eastAsia="宋体"/>
    </w:rPr>
  </w:style>
  <w:style w:type="paragraph" w:customStyle="1" w:styleId="32">
    <w:name w:val="标准文件_一级条标题"/>
    <w:basedOn w:val="28"/>
    <w:next w:val="29"/>
    <w:qFormat/>
    <w:uiPriority w:val="0"/>
    <w:pPr>
      <w:numPr>
        <w:ilvl w:val="2"/>
      </w:numPr>
      <w:spacing w:before="50" w:beforeLines="50" w:after="50" w:afterLines="50"/>
      <w:outlineLvl w:val="1"/>
    </w:pPr>
  </w:style>
  <w:style w:type="paragraph" w:customStyle="1" w:styleId="33">
    <w:name w:val="标准文件_附录标识"/>
    <w:next w:val="29"/>
    <w:qFormat/>
    <w:uiPriority w:val="0"/>
    <w:pPr>
      <w:shd w:val="clear" w:color="FFFFFF" w:fill="FFFFFF"/>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34">
    <w:name w:val="标准文件_目录标题"/>
    <w:basedOn w:val="1"/>
    <w:qFormat/>
    <w:uiPriority w:val="0"/>
    <w:pPr>
      <w:spacing w:after="150" w:afterLines="150"/>
      <w:jc w:val="center"/>
    </w:pPr>
    <w:rPr>
      <w:rFonts w:ascii="黑体" w:eastAsia="黑体"/>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Info spid="_x0000_s2051"/>
  </customShpExts>
</s:customData>
</file>

<file path=customXml/item2.xml><?xml version="1.0" encoding="utf-8"?>
<contractReview xmlns="http://schemas.wps.cn/vas-ai-hub/contract-review">
  <reviewItems>
    <reviewItem>
      <errorID>724eccf6-c563-43cb-997e-a74a675a6f4c</errorID>
      <errorWord>China</errorWord>
      <group>L1_English</group>
      <groupName>英文问题</groupName>
      <ability>L2_Word</ability>
      <abilityName>字词问题</abilityName>
      <candidateList>
        <item>China's</item>
      </candidateList>
      <explain>此处名词应采用所有格形式，建议将China修改为China's</explain>
      <paraID>6414F137</paraID>
      <start>25</start>
      <end>30</end>
      <status>ignored</status>
      <modifiedWord/>
      <trackRevisions>false</trackRevisions>
    </reviewItem>
    <reviewItem>
      <errorID>b84ed7c8-1631-4a68-bfac-95e681370a02</errorID>
      <errorWord> </errorWord>
      <group>L1_Punc</group>
      <groupName>标点问题</groupName>
      <ability>L2_Punc_CN</ability>
      <abilityName>标点符号问题</abilityName>
      <candidateList>
        <item/>
      </candidateList>
      <explain>此处空格冗余，建议删除。</explain>
      <paraID>42BA0BE9</paraID>
      <start>26</start>
      <end>27</end>
      <status>ignored</status>
      <modifiedWord/>
      <trackRevisions>false</trackRevisions>
    </reviewItem>
    <reviewItem>
      <errorID>8a8d9fa7-06e4-4287-84f0-fc0795ea8619</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44F72D88</paraID>
      <start>0</start>
      <end>2</end>
      <status>modified</status>
      <modifiedWord>a）</modifiedWord>
      <trackRevisions>false</trackRevisions>
    </reviewItem>
    <reviewItem>
      <errorID>fc8290ef-08f5-461b-8237-cb7985de6fe1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3C5E15B7</paraID>
      <start>0</start>
      <end>2</end>
      <status>modified</status>
      <modifiedWord>b）</modifiedWord>
      <trackRevisions>false</trackRevisions>
    </reviewItem>
    <reviewItem>
      <errorID>ea3b3d32-bb21-4fe7-bc1c-38ca8694108d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B6E6C2B</paraID>
      <start>0</start>
      <end>2</end>
      <status>modified</status>
      <modifiedWord>c）</modifiedWord>
      <trackRevisions>false</trackRevisions>
    </reviewItem>
    <reviewItem>
      <errorID>14409344-b1af-4524-8682-d09e187c3c18</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765F2943</paraID>
      <start>0</start>
      <end>2</end>
      <status>modified</status>
      <modifiedWord>d）</modifiedWord>
      <trackRevisions>false</trackRevisions>
    </reviewItem>
    <reviewItem>
      <errorID>471c3690-1c63-4296-ac47-1ea1ccc80659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29B55D6E</paraID>
      <start>0</start>
      <end>2</end>
      <status>modified</status>
      <modifiedWord>e）</modifiedWord>
      <trackRevisions>false</trackRevisions>
    </reviewItem>
    <reviewItem>
      <errorID>970a484c-1d9a-4c69-8917-826bf27b1920</errorID>
      <errorWord> </errorWord>
      <group>L1_Punc</group>
      <groupName>标点问题</groupName>
      <ability>L2_Punc_CN</ability>
      <abilityName>标点符号问题</abilityName>
      <candidateList>
        <item/>
      </candidateList>
      <explain>此处空格冗余，建议删除。</explain>
      <paraID>29B55D6E</paraID>
      <start>65</start>
      <end>65</end>
      <status>modified</status>
      <modifiedWord/>
      <trackRevisions>false</trackRevisions>
    </reviewItem>
    <reviewItem>
      <errorID>3ea46cae-9014-4f07-bf42-6e518f96f4ea</errorID>
      <errorWord> </errorWord>
      <group>L1_Punc</group>
      <groupName>标点问题</groupName>
      <ability>L2_Punc_CN</ability>
      <abilityName>标点符号问题</abilityName>
      <candidateList>
        <item/>
      </candidateList>
      <explain>此处空格冗余，建议删除。</explain>
      <paraID>29B55D6E</paraID>
      <start>68</start>
      <end>68</end>
      <status>modified</status>
      <modifiedWord/>
      <trackRevisions>false</trackRevisions>
    </reviewItem>
    <reviewItem>
      <errorID>66c2fd53-a1ed-4035-80a4-8bb35c1402d5</errorID>
      <errorWord>、</errorWord>
      <group>L1_Punc</group>
      <groupName>标点问题</groupName>
      <ability>L2_Punc_CN</ability>
      <abilityName>标点符号问题</abilityName>
      <candidateList>
        <item>，</item>
      </candidateList>
      <explain/>
      <paraID>29B55D6E</paraID>
      <start>78</start>
      <end>79</end>
      <status>modified</status>
      <modifiedWord>，</modifiedWord>
      <trackRevisions>false</trackRevisions>
    </reviewItem>
    <reviewItem>
      <errorID>14c4e12e-fac7-41b5-bc03-5f712797ae2a</errorID>
      <errorWord> </errorWord>
      <group>L1_Punc</group>
      <groupName>标点问题</groupName>
      <ability>L2_Punc_CN</ability>
      <abilityName>标点符号问题</abilityName>
      <candidateList>
        <item/>
      </candidateList>
      <explain>此处空格冗余，建议删除。</explain>
      <paraID>29B55D6E</paraID>
      <start>82</start>
      <end>82</end>
      <status>modified</status>
      <modifiedWord/>
      <trackRevisions>false</trackRevisions>
    </reviewItem>
    <reviewItem>
      <errorID>ded2bf36-eb92-4970-aebd-d78430330de9</errorID>
      <errorWord> </errorWord>
      <group>L1_Punc</group>
      <groupName>标点问题</groupName>
      <ability>L2_Punc_CN</ability>
      <abilityName>标点符号问题</abilityName>
      <candidateList>
        <item/>
      </candidateList>
      <explain>此处空格冗余，建议删除。</explain>
      <paraID>29B55D6E</paraID>
      <start>97</start>
      <end>97</end>
      <status>modified</status>
      <modifiedWord/>
      <trackRevisions>false</trackRevisions>
    </reviewItem>
    <reviewItem>
      <errorID>6f913a42-6a64-4c09-bb64-3d99283ba685</errorID>
      <errorWord>）</errorWord>
      <group>L1_Punc</group>
      <groupName>标点问题</groupName>
      <ability>L2_Punc_CN</ability>
      <abilityName>标点符号问题</abilityName>
      <candidateList>
        <item>）。</item>
      </candidateList>
      <explain/>
      <paraID>29B55D6E</paraID>
      <start>108</start>
      <end>110</end>
      <status>modified</status>
      <modifiedWord>）。</modifiedWord>
      <trackRevisions>false</trackRevisions>
    </reviewItem>
    <reviewItem>
      <errorID>8b96de94-72dd-405d-899c-7e261456fc74</errorID>
      <errorWord> </errorWord>
      <group>L1_Punc</group>
      <groupName>标点问题</groupName>
      <ability>L2_Punc_CN</ability>
      <abilityName>标点符号问题</abilityName>
      <candidateList>
        <item/>
      </candidateList>
      <explain>此处空格冗余，建议删除。</explain>
      <paraID>53221CE1</paraID>
      <start>15</start>
      <end>15</end>
      <status>modified</status>
      <modifiedWord/>
      <trackRevisions>false</trackRevisions>
    </reviewItem>
    <reviewItem>
      <errorID>950dabe5-f1be-4fbc-a0c1-547105fc59de</errorID>
      <errorWord> </errorWord>
      <group>L1_Punc</group>
      <groupName>标点问题</groupName>
      <ability>L2_Punc_CN</ability>
      <abilityName>标点符号问题</abilityName>
      <candidateList>
        <item/>
      </candidateList>
      <explain>此处空格冗余，建议删除。</explain>
      <paraID>53221CE1</paraID>
      <start>57</start>
      <end>57</end>
      <status>modified</status>
      <modifiedWord/>
      <trackRevisions>false</trackRevisions>
    </reviewItem>
    <reviewItem>
      <errorID>09fe9c5c-49fa-4bd9-8692-f17f42947f5d</errorID>
      <errorWord>汽 车行业</errorWord>
      <group>L1_Word</group>
      <groupName>字词问题</groupName>
      <ability>L2_Typo</ability>
      <abilityName>字词错误</abilityName>
      <candidateList>
        <item>汽车行业</item>
      </candidateList>
      <explain/>
      <paraID>53221CE1</paraID>
      <start>110</start>
      <end>114</end>
      <status>modified</status>
      <modifiedWord>汽车行业</modifiedWord>
      <trackRevisions>false</trackRevisions>
    </reviewItem>
    <reviewItem>
      <errorID>d7e026b0-3ddd-4929-bb0d-6cd4ed326441</errorID>
      <errorWord>产业</errorWord>
      <group>L1_Word</group>
      <groupName>字词问题</groupName>
      <ability>L2_Typo</ability>
      <abilityName>字词错误</abilityName>
      <candidateList>
        <item>在产业</item>
      </candidateList>
      <explain/>
      <paraID> 1A3092C</paraID>
      <start>31</start>
      <end>34</end>
      <status>modified</status>
      <modifiedWord>在产业</modifiedWord>
      <trackRevisions>false</trackRevisions>
    </reviewItem>
    <reviewItem>
      <errorID>e614c2a9-1cd3-41c4-9178-19448cdfe984</errorID>
      <errorWord>创新、协调、绿色、开放、共享新发展理念</errorWord>
      <group>L1_Political</group>
      <groupName>政治性问题</groupName>
      <ability>L2_Keyword</ability>
      <abilityName>固定表述</abilityName>
      <candidateList>
        <item>创新、协调、绿色、开放、共享的发展理念</item>
      </candidateList>
      <explain>词汇“创新、协调、绿色、开放、共享的发展理念”在特定场景下为固定表述形式，请确认此处的“创新、协调、绿色、开放、共享新发展理念”是否存在不当。</explain>
      <paraID>2F912197</paraID>
      <start>5</start>
      <end>24</end>
      <status>modified</status>
      <modifiedWord>创新、协调、绿色、开放、共享的发展理念</modifiedWord>
      <trackRevisions>false</trackRevisions>
    </reviewItem>
    <reviewItem>
      <errorID>2cfadffd-512d-4e27-8c95-fe44be1ec036</errorID>
      <errorWord>产业链和供应链</errorWord>
      <group>L1_Political</group>
      <groupName>政治性问题</groupName>
      <ability>L2_Keyword</ability>
      <abilityName>固定表述</abilityName>
      <candidateList>
        <item>产业链供应链</item>
      </candidateList>
      <explain>词汇“产业链供应链”在特定场景下为固定表述形式，请确认此处的“产业链和供应链”是否存在不当。</explain>
      <paraID>62E468C5</paraID>
      <start>25</start>
      <end>32</end>
      <status>ignored</status>
      <modifiedWord/>
      <trackRevisions>false</trackRevisions>
    </reviewItem>
    <reviewItem>
      <errorID>dbd08131-2db5-48d1-91c2-516383a62830</errorID>
      <errorWord>不言而 喻</errorWord>
      <group>L1_Word</group>
      <groupName>字词问题</groupName>
      <ability>L2_Typo</ability>
      <abilityName>字词错误</abilityName>
      <candidateList>
        <item>不言而喻</item>
      </candidateList>
      <explain/>
      <paraID>4CD6B66D</paraID>
      <start>47</start>
      <end>51</end>
      <status>modified</status>
      <modifiedWord>不言而喻</modifiedWord>
      <trackRevisions>false</trackRevisions>
    </reviewItem>
    <reviewItem>
      <errorID>3a1f3db2-7200-4c98-bd17-a60e9f9d05e5</errorID>
      <errorWord>ISO 管理体</errorWord>
      <group>L1_Grammar</group>
      <groupName>语法问题</groupName>
      <ability>L2_Grammar</ability>
      <abilityName>语法错误</abilityName>
      <candidateList>
        <item>ISO</item>
      </candidateList>
      <explain/>
      <paraID>3B5585DD</paraID>
      <start>61</start>
      <end>64</end>
      <status>modified</status>
      <modifiedWord>ISO</modifiedWord>
      <trackRevisions>false</trackRevisions>
    </reviewItem>
    <reviewItem>
      <errorID>37891843-75b2-493f-9c6a-d1ef9add45b0</errorID>
      <errorWord>系</errorWord>
      <group>L1_Grammar</group>
      <groupName>语法问题</groupName>
      <ability>L2_Grammar</ability>
      <abilityName>语法错误</abilityName>
      <candidateList>
        <item>管理体系</item>
      </candidateList>
      <explain/>
      <paraID>3B5585DD</paraID>
      <start>64</start>
      <end>68</end>
      <status>modified</status>
      <modifiedWord>管理体系</modifiedWord>
      <trackRevisions>false</trackRevisions>
    </reviewItem>
    <reviewItem>
      <errorID>f65aecc3-0ad7-4ebc-8402-e3342200cbd3</errorID>
      <errorWord>要 求</errorWord>
      <group>L1_Word</group>
      <groupName>字词问题</groupName>
      <ability>L2_Typo</ability>
      <abilityName>字词错误</abilityName>
      <candidateList>
        <item>要求</item>
      </candidateList>
      <explain/>
      <paraID>4C836246</paraID>
      <start>40</start>
      <end>42</end>
      <status>modified</status>
      <modifiedWord>要求</modifiedWord>
      <trackRevisions>false</trackRevisions>
    </reviewItem>
    <reviewItem>
      <errorID>229bc09b-3913-4c99-835a-a9c8e1511d06</errorID>
      <errorWord>要 素</errorWord>
      <group>L1_Word</group>
      <groupName>字词问题</groupName>
      <ability>L2_Typo</ability>
      <abilityName>字词错误</abilityName>
      <candidateList>
        <item>要素</item>
      </candidateList>
      <explain/>
      <paraID>4976A4BE</paraID>
      <start>45</start>
      <end>47</end>
      <status>modified</status>
      <modifiedWord>要素</modifiedWord>
      <trackRevisions>false</trackRevisions>
    </reviewItem>
    <reviewItem>
      <errorID>a0169f01-3bf9-4fdb-8069-20581a6850c1</errorID>
      <errorWord>目 标</errorWord>
      <group>L1_Word</group>
      <groupName>字词问题</groupName>
      <ability>L2_Typo</ability>
      <abilityName>字词错误</abilityName>
      <candidateList>
        <item>目标</item>
      </candidateList>
      <explain/>
      <paraID>4976A4BE</paraID>
      <start>92</start>
      <end>94</end>
      <status>modified</status>
      <modifiedWord>目标</modifiedWord>
      <trackRevisions>false</trackRevisions>
    </reviewItem>
    <reviewItem>
      <errorID>6a027271-1e61-474f-bdf5-73e7debd6a5b</errorID>
      <errorWord>相 互影响</errorWord>
      <group>L1_Word</group>
      <groupName>字词问题</groupName>
      <ability>L2_Typo</ability>
      <abilityName>字词错误</abilityName>
      <candidateList>
        <item>相互影响</item>
      </candidateList>
      <explain/>
      <paraID>4976A4BE</paraID>
      <start>184</start>
      <end>188</end>
      <status>modified</status>
      <modifiedWord>相互影响</modifiedWord>
      <trackRevisions>false</trackRevisions>
    </reviewItem>
    <reviewItem>
      <errorID>77a59ccb-311f-473f-bf53-e0fed6c5da4c</errorID>
      <errorWord>ISO 管理体</errorWord>
      <group>L1_Grammar</group>
      <groupName>语法问题</groupName>
      <ability>L2_Grammar</ability>
      <abilityName>语法错误</abilityName>
      <candidateList>
        <item>ISO</item>
      </candidateList>
      <explain/>
      <paraID>50013414</paraID>
      <start>60</start>
      <end>63</end>
      <status>modified</status>
      <modifiedWord>ISO</modifiedWord>
      <trackRevisions>false</trackRevisions>
    </reviewItem>
    <reviewItem>
      <errorID>0f7220f5-ceab-43e5-840a-340973095e71</errorID>
      <errorWord>系</errorWord>
      <group>L1_Grammar</group>
      <groupName>语法问题</groupName>
      <ability>L2_Grammar</ability>
      <abilityName>语法错误</abilityName>
      <candidateList>
        <item>管理体系</item>
      </candidateList>
      <explain/>
      <paraID>50013414</paraID>
      <start>64</start>
      <end>68</end>
      <status>modified</status>
      <modifiedWord>管理体系</modifiedWord>
      <trackRevisions>false</trackRevisions>
    </reviewItem>
    <reviewItem>
      <errorID>b636dea7-fe61-465d-80df-713edc88f906</errorID>
      <errorWord> </errorWord>
      <group>L1_Punc</group>
      <groupName>标点问题</groupName>
      <ability>L2_Punc_CN</ability>
      <abilityName>标点符号问题</abilityName>
      <candidateList>
        <item/>
      </candidateList>
      <explain>此处空格冗余，建议删除。</explain>
      <paraID>343AEF22</paraID>
      <start>50</start>
      <end>50</end>
      <status>modified</status>
      <modifiedWord/>
      <trackRevisions>false</trackRevisions>
    </reviewItem>
    <reviewItem>
      <errorID>d7fd4098-d56e-43fd-96ad-edd35ce7ef98</errorID>
      <errorWord> </errorWord>
      <group>L1_Punc</group>
      <groupName>标点问题</groupName>
      <ability>L2_Punc_CN</ability>
      <abilityName>标点符号问题</abilityName>
      <candidateList>
        <item/>
      </candidateList>
      <explain>此处空格冗余，建议删除。</explain>
      <paraID>343AEF22</paraID>
      <start>101</start>
      <end>101</end>
      <status>modified</status>
      <modifiedWord/>
      <trackRevisions>false</trackRevisions>
    </reviewItem>
    <reviewItem>
      <errorID>f9b20389-86cb-4c3e-ba78-fafb887c5027</errorID>
      <errorWord> </errorWord>
      <group>L1_Punc</group>
      <groupName>标点问题</groupName>
      <ability>L2_Punc_CN</ability>
      <abilityName>标点符号问题</abilityName>
      <candidateList>
        <item/>
      </candidateList>
      <explain>此处空格冗余，建议删除。</explain>
      <paraID>343AEF22</paraID>
      <start>149</start>
      <end>149</end>
      <status>modified</status>
      <modifiedWord/>
      <trackRevisions>false</trackRevisions>
    </reviewItem>
    <reviewItem>
      <errorID>272b718f-8387-4ae6-83f8-4288bf08eb39</errorID>
      <errorWord> </errorWord>
      <group>L1_Punc</group>
      <groupName>标点问题</groupName>
      <ability>L2_Punc_CN</ability>
      <abilityName>标点符号问题</abilityName>
      <candidateList>
        <item/>
      </candidateList>
      <explain>此处空格冗余，建议删除。</explain>
      <paraID>343AEF22</paraID>
      <start>186</start>
      <end>186</end>
      <status>modified</status>
      <modifiedWord/>
      <trackRevisions>false</trackRevisions>
    </reviewItem>
    <reviewItem>
      <errorID>fb98ab64-0231-4f32-b7df-52ac0cac083c</errorID>
      <errorWord> </errorWord>
      <group>L1_Punc</group>
      <groupName>标点问题</groupName>
      <ability>L2_Punc_CN</ability>
      <abilityName>标点符号问题</abilityName>
      <candidateList>
        <item/>
      </candidateList>
      <explain>此处空格冗余，建议删除。</explain>
      <paraID>343AEF22</paraID>
      <start>197</start>
      <end>197</end>
      <status>modified</status>
      <modifiedWord/>
      <trackRevisions>false</trackRevisions>
    </reviewItem>
    <reviewItem>
      <errorID>903ad228-f9e7-48f0-a4a3-86c7f1635752</errorID>
      <errorWord>ISO 管理</errorWord>
      <group>L1_Grammar</group>
      <groupName>语法问题</groupName>
      <ability>L2_Grammar</ability>
      <abilityName>语法错误</abilityName>
      <candidateList>
        <item>ISO</item>
      </candidateList>
      <explain/>
      <paraID>1B325A35</paraID>
      <start>60</start>
      <end>63</end>
      <status>modified</status>
      <modifiedWord>ISO</modifiedWord>
      <trackRevisions>false</trackRevisions>
    </reviewItem>
    <reviewItem>
      <errorID>f5ff7f38-9e63-4913-b863-f421ff812fca</errorID>
      <errorWord>体系</errorWord>
      <group>L1_Grammar</group>
      <groupName>语法问题</groupName>
      <ability>L2_Grammar</ability>
      <abilityName>语法错误</abilityName>
      <candidateList>
        <item>管理体系</item>
      </candidateList>
      <explain/>
      <paraID>1B325A35</paraID>
      <start>64</start>
      <end>68</end>
      <status>modified</status>
      <modifiedWord>管理体系</modifiedWord>
      <trackRevisions>false</trackRevisions>
    </reviewItem>
    <reviewItem>
      <errorID>62f7892c-068b-4a65-8104-6fc20819020b</errorID>
      <errorWord>ISO 管理体</errorWord>
      <group>L1_Grammar</group>
      <groupName>语法问题</groupName>
      <ability>L2_Grammar</ability>
      <abilityName>语法错误</abilityName>
      <candidateList>
        <item>ISO</item>
      </candidateList>
      <explain/>
      <paraID>65B45894</paraID>
      <start>60</start>
      <end>63</end>
      <status>modified</status>
      <modifiedWord>ISO</modifiedWord>
      <trackRevisions>false</trackRevisions>
    </reviewItem>
    <reviewItem>
      <errorID>7ac796da-346e-4d96-8f20-45e28b2ed900</errorID>
      <errorWord>系</errorWord>
      <group>L1_Grammar</group>
      <groupName>语法问题</groupName>
      <ability>L2_Grammar</ability>
      <abilityName>语法错误</abilityName>
      <candidateList>
        <item>管理体系</item>
      </candidateList>
      <explain/>
      <paraID>65B45894</paraID>
      <start>64</start>
      <end>68</end>
      <status>modified</status>
      <modifiedWord>管理体系</modifiedWord>
      <trackRevisions>false</trackRevisions>
    </reviewItem>
    <reviewItem>
      <errorID>b493b398-0d32-445d-abfe-6a492f20872c</errorID>
      <errorWord>9）、</errorWord>
      <group>L1_Punc</group>
      <groupName>标点问题</groupName>
      <ability>L2_Punc_CN</ability>
      <abilityName>标点符号问题</abilityName>
      <candidateList>
        <item>9）</item>
      </candidateList>
      <explain>根据国标GB/T 15834-2011《标点符号用法》中的4.5.3.3节，带括号的汉字数字或阿拉伯数字表次序时，后面通常不加顿号。如“（一）指导思想”“（二）行动指南”。</explain>
      <paraID>56AA2457</paraID>
      <start>18</start>
      <end>20</end>
      <status>modified</status>
      <modifiedWord>9）</modifiedWord>
      <trackRevisions>false</trackRevisions>
    </reviewItem>
    <reviewItem>
      <errorID>3cf6ecbd-cc2a-4e4a-aa8b-3fbf395a3c50</errorID>
      <errorWord>ISO 管理体</errorWord>
      <group>L1_Grammar</group>
      <groupName>语法问题</groupName>
      <ability>L2_Grammar</ability>
      <abilityName>语法错误</abilityName>
      <candidateList>
        <item>ISO</item>
      </candidateList>
      <explain/>
      <paraID>4D7E6EA4</paraID>
      <start>60</start>
      <end>63</end>
      <status>modified</status>
      <modifiedWord>ISO</modifiedWord>
      <trackRevisions>false</trackRevisions>
    </reviewItem>
    <reviewItem>
      <errorID>ed0679ad-0708-472e-ab61-fbc38ea73bd6</errorID>
      <errorWord>系</errorWord>
      <group>L1_Grammar</group>
      <groupName>语法问题</groupName>
      <ability>L2_Grammar</ability>
      <abilityName>语法错误</abilityName>
      <candidateList>
        <item>管理体系</item>
      </candidateList>
      <explain/>
      <paraID>4D7E6EA4</paraID>
      <start>64</start>
      <end>68</end>
      <status>modified</status>
      <modifiedWord>管理体系</modifiedWord>
      <trackRevisions>false</trackRevisions>
    </reviewItem>
    <reviewItem>
      <errorID>c28c8158-4bf5-47a5-9350-9605eed28aba</errorID>
      <errorWord> </errorWord>
      <group>L1_Punc</group>
      <groupName>标点问题</groupName>
      <ability>L2_Punc_CN</ability>
      <abilityName>标点符号问题</abilityName>
      <candidateList>
        <item/>
      </candidateList>
      <explain>此处空格冗余，建议删除。</explain>
      <paraID>36CB6187</paraID>
      <start>43</start>
      <end>43</end>
      <status>modified</status>
      <modifiedWord/>
      <trackRevisions>false</trackRevisions>
    </reviewItem>
    <reviewItem>
      <errorID>3b440c08-1225-4407-8387-7d9bb9c05d7e</errorID>
      <errorWord>）</errorWord>
      <group>L1_Punc</group>
      <groupName>标点问题</groupName>
      <ability>L2_Punc_CN</ability>
      <abilityName>标点符号问题</abilityName>
      <candidateList>
        <item>）。</item>
      </candidateList>
      <explain/>
      <paraID>63D3B4CF</paraID>
      <start>51</start>
      <end>53</end>
      <status>modified</status>
      <modifiedWord>）。</modifiedWord>
      <trackRevisions>false</trackRevisions>
    </reviewItem>
    <reviewItem>
      <errorID>8b04cc7b-9d9a-4d48-bab3-0f597e724851</errorID>
      <errorWord> </errorWord>
      <group>L1_Punc</group>
      <groupName>标点问题</groupName>
      <ability>L2_Punc_CN</ability>
      <abilityName>标点符号问题</abilityName>
      <candidateList>
        <item/>
      </candidateList>
      <explain>此处空格冗余，建议删除。</explain>
      <paraID>4774A56B</paraID>
      <start>64</start>
      <end>64</end>
      <status>modified</status>
      <modifiedWord/>
      <trackRevisions>false</trackRevisions>
    </reviewItem>
    <reviewItem>
      <errorID>ed1d970e-1b03-44e7-84f7-a05463725ec2</errorID>
      <errorWord>的</errorWord>
      <group>L1_Word</group>
      <groupName>字词问题</groupName>
      <ability>L2_Typo</ability>
      <abilityName>字词错误</abilityName>
      <candidateList>
        <item/>
      </candidateList>
      <explain/>
      <paraID>38730FCE</paraID>
      <start>43</start>
      <end>43</end>
      <status>modified</status>
      <modifiedWord/>
      <trackRevisions>false</trackRevisions>
    </reviewItem>
    <reviewItem>
      <errorID>f3f0daa4-8104-412b-b560-771de27e772f</errorID>
      <errorWord>与其</errorWord>
      <group>L1_Word</group>
      <groupName>字词问题</groupName>
      <ability>L2_Typo</ability>
      <abilityName>字词错误</abilityName>
      <candidateList>
        <item>与</item>
      </candidateList>
      <explain/>
      <paraID>336370D1</paraID>
      <start>31</start>
      <end>32</end>
      <status>modified</status>
      <modifiedWord>与</modifiedWord>
      <trackRevisions>false</trackRevisions>
    </reviewItem>
    <reviewItem>
      <errorID>04cff826-f416-41ce-9cd7-0e734f2d3d24</errorID>
      <errorWord>，并</errorWord>
      <group>L1_Word</group>
      <groupName>字词问题</groupName>
      <ability>L2_Typo</ability>
      <abilityName>字词错误</abilityName>
      <candidateList>
        <item>，</item>
      </candidateList>
      <explain/>
      <paraID>1D8C075C</paraID>
      <start>80</start>
      <end>81</end>
      <status>modified</status>
      <modifiedWord>，</modifiedWord>
      <trackRevisions>false</trackRevisions>
    </reviewItem>
    <reviewItem>
      <errorID>b83180c3-5e3e-4643-8f0b-317c0d13a25d</errorID>
      <errorWord>，</errorWord>
      <group>L1_Punc</group>
      <groupName>标点问题</groupName>
      <ability>L2_Punc_CN</ability>
      <abilityName>标点符号问题</abilityName>
      <candidateList>
        <item>。</item>
      </candidateList>
      <explain/>
      <paraID>23A5A88C</paraID>
      <start>42</start>
      <end>43</end>
      <status>ignored</status>
      <modifiedWord/>
      <trackRevisions>false</trackRevisions>
    </reviewItem>
    <reviewItem>
      <errorID>44c8628a-9a0e-45c5-ab10-906bcf4b640f</errorID>
      <errorWord>利 益</errorWord>
      <group>L1_Word</group>
      <groupName>字词问题</groupName>
      <ability>L2_Typo</ability>
      <abilityName>字词错误</abilityName>
      <candidateList>
        <item>利益</item>
      </candidateList>
      <explain/>
      <paraID>5F5A977D</paraID>
      <start>41</start>
      <end>43</end>
      <status>modified</status>
      <modifiedWord>利益</modifiedWord>
      <trackRevisions>false</trackRevisions>
    </reviewItem>
    <reviewItem>
      <errorID>5696a47c-f137-4e81-8e7c-d2d0ee4dc90f</errorID>
      <errorWord>包 括</errorWord>
      <group>L1_Word</group>
      <groupName>字词问题</groupName>
      <ability>L2_Typo</ability>
      <abilityName>字词错误</abilityName>
      <candidateList>
        <item>包括</item>
      </candidateList>
      <explain/>
      <paraID>19D4F25C</paraID>
      <start>45</start>
      <end>47</end>
      <status>modified</status>
      <modifiedWord>包括</modifiedWord>
      <trackRevisions>false</trackRevisions>
    </reviewItem>
    <reviewItem>
      <errorID>dda4fb42-4994-4e64-a417-7a74460ddcba</errorID>
      <errorWord>被</errorWord>
      <group>L1_Word</group>
      <groupName>字词问题</groupName>
      <ability>L2_Typo</ability>
      <abilityName>字词错误</abilityName>
      <candidateList>
        <item>供</item>
      </candidateList>
      <explain/>
      <paraID> 7FB9E0D</paraID>
      <start>21</start>
      <end>22</end>
      <status>ignored</status>
      <modifiedWord/>
      <trackRevisions>false</trackRevisions>
    </reviewItem>
    <reviewItem>
      <errorID>ce1f6663-70e6-48ff-af46-cf6aa064dfff</errorID>
      <errorWord>相互作 用</errorWord>
      <group>L1_Word</group>
      <groupName>字词问题</groupName>
      <ability>L2_Typo</ability>
      <abilityName>字词错误</abilityName>
      <candidateList>
        <item>相互作用</item>
      </candidateList>
      <explain/>
      <paraID>11EE28C6</paraID>
      <start>43</start>
      <end>47</end>
      <status>modified</status>
      <modifiedWord>相互作用</modifiedWord>
      <trackRevisions>false</trackRevisions>
    </reviewItem>
    <reviewItem>
      <errorID>b5297d8f-dc7a-4a8d-bed8-ea4f7edeb206</errorID>
      <errorWord> </errorWord>
      <group>L1_Punc</group>
      <groupName>标点问题</groupName>
      <ability>L2_Punc_CN</ability>
      <abilityName>标点符号问题</abilityName>
      <candidateList>
        <item/>
      </candidateList>
      <explain>此处空格冗余，建议删除。</explain>
      <paraID>11EE28C6</paraID>
      <start>50</start>
      <end>50</end>
      <status>modified</status>
      <modifiedWord/>
      <trackRevisions>false</trackRevisions>
    </reviewItem>
    <reviewItem>
      <errorID>a5f40738-35f4-4623-9dca-6f57fa4b497e</errorID>
      <errorWord> </errorWord>
      <group>L1_Punc</group>
      <groupName>标点问题</groupName>
      <ability>L2_Punc_CN</ability>
      <abilityName>标点符号问题</abilityName>
      <candidateList>
        <item/>
      </candidateList>
      <explain>此处空格冗余，建议删除。</explain>
      <paraID>11EE28C6</paraID>
      <start>53</start>
      <end>53</end>
      <status>modified</status>
      <modifiedWord/>
      <trackRevisions>false</trackRevisions>
    </reviewItem>
    <reviewItem>
      <errorID>fd2c6bae-2c6c-413b-8201-d194edfc14d8</errorID>
      <errorWord> </errorWord>
      <group>L1_Punc</group>
      <groupName>标点问题</groupName>
      <ability>L2_Punc_CN</ability>
      <abilityName>标点符号问题</abilityName>
      <candidateList>
        <item/>
      </candidateList>
      <explain>此处空格冗余，建议删除。</explain>
      <paraID>11EE28C6</paraID>
      <start>57</start>
      <end>57</end>
      <status>modified</status>
      <modifiedWord/>
      <trackRevisions>false</trackRevisions>
    </reviewItem>
    <reviewItem>
      <errorID>67e0d5f3-0757-4513-bc27-f621d452f316</errorID>
      <errorWord> </errorWord>
      <group>L1_Punc</group>
      <groupName>标点问题</groupName>
      <ability>L2_Punc_CN</ability>
      <abilityName>标点符号问题</abilityName>
      <candidateList>
        <item/>
      </candidateList>
      <explain>此处空格冗余，建议删除。</explain>
      <paraID>11EE28C6</paraID>
      <start>60</start>
      <end>60</end>
      <status>modified</status>
      <modifiedWord/>
      <trackRevisions>false</trackRevisions>
    </reviewItem>
    <reviewItem>
      <errorID>2f01d6a8-af3a-45f9-810c-5af138cbe511</errorID>
      <errorWord> </errorWord>
      <group>L1_Punc</group>
      <groupName>标点问题</groupName>
      <ability>L2_Punc_CN</ability>
      <abilityName>标点符号问题</abilityName>
      <candidateList>
        <item/>
      </candidateList>
      <explain>此处空格冗余，建议删除。</explain>
      <paraID>11EE28C6</paraID>
      <start>93</start>
      <end>93</end>
      <status>modified</status>
      <modifiedWord/>
      <trackRevisions>false</trackRevisions>
    </reviewItem>
    <reviewItem>
      <errorID>9c03269e-adf0-4b9a-bff0-30bd0a7863ab</errorID>
      <errorWord> </errorWord>
      <group>L1_Punc</group>
      <groupName>标点问题</groupName>
      <ability>L2_Punc_CN</ability>
      <abilityName>标点符号问题</abilityName>
      <candidateList>
        <item/>
      </candidateList>
      <explain>此处空格冗余，建议删除。</explain>
      <paraID>170D5749</paraID>
      <start>23</start>
      <end>23</end>
      <status>modified</status>
      <modifiedWord/>
      <trackRevisions>false</trackRevisions>
    </reviewItem>
    <reviewItem>
      <errorID>0c7196a9-e42d-422d-acc0-ecdf8ef90e9a</errorID>
      <errorWord> </errorWord>
      <group>L1_Punc</group>
      <groupName>标点问题</groupName>
      <ability>L2_Punc_CN</ability>
      <abilityName>标点符号问题</abilityName>
      <candidateList>
        <item/>
      </candidateList>
      <explain>此处空格冗余，建议删除。</explain>
      <paraID>170D5749</paraID>
      <start>26</start>
      <end>26</end>
      <status>modified</status>
      <modifiedWord/>
      <trackRevisions>false</trackRevisions>
    </reviewItem>
    <reviewItem>
      <errorID>384e80b8-feb4-40d8-8f4b-b39bd5240ef0</errorID>
      <errorWord>相 互</errorWord>
      <group>L1_Word</group>
      <groupName>字词问题</groupName>
      <ability>L2_Typo</ability>
      <abilityName>字词错误</abilityName>
      <candidateList>
        <item>相互</item>
      </candidateList>
      <explain/>
      <paraID>170D5749</paraID>
      <start>43</start>
      <end>45</end>
      <status>modified</status>
      <modifiedWord>相互</modifiedWord>
      <trackRevisions>false</trackRevisions>
    </reviewItem>
    <reviewItem>
      <errorID>20fbc76b-0838-4ad1-9408-fe6d4ec9b6eb</errorID>
      <errorWord> </errorWord>
      <group>L1_Punc</group>
      <groupName>标点问题</groupName>
      <ability>L2_Punc_CN</ability>
      <abilityName>标点符号问题</abilityName>
      <candidateList>
        <item/>
      </candidateList>
      <explain>此处空格冗余，建议删除。</explain>
      <paraID>170D5749</paraID>
      <start>90</start>
      <end>90</end>
      <status>modified</status>
      <modifiedWord/>
      <trackRevisions>false</trackRevisions>
    </reviewItem>
    <reviewItem>
      <errorID>75bbc402-8fed-403b-8545-572008accc32</errorID>
      <errorWord> </errorWord>
      <group>L1_Punc</group>
      <groupName>标点问题</groupName>
      <ability>L2_Punc_CN</ability>
      <abilityName>标点符号问题</abilityName>
      <candidateList>
        <item/>
      </candidateList>
      <explain>此处空格冗余，建议删除。</explain>
      <paraID>2EF7A365</paraID>
      <start>2</start>
      <end>2</end>
      <status>modified</status>
      <modifiedWord/>
      <trackRevisions>false</trackRevisions>
    </reviewItem>
    <reviewItem>
      <errorID>16a04eb2-6e23-475b-8f7c-f49201bebd63</errorID>
      <errorWord> </errorWord>
      <group>L1_Punc</group>
      <groupName>标点问题</groupName>
      <ability>L2_Punc_CN</ability>
      <abilityName>标点符号问题</abilityName>
      <candidateList>
        <item/>
      </candidateList>
      <explain>此处空格冗余，建议删除。</explain>
      <paraID>2EF7A365</paraID>
      <start>5</start>
      <end>5</end>
      <status>modified</status>
      <modifiedWord/>
      <trackRevisions>false</trackRevisions>
    </reviewItem>
    <reviewItem>
      <errorID>a68d4e38-7c9e-43ca-9ed5-6e8f04694ae0</errorID>
      <errorWord>负责并担责</errorWord>
      <group>L1_Grammar</group>
      <groupName>语法问题</groupName>
      <ability>L2_Grammar</ability>
      <abilityName>语法错误</abilityName>
      <candidateList>
        <item>负责</item>
      </candidateList>
      <explain/>
      <paraID>71977437</paraID>
      <start>16</start>
      <end>21</end>
      <status>ignored</status>
      <modifiedWord/>
      <trackRevisions>false</trackRevisions>
    </reviewItem>
    <reviewItem>
      <errorID>f67caf28-24b7-40f8-b42a-41ec2d934308</errorID>
      <errorWord>贡 献</errorWord>
      <group>L1_Word</group>
      <groupName>字词问题</groupName>
      <ability>L2_Typo</ability>
      <abilityName>字词错误</abilityName>
      <candidateList>
        <item>贡献</item>
      </candidateList>
      <explain/>
      <paraID>597E2C75</paraID>
      <start>42</start>
      <end>44</end>
      <status>modified</status>
      <modifiedWord>贡献</modifiedWord>
      <trackRevisions>false</trackRevisions>
    </reviewItem>
    <reviewItem>
      <errorID>757a9208-9243-48cd-bf30-3507cd723ffd</errorID>
      <errorWord> </errorWord>
      <group>L1_Punc</group>
      <groupName>标点问题</groupName>
      <ability>L2_Punc_CN</ability>
      <abilityName>标点符号问题</abilityName>
      <candidateList>
        <item/>
      </candidateList>
      <explain>此处空格冗余，建议删除。</explain>
      <paraID>6E47F975</paraID>
      <start>43</start>
      <end>43</end>
      <status>modified</status>
      <modifiedWord/>
      <trackRevisions>false</trackRevisions>
    </reviewItem>
    <reviewItem>
      <errorID>35ac0f59-5b7b-4bb0-828a-444752acfb58</errorID>
      <errorWord>战 略</errorWord>
      <group>L1_Word</group>
      <groupName>字词问题</groupName>
      <ability>L2_Typo</ability>
      <abilityName>字词错误</abilityName>
      <candidateList>
        <item>战略</item>
      </candidateList>
      <explain/>
      <paraID> 32355BE</paraID>
      <start>43</start>
      <end>45</end>
      <status>modified</status>
      <modifiedWord>战略</modifiedWord>
      <trackRevisions>false</trackRevisions>
    </reviewItem>
    <reviewItem>
      <errorID>882b375b-b26b-4bae-b902-67e8859e51c8</errorID>
      <errorWord>组 成部分</errorWord>
      <group>L1_Word</group>
      <groupName>字词问题</groupName>
      <ability>L2_Typo</ability>
      <abilityName>字词错误</abilityName>
      <candidateList>
        <item>组成部分</item>
      </candidateList>
      <explain/>
      <paraID> 32355BE</paraID>
      <start>89</start>
      <end>93</end>
      <status>modified</status>
      <modifiedWord>组成部分</modifiedWord>
      <trackRevisions>false</trackRevisions>
    </reviewItem>
    <reviewItem>
      <errorID>6699dad8-35bd-4b7f-a55a-092c837d6e4f</errorID>
      <errorWord>为</errorWord>
      <group>L1_Word</group>
      <groupName>字词问题</groupName>
      <ability>L2_Typo</ability>
      <abilityName>字词错误</abilityName>
      <candidateList>
        <item>使</item>
      </candidateList>
      <explain/>
      <paraID>736D66A2</paraID>
      <start>16</start>
      <end>17</end>
      <status>ignored</status>
      <modifiedWord/>
      <trackRevisions>false</trackRevisions>
    </reviewItem>
    <reviewItem>
      <errorID>d970bf2b-cacd-4f0b-bcba-a72b80e394df</errorID>
      <errorWord>沟通</errorWord>
      <group>L1_Grammar</group>
      <groupName>语法问题</groupName>
      <ability>L2_Grammar</ability>
      <abilityName>语法错误</abilityName>
      <candidateList>
        <item>进行沟通</item>
      </candidateList>
      <explain/>
      <paraID>17A9D577</paraID>
      <start>32</start>
      <end>36</end>
      <status>modified</status>
      <modifiedWord>进行沟通</modifiedWord>
      <trackRevisions>false</trackRevisions>
    </reviewItem>
    <reviewItem>
      <errorID>b229df64-f81d-4872-b58f-8fa65fbe1065</errorID>
      <errorWord>5. 4</errorWord>
      <group>L1_Other</group>
      <groupName>其他问题</groupName>
      <ability>L2_Consistency</ability>
      <abilityName>一致性检查</abilityName>
      <candidateList>
        <item>5.4</item>
      </candidateList>
      <explain>数字一致性：章节编号格式不一致，前文同类章节编号格式为阿拉伯数字后加英文点无空格，此处多了空格，应调整为统一格式</explain>
      <paraID>45DE61CD</paraID>
      <start>0</start>
      <end>3</end>
      <status>modified</status>
      <modifiedWord>5.4</modifiedWord>
      <trackRevisions>false</trackRevisions>
    </reviewItem>
    <reviewItem>
      <errorID>3c914dc7-1151-459f-8124-1b9fae76dd97</errorID>
      <errorWord>的和</errorWord>
      <group>L1_Word</group>
      <groupName>字词问题</groupName>
      <ability>L2_Typo</ability>
      <abilityName>字词错误</abilityName>
      <candidateList>
        <item>、</item>
      </candidateList>
      <explain/>
      <paraID>1F4368B8</paraID>
      <start>8</start>
      <end>9</end>
      <status>modified</status>
      <modifiedWord>、</modifiedWord>
      <trackRevisions>false</trackRevisions>
    </reviewItem>
    <reviewItem>
      <errorID>a9226e7e-7fe4-4284-bb69-8afb567a4f65</errorID>
      <errorWord>，</errorWord>
      <group>L1_Punc</group>
      <groupName>标点问题</groupName>
      <ability>L2_Punc_CN</ability>
      <abilityName>标点符号问题</abilityName>
      <candidateList>
        <item/>
      </candidateList>
      <explain/>
      <paraID>1F4368B8</paraID>
      <start>14</start>
      <end>14</end>
      <status>modified</status>
      <modifiedWord/>
      <trackRevisions>false</trackRevisions>
    </reviewItem>
    <reviewItem>
      <errorID>8bdc7712-ef17-4df8-b9d6-7e1ed47d30e6</errorID>
      <errorWord> </errorWord>
      <group>L1_Punc</group>
      <groupName>标点问题</groupName>
      <ability>L2_Punc_CN</ability>
      <abilityName>标点符号问题</abilityName>
      <candidateList>
        <item/>
      </candidateList>
      <explain>此处空格冗余，建议删除。</explain>
      <paraID>21D2A753</paraID>
      <start>50</start>
      <end>50</end>
      <status>modified</status>
      <modifiedWord/>
      <trackRevisions>false</trackRevisions>
    </reviewItem>
    <reviewItem>
      <errorID>d971fe3c-c9b9-4813-8721-b815e309e2a4</errorID>
      <errorWord>；</errorWord>
      <group>L1_Punc</group>
      <groupName>标点问题</groupName>
      <ability>L2_Punc_CN</ability>
      <abilityName>标点符号问题</abilityName>
      <candidateList>
        <item/>
      </candidateList>
      <explain/>
      <paraID>20C64C4F</paraID>
      <start>27</start>
      <end>28</end>
      <status>ignored</status>
      <modifiedWord/>
      <trackRevisions>false</trackRevisions>
    </reviewItem>
    <reviewItem>
      <errorID>80d80f51-ac24-4928-9b35-d8ba53859a12</errorID>
      <errorWord>。</errorWord>
      <group>L1_Punc</group>
      <groupName>标点问题</groupName>
      <ability>L2_Punc_CN</ability>
      <abilityName>标点符号问题</abilityName>
      <candidateList>
        <item>；</item>
      </candidateList>
      <explain/>
      <paraID>5DFB06E8</paraID>
      <start>14</start>
      <end>15</end>
      <status>ignored</status>
      <modifiedWord/>
      <trackRevisions>false</trackRevisions>
    </reviewItem>
    <reviewItem>
      <errorID>1e28d187-21f9-4b3e-ba48-77914b919cdf</errorID>
      <errorWord>；</errorWord>
      <group>L1_Punc</group>
      <groupName>标点问题</groupName>
      <ability>L2_Punc_CN</ability>
      <abilityName>标点符号问题</abilityName>
      <candidateList>
        <item/>
      </candidateList>
      <explain/>
      <paraID>6C1D7898</paraID>
      <start>22</start>
      <end>23</end>
      <status>ignored</status>
      <modifiedWord/>
      <trackRevisions>false</trackRevisions>
    </reviewItem>
    <reviewItem>
      <errorID>ead29bb1-bfc4-4d21-b1fd-bb3dae57558d</errorID>
      <errorWord>。</errorWord>
      <group>L1_Punc</group>
      <groupName>标点问题</groupName>
      <ability>L2_Punc_CN</ability>
      <abilityName>标点符号问题</abilityName>
      <candidateList>
        <item>；</item>
      </candidateList>
      <explain/>
      <paraID>40FBB28E</paraID>
      <start>23</start>
      <end>24</end>
      <status>ignored</status>
      <modifiedWord/>
      <trackRevisions>false</trackRevisions>
    </reviewItem>
    <reviewItem>
      <errorID>582b0ddd-18d0-4edc-a23c-34c99b187f4b</errorID>
      <errorWord>1ESG</errorWord>
      <group>L1_Word</group>
      <groupName>字词问题</groupName>
      <ability>L2_Typo</ability>
      <abilityName>字词错误</abilityName>
      <candidateList>
        <item>1 ESG</item>
      </candidateList>
      <explain/>
      <paraID> B9CDCB6</paraID>
      <start>2</start>
      <end>7</end>
      <status>modified</status>
      <modifiedWord>1 ESG</modifiedWord>
      <trackRevisions>false</trackRevisions>
    </reviewItem>
    <reviewItem>
      <errorID>77116c83-3b0c-466a-8b84-246015e588b3</errorID>
      <errorWord>形 式</errorWord>
      <group>L1_Word</group>
      <groupName>字词问题</groupName>
      <ability>L2_Typo</ability>
      <abilityName>字词错误</abilityName>
      <candidateList>
        <item>形式</item>
      </candidateList>
      <explain/>
      <paraID>137FC1B2</paraID>
      <start>42</start>
      <end>44</end>
      <status>modified</status>
      <modifiedWord>形式</modifiedWord>
      <trackRevisions>false</trackRevisions>
    </reviewItem>
    <reviewItem>
      <errorID>340eb1aa-d643-40eb-9b09-eea95ea41f77</errorID>
      <errorWord>；</errorWord>
      <group>L1_Punc</group>
      <groupName>标点问题</groupName>
      <ability>L2_Punc_CN</ability>
      <abilityName>标点符号问题</abilityName>
      <candidateList>
        <item>。</item>
      </candidateList>
      <explain/>
      <paraID>3A3E02F5</paraID>
      <start>211</start>
      <end>212</end>
      <status>modified</status>
      <modifiedWord>。</modifiedWord>
      <trackRevisions>false</trackRevisions>
    </reviewItem>
    <reviewItem>
      <errorID>361d86b1-623f-4e42-b124-895e75fa5280</errorID>
      <errorWord>。</errorWord>
      <group>L1_Grammar</group>
      <groupName>语法问题</groupName>
      <ability>L2_Grammar</ability>
      <abilityName>语法错误</abilityName>
      <candidateList>
        <item>。企业</item>
      </candidateList>
      <explain/>
      <paraID>4FBDB1A7</paraID>
      <start>9</start>
      <end>12</end>
      <status>modified</status>
      <modifiedWord>。企业</modifiedWord>
      <trackRevisions>false</trackRevisions>
    </reviewItem>
    <reviewItem>
      <errorID>f8122836-d04d-4b60-87e3-6ea0ab456da8</errorID>
      <errorWord>风险</errorWord>
      <group>L1_Word</group>
      <groupName>字词问题</groupName>
      <ability>L2_Typo</ability>
      <abilityName>字词错误</abilityName>
      <candidateList>
        <item> 风险</item>
      </candidateList>
      <explain/>
      <paraID>46BF3215</paraID>
      <start>0</start>
      <end>2</end>
      <status>ignored</status>
      <modifiedWord/>
      <trackRevisions>false</trackRevisions>
    </reviewItem>
    <reviewItem>
      <errorID>e1b74533-a6c9-4311-967f-509f7511a706</errorID>
      <errorWord>：</errorWord>
      <group>L1_Punc</group>
      <groupName>标点问题</groupName>
      <ability>L2_Punc_CN</ability>
      <abilityName>标点符号问题</abilityName>
      <candidateList>
        <item/>
      </candidateList>
      <explain/>
      <paraID>1811F046</paraID>
      <start>26</start>
      <end>27</end>
      <status>ignored</status>
      <modifiedWord/>
      <trackRevisions>false</trackRevisions>
    </reviewItem>
    <reviewItem>
      <errorID>51695a32-2f78-46a4-ab50-116347b5dd0a</errorID>
      <errorWord> </errorWord>
      <group>L1_Punc</group>
      <groupName>标点问题</groupName>
      <ability>L2_Punc_CN</ability>
      <abilityName>标点符号问题</abilityName>
      <candidateList>
        <item/>
      </candidateList>
      <explain>此处空格冗余，建议删除。</explain>
      <paraID>1811F046</paraID>
      <start>43</start>
      <end>43</end>
      <status>modified</status>
      <modifiedWord/>
      <trackRevisions>false</trackRevisions>
    </reviewItem>
    <reviewItem>
      <errorID>5b5b80a1-75d3-4458-b5cb-b7b04fcaad64</errorID>
      <errorWord>管理体 系</errorWord>
      <group>L1_Word</group>
      <groupName>字词问题</groupName>
      <ability>L2_Typo</ability>
      <abilityName>字词错误</abilityName>
      <candidateList>
        <item>管理体系</item>
      </candidateList>
      <explain/>
      <paraID>1811F046</paraID>
      <start>85</start>
      <end>89</end>
      <status>modified</status>
      <modifiedWord>管理体系</modifiedWord>
      <trackRevisions>false</trackRevisions>
    </reviewItem>
    <reviewItem>
      <errorID>53d03f66-85a3-4431-964e-6e559ed11270</errorID>
      <errorWord>来</errorWord>
      <group>L1_Punc</group>
      <groupName>标点问题</groupName>
      <ability>L2_Punc_CN</ability>
      <abilityName>标点符号问题</abilityName>
      <candidateList>
        <item>，来</item>
      </candidateList>
      <explain/>
      <paraID>1811F046</paraID>
      <start>105</start>
      <end>107</end>
      <status>modified</status>
      <modifiedWord>，来</modifiedWord>
      <trackRevisions>false</trackRevisions>
    </reviewItem>
    <reviewItem>
      <errorID>7448b151-e5e8-4d5c-b12d-a70181008071</errorID>
      <errorWord>企业</errorWord>
      <group>L1_Punc</group>
      <groupName>标点问题</groupName>
      <ability>L2_Punc_CN</ability>
      <abilityName>标点符号问题</abilityName>
      <candidateList>
        <item>，企业</item>
      </candidateList>
      <explain/>
      <paraID>1811F046</paraID>
      <start>171</start>
      <end>174</end>
      <status>modified</status>
      <modifiedWord>，企业</modifiedWord>
      <trackRevisions>false</trackRevisions>
    </reviewItem>
    <reviewItem>
      <errorID>95b50cf3-90ee-4d06-a5a8-95b0a09d30b1</errorID>
      <errorWord>及</errorWord>
      <group>L1_Word</group>
      <groupName>字词问题</groupName>
      <ability>L2_Typo</ability>
      <abilityName>字词错误</abilityName>
      <candidateList>
        <item>并</item>
      </candidateList>
      <explain/>
      <paraID>1811F046</paraID>
      <start>177</start>
      <end>178</end>
      <status>modified</status>
      <modifiedWord>并</modifiedWord>
      <trackRevisions>false</trackRevisions>
    </reviewItem>
    <reviewItem>
      <errorID>83f9f770-4bbe-411d-87db-ef1b7a8706b2</errorID>
      <errorWord>社 会</errorWord>
      <group>L1_Word</group>
      <groupName>字词问题</groupName>
      <ability>L2_Typo</ability>
      <abilityName>字词错误</abilityName>
      <candidateList>
        <item>社会</item>
      </candidateList>
      <explain/>
      <paraID>1811F046</paraID>
      <start>183</start>
      <end>185</end>
      <status>modified</status>
      <modifiedWord>社会</modifiedWord>
      <trackRevisions>false</trackRevisions>
    </reviewItem>
    <reviewItem>
      <errorID>fec4225b-db5d-41c9-97f2-e0a8ce0cc324</errorID>
      <errorWord>过程</errorWord>
      <group>L1_Word</group>
      <groupName>字词问题</groupName>
      <ability>L2_Typo</ability>
      <abilityName>字词错误</abilityName>
      <candidateList>
        <item>的过程</item>
      </candidateList>
      <explain/>
      <paraID>1811F046</paraID>
      <start>194</start>
      <end>197</end>
      <status>modified</status>
      <modifiedWord>的过程</modifiedWord>
      <trackRevisions>false</trackRevisions>
    </reviewItem>
    <reviewItem>
      <errorID>9c13231e-9116-49f2-98ca-c0b6cfa27b49</errorID>
      <errorWord>的</errorWord>
      <group>L1_Grammar</group>
      <groupName>语法问题</groupName>
      <ability>L2_Grammar</ability>
      <abilityName>语法错误</abilityName>
      <candidateList>
        <item>，并将其</item>
      </candidateList>
      <explain/>
      <paraID>1811F046</paraID>
      <start>200</start>
      <end>204</end>
      <status>modified</status>
      <modifiedWord>，并将其</modifiedWord>
      <trackRevisions>false</trackRevisions>
    </reviewItem>
    <reviewItem>
      <errorID>cfb90437-0411-4f2b-aa36-a5c41dd155b3</errorID>
      <errorWord>，并</errorWord>
      <group>L1_Word</group>
      <groupName>字词问题</groupName>
      <ability>L2_Typo</ability>
      <abilityName>字词错误</abilityName>
      <candidateList>
        <item>，</item>
      </candidateList>
      <explain/>
      <paraID>1811F046</paraID>
      <start>207</start>
      <end>208</end>
      <status>modified</status>
      <modifiedWord>，</modifiedWord>
      <trackRevisions>false</trackRevisions>
    </reviewItem>
    <reviewItem>
      <errorID>2f7bdbc7-141b-4a72-b9a4-c9cb38024faa</errorID>
      <errorWord>不良 影响因素</errorWord>
      <group>L1_Word</group>
      <groupName>字词问题</groupName>
      <ability>L2_Typo</ability>
      <abilityName>字词错误</abilityName>
      <candidateList>
        <item>不良影响因素的</item>
      </candidateList>
      <explain/>
      <paraID>776EDAAC</paraID>
      <start>42</start>
      <end>49</end>
      <status>modified</status>
      <modifiedWord>不良影响因素的</modifiedWord>
      <trackRevisions>false</trackRevisions>
    </reviewItem>
    <reviewItem>
      <errorID>aa1bb619-c0c8-43bc-a250-b2e8d2ac036a</errorID>
      <errorWord>沟 通</errorWord>
      <group>L1_Word</group>
      <groupName>字词问题</groupName>
      <ability>L2_Typo</ability>
      <abilityName>字词错误</abilityName>
      <candidateList>
        <item>沟通</item>
      </candidateList>
      <explain/>
      <paraID>15D47EBE</paraID>
      <start>43</start>
      <end>45</end>
      <status>modified</status>
      <modifiedWord>沟通</modifiedWord>
      <trackRevisions>false</trackRevisions>
    </reviewItem>
    <reviewItem>
      <errorID>7906abff-e322-4a9a-96a6-d736ba53c3b5</errorID>
      <errorWord>技 术创新</errorWord>
      <group>L1_Word</group>
      <groupName>字词问题</groupName>
      <ability>L2_Typo</ability>
      <abilityName>字词错误</abilityName>
      <candidateList>
        <item>技术创新</item>
      </candidateList>
      <explain/>
      <paraID>31D8E0F3</paraID>
      <start>40</start>
      <end>44</end>
      <status>modified</status>
      <modifiedWord>技术创新</modifiedWord>
      <trackRevisions>false</trackRevisions>
    </reviewItem>
    <reviewItem>
      <errorID>d61bf42c-7f15-46c5-b8ef-ca3803338f6b</errorID>
      <errorWord>分析出</errorWord>
      <group>L1_Word</group>
      <groupName>字词问题</groupName>
      <ability>L2_Typo</ability>
      <abilityName>字词错误</abilityName>
      <candidateList>
        <item>并分析</item>
      </candidateList>
      <explain/>
      <paraID>5D1F99E8</paraID>
      <start>12</start>
      <end>15</end>
      <status>modified</status>
      <modifiedWord>并分析</modifiedWord>
      <trackRevisions>false</trackRevisions>
    </reviewItem>
    <reviewItem>
      <errorID>bc06294b-2352-4a03-ba8c-c018607c0a52</errorID>
      <errorWord>全</errorWord>
      <group>L1_Word</group>
      <groupName>字词问题</groupName>
      <ability>L2_Typo</ability>
      <abilityName>字词错误</abilityName>
      <candidateList>
        <item>全过</item>
      </candidateList>
      <explain/>
      <paraID>5D1F99E8</paraID>
      <start>95</start>
      <end>97</end>
      <status>modified</status>
      <modifiedWord>全过</modifiedWord>
      <trackRevisions>false</trackRevisions>
    </reviewItem>
    <reviewItem>
      <errorID>a3b70253-efad-4e02-923e-167a7a44c7f4</errorID>
      <errorWord>要求</errorWord>
      <group>L1_Grammar</group>
      <groupName>语法问题</groupName>
      <ability>L2_Grammar</ability>
      <abilityName>语法错误</abilityName>
      <candidateList>
        <item>相关要求</item>
      </candidateList>
      <explain/>
      <paraID>5D1F99E8</paraID>
      <start>195</start>
      <end>199</end>
      <status>modified</status>
      <modifiedWord>相关要求</modifiedWord>
      <trackRevisions>false</trackRevisions>
    </reviewItem>
    <reviewItem>
      <errorID>0998f412-0222-4972-bcfd-5086c4002de2</errorID>
      <errorWord>措施的策划中</errorWord>
      <group>L1_Word</group>
      <groupName>字词问题</groupName>
      <ability>L2_Typo</ability>
      <abilityName>字词错误</abilityName>
      <candidateList>
        <item>策划措施时</item>
      </candidateList>
      <explain/>
      <paraID>28CB31E6</paraID>
      <start>81</start>
      <end>87</end>
      <status>ignored</status>
      <modifiedWord/>
      <trackRevisions>false</trackRevisions>
    </reviewItem>
    <reviewItem>
      <errorID>d84248dd-a877-4bfd-abad-444c243da1d7</errorID>
      <errorWord>建立</errorWord>
      <group>L1_Word</group>
      <groupName>字词问题</groupName>
      <ability>L2_Typo</ability>
      <abilityName>字词错误</abilityName>
      <candidateList>
        <item>中建立</item>
      </candidateList>
      <explain/>
      <paraID>38921C7E</paraID>
      <start>126</start>
      <end>129</end>
      <status>modified</status>
      <modifiedWord>中建立</modifiedWord>
      <trackRevisions>false</trackRevisions>
    </reviewItem>
    <reviewItem>
      <errorID>6d40c374-463c-420e-81a5-398c6155c563</errorID>
      <errorWord> </errorWord>
      <group>L1_Punc</group>
      <groupName>标点问题</groupName>
      <ability>L2_Punc_CN</ability>
      <abilityName>标点符号问题</abilityName>
      <candidateList>
        <item/>
      </candidateList>
      <explain>此处空格冗余，建议删除。</explain>
      <paraID>6521FEFA</paraID>
      <start>45</start>
      <end>45</end>
      <status>modified</status>
      <modifiedWord/>
      <trackRevisions>false</trackRevisions>
    </reviewItem>
    <reviewItem>
      <errorID>f8dc4a0f-5a31-4073-84d6-cd7e1ec9ed60</errorID>
      <errorWord>利益</errorWord>
      <group>L1_Word</group>
      <groupName>字词问题</groupName>
      <ability>L2_Typo</ability>
      <abilityName>字词错误</abilityName>
      <candidateList>
        <item>与利益</item>
      </candidateList>
      <explain/>
      <paraID>6521FEFA</paraID>
      <start>51</start>
      <end>54</end>
      <status>modified</status>
      <modifiedWord>与利益</modifiedWord>
      <trackRevisions>false</trackRevisions>
    </reviewItem>
    <reviewItem>
      <errorID>a34a7484-2afb-4c1c-b24e-555124e4311d</errorID>
      <errorWord>频 率</errorWord>
      <group>L1_Word</group>
      <groupName>字词问题</groupName>
      <ability>L2_Typo</ability>
      <abilityName>字词错误</abilityName>
      <candidateList>
        <item>频率</item>
      </candidateList>
      <explain/>
      <paraID>6521FEFA</paraID>
      <start>90</start>
      <end>92</end>
      <status>modified</status>
      <modifiedWord>频率</modifiedWord>
      <trackRevisions>false</trackRevisions>
    </reviewItem>
    <reviewItem>
      <errorID>3ef4faac-9d3d-4b2d-9123-cc9e0571cd8a</errorID>
      <errorWord>具体</errorWord>
      <group>L1_Grammar</group>
      <groupName>语法问题</groupName>
      <ability>L2_Grammar</ability>
      <abilityName>语法错误</abilityName>
      <candidateList>
        <item>制定具体</item>
      </candidateList>
      <explain/>
      <paraID>6FD9821F</paraID>
      <start>0</start>
      <end>2</end>
      <status>ignored</status>
      <modifiedWord/>
      <trackRevisions>false</trackRevisions>
    </reviewItem>
    <reviewItem>
      <errorID>ec833b24-3abc-4763-8e74-90a332322c91</errorID>
      <errorWord>用于</errorWord>
      <group>L1_Grammar</group>
      <groupName>语法问题</groupName>
      <ability>L2_Grammar</ability>
      <abilityName>语法错误</abilityName>
      <candidateList>
        <item>确定用于</item>
      </candidateList>
      <explain/>
      <paraID>6FD9821F</paraID>
      <start>16</start>
      <end>18</end>
      <status>ignored</status>
      <modifiedWord/>
      <trackRevisions>false</trackRevisions>
    </reviewItem>
    <reviewItem>
      <errorID>99769fc7-a4ba-453f-9cec-aab308ea2e43</errorID>
      <errorWord> </errorWord>
      <group>L1_Punc</group>
      <groupName>标点问题</groupName>
      <ability>L2_Punc_CN</ability>
      <abilityName>标点符号问题</abilityName>
      <candidateList>
        <item/>
      </candidateList>
      <explain>此处空格冗余，建议删除。</explain>
      <paraID>6FD9821F</paraID>
      <start>44</start>
      <end>44</end>
      <status>modified</status>
      <modifiedWord/>
      <trackRevisions>false</trackRevisions>
    </reviewItem>
    <reviewItem>
      <errorID>ad23f0cf-9a95-42c0-acb9-d7a3a7253dec</errorID>
      <errorWord>供应商</errorWord>
      <group>L1_Word</group>
      <groupName>字词问题</groupName>
      <ability>L2_Typo</ability>
      <abilityName>字词错误</abilityName>
      <candidateList>
        <item>与供应商</item>
      </candidateList>
      <explain/>
      <paraID>6D8C749D</paraID>
      <start>52</start>
      <end>55</end>
      <status>ignored</status>
      <modifiedWord/>
      <trackRevisions>false</trackRevisions>
    </reviewItem>
    <reviewItem>
      <errorID>f44c0072-fe6c-4dbe-aedc-809a65375b9b</errorID>
      <errorWord>内 容</errorWord>
      <group>L1_Word</group>
      <groupName>字词问题</groupName>
      <ability>L2_Typo</ability>
      <abilityName>字词错误</abilityName>
      <candidateList>
        <item>内容</item>
      </candidateList>
      <explain/>
      <paraID>7EDE90C3</paraID>
      <start>45</start>
      <end>47</end>
      <status>modified</status>
      <modifiedWord>内容</modifiedWord>
      <trackRevisions>false</trackRevisions>
    </reviewItem>
    <reviewItem>
      <errorID>c7212907-6bb3-496f-a636-f1b71eca80a0</errorID>
      <errorWord> </errorWord>
      <group>L1_Punc</group>
      <groupName>标点问题</groupName>
      <ability>L2_Punc_CN</ability>
      <abilityName>标点符号问题</abilityName>
      <candidateList>
        <item/>
      </candidateList>
      <explain>此处空格冗余，建议删除。</explain>
      <paraID>4E40D10B</paraID>
      <start>43</start>
      <end>43</end>
      <status>modified</status>
      <modifiedWord/>
      <trackRevisions>false</trackRevisions>
    </reviewItem>
    <reviewItem>
      <errorID>6ef368a9-0979-470b-9efe-37608e9657a4</errorID>
      <errorWord>管理</errorWord>
      <group>L1_Grammar</group>
      <groupName>语法问题</groupName>
      <ability>L2_Grammar</ability>
      <abilityName>语法错误</abilityName>
      <candidateList>
        <item>管理体系</item>
      </candidateList>
      <explain/>
      <paraID>700131E9</paraID>
      <start>6</start>
      <end>8</end>
      <status>ignored</status>
      <modifiedWord/>
      <trackRevisions>false</trackRevisions>
    </reviewItem>
    <reviewItem>
      <errorID>8c8538db-24d1-4681-b082-424543a81620</errorID>
      <errorWord>能</errorWord>
      <group>L1_Word</group>
      <groupName>字词问题</groupName>
      <ability>L2_Typo</ability>
      <abilityName>字词错误</abilityName>
      <candidateList>
        <item>能之</item>
      </candidateList>
      <explain/>
      <paraID>173CDD2C</paraID>
      <start>10</start>
      <end>12</end>
      <status>modified</status>
      <modifiedWord>能之</modifiedWord>
      <trackRevisions>false</trackRevisions>
    </reviewItem>
    <reviewItem>
      <errorID>daaedd47-94bc-46df-a39c-bd66ae0b9df2</errorID>
      <errorWord>内部人员对</errorWord>
      <group>L1_Word</group>
      <groupName>字词问题</groupName>
      <ability>L2_Typo</ability>
      <abilityName>字词错误</abilityName>
      <candidateList>
        <item>内部人员</item>
      </candidateList>
      <explain/>
      <paraID>1796390B</paraID>
      <start>24</start>
      <end>28</end>
      <status>modified</status>
      <modifiedWord>内部人员</modifiedWord>
      <trackRevisions>false</trackRevisions>
    </reviewItem>
    <reviewItem>
      <errorID>57001ea0-b5e1-46f0-8439-7964cc4b6e2f</errorID>
      <errorWord>贡 献</errorWord>
      <group>L1_Word</group>
      <groupName>字词问题</groupName>
      <ability>L2_Typo</ability>
      <abilityName>字词错误</abilityName>
      <candidateList>
        <item>贡献</item>
      </candidateList>
      <explain/>
      <paraID>1796390B</paraID>
      <start>41</start>
      <end>43</end>
      <status>modified</status>
      <modifiedWord>贡献</modifiedWord>
      <trackRevisions>false</trackRevisions>
    </reviewItem>
    <reviewItem>
      <errorID>d25fe6f1-8986-4c8f-be5d-88d6b5261e5b</errorID>
      <errorWord> </errorWord>
      <group>L1_Punc</group>
      <groupName>标点问题</groupName>
      <ability>L2_Punc_CN</ability>
      <abilityName>标点符号问题</abilityName>
      <candidateList>
        <item/>
      </candidateList>
      <explain>此处空格冗余，建议删除。</explain>
      <paraID>6AD4BBA2</paraID>
      <start>46</start>
      <end>46</end>
      <status>modified</status>
      <modifiedWord/>
      <trackRevisions>false</trackRevisions>
    </reviewItem>
    <reviewItem>
      <errorID>38ce1726-6e17-4f23-86fc-f57c72445eda</errorID>
      <errorWord>外部</errorWord>
      <group>L1_Grammar</group>
      <groupName>语法问题</groupName>
      <ability>L2_Grammar</ability>
      <abilityName>语法错误</abilityName>
      <candidateList>
        <item>召开外部</item>
      </candidateList>
      <explain/>
      <paraID>6AD4BBA2</paraID>
      <start>71</start>
      <end>73</end>
      <status>ignored</status>
      <modifiedWord/>
      <trackRevisions>false</trackRevisions>
    </reviewItem>
    <reviewItem>
      <errorID>fe04f15e-54c0-4715-b20b-d5daf3f23494</errorID>
      <errorWord> </errorWord>
      <group>L1_Punc</group>
      <groupName>标点问题</groupName>
      <ability>L2_Punc_CN</ability>
      <abilityName>标点符号问题</abilityName>
      <candidateList>
        <item/>
      </candidateList>
      <explain>此处空格冗余，建议删除。</explain>
      <paraID>6AD4BBA2</paraID>
      <start>94</start>
      <end>94</end>
      <status>modified</status>
      <modifiedWord/>
      <trackRevisions>false</trackRevisions>
    </reviewItem>
    <reviewItem>
      <errorID>27d4562d-1f09-439f-94ab-77ddc03eb618</errorID>
      <errorWord>：</errorWord>
      <group>L1_Punc</group>
      <groupName>标点问题</groupName>
      <ability>L2_Punc_CN</ability>
      <abilityName>标点符号问题</abilityName>
      <candidateList>
        <item/>
      </candidateList>
      <explain/>
      <paraID>41AD649E</paraID>
      <start>32</start>
      <end>33</end>
      <status>ignored</status>
      <modifiedWord/>
      <trackRevisions>false</trackRevisions>
    </reviewItem>
    <reviewItem>
      <errorID>f675398d-17f6-4970-a552-9e71da2f8e7e</errorID>
      <errorWord>；</errorWord>
      <group>L1_Punc</group>
      <groupName>标点问题</groupName>
      <ability>L2_Punc_CN</ability>
      <abilityName>标点符号问题</abilityName>
      <candidateList>
        <item>，</item>
      </candidateList>
      <explain/>
      <paraID>41AD649E</paraID>
      <start>81</start>
      <end>82</end>
      <status>ignored</status>
      <modifiedWord/>
      <trackRevisions>false</trackRevisions>
    </reviewItem>
    <reviewItem>
      <errorID>cba0383d-19bb-4841-b6b4-66f5b9cb6026</errorID>
      <errorWord>号 码</errorWord>
      <group>L1_Word</group>
      <groupName>字词问题</groupName>
      <ability>L2_Typo</ability>
      <abilityName>字词错误</abilityName>
      <candidateList>
        <item>号码</item>
      </candidateList>
      <explain/>
      <paraID>6CA48854</paraID>
      <start>42</start>
      <end>44</end>
      <status>modified</status>
      <modifiedWord>号码</modifiedWord>
      <trackRevisions>false</trackRevisions>
    </reviewItem>
    <reviewItem>
      <errorID>17d81d27-8a22-4331-9f10-bd4ac483e666</errorID>
      <errorWord>及批 准</errorWord>
      <group>L1_Word</group>
      <groupName>字词问题</groupName>
      <ability>L2_Typo</ability>
      <abilityName>字词错误</abilityName>
      <candidateList>
        <item>与批准</item>
      </candidateList>
      <explain/>
      <paraID>6CA48854</paraID>
      <start>86</start>
      <end>89</end>
      <status>modified</status>
      <modifiedWord>与批准</modifiedWord>
      <trackRevisions>false</trackRevisions>
    </reviewItem>
    <reviewItem>
      <errorID>a6964572-1ac1-45f1-bc88-765d0a99e5ba</errorID>
      <errorWord>、或</errorWord>
      <group>L1_Word</group>
      <groupName>字词问题</groupName>
      <ability>L2_Typo</ability>
      <abilityName>字词错误</abilityName>
      <candidateList>
        <item>或</item>
      </candidateList>
      <explain/>
      <paraID> 6B28B4E</paraID>
      <start>24</start>
      <end>26</end>
      <status>ignored</status>
      <modifiedWord/>
      <trackRevisions>false</trackRevisions>
    </reviewItem>
    <reviewItem>
      <errorID>0a7a0f15-e179-4884-957d-7a79c63c2f9e</errorID>
      <errorWord>，</errorWord>
      <group>L1_Punc</group>
      <groupName>标点问题</groupName>
      <ability>L2_Punc_CN</ability>
      <abilityName>标点符号问题</abilityName>
      <candidateList>
        <item>、</item>
      </candidateList>
      <explain/>
      <paraID>5D5630A3</paraID>
      <start>60</start>
      <end>61</end>
      <status>ignored</status>
      <modifiedWord/>
      <trackRevisions>false</trackRevisions>
    </reviewItem>
    <reviewItem>
      <errorID>0fdacd29-0ecd-4d7c-a96f-79dacab707da</errorID>
      <errorWord>8. 1</errorWord>
      <group>L1_Other</group>
      <groupName>其他问题</groupName>
      <ability>L2_Consistency</ability>
      <abilityName>一致性检查</abilityName>
      <candidateList>
        <item>8.1</item>
      </candidateList>
      <explain>数字一致性：章节编号格式不一致，前文同类章节编号格式为阿拉伯数字后加英文点无空格，此处多了空格，应调整为统一格式</explain>
      <paraID>5937C5C4</paraID>
      <start>0</start>
      <end>3</end>
      <status>modified</status>
      <modifiedWord>8.1</modifiedWord>
      <trackRevisions>false</trackRevisions>
    </reviewItem>
    <reviewItem>
      <errorID>e5a3c70d-acf9-417e-b8c6-d7f788c8ac25</errorID>
      <errorWord> </errorWord>
      <group>L1_Punc</group>
      <groupName>标点问题</groupName>
      <ability>L2_Punc_CN</ability>
      <abilityName>标点符号问题</abilityName>
      <candidateList>
        <item/>
      </candidateList>
      <explain>此处空格冗余，建议删除。</explain>
      <paraID>3203AA9D</paraID>
      <start>47</start>
      <end>47</end>
      <status>modified</status>
      <modifiedWord/>
      <trackRevisions>false</trackRevisions>
    </reviewItem>
    <reviewItem>
      <errorID>c1e9e2c8-5248-4ab7-b06d-e8d4bff5e0cb</errorID>
      <errorWord>确信</errorWord>
      <group>L1_Word</group>
      <groupName>字词问题</groupName>
      <ability>L2_Typo</ability>
      <abilityName>字词错误</abilityName>
      <candidateList>
        <item>确保</item>
      </candidateList>
      <explain/>
      <paraID>44ED207F</paraID>
      <start>15</start>
      <end>17</end>
      <status>ignored</status>
      <modifiedWord/>
      <trackRevisions>false</trackRevisions>
    </reviewItem>
    <reviewItem>
      <errorID>37a78ac6-5222-40b7-90f0-88a3978cefcd</errorID>
      <errorWord>处 置</errorWord>
      <group>L1_Word</group>
      <groupName>字词问题</groupName>
      <ability>L2_Typo</ability>
      <abilityName>字词错误</abilityName>
      <candidateList>
        <item>处置</item>
      </candidateList>
      <explain/>
      <paraID>3A992E26</paraID>
      <start>42</start>
      <end>44</end>
      <status>modified</status>
      <modifiedWord>处置</modifiedWord>
      <trackRevisions>false</trackRevisions>
    </reviewItem>
    <reviewItem>
      <errorID>6faee817-8507-4b15-a775-3ea2c2fe3dba</errorID>
      <errorWord>全 生命周期管理</errorWord>
      <group>L1_Political</group>
      <groupName>政治性问题</groupName>
      <ability>L2_Keyword</ability>
      <abilityName>固定表述</abilityName>
      <candidateList>
        <item>全生命周期管理</item>
      </candidateList>
      <explain>词汇“全生命周期管理”在特定场景下为固定表述形式，请确认此处的“全 生命周期管理”是否存在不当。</explain>
      <paraID>3A992E26</paraID>
      <start>88</start>
      <end>95</end>
      <status>modified</status>
      <modifiedWord>全生命周期管理</modifiedWord>
      <trackRevisions>false</trackRevisions>
    </reviewItem>
    <reviewItem>
      <errorID>cc4fb8d0-8621-4dcd-be02-c84c4299e31a</errorID>
      <errorWord>生 命周期</errorWord>
      <group>L1_Word</group>
      <groupName>字词问题</groupName>
      <ability>L2_Typo</ability>
      <abilityName>字词错误</abilityName>
      <candidateList>
        <item>生命周期</item>
      </candidateList>
      <explain/>
      <paraID>46FDBA79</paraID>
      <start>43</start>
      <end>47</end>
      <status>modified</status>
      <modifiedWord>生命周期</modifiedWord>
      <trackRevisions>false</trackRevisions>
    </reviewItem>
    <reviewItem>
      <errorID>b1c82a8b-a367-47b2-8961-104e9abf5778</errorID>
      <errorWord> </errorWord>
      <group>L1_Punc</group>
      <groupName>标点问题</groupName>
      <ability>L2_Punc_CN</ability>
      <abilityName>标点符号问题</abilityName>
      <candidateList>
        <item/>
      </candidateList>
      <explain>此处空格冗余，建议删除。</explain>
      <paraID> 3106309</paraID>
      <start>40</start>
      <end>40</end>
      <status>modified</status>
      <modifiedWord/>
      <trackRevisions>false</trackRevisions>
    </reviewItem>
    <reviewItem>
      <errorID>7b174041-9fd1-4451-9655-59340f2ddeef</errorID>
      <errorWord> </errorWord>
      <group>L1_Word</group>
      <groupName>字词问题</groupName>
      <ability>L2_Typo</ability>
      <abilityName>字词错误</abilityName>
      <candidateList>
        <item>其 </item>
      </candidateList>
      <explain/>
      <paraID>22114127</paraID>
      <start>19</start>
      <end>21</end>
      <status>modified</status>
      <modifiedWord>其 </modifiedWord>
      <trackRevisions>false</trackRevisions>
    </reviewItem>
    <reviewItem>
      <errorID>f0d7710b-abb5-41cf-8a74-f8ba4d0688c1</errorID>
      <errorWord>较</errorWord>
      <group>L1_Grammar</group>
      <groupName>语法问题</groupName>
      <ability>L2_Grammar</ability>
      <abilityName>语法错误</abilityName>
      <candidateList>
        <item>具有较</item>
      </candidateList>
      <explain/>
      <paraID>2FC36FFF</paraID>
      <start>1</start>
      <end>2</end>
      <status>ignored</status>
      <modifiedWord/>
      <trackRevisions>false</trackRevisions>
    </reviewItem>
    <reviewItem>
      <errorID>d4f777ab-27aa-4c6c-922b-8fcbda444a24</errorID>
      <errorWord>使用</errorWord>
      <group>L1_Grammar</group>
      <groupName>语法问题</groupName>
      <ability>L2_Grammar</ability>
      <abilityName>语法错误</abilityName>
      <candidateList>
        <item>采取</item>
      </candidateList>
      <explain>“使用～措施”搭配不当，建议修改为“采取～措施”。</explain>
      <paraID>10F9D10D</paraID>
      <start>0</start>
      <end>2</end>
      <status>ignored</status>
      <modifiedWord/>
      <trackRevisions>false</trackRevisions>
    </reviewItem>
    <reviewItem>
      <errorID>bbd256b7-83ad-47e6-a1b7-92ae7fd568c1</errorID>
      <errorWord>使用</errorWord>
      <group>L1_Grammar</group>
      <groupName>语法问题</groupName>
      <ability>L2_Grammar</ability>
      <abilityName>语法错误</abilityName>
      <candidateList>
        <item>采取</item>
      </candidateList>
      <explain>“使用～措施”搭配不当，建议修改为“采取～措施”。</explain>
      <paraID>46536322</paraID>
      <start>0</start>
      <end>2</end>
      <status>ignored</status>
      <modifiedWord/>
      <trackRevisions>false</trackRevisions>
    </reviewItem>
    <reviewItem>
      <errorID>4d2aa156-a26e-426d-9abf-255f49f5096b</errorID>
      <errorWord>(指零件、原材料等)</errorWord>
      <group>L1_Punc</group>
      <groupName>标点问题</groupName>
      <ability>L2_Punc_CN</ability>
      <abilityName>标点符号问题</abilityName>
      <candidateList>
        <item>（指零件、原材料等）</item>
      </candidateList>
      <explain/>
      <paraID>3340C4D4</paraID>
      <start>6</start>
      <end>16</end>
      <status>ignored</status>
      <modifiedWord/>
      <trackRevisions>false</trackRevisions>
    </reviewItem>
    <reviewItem>
      <errorID>cd4f6818-cc87-4eb0-8e22-adb6f08f3062</errorID>
      <errorWord>必 要措施</errorWord>
      <group>L1_Word</group>
      <groupName>字词问题</groupName>
      <ability>L2_Typo</ability>
      <abilityName>字词错误</abilityName>
      <candidateList>
        <item>必要措施</item>
      </candidateList>
      <explain/>
      <paraID>315E5AFA</paraID>
      <start>42</start>
      <end>46</end>
      <status>modified</status>
      <modifiedWord>必要措施</modifiedWord>
      <trackRevisions>false</trackRevisions>
    </reviewItem>
    <reviewItem>
      <errorID>30ce4f2d-f9b8-40b4-8099-6b069adadf6b</errorID>
      <errorWord>8. 2</errorWord>
      <group>L1_Other</group>
      <groupName>其他问题</groupName>
      <ability>L2_Consistency</ability>
      <abilityName>一致性检查</abilityName>
      <candidateList>
        <item>8.2</item>
      </candidateList>
      <explain>数字一致性：章节编号格式不一致，前文同类章节编号格式为阿拉伯数字后加英文点无空格，此处多了空格，应调整为统一格式</explain>
      <paraID>4694AE82</paraID>
      <start>0</start>
      <end>3</end>
      <status>modified</status>
      <modifiedWord>8.2</modifiedWord>
      <trackRevisions>false</trackRevisions>
    </reviewItem>
    <reviewItem>
      <errorID>6504d237-2808-4baf-92e9-b1b4792c5005</errorID>
      <errorWord>其应</errorWord>
      <group>L1_Word</group>
      <groupName>字词问题</groupName>
      <ability>L2_Typo</ability>
      <abilityName>字词错误</abilityName>
      <candidateList>
        <item>应</item>
      </candidateList>
      <explain/>
      <paraID>2D6DA6CE</paraID>
      <start>36</start>
      <end>38</end>
      <status>ignored</status>
      <modifiedWord/>
      <trackRevisions>false</trackRevisions>
    </reviewItem>
    <reviewItem>
      <errorID>d728398b-a181-4a04-a715-7774c78b31ad</errorID>
      <errorWord> </errorWord>
      <group>L1_Punc</group>
      <groupName>标点问题</groupName>
      <ability>L2_Punc_CN</ability>
      <abilityName>标点符号问题</abilityName>
      <candidateList>
        <item/>
      </candidateList>
      <explain>此处空格冗余，建议删除。</explain>
      <paraID>2D6DA6CE</paraID>
      <start>46</start>
      <end>46</end>
      <status>modified</status>
      <modifiedWord/>
      <trackRevisions>false</trackRevisions>
    </reviewItem>
    <reviewItem>
      <errorID>28d6b591-a507-438b-81cd-294cc4c77d2a</errorID>
      <errorWord> 影响或可能影响其</errorWord>
      <group>L1_Word</group>
      <groupName>字词问题</groupName>
      <ability>L2_Typo</ability>
      <abilityName>字词错误</abilityName>
      <candidateList>
        <item>影响或可能影响其</item>
      </candidateList>
      <explain/>
      <paraID>2D6DA6CE</paraID>
      <start>94</start>
      <end>102</end>
      <status>modified</status>
      <modifiedWord>影响或可能影响其</modifiedWord>
      <trackRevisions>false</trackRevisions>
    </reviewItem>
    <reviewItem>
      <errorID>075c7ac0-9c03-4da4-8780-7f5b8eda4971</errorID>
      <errorWord>这 些</errorWord>
      <group>L1_Word</group>
      <groupName>字词问题</groupName>
      <ability>L2_Typo</ability>
      <abilityName>字词错误</abilityName>
      <candidateList>
        <item>这些</item>
      </candidateList>
      <explain/>
      <paraID>7A90E02E</paraID>
      <start>45</start>
      <end>47</end>
      <status>modified</status>
      <modifiedWord>这些</modifiedWord>
      <trackRevisions>false</trackRevisions>
    </reviewItem>
    <reviewItem>
      <errorID>77bfe4d2-8513-4a16-94ac-fecf16776efc</errorID>
      <errorWord>ESG 绩效有关，并在供应商的选择过程中应将其与其他标准 </errorWord>
      <group>L1_Word</group>
      <groupName>字词问题</groupName>
      <ability>L2_Typo</ability>
      <abilityName>字词错误</abilityName>
      <candidateList>
        <item>ESG 绩效有关，并在供应商的选择过程中应将其与其他标准</item>
      </candidateList>
      <explain/>
      <paraID>7A90E02E</paraID>
      <start>65</start>
      <end>93</end>
      <status>modified</status>
      <modifiedWord>ESG 绩效有关，并在供应商的选择过程中应将其与其他标准</modifiedWord>
      <trackRevisions>false</trackRevisions>
    </reviewItem>
    <reviewItem>
      <errorID>e1ed783e-2546-4eb4-9390-24bddd3d771d</errorID>
      <errorWord>其</errorWord>
      <group>L1_Word</group>
      <groupName>字词问题</groupName>
      <ability>L2_Typo</ability>
      <abilityName>字词错误</abilityName>
      <candidateList>
        <item>其在</item>
      </candidateList>
      <explain/>
      <paraID>7A90E02E</paraID>
      <start>114</start>
      <end>116</end>
      <status>modified</status>
      <modifiedWord>其在</modifiedWord>
      <trackRevisions>false</trackRevisions>
    </reviewItem>
    <reviewItem>
      <errorID>cc6b8d80-ec7e-42db-a7f1-ad76b47748c7</errorID>
      <errorWord>因 素</errorWord>
      <group>L1_Word</group>
      <groupName>字词问题</groupName>
      <ability>L2_Typo</ability>
      <abilityName>字词错误</abilityName>
      <candidateList>
        <item>因素</item>
      </candidateList>
      <explain/>
      <paraID>7A90E02E</paraID>
      <start>140</start>
      <end>142</end>
      <status>modified</status>
      <modifiedWord>因素</modifiedWord>
      <trackRevisions>false</trackRevisions>
    </reviewItem>
    <reviewItem>
      <errorID>7689bc1e-71d5-4597-892a-82d86af94d6e</errorID>
      <errorWord>检测</errorWord>
      <group>L1_Word</group>
      <groupName>字词问题</groupName>
      <ability>L2_Typo</ability>
      <abilityName>字词错误</abilityName>
      <candidateList>
        <item>的检测</item>
      </candidateList>
      <explain/>
      <paraID>32A00CCE</paraID>
      <start>39</start>
      <end>41</end>
      <status>ignored</status>
      <modifiedWord/>
      <trackRevisions>false</trackRevisions>
    </reviewItem>
    <reviewItem>
      <errorID>4482e93d-dd03-4c6d-bf7e-e87b92f05ef3</errorID>
      <errorWord>。</errorWord>
      <group>L1_Grammar</group>
      <groupName>语法问题</groupName>
      <ability>L2_Grammar</ability>
      <abilityName>语法错误</abilityName>
      <candidateList>
        <item>情况。</item>
      </candidateList>
      <explain/>
      <paraID>13BC23D3</paraID>
      <start>24</start>
      <end>25</end>
      <status>ignored</status>
      <modifiedWord/>
      <trackRevisions>false</trackRevisions>
    </reviewItem>
    <reviewItem>
      <errorID>74c81cff-b9b9-409f-ad03-6588399adcbc</errorID>
      <errorWord> </errorWord>
      <group>L1_Punc</group>
      <groupName>标点问题</groupName>
      <ability>L2_Punc_CN</ability>
      <abilityName>标点符号问题</abilityName>
      <candidateList>
        <item/>
      </candidateList>
      <explain>此处空格冗余，建议删除。</explain>
      <paraID>67B4201D</paraID>
      <start>42</start>
      <end>42</end>
      <status>modified</status>
      <modifiedWord/>
      <trackRevisions>false</trackRevisions>
    </reviewItem>
    <reviewItem>
      <errorID>46a5bfc5-4a2d-4668-9091-84d35ee1dc37</errorID>
      <errorWord> </errorWord>
      <group>L1_Punc</group>
      <groupName>标点问题</groupName>
      <ability>L2_Punc_CN</ability>
      <abilityName>标点符号问题</abilityName>
      <candidateList>
        <item/>
      </candidateList>
      <explain>此处空格冗余，建议删除。</explain>
      <paraID>36D27111</paraID>
      <start>41</start>
      <end>41</end>
      <status>modified</status>
      <modifiedWord/>
      <trackRevisions>false</trackRevisions>
    </reviewItem>
    <reviewItem>
      <errorID>a15bbe2d-effc-4308-9cd8-7985c3d15303</errorID>
      <errorWord>；</errorWord>
      <group>L1_Punc</group>
      <groupName>标点问题</groupName>
      <ability>L2_Punc_CN</ability>
      <abilityName>标点符号问题</abilityName>
      <candidateList>
        <item>，</item>
      </candidateList>
      <explain/>
      <paraID>26F7A61C</paraID>
      <start>29</start>
      <end>30</end>
      <status>ignored</status>
      <modifiedWord/>
      <trackRevisions>false</trackRevisions>
    </reviewItem>
    <reviewItem>
      <errorID>d50dec5b-fb3a-49cc-9870-e892add15a4c</errorID>
      <errorWord>支持和参与</errorWord>
      <group>L1_Grammar</group>
      <groupName>语法问题</groupName>
      <ability>L2_Grammar</ability>
      <abilityName>语法错误</abilityName>
      <candidateList>
        <item>支持</item>
      </candidateList>
      <explain/>
      <paraID>496F9D53</paraID>
      <start>13</start>
      <end>18</end>
      <status>ignored</status>
      <modifiedWord/>
      <trackRevisions>false</trackRevisions>
    </reviewItem>
    <reviewItem>
      <errorID>23ee6759-fef0-4938-b9c3-0700cda74910</errorID>
      <errorWord>实施</errorWord>
      <group>L1_Word</group>
      <groupName>字词问题</groupName>
      <ability>L2_Typo</ability>
      <abilityName>字词错误</abilityName>
      <candidateList>
        <item>的实施</item>
      </candidateList>
      <explain/>
      <paraID>496F9D53</paraID>
      <start>33</start>
      <end>35</end>
      <status>ignored</status>
      <modifiedWord/>
      <trackRevisions>false</trackRevisions>
    </reviewItem>
    <reviewItem>
      <errorID>cc4305b1-750e-4cea-bd83-a08046b4fc8d</errorID>
      <errorWord>要 求</errorWord>
      <group>L1_Word</group>
      <groupName>字词问题</groupName>
      <ability>L2_Typo</ability>
      <abilityName>字词错误</abilityName>
      <candidateList>
        <item>要求</item>
      </candidateList>
      <explain/>
      <paraID>3336E8C7</paraID>
      <start>41</start>
      <end>43</end>
      <status>modified</status>
      <modifiedWord>要求</modifiedWord>
      <trackRevisions>false</trackRevisions>
    </reviewItem>
    <reviewItem>
      <errorID>2ac31d49-ecd9-4a20-aaca-556ab92caab9</errorID>
      <errorWord>与其</errorWord>
      <group>L1_Word</group>
      <groupName>字词问题</groupName>
      <ability>L2_Typo</ability>
      <abilityName>字词错误</abilityName>
      <candidateList>
        <item>与</item>
      </candidateList>
      <explain/>
      <paraID>3B5F0592</paraID>
      <start>8</start>
      <end>10</end>
      <status>ignored</status>
      <modifiedWord/>
      <trackRevisions>false</trackRevisions>
    </reviewItem>
    <reviewItem>
      <errorID>803633d6-8da3-4438-aa1a-7dabbfe9d1f7</errorID>
      <errorWord> </errorWord>
      <group>L1_Punc</group>
      <groupName>标点问题</groupName>
      <ability>L2_Punc_CN</ability>
      <abilityName>标点符号问题</abilityName>
      <candidateList>
        <item/>
      </candidateList>
      <explain>此处空格冗余，建议删除。</explain>
      <paraID>3B5F0592</paraID>
      <start>46</start>
      <end>46</end>
      <status>modified</status>
      <modifiedWord/>
      <trackRevisions>false</trackRevisions>
    </reviewItem>
    <reviewItem>
      <errorID>75a9b5e3-f65a-44a0-93a7-e4a4629f8ac1</errorID>
      <errorWord> </errorWord>
      <group>L1_Punc</group>
      <groupName>标点问题</groupName>
      <ability>L2_Punc_CN</ability>
      <abilityName>标点符号问题</abilityName>
      <candidateList>
        <item/>
      </candidateList>
      <explain>此处空格冗余，建议删除。</explain>
      <paraID>1B4AC3FB</paraID>
      <start>49</start>
      <end>49</end>
      <status>modified</status>
      <modifiedWord/>
      <trackRevisions>false</trackRevisions>
    </reviewItem>
    <reviewItem>
      <errorID>6a11e215-f7e3-4e53-bd49-f74ee6857746</errorID>
      <errorWord>求</errorWord>
      <group>L1_Word</group>
      <groupName>字词问题</groupName>
      <ability>L2_Typo</ability>
      <abilityName>字词错误</abilityName>
      <candidateList>
        <item>需求</item>
      </candidateList>
      <explain/>
      <paraID>77B9CE1D</paraID>
      <start>44</start>
      <end>45</end>
      <status>ignored</status>
      <modifiedWord/>
      <trackRevisions>false</trackRevisions>
    </reviewItem>
    <reviewItem>
      <errorID>24005ef7-8b35-40d4-b5b1-0a7beda49970</errorID>
      <errorWord>生 物多样性保护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 物多样性保护”是否存在不当。</explain>
      <paraID>4E242C4A</paraID>
      <start>40</start>
      <end>47</end>
      <status>modified</status>
      <modifiedWord>生物多样性保护</modifiedWord>
      <trackRevisions>false</trackRevisions>
    </reviewItem>
    <reviewItem>
      <errorID>7c7799bd-edec-407d-ae19-b94d397ffc8f</errorID>
      <errorWord> </errorWord>
      <group>L1_Punc</group>
      <groupName>标点问题</groupName>
      <ability>L2_Punc_CN</ability>
      <abilityName>标点符号问题</abilityName>
      <candidateList>
        <item/>
      </candidateList>
      <explain>此处空格冗余，建议删除。</explain>
      <paraID>2EEBA23C</paraID>
      <start>46</start>
      <end>46</end>
      <status>modified</status>
      <modifiedWord/>
      <trackRevisions>false</trackRevisions>
    </reviewItem>
    <reviewItem>
      <errorID>5d2c4ba3-db21-46e2-9c89-e4aa5dea6d1a</errorID>
      <errorWord>反 馈</errorWord>
      <group>L1_Word</group>
      <groupName>字词问题</groupName>
      <ability>L2_Typo</ability>
      <abilityName>字词错误</abilityName>
      <candidateList>
        <item>反馈</item>
      </candidateList>
      <explain/>
      <paraID>2EEBA23C</paraID>
      <start>90</start>
      <end>92</end>
      <status>modified</status>
      <modifiedWord>反馈</modifiedWord>
      <trackRevisions>false</trackRevisions>
    </reviewItem>
    <reviewItem>
      <errorID>bcf3dd6e-80da-4ca1-8038-604eb81d44e9</errorID>
      <errorWord>预 期</errorWord>
      <group>L1_Word</group>
      <groupName>字词问题</groupName>
      <ability>L2_Typo</ability>
      <abilityName>字词错误</abilityName>
      <candidateList>
        <item>预期</item>
      </candidateList>
      <explain/>
      <paraID>65519158</paraID>
      <start>50</start>
      <end>52</end>
      <status>modified</status>
      <modifiedWord>预期</modifiedWord>
      <trackRevisions>false</trackRevisions>
    </reviewItem>
    <reviewItem>
      <errorID>4aecddc8-7e6c-4906-9910-cb60efd56036</errorID>
      <errorWord> </errorWord>
      <group>L1_Punc</group>
      <groupName>标点问题</groupName>
      <ability>L2_Punc_CN</ability>
      <abilityName>标点符号问题</abilityName>
      <candidateList>
        <item/>
      </candidateList>
      <explain>此处空格冗余，建议删除。</explain>
      <paraID>4FC7C0A0</paraID>
      <start>41</start>
      <end>41</end>
      <status>modified</status>
      <modifiedWord/>
      <trackRevisions>false</trackRevisions>
    </reviewItem>
    <reviewItem>
      <errorID>e815189e-eff9-40e1-ae9f-6390eab1286d</errorID>
      <errorWord> </errorWord>
      <group>L1_Punc</group>
      <groupName>标点问题</groupName>
      <ability>L2_Punc_CN</ability>
      <abilityName>标点符号问题</abilityName>
      <candidateList>
        <item/>
      </candidateList>
      <explain>此处空格冗余，建议删除。</explain>
      <paraID>5358AED3</paraID>
      <start>41</start>
      <end>41</end>
      <status>modified</status>
      <modifiedWord/>
      <trackRevisions>false</trackRevisions>
    </reviewItem>
    <reviewItem>
      <errorID>68414b15-7648-4c8d-9d41-d3e7e84f12b9</errorID>
      <errorWord>承 诺</errorWord>
      <group>L1_Word</group>
      <groupName>字词问题</groupName>
      <ability>L2_Typo</ability>
      <abilityName>字词错误</abilityName>
      <candidateList>
        <item>承诺</item>
      </candidateList>
      <explain/>
      <paraID>4538D911</paraID>
      <start>44</start>
      <end>46</end>
      <status>modified</status>
      <modifiedWord>承诺</modifiedWord>
      <trackRevisions>false</trackRevisions>
    </reviewItem>
    <reviewItem>
      <errorID>fde3a5b5-c65a-4baf-b083-3f26dcf07792</errorID>
      <errorWord>包 括</errorWord>
      <group>L1_Word</group>
      <groupName>字词问题</groupName>
      <ability>L2_Typo</ability>
      <abilityName>字词错误</abilityName>
      <candidateList>
        <item>包括</item>
      </candidateList>
      <explain/>
      <paraID>4538D911</paraID>
      <start>84</start>
      <end>86</end>
      <status>modified</status>
      <modifiedWord>包括</modifiedWord>
      <trackRevisions>false</trackRevisions>
    </reviewItem>
    <reviewItem>
      <errorID>ba307740-a4e4-42c3-b5e4-8bd155cde18b</errorID>
      <errorWord>企 业</errorWord>
      <group>L1_Word</group>
      <groupName>字词问题</groupName>
      <ability>L2_Typo</ability>
      <abilityName>字词错误</abilityName>
      <candidateList>
        <item>企业</item>
      </candidateList>
      <explain/>
      <paraID>31ED7A22</paraID>
      <start>44</start>
      <end>46</end>
      <status>modified</status>
      <modifiedWord>企业</modifiedWord>
      <trackRevisions>false</trackRevisions>
    </reviewItem>
    <reviewItem>
      <errorID>d4cc908e-6984-437f-8caa-639e5d53c30b</errorID>
      <errorWord> </errorWord>
      <group>L1_Punc</group>
      <groupName>标点问题</groupName>
      <ability>L2_Punc_CN</ability>
      <abilityName>标点符号问题</abilityName>
      <candidateList>
        <item/>
      </candidateList>
      <explain>此处空格冗余，建议删除。</explain>
      <paraID> 7587A29</paraID>
      <start>46</start>
      <end>46</end>
      <status>modified</status>
      <modifiedWord/>
      <trackRevisions>false</trackRevisions>
    </reviewItem>
    <reviewItem>
      <errorID>470cdc83-302e-4a91-83dc-985befb1d967</errorID>
      <errorWord> </errorWord>
      <group>L1_Punc</group>
      <groupName>标点问题</groupName>
      <ability>L2_Punc_CN</ability>
      <abilityName>标点符号问题</abilityName>
      <candidateList>
        <item/>
      </candidateList>
      <explain>此处空格冗余，建议删除。</explain>
      <paraID> 7587A29</paraID>
      <start>91</start>
      <end>91</end>
      <status>modified</status>
      <modifiedWord/>
      <trackRevisions>false</trackRevisions>
    </reviewItem>
    <reviewItem>
      <errorID>4d3c1ac2-84e2-45ba-b329-17c5ad3b183f</errorID>
      <errorWord>，</errorWord>
      <group>L1_Word</group>
      <groupName>字词问题</groupName>
      <ability>L2_Typo</ability>
      <abilityName>字词错误</abilityName>
      <candidateList>
        <item>，从</item>
      </candidateList>
      <explain/>
      <paraID>5989A235</paraID>
      <start>26</start>
      <end>27</end>
      <status>ignored</status>
      <modifiedWord/>
      <trackRevisions>false</trackRevisions>
    </reviewItem>
    <reviewItem>
      <errorID>8659ef88-0e98-474f-8c4a-23097a3ef72c</errorID>
      <errorWord>晰</errorWord>
      <group>L1_Word</group>
      <groupName>字词问题</groupName>
      <ability>L2_Typo</ability>
      <abilityName>字词错误</abilityName>
      <candidateList>
        <item>晰地</item>
      </candidateList>
      <explain/>
      <paraID>171AEC92</paraID>
      <start>38</start>
      <end>39</end>
      <status>ignored</status>
      <modifiedWord/>
      <trackRevisions>false</trackRevisions>
    </reviewItem>
    <reviewItem>
      <errorID>3eb3cd94-8fec-449a-a48f-653283044c18</errorID>
      <errorWord>；</errorWord>
      <group>L1_Punc</group>
      <groupName>标点问题</groupName>
      <ability>L2_Punc_CN</ability>
      <abilityName>标点符号问题</abilityName>
      <candidateList>
        <item>。</item>
      </candidateList>
      <explain/>
      <paraID>53D70FA3</paraID>
      <start>27</start>
      <end>28</end>
      <status>ignored</status>
      <modifiedWord/>
      <trackRevisions>false</trackRevisions>
    </reviewItem>
    <reviewItem>
      <errorID>edc702ce-110f-469e-94e4-7ffac133c017</errorID>
      <errorWord>按 照</errorWord>
      <group>L1_Word</group>
      <groupName>字词问题</groupName>
      <ability>L2_Typo</ability>
      <abilityName>字词错误</abilityName>
      <candidateList>
        <item>按照</item>
      </candidateList>
      <explain/>
      <paraID>2D19CE34</paraID>
      <start>42</start>
      <end>44</end>
      <status>modified</status>
      <modifiedWord>按照</modifiedWord>
      <trackRevisions>false</trackRevisions>
    </reviewItem>
    <reviewItem>
      <errorID>53053f41-a1c4-4db3-b9eb-fe4d2444de6b</errorID>
      <errorWord>因此而</errorWord>
      <group>L1_Word</group>
      <groupName>字词问题</groupName>
      <ability>L2_Typo</ability>
      <abilityName>字词错误</abilityName>
      <candidateList>
        <item>因此</item>
      </candidateList>
      <explain/>
      <paraID>2D19CE34</paraID>
      <start>65</start>
      <end>67</end>
      <status>modified</status>
      <modifiedWord>因此</modifiedWord>
      <trackRevisions>false</trackRevisions>
    </reviewItem>
    <reviewItem>
      <errorID>a354e0bf-5d69-4a60-a898-6a94085ec54f</errorID>
      <errorWord> </errorWord>
      <group>L1_Punc</group>
      <groupName>标点问题</groupName>
      <ability>L2_Punc_CN</ability>
      <abilityName>标点符号问题</abilityName>
      <candidateList>
        <item/>
      </candidateList>
      <explain>此处空格冗余，建议删除。</explain>
      <paraID>113952FD</paraID>
      <start>45</start>
      <end>45</end>
      <status>modified</status>
      <modifiedWord/>
      <trackRevisions>false</trackRevisions>
    </reviewItem>
    <reviewItem>
      <errorID>4a164189-7e25-4ae8-b431-2deafab90ed9</errorID>
      <errorWord>的ESG</errorWord>
      <group>L1_Grammar</group>
      <groupName>语法问题</groupName>
      <ability>L2_Grammar</ability>
      <abilityName>语法错误</abilityName>
      <candidateList>
        <item>的</item>
      </candidateList>
      <explain/>
      <paraID>3A978020</paraID>
      <start>42</start>
      <end>46</end>
      <status>ignored</status>
      <modifiedWord/>
      <trackRevisions>false</trackRevisions>
    </reviewItem>
    <reviewItem>
      <errorID>d7c750bd-7a12-46c1-89a6-9a17e4f9f037</errorID>
      <errorWord>议</errorWord>
      <group>L1_Grammar</group>
      <groupName>语法问题</groupName>
      <ability>L2_Grammar</ability>
      <abilityName>语法错误</abilityName>
      <candidateList>
        <item>ESG</item>
      </candidateList>
      <explain/>
      <paraID>3A978020</paraID>
      <start>46</start>
      <end>47</end>
      <status>ignored</status>
      <modifiedWord/>
      <trackRevisions>false</trackRevisions>
    </reviewItem>
    <reviewItem>
      <errorID>2b279711-62ff-42c1-a610-dd4264d1d5af</errorID>
      <errorWord>题</errorWord>
      <group>L1_Word</group>
      <groupName>字词问题</groupName>
      <ability>L2_Typo</ability>
      <abilityName>字词错误</abilityName>
      <candidateList>
        <item>议题</item>
      </candidateList>
      <explain/>
      <paraID>3A978020</paraID>
      <start>48</start>
      <end>49</end>
      <status>ignored</status>
      <modifiedWord/>
      <trackRevisions>false</trackRevisions>
    </reviewItem>
    <reviewItem>
      <errorID>8bab9a00-4acd-4129-bff6-27ebce9271be</errorID>
      <errorWord>法律、法规</errorWord>
      <group>L1_Word</group>
      <groupName>字词问题</groupName>
      <ability>L2_Typo</ability>
      <abilityName>字词错误</abilityName>
      <candidateList>
        <item>法律法规</item>
      </candidateList>
      <explain/>
      <paraID>3A978020</paraID>
      <start>82</start>
      <end>87</end>
      <status>ignored</status>
      <modifiedWord/>
      <trackRevisions>false</trackRevisions>
    </reviewItem>
    <reviewItem>
      <errorID>0ebb0881-6dec-481f-8c21-9d1dcc12d18e</errorID>
      <errorWord>担责</errorWord>
      <group>L1_Word</group>
      <groupName>字词问题</groupName>
      <ability>L2_Typo</ability>
      <abilityName>字词错误</abilityName>
      <candidateList>
        <item>职责</item>
      </candidateList>
      <explain/>
      <paraID>3A978020</paraID>
      <start>176</start>
      <end>178</end>
      <status>ignored</status>
      <modifiedWord/>
      <trackRevisions>false</trackRevisions>
    </reviewItem>
    <reviewItem>
      <errorID>8d9f739b-16f6-44cf-b2f8-1f3912e2c224</errorID>
      <errorWord>经由</errorWord>
      <group>L1_Word</group>
      <groupName>字词问题</groupName>
      <ability>L2_Typo</ability>
      <abilityName>字词错误</abilityName>
      <candidateList>
        <item>经</item>
      </candidateList>
      <explain/>
      <paraID> AE6DC16</paraID>
      <start>31</start>
      <end>33</end>
      <status>ignored</status>
      <modifiedWord/>
      <trackRevisions>false</trackRevisions>
    </reviewItem>
    <reviewItem>
      <errorID>7eea883c-b218-40a2-a74b-56243bcfd80c</errorID>
      <errorWord>批 准确定为</errorWord>
      <group>L1_Word</group>
      <groupName>字词问题</groupName>
      <ability>L2_Typo</ability>
      <abilityName>字词错误</abilityName>
      <candidateList>
        <item>批准确定为</item>
      </candidateList>
      <explain/>
      <paraID> AE6DC16</paraID>
      <start>42</start>
      <end>47</end>
      <status>modified</status>
      <modifiedWord>批准确定为</modifiedWord>
      <trackRevisions>false</trackRevisions>
    </reviewItem>
    <reviewItem>
      <errorID>faa6bec8-a5d7-40cc-8d06-e076a0f71447</errorID>
      <errorWord>具有</errorWord>
      <group>L1_Word</group>
      <groupName>字词问题</groupName>
      <ability>L2_Typo</ability>
      <abilityName>字词错误</abilityName>
      <candidateList>
        <item>存在</item>
      </candidateList>
      <explain/>
      <paraID>25C6E195</paraID>
      <start>17</start>
      <end>19</end>
      <status>ignored</status>
      <modifiedWord/>
      <trackRevisions>false</trackRevisions>
    </reviewItem>
    <reviewItem>
      <errorID>44f18d49-394f-4ca1-8477-dd3f653ad185</errorID>
      <errorWord>和</errorWord>
      <group>L1_Word</group>
      <groupName>字词问题</groupName>
      <ability>L2_Typo</ability>
      <abilityName>字词错误</abilityName>
      <candidateList>
        <item>且</item>
      </candidateList>
      <explain/>
      <paraID>25C6E195</paraID>
      <start>27</start>
      <end>28</end>
      <status>ignored</status>
      <modifiedWord/>
      <trackRevisions>false</trackRevisions>
    </reviewItem>
    <reviewItem>
      <errorID>e6bbb16a-d2e7-4b4a-8b7e-3cc2c5ea200e</errorID>
      <errorWord>导致</errorWord>
      <group>L1_Punc</group>
      <groupName>标点问题</groupName>
      <ability>L2_Punc_CN</ability>
      <abilityName>标点符号问题</abilityName>
      <candidateList>
        <item>，导致</item>
      </candidateList>
      <explain/>
      <paraID>25C6E195</paraID>
      <start>32</start>
      <end>35</end>
      <status>modified</status>
      <modifiedWord>，导致</modifiedWord>
      <trackRevisions>false</trackRevisions>
    </reviewItem>
    <reviewItem>
      <errorID>d7031376-6603-42b9-a470-20be0ed1df13</errorID>
      <errorWord> </errorWord>
      <group>L1_Punc</group>
      <groupName>标点问题</groupName>
      <ability>L2_Punc_CN</ability>
      <abilityName>标点符号问题</abilityName>
      <candidateList>
        <item/>
      </candidateList>
      <explain>此处空格冗余，建议删除。</explain>
      <paraID>25C6E195</paraID>
      <start>45</start>
      <end>45</end>
      <status>modified</status>
      <modifiedWord/>
      <trackRevisions>false</trackRevisions>
    </reviewItem>
    <reviewItem>
      <errorID>07c0f9ff-8d81-4030-9879-8e4d92d7961d</errorID>
      <errorWord>对</errorWord>
      <group>L1_Grammar</group>
      <groupName>语法问题</groupName>
      <ability>L2_Grammar</ability>
      <abilityName>语法错误</abilityName>
      <candidateList>
        <item>通过对</item>
      </candidateList>
      <explain/>
      <paraID>79981CF8</paraID>
      <start>0</start>
      <end>1</end>
      <status>ignored</status>
      <modifiedWord/>
      <trackRevisions>false</trackRevisions>
    </reviewItem>
    <reviewItem>
      <errorID>60272f55-f573-4bbd-a125-445c0ca7daef</errorID>
      <errorWord>通过</errorWord>
      <group>L1_Word</group>
      <groupName>字词问题</groupName>
      <ability>L2_Typo</ability>
      <abilityName>字词错误</abilityName>
      <candidateList>
        <item>绘制</item>
      </candidateList>
      <explain/>
      <paraID>79981CF8</paraID>
      <start>7</start>
      <end>9</end>
      <status>ignored</status>
      <modifiedWord/>
      <trackRevisions>false</trackRevisions>
    </reviewItem>
    <reviewItem>
      <errorID>d7035c78-521d-451d-ba27-712072b9389a</errorID>
      <errorWord>的绘制结果</errorWord>
      <group>L1_Grammar</group>
      <groupName>语法问题</groupName>
      <ability>L2_Grammar</ability>
      <abilityName>语法错误</abilityName>
      <candidateList>
        <item>，</item>
      </candidateList>
      <explain/>
      <paraID>79981CF8</paraID>
      <start>14</start>
      <end>15</end>
      <status>modified</status>
      <modifiedWord>，</modifiedWord>
      <trackRevisions>false</trackRevisions>
    </reviewItem>
    <reviewItem>
      <errorID>ced3be92-35f8-4075-b705-d28e978c3f50</errorID>
      <errorWord>变更</errorWord>
      <group>L1_Grammar</group>
      <groupName>语法问题</groupName>
      <ability>L2_Grammar</ability>
      <abilityName>语法错误</abilityName>
      <candidateList>
        <item>发生变更</item>
      </candidateList>
      <explain/>
      <paraID> E3D4C9A</paraID>
      <start>64</start>
      <end>66</end>
      <status>ignored</status>
      <modifiedWord/>
      <trackRevisions>false</trackRevisions>
    </reviewItem>
    <reviewItem>
      <errorID>ae9439bd-46fd-4e7f-bb89-33e5efcaad53</errorID>
      <errorWord>促进</errorWord>
      <group>L1_Punc</group>
      <groupName>标点问题</groupName>
      <ability>L2_Punc_CN</ability>
      <abilityName>标点符号问题</abilityName>
      <candidateList>
        <item>，促进</item>
      </candidateList>
      <explain/>
      <paraID> E3D4C9A</paraID>
      <start>67</start>
      <end>70</end>
      <status>modified</status>
      <modifiedWord>，促进</modifiedWord>
      <trackRevisions>false</trackRevisions>
    </reviewItem>
    <reviewItem>
      <errorID>fdf2b992-36b4-4166-b269-80e6d48c7413</errorID>
      <errorWord>机 遇</errorWord>
      <group>L1_Word</group>
      <groupName>字词问题</groupName>
      <ability>L2_Typo</ability>
      <abilityName>字词错误</abilityName>
      <candidateList>
        <item>机遇</item>
      </candidateList>
      <explain/>
      <paraID> E3D4C9A</paraID>
      <start>99</start>
      <end>101</end>
      <status>modified</status>
      <modifiedWord>机遇</modifiedWord>
      <trackRevisions>false</trackRevisions>
    </reviewItem>
    <reviewItem>
      <errorID>91f70495-4b2c-41bc-a291-dbeda735fb7e</errorID>
      <errorWord>法律、法规</errorWord>
      <group>L1_Word</group>
      <groupName>字词问题</groupName>
      <ability>L2_Typo</ability>
      <abilityName>字词错误</abilityName>
      <candidateList>
        <item>法律法规</item>
      </candidateList>
      <explain/>
      <paraID>5CC82F15</paraID>
      <start>0</start>
      <end>5</end>
      <status>ignored</status>
      <modifiedWord/>
      <trackRevisions>false</trackRevisions>
    </reviewItem>
    <reviewItem>
      <errorID>e205e255-b479-4ff8-b67e-56ac8bf0691c</errorID>
      <errorWord>和</errorWord>
      <group>L1_Word</group>
      <groupName>字词问题</groupName>
      <ability>L2_Typo</ability>
      <abilityName>字词错误</abilityName>
      <candidateList>
        <item>、</item>
      </candidateList>
      <explain/>
      <paraID>2E6825C8</paraID>
      <start>11</start>
      <end>12</end>
      <status>ignored</status>
      <modifiedWord/>
      <trackRevisions>false</trackRevisions>
    </reviewItem>
    <reviewItem>
      <errorID>b2511c24-27e0-448d-82c0-a5c7b2ebfb35</errorID>
      <errorWord>，</errorWord>
      <group>L1_Punc</group>
      <groupName>标点问题</groupName>
      <ability>L2_Punc_CN</ability>
      <abilityName>标点符号问题</abilityName>
      <candidateList>
        <item>。</item>
      </candidateList>
      <explain/>
      <paraID>2E6825C8</paraID>
      <start>47</start>
      <end>48</end>
      <status>ignored</status>
      <modifiedWord/>
      <trackRevisions>false</trackRevisions>
    </reviewItem>
    <reviewItem>
      <errorID>cd594f13-cf1c-4cb3-b76c-5851d96216b5</errorID>
      <errorWord>引 入</errorWord>
      <group>L1_Word</group>
      <groupName>字词问题</groupName>
      <ability>L2_Typo</ability>
      <abilityName>字词错误</abilityName>
      <candidateList>
        <item>引入</item>
      </candidateList>
      <explain/>
      <paraID>364E5F03</paraID>
      <start>140</start>
      <end>142</end>
      <status>modified</status>
      <modifiedWord>引入</modifiedWord>
      <trackRevisions>false</trackRevisions>
    </reviewItem>
    <reviewItem>
      <errorID>7c6a72a9-181d-4ecf-894f-f88441d8b3f0</errorID>
      <errorWord>而</errorWord>
      <group>L1_Word</group>
      <groupName>字词问题</groupName>
      <ability>L2_Typo</ability>
      <abilityName>字词错误</abilityName>
      <candidateList>
        <item>，</item>
      </candidateList>
      <explain/>
      <paraID>364E5F03</paraID>
      <start>146</start>
      <end>147</end>
      <status>ignored</status>
      <modifiedWord/>
      <trackRevisions>false</trackRevisions>
    </reviewItem>
    <reviewItem>
      <errorID>b13c8435-709c-4d04-a50e-b5a9a0c647cc</errorID>
      <errorWord> 到和</errorWord>
      <group>L1_Grammar</group>
      <groupName>语法问题</groupName>
      <ability>L2_Grammar</ability>
      <abilityName>语法错误</abilityName>
      <candidateList>
        <item>并</item>
      </candidateList>
      <explain/>
      <paraID>21882436</paraID>
      <start>42</start>
      <end>43</end>
      <status>modified</status>
      <modifiedWord>并</modifiedWord>
      <trackRevisions>false</trackRevisions>
    </reviewItem>
    <reviewItem>
      <errorID>4e275d2e-d4ac-4569-9cce-6cb3bde97718</errorID>
      <errorWord>或是</errorWord>
      <group>L1_Word</group>
      <groupName>字词问题</groupName>
      <ability>L2_Typo</ability>
      <abilityName>字词错误</abilityName>
      <candidateList>
        <item>或</item>
      </candidateList>
      <explain/>
      <paraID>395562A9</paraID>
      <start>76</start>
      <end>78</end>
      <status>ignored</status>
      <modifiedWord/>
      <trackRevisions>false</trackRevisions>
    </reviewItem>
    <reviewItem>
      <errorID>43e36c2a-94ec-4896-a3ec-aab5e4026d42</errorID>
      <errorWord>最低</errorWord>
      <group>L1_Word</group>
      <groupName>字词问题</groupName>
      <ability>L2_Typo</ability>
      <abilityName>字词错误</abilityName>
      <candidateList>
        <item>最</item>
      </candidateList>
      <explain/>
      <paraID>3D3AEC0F</paraID>
      <start>87</start>
      <end>89</end>
      <status>ignored</status>
      <modifiedWord/>
      <trackRevisions>false</trackRevisions>
    </reviewItem>
    <reviewItem>
      <errorID>755f3aaf-bafa-4a75-88c0-d72a48bbf5b0</errorID>
      <errorWord>程</errorWord>
      <group>L1_Word</group>
      <groupName>字词问题</groupName>
      <ability>L2_Typo</ability>
      <abilityName>字词错误</abilityName>
      <candidateList>
        <item>程中</item>
      </candidateList>
      <explain/>
      <paraID>58AAECF2</paraID>
      <start>30</start>
      <end>31</end>
      <status>ignored</status>
      <modifiedWord/>
      <trackRevisions>false</trackRevisions>
    </reviewItem>
    <reviewItem>
      <errorID>abde9c91-cbff-4fab-a7ab-a4e726305261</errorID>
      <errorWord>受</errorWord>
      <group>L1_Word</group>
      <groupName>字词问题</groupName>
      <ability>L2_Typo</ability>
      <abilityName>字词错误</abilityName>
      <candidateList>
        <item>受到</item>
      </candidateList>
      <explain/>
      <paraID>17280BD0</paraID>
      <start>35</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620A86-5FB5-4508-9317-AAA04E66140A}">
  <ds:schemaRefs/>
</ds:datastoreItem>
</file>

<file path=docProps/app.xml><?xml version="1.0" encoding="utf-8"?>
<Properties xmlns="http://schemas.openxmlformats.org/officeDocument/2006/extended-properties" xmlns:vt="http://schemas.openxmlformats.org/officeDocument/2006/docPropsVTypes">
  <Template>Normal</Template>
  <Pages>48</Pages>
  <Words>12888</Words>
  <Characters>14143</Characters>
  <Lines>264</Lines>
  <Paragraphs>74</Paragraphs>
  <TotalTime>46</TotalTime>
  <ScaleCrop>false</ScaleCrop>
  <LinksUpToDate>false</LinksUpToDate>
  <CharactersWithSpaces>14835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2024-01-05T16:36:00Z</dcterms:created>
  <dc:creator>hx</dc:creator>
  <cp:lastModifiedBy>文琦</cp:lastModifiedBy>
  <dcterms:modified xsi:type="dcterms:W3CDTF">2026-09-10T09:11:58Z</dcterms:modified>
  <dc:title>团体标准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2025-10-15T12:04:12Z</vt:filetime>
  </property>
  <property fmtid="{D5CDD505-2E9C-101B-9397-08002B2CF9AE}" pid="4" name="KSOTemplateDocerSaveRecord">
    <vt:lpwstr>eyJoZGlkIjoiZjM0N2FiNDFiNzA2Y2VkZmJiZDRkMThmZjdjNzVjOTQiLCJ1c2VySWQiOiIzNTcwOTAzNDgifQ==</vt:lpwstr>
  </property>
  <property fmtid="{D5CDD505-2E9C-101B-9397-08002B2CF9AE}" pid="5" name="KSOProductBuildVer">
    <vt:lpwstr>2052-12.1.0.28505</vt:lpwstr>
  </property>
  <property fmtid="{D5CDD505-2E9C-101B-9397-08002B2CF9AE}" pid="6" name="ICV">
    <vt:lpwstr>CA31E7DFEAD346E6AFA51E32F77C472C_12</vt:lpwstr>
  </property>
</Properties>
</file>