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78DBFC">
      <w:pPr>
        <w:widowControl/>
        <w:spacing w:before="180" w:after="180"/>
        <w:rPr>
          <w:rFonts w:hint="eastAsia" w:ascii="宋体" w:hAnsi="宋体" w:eastAsia="宋体" w:cs="宋体"/>
          <w:lang w:val="en-US"/>
        </w:rPr>
      </w:pPr>
      <w:bookmarkStart w:id="0" w:name="中国汽车行业esg信息披露指南"/>
    </w:p>
    <w:p w14:paraId="3C9C22B8">
      <w:pPr>
        <w:widowControl/>
        <w:spacing w:before="180" w:after="180"/>
        <w:rPr>
          <w:rFonts w:hint="eastAsia" w:ascii="宋体" w:hAnsi="宋体" w:eastAsia="宋体" w:cs="宋体"/>
          <w:lang w:val="en-US"/>
        </w:rPr>
      </w:pPr>
    </w:p>
    <w:p w14:paraId="4CECD452">
      <w:pPr>
        <w:widowControl/>
        <w:spacing w:before="180" w:after="180"/>
        <w:rPr>
          <w:rFonts w:hint="eastAsia" w:ascii="宋体" w:hAnsi="宋体" w:eastAsia="宋体" w:cs="宋体"/>
          <w:lang w:val="en-US"/>
        </w:rPr>
      </w:pPr>
    </w:p>
    <w:p w14:paraId="349A21B6">
      <w:pPr>
        <w:widowControl/>
        <w:spacing w:before="180" w:after="180"/>
        <w:ind w:left="0" w:leftChars="0" w:firstLine="0" w:firstLineChars="0"/>
        <w:jc w:val="both"/>
        <w:rPr>
          <w:rFonts w:hint="eastAsia" w:ascii="宋体" w:hAnsi="宋体" w:eastAsia="宋体" w:cs="宋体"/>
          <w:b/>
          <w:bCs/>
          <w:sz w:val="36"/>
          <w:szCs w:val="36"/>
          <w:lang w:val="en-US"/>
        </w:rPr>
      </w:pPr>
      <w:bookmarkStart w:id="4" w:name="_GoBack"/>
      <w:bookmarkEnd w:id="4"/>
      <w:r>
        <w:rPr>
          <w:rFonts w:hint="eastAsia" w:ascii="宋体" w:hAnsi="宋体" w:eastAsia="宋体" w:cs="宋体"/>
          <w:b/>
          <w:bCs/>
          <w:sz w:val="36"/>
          <w:szCs w:val="36"/>
          <w:lang w:val="en-US"/>
        </w:rPr>
        <w:t>《中国汽车行业 ESG 管理体系 要求及使用指南》</w:t>
      </w:r>
      <w:bookmarkEnd w:id="0"/>
    </w:p>
    <w:p w14:paraId="180C0761">
      <w:pPr>
        <w:widowControl/>
        <w:spacing w:before="180" w:after="180"/>
        <w:ind w:firstLine="723"/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/>
        </w:rPr>
      </w:pPr>
      <w:bookmarkStart w:id="1" w:name="征求意见稿编制说明"/>
      <w:r>
        <w:rPr>
          <w:rFonts w:hint="eastAsia" w:ascii="宋体" w:hAnsi="宋体" w:eastAsia="宋体" w:cs="宋体"/>
          <w:b/>
          <w:bCs/>
          <w:sz w:val="36"/>
          <w:szCs w:val="36"/>
          <w:lang w:val="en-US"/>
        </w:rPr>
        <w:t>编制说明</w:t>
      </w:r>
      <w:bookmarkEnd w:id="1"/>
    </w:p>
    <w:p w14:paraId="2083D9ED">
      <w:pPr>
        <w:widowControl/>
        <w:spacing w:before="180" w:after="180"/>
        <w:jc w:val="center"/>
        <w:rPr>
          <w:rFonts w:hint="eastAsia" w:ascii="宋体" w:hAnsi="宋体" w:eastAsia="宋体" w:cs="宋体"/>
          <w:lang w:val="en-US"/>
        </w:rPr>
      </w:pPr>
    </w:p>
    <w:p w14:paraId="7D4C09B9">
      <w:pPr>
        <w:widowControl/>
        <w:spacing w:before="180" w:after="180"/>
        <w:jc w:val="center"/>
        <w:rPr>
          <w:rFonts w:hint="eastAsia" w:ascii="宋体" w:hAnsi="宋体" w:eastAsia="宋体" w:cs="宋体"/>
          <w:lang w:val="en-US"/>
        </w:rPr>
      </w:pPr>
    </w:p>
    <w:p w14:paraId="691DF9FD">
      <w:pPr>
        <w:widowControl/>
        <w:spacing w:before="180" w:after="180"/>
        <w:jc w:val="center"/>
        <w:rPr>
          <w:rFonts w:hint="eastAsia" w:ascii="宋体" w:hAnsi="宋体" w:eastAsia="宋体" w:cs="宋体"/>
          <w:lang w:val="en-US"/>
        </w:rPr>
      </w:pPr>
    </w:p>
    <w:p w14:paraId="3E0C3B72">
      <w:pPr>
        <w:widowControl/>
        <w:spacing w:before="180" w:after="180"/>
        <w:jc w:val="center"/>
        <w:rPr>
          <w:rFonts w:hint="eastAsia" w:ascii="宋体" w:hAnsi="宋体" w:eastAsia="宋体" w:cs="宋体"/>
          <w:lang w:val="en-US"/>
        </w:rPr>
      </w:pPr>
    </w:p>
    <w:p w14:paraId="76516AC3">
      <w:pPr>
        <w:widowControl/>
        <w:spacing w:before="180" w:after="180"/>
        <w:jc w:val="center"/>
        <w:rPr>
          <w:rFonts w:hint="eastAsia" w:ascii="宋体" w:hAnsi="宋体" w:eastAsia="宋体" w:cs="宋体"/>
          <w:lang w:val="en-US"/>
        </w:rPr>
      </w:pPr>
    </w:p>
    <w:p w14:paraId="2C79BFB0">
      <w:pPr>
        <w:widowControl/>
        <w:spacing w:before="180" w:after="180"/>
        <w:jc w:val="center"/>
        <w:rPr>
          <w:rFonts w:hint="eastAsia" w:ascii="宋体" w:hAnsi="宋体" w:eastAsia="宋体" w:cs="宋体"/>
          <w:lang w:val="en-US"/>
        </w:rPr>
      </w:pPr>
    </w:p>
    <w:p w14:paraId="55BB9EB9">
      <w:pPr>
        <w:widowControl/>
        <w:spacing w:before="180" w:after="180"/>
        <w:ind w:firstLine="643"/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/>
        </w:rPr>
      </w:pPr>
      <w:bookmarkStart w:id="2" w:name="标准工作组"/>
    </w:p>
    <w:p w14:paraId="19C50C9B">
      <w:pPr>
        <w:widowControl/>
        <w:spacing w:before="180" w:after="180"/>
        <w:ind w:firstLine="643"/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/>
        </w:rPr>
      </w:pPr>
    </w:p>
    <w:p w14:paraId="37815147">
      <w:pPr>
        <w:widowControl/>
        <w:spacing w:before="180" w:after="180"/>
        <w:ind w:firstLine="643"/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/>
        </w:rPr>
      </w:pPr>
    </w:p>
    <w:p w14:paraId="7717E8C1">
      <w:pPr>
        <w:widowControl/>
        <w:spacing w:before="180" w:after="180"/>
        <w:ind w:firstLine="643"/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/>
        </w:rPr>
      </w:pPr>
    </w:p>
    <w:p w14:paraId="6B493DC1">
      <w:pPr>
        <w:widowControl/>
        <w:spacing w:before="180" w:after="180"/>
        <w:ind w:firstLine="643"/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/>
        </w:rPr>
        <w:t>标准工作组</w:t>
      </w:r>
      <w:bookmarkEnd w:id="2"/>
    </w:p>
    <w:p w14:paraId="73D308E0">
      <w:pPr>
        <w:widowControl/>
        <w:spacing w:before="180" w:after="180"/>
        <w:ind w:firstLine="643"/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/>
        </w:rPr>
      </w:pPr>
      <w:bookmarkStart w:id="3" w:name="年9月"/>
      <w:r>
        <w:rPr>
          <w:rFonts w:hint="eastAsia" w:ascii="宋体" w:hAnsi="宋体" w:eastAsia="宋体" w:cs="宋体"/>
          <w:b/>
          <w:bCs/>
          <w:sz w:val="32"/>
          <w:szCs w:val="32"/>
          <w:lang w:val="en-US"/>
        </w:rPr>
        <w:t>2026年9月</w:t>
      </w:r>
      <w:bookmarkEnd w:id="3"/>
    </w:p>
    <w:p w14:paraId="02086BA5">
      <w:pPr>
        <w:pStyle w:val="2"/>
        <w:widowControl/>
        <w:adjustRightInd/>
        <w:spacing w:before="480" w:line="240" w:lineRule="auto"/>
        <w:rPr>
          <w:rFonts w:hint="eastAsia" w:cs="宋体"/>
          <w:kern w:val="0"/>
          <w:szCs w:val="22"/>
          <w:lang w:val="en-US"/>
        </w:rPr>
      </w:pPr>
      <w:r>
        <w:rPr>
          <w:rFonts w:hint="eastAsia" w:cs="宋体"/>
          <w:szCs w:val="24"/>
          <w:lang w:val="en-US"/>
        </w:rPr>
        <w:br w:type="page"/>
      </w:r>
      <w:r>
        <w:rPr>
          <w:rFonts w:hint="eastAsia" w:cs="宋体"/>
          <w:bCs/>
          <w:color w:val="000000" w:themeColor="text1"/>
          <w:kern w:val="0"/>
          <w:sz w:val="28"/>
          <w:szCs w:val="32"/>
          <w:lang w:val="en-US" w:eastAsia="en-US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cs="宋体"/>
          <w:bCs/>
          <w:color w:val="000000" w:themeColor="text1"/>
          <w:kern w:val="0"/>
          <w:sz w:val="28"/>
          <w:szCs w:val="32"/>
          <w:lang w:val="en-US"/>
          <w14:textFill>
            <w14:solidFill>
              <w14:schemeClr w14:val="tx1"/>
            </w14:solidFill>
          </w14:textFill>
        </w:rPr>
        <w:t>工作简要过程</w:t>
      </w:r>
    </w:p>
    <w:p w14:paraId="18164C92">
      <w:pPr>
        <w:pStyle w:val="4"/>
        <w:keepNext/>
        <w:keepLines/>
        <w:widowControl/>
        <w:spacing w:before="200" w:line="240" w:lineRule="auto"/>
        <w:ind w:firstLine="0" w:firstLineChars="0"/>
        <w:jc w:val="left"/>
        <w:rPr>
          <w:rFonts w:hint="eastAsia" w:ascii="宋体" w:hAnsi="宋体" w:eastAsia="宋体" w:cs="宋体"/>
          <w:color w:val="000000" w:themeColor="text1"/>
          <w:kern w:val="0"/>
          <w:sz w:val="28"/>
          <w:szCs w:val="32"/>
          <w:lang w:val="en-US" w:eastAsia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32"/>
          <w:lang w:val="en-US" w:eastAsia="en-US"/>
          <w14:textFill>
            <w14:solidFill>
              <w14:schemeClr w14:val="tx1"/>
            </w14:solidFill>
          </w14:textFill>
        </w:rPr>
        <w:t>任务来源</w:t>
      </w:r>
    </w:p>
    <w:p w14:paraId="2A84364A">
      <w:pPr>
        <w:widowControl/>
        <w:spacing w:after="120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Cs w:val="22"/>
          <w:lang w:val="en-US"/>
        </w:rPr>
        <w:t>在全球气候治理格局深刻重塑的背景下，可持续发展已从“可选项”转变为“必答题”。ESG理念作为落实“双碳”目标与生态文明建设的核心抓手，已成为衡量企业长期价值的关键标尺。汽车行业是中国国民经济的重要战略性、支柱性产业，是制造强国建设的重要领域，也是“双碳”和可持续发展等国家重大战略的重要实践者和贡献者。汽车行业关注ESG，将ESG理念融入生产、经营、科研和管理的各个环节，对于营造全行业良好的ESG文化和发展氛围，贡献全球可持续发展有着重要作用。</w:t>
      </w:r>
    </w:p>
    <w:p w14:paraId="2D2376AC">
      <w:pPr>
        <w:widowControl/>
        <w:spacing w:after="120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Cs w:val="22"/>
          <w:lang w:val="en-US"/>
        </w:rPr>
        <w:t>2023年，中国汽车工业协会发布《中国汽车行业ESG管理体系 要求及使用指南》（T/CAAMTB 173—2023），依据ISO管理体系高阶结构与PDCA循环，系统提出了汽车行业企业建立、实施、保持和改进ESG管理体系的要求及使用指南。该标准与同期发布的T/CAAMTB 171—2023《中国汽车行业ESG信息披露指南》、T/CAAMTB 172—2023《中国汽车行业ESG评价指南》共同构成支撑中国汽车行业ESG管理和实践的基础性系列团体标准，在引导行业规范开展ESG管理、提升可持续发展能力方面发挥了积极作用，得到行业企业的广泛采用。</w:t>
      </w:r>
    </w:p>
    <w:p w14:paraId="448C6A64">
      <w:pPr>
        <w:widowControl/>
        <w:spacing w:after="120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Cs w:val="22"/>
          <w:lang w:val="en-US"/>
        </w:rPr>
        <w:t>标准发布实施以来，国内外ESG相关法规、政策与标准快速发展，对企业ESG管理与信息披露提出了更高、更具体的要求，原标准有必要与时俱进，衔接最新要求：</w:t>
      </w:r>
    </w:p>
    <w:p w14:paraId="59DA6A39">
      <w:pPr>
        <w:widowControl/>
        <w:spacing w:after="120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Cs w:val="22"/>
          <w:lang w:val="en-US"/>
        </w:rPr>
        <w:t>（1）国际层面：国际可持续准则理事会（ISSB）于2023年发布、2024年1月1日起实施的《国际财务报告可持续披露准则第1号——可持续相关财务信息披露一般要求》（IFRS S1）和《国际财务报告可持续披露准则第2号——气候相关披露》（IFRS S2），确立了可持续披露全球基准，引入“双重重要性”理念与“治理—战略—影响、风险和机遇管理—指标与目标”四要素框架；欧盟《企业可持续发展报告指令》（CSRD）及《欧洲可持续发展报告准则》（ESRS）自2024年起陆续适用。</w:t>
      </w:r>
    </w:p>
    <w:p w14:paraId="2B29FC21">
      <w:pPr>
        <w:widowControl/>
        <w:spacing w:after="120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Cs w:val="22"/>
          <w:lang w:val="en-US"/>
        </w:rPr>
        <w:t>（2）国内法规政策层面：2023年12月修订、2024年7月1日起施行的《中华人民共和国公司法》第二十条，首次在基本法层面明确公司从事经营活动应当充分考虑职工、消费者等利益相关方的利益及生态环境等社会公共利益、承担社会责任，并鼓励发布社会责任报告；财政部会同九部门于2024年11月印发《企业可持续披露准则——基本准则（试行）》（财会〔2024〕17号），以ISSB准则为基础构建国家统一的可持续披露准则体系；上海、深圳、北京证券交易所于2024年4月发布、2024年5月1日起实施的《上市公司可持续发展报告指引》（上交所自律监管指引第14号、深交所第17号、北交所持续监管指引第11号），对上市公司可持续信息披露作出规范，设置21项议题并对具有财务重要性的议题采用四要素披露框架。此外，“双碳”目标、新能源汽车动力电池回收利用、供应链尽责管理等要求不断深化。</w:t>
      </w:r>
    </w:p>
    <w:p w14:paraId="04BA354A">
      <w:pPr>
        <w:widowControl/>
        <w:spacing w:after="120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Cs w:val="22"/>
          <w:lang w:val="en-US"/>
        </w:rPr>
        <w:t>（3）行业需求层面：汽车企业在标准实施过程中普遍反映，需要在保持框架稳定的基础上，进一步衔接国内外最新披露准则与双重重要性方法，强化ESG治理与供应链管理，明确可持续披露与ESG数据管理要求，以提升标准的适用性、前瞻性与国际可比性。</w:t>
      </w:r>
    </w:p>
    <w:p w14:paraId="769B0D4E">
      <w:pPr>
        <w:widowControl/>
        <w:spacing w:after="120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Cs w:val="22"/>
          <w:lang w:val="en-US"/>
        </w:rPr>
        <w:t>为此，2026年，中国汽车工业协会在T/CAAMTB 173—2023基础上启动本次修订，坚持“总体框架稳定衔接、重点要求补强完善”的思路，重点引入双重重要性方法、强化ESG治理与可持续披露、完善供应链碳管理与数字化支撑。经过行业研究、文稿编制、行业研讨，目前已形成《管理体系（征求意见稿）》，现面向社会公布并征求意见。</w:t>
      </w:r>
    </w:p>
    <w:p w14:paraId="355A56BB">
      <w:pPr>
        <w:pStyle w:val="4"/>
        <w:keepNext/>
        <w:keepLines/>
        <w:widowControl/>
        <w:spacing w:before="200" w:line="240" w:lineRule="auto"/>
        <w:ind w:firstLine="0" w:firstLineChars="0"/>
        <w:jc w:val="left"/>
        <w:rPr>
          <w:rFonts w:hint="eastAsia" w:ascii="宋体" w:hAnsi="宋体" w:eastAsia="宋体" w:cs="宋体"/>
          <w:color w:val="000000" w:themeColor="text1"/>
          <w:kern w:val="0"/>
          <w:sz w:val="28"/>
          <w:szCs w:val="32"/>
          <w:lang w:val="en-US" w:eastAsia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32"/>
          <w:lang w:val="en-US" w:eastAsia="en-US"/>
          <w14:textFill>
            <w14:solidFill>
              <w14:schemeClr w14:val="tx1"/>
            </w14:solidFill>
          </w14:textFill>
        </w:rPr>
        <w:t>主要起草单位</w:t>
      </w:r>
    </w:p>
    <w:p w14:paraId="65BE2543">
      <w:pPr>
        <w:widowControl/>
        <w:spacing w:after="120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Cs w:val="22"/>
          <w:lang w:val="en-US"/>
        </w:rPr>
        <w:t>在本标准修订研究制定过程中，标准起草工作组在2023版基础上延续并扩大行业协同，与行业专家、企业代表进行了多次研讨，取得了大量建设性意见和建议，确保了修订质量。主要起草单位名单如下：</w:t>
      </w:r>
    </w:p>
    <w:p w14:paraId="1051EFF2">
      <w:pPr>
        <w:widowControl/>
        <w:spacing w:after="120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Cs w:val="22"/>
          <w:lang w:val="en-US"/>
        </w:rPr>
        <w:t>中国汽车工业协会、浙江吉利控股集团有限公司、广州汽车集团股份有限公司、中国汽车工程研究院股份有限公司、责扬天下（北京）管理顾问有限公司、中国第一汽车集团有限公司、重庆长安汽车股份有限公司、上海汽车集团股份有限公司、北京汽车集团有限公司、奇瑞控股集团有限公司、理想汽车、上海蔚来汽车有限公司、厦门金龙汽车集团股份有限公司、广汽本田汽车有限公司、沃尔沃汽车（亚太）投资控股有限公司、宁德时代新能源科技有限公司、米其林（中国） 投资有限公司、贝卡尔特（中国）技术研发有限公司、上海国际汽车城（集团）有限公司、中国汽车技术研究中心有限公司、中国乡村发展基金会、中国标准化研究院、中国信息通信研究院、北京车之家信息技术有限公司、三花控股集团有限公司。</w:t>
      </w:r>
    </w:p>
    <w:p w14:paraId="3C507867">
      <w:pPr>
        <w:pStyle w:val="4"/>
        <w:keepNext/>
        <w:keepLines/>
        <w:widowControl/>
        <w:spacing w:before="200" w:line="240" w:lineRule="auto"/>
        <w:ind w:firstLine="0" w:firstLineChars="0"/>
        <w:jc w:val="left"/>
        <w:rPr>
          <w:rFonts w:hint="eastAsia" w:ascii="宋体" w:hAnsi="宋体" w:eastAsia="宋体" w:cs="宋体"/>
          <w:color w:val="000000" w:themeColor="text1"/>
          <w:kern w:val="0"/>
          <w:sz w:val="28"/>
          <w:szCs w:val="32"/>
          <w:lang w:val="en-US" w:eastAsia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32"/>
          <w:lang w:val="en-US" w:eastAsia="en-US"/>
          <w14:textFill>
            <w14:solidFill>
              <w14:schemeClr w14:val="tx1"/>
            </w14:solidFill>
          </w14:textFill>
        </w:rPr>
        <w:t>主要起草人</w:t>
      </w:r>
    </w:p>
    <w:p w14:paraId="7627D4BE">
      <w:pPr>
        <w:widowControl/>
        <w:spacing w:after="120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Cs w:val="22"/>
          <w:lang w:val="en-US"/>
        </w:rPr>
        <w:t>本文件主要起草人：李邵华、伊鸣、尚蛟、黄兴、林波、代奕波、管竹笋、尹捷、张小燕、岳海燕、陈晓宁、姜南、赵贵平、李妍如、刘先、桂飞、王浩然、谢萌、曹政、吕家正、马文雄、杨松玲、郭跃宁、潘学兴、郭佳栋、仲崇毅、吴俊贤、冯会健、丁亚冬、黎钊、李芳、林翎、丁晴、常琳、张炜明、刘鑫、金辉、侯楚卿、陈颖、文琦、贺倩、张蕊、黄石旦、戚伊琳。</w:t>
      </w:r>
    </w:p>
    <w:p w14:paraId="7119683E">
      <w:pPr>
        <w:pStyle w:val="4"/>
        <w:keepNext/>
        <w:keepLines/>
        <w:widowControl/>
        <w:spacing w:before="200" w:line="240" w:lineRule="auto"/>
        <w:ind w:firstLine="0" w:firstLineChars="0"/>
        <w:jc w:val="left"/>
        <w:rPr>
          <w:rFonts w:hint="eastAsia" w:ascii="宋体" w:hAnsi="宋体" w:eastAsia="宋体" w:cs="宋体"/>
          <w:color w:val="000000" w:themeColor="text1"/>
          <w:kern w:val="0"/>
          <w:sz w:val="28"/>
          <w:szCs w:val="32"/>
          <w:lang w:val="en-US" w:eastAsia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32"/>
          <w:lang w:val="en-US" w:eastAsia="en-US"/>
          <w14:textFill>
            <w14:solidFill>
              <w14:schemeClr w14:val="tx1"/>
            </w14:solidFill>
          </w14:textFill>
        </w:rPr>
        <w:t>修订过程</w:t>
      </w:r>
    </w:p>
    <w:p w14:paraId="1CC796E0">
      <w:pPr>
        <w:widowControl/>
        <w:spacing w:after="120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Cs w:val="22"/>
          <w:lang w:val="en-US"/>
        </w:rPr>
        <w:t>2026年 4月 29日，召开《</w:t>
      </w:r>
      <w:r>
        <w:rPr>
          <w:rFonts w:ascii="宋体" w:hAnsi="宋体" w:eastAsia="宋体" w:cs="宋体"/>
          <w:kern w:val="0"/>
          <w:szCs w:val="22"/>
          <w:lang w:val="en-US"/>
        </w:rPr>
        <w:t>中国汽车行业ESG管理体系 要求及使用指南</w:t>
      </w:r>
      <w:r>
        <w:rPr>
          <w:rFonts w:hint="eastAsia" w:ascii="宋体" w:hAnsi="宋体" w:eastAsia="宋体" w:cs="宋体"/>
          <w:kern w:val="0"/>
          <w:szCs w:val="22"/>
          <w:lang w:val="en-US"/>
        </w:rPr>
        <w:t>》标准修订立项专家评审会。与会专家就标准修订的必要性、指南框架等进行讨论，对技术创新、应对气候变化等议题提出相关建议，经评估同意开展标准修订工作。</w:t>
      </w:r>
    </w:p>
    <w:p w14:paraId="76C11006">
      <w:pPr>
        <w:widowControl/>
        <w:spacing w:after="120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Cs w:val="22"/>
          <w:lang w:val="en-US"/>
        </w:rPr>
        <w:t>2026年7月10日，召开《</w:t>
      </w:r>
      <w:r>
        <w:rPr>
          <w:rFonts w:ascii="宋体" w:hAnsi="宋体" w:eastAsia="宋体" w:cs="宋体"/>
          <w:kern w:val="0"/>
          <w:szCs w:val="22"/>
          <w:lang w:val="en-US"/>
        </w:rPr>
        <w:t>中国汽车行业ESG管理体系 要求及使用指南</w:t>
      </w:r>
      <w:r>
        <w:rPr>
          <w:rFonts w:hint="eastAsia" w:ascii="宋体" w:hAnsi="宋体" w:eastAsia="宋体" w:cs="宋体"/>
          <w:kern w:val="0"/>
          <w:szCs w:val="22"/>
          <w:lang w:val="en-US"/>
        </w:rPr>
        <w:t>》标准修订内部研讨会，结合外部最新可持续发展管理要求、汽车行业企业特点以及标准前期</w:t>
      </w:r>
      <w:r>
        <w:rPr>
          <w:rFonts w:hint="eastAsia" w:ascii="宋体" w:hAnsi="宋体" w:eastAsia="宋体" w:cs="宋体"/>
          <w:kern w:val="0"/>
          <w:szCs w:val="22"/>
          <w:lang w:val="en-US" w:eastAsia="zh-CN"/>
        </w:rPr>
        <w:t>实践</w:t>
      </w:r>
      <w:r>
        <w:rPr>
          <w:rFonts w:hint="eastAsia" w:ascii="宋体" w:hAnsi="宋体" w:eastAsia="宋体" w:cs="宋体"/>
          <w:kern w:val="0"/>
          <w:szCs w:val="22"/>
          <w:lang w:val="en-US"/>
        </w:rPr>
        <w:t>情况，对《</w:t>
      </w:r>
      <w:r>
        <w:rPr>
          <w:rFonts w:ascii="宋体" w:hAnsi="宋体" w:eastAsia="宋体" w:cs="宋体"/>
          <w:kern w:val="0"/>
          <w:szCs w:val="22"/>
          <w:lang w:val="en-US"/>
        </w:rPr>
        <w:t>中国汽车行业ESG管理体系 要求及使用指南</w:t>
      </w:r>
      <w:r>
        <w:rPr>
          <w:rFonts w:hint="eastAsia" w:ascii="宋体" w:hAnsi="宋体" w:eastAsia="宋体" w:cs="宋体"/>
          <w:kern w:val="0"/>
          <w:szCs w:val="22"/>
          <w:lang w:val="en-US"/>
        </w:rPr>
        <w:t>》（讨论稿）进行充分沟通讨论，围绕标准修订方向、具体指标设置以及气候变化、科技创新、数字化管理、ESG治理等进行重点讨论，根据讨论意见对《</w:t>
      </w:r>
      <w:r>
        <w:rPr>
          <w:rFonts w:ascii="宋体" w:hAnsi="宋体" w:eastAsia="宋体" w:cs="宋体"/>
          <w:kern w:val="0"/>
          <w:szCs w:val="22"/>
          <w:lang w:val="en-US"/>
        </w:rPr>
        <w:t>中国汽车行业ESG管理体系 要求及使用指南</w:t>
      </w:r>
      <w:r>
        <w:rPr>
          <w:rFonts w:hint="eastAsia" w:ascii="宋体" w:hAnsi="宋体" w:eastAsia="宋体" w:cs="宋体"/>
          <w:kern w:val="0"/>
          <w:szCs w:val="22"/>
          <w:lang w:val="en-US"/>
        </w:rPr>
        <w:t>》文本进一步修改完善和调整优化。</w:t>
      </w:r>
    </w:p>
    <w:p w14:paraId="21829116">
      <w:pPr>
        <w:widowControl/>
        <w:spacing w:after="120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Cs w:val="22"/>
          <w:lang w:val="en-US"/>
        </w:rPr>
        <w:t>2026年8月6日对标准修订再次召开线上讨论会，结合最新行业发展情况，对部分文本内容进行了调整细化，最终形成征求意见稿。</w:t>
      </w:r>
    </w:p>
    <w:p w14:paraId="30DF5704">
      <w:pPr>
        <w:widowControl/>
        <w:spacing w:after="120"/>
        <w:ind w:firstLineChars="0"/>
        <w:jc w:val="left"/>
        <w:rPr>
          <w:rFonts w:hint="eastAsia" w:ascii="宋体" w:hAnsi="宋体" w:eastAsia="宋体" w:cs="宋体"/>
          <w:kern w:val="0"/>
          <w:szCs w:val="22"/>
          <w:highlight w:val="yellow"/>
          <w:lang w:val="en-US"/>
        </w:rPr>
      </w:pPr>
    </w:p>
    <w:p w14:paraId="69B1DF5B">
      <w:pPr>
        <w:pStyle w:val="2"/>
        <w:widowControl/>
        <w:adjustRightInd/>
        <w:spacing w:before="480" w:line="240" w:lineRule="auto"/>
        <w:rPr>
          <w:rFonts w:hint="eastAsia" w:cs="宋体"/>
          <w:bCs/>
          <w:color w:val="000000" w:themeColor="text1"/>
          <w:kern w:val="0"/>
          <w:sz w:val="28"/>
          <w:szCs w:val="32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cs="宋体"/>
          <w:bCs/>
          <w:color w:val="000000" w:themeColor="text1"/>
          <w:kern w:val="0"/>
          <w:sz w:val="28"/>
          <w:szCs w:val="32"/>
          <w:lang w:val="en-US"/>
          <w14:textFill>
            <w14:solidFill>
              <w14:schemeClr w14:val="tx1"/>
            </w14:solidFill>
          </w14:textFill>
        </w:rPr>
        <w:t>二、ESG管理体系编制原则</w:t>
      </w:r>
    </w:p>
    <w:p w14:paraId="67D2A223">
      <w:pPr>
        <w:widowControl/>
        <w:spacing w:after="120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Cs w:val="22"/>
          <w:lang w:val="en-US"/>
        </w:rPr>
        <w:t>本标准的修订依据以下原则：</w:t>
      </w:r>
    </w:p>
    <w:p w14:paraId="16A31121">
      <w:pPr>
        <w:pStyle w:val="4"/>
        <w:keepNext/>
        <w:keepLines/>
        <w:widowControl/>
        <w:numPr>
          <w:ilvl w:val="0"/>
          <w:numId w:val="2"/>
        </w:numPr>
        <w:spacing w:before="200" w:line="240" w:lineRule="auto"/>
        <w:ind w:firstLine="0" w:firstLineChars="0"/>
        <w:jc w:val="left"/>
        <w:rPr>
          <w:rFonts w:hint="eastAsia" w:ascii="宋体" w:hAnsi="宋体" w:eastAsia="宋体" w:cs="宋体"/>
          <w:color w:val="000000" w:themeColor="text1"/>
          <w:kern w:val="0"/>
          <w:sz w:val="28"/>
          <w:szCs w:val="32"/>
          <w:lang w:val="en-US" w:eastAsia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32"/>
          <w:lang w:val="en-US" w:eastAsia="en-US"/>
          <w14:textFill>
            <w14:solidFill>
              <w14:schemeClr w14:val="tx1"/>
            </w14:solidFill>
          </w14:textFill>
        </w:rPr>
        <w:t>适用性原则</w:t>
      </w:r>
    </w:p>
    <w:p w14:paraId="08D4CE7F">
      <w:pPr>
        <w:widowControl/>
        <w:spacing w:after="120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Cs w:val="22"/>
          <w:lang w:val="en-US"/>
        </w:rPr>
        <w:t>本标准的修订充分考虑与我国现行法律法规和技术标准相符合，重点考虑可操作性，便于标准的实施；在修订过程中保持与T/CAAMTB 173—2023的衔接，避免对企业的不必要干扰，降低体系转换成本。</w:t>
      </w:r>
    </w:p>
    <w:p w14:paraId="670297C1">
      <w:pPr>
        <w:pStyle w:val="4"/>
        <w:keepNext/>
        <w:keepLines/>
        <w:widowControl/>
        <w:numPr>
          <w:ilvl w:val="0"/>
          <w:numId w:val="2"/>
        </w:numPr>
        <w:spacing w:before="200" w:line="240" w:lineRule="auto"/>
        <w:ind w:firstLine="0" w:firstLineChars="0"/>
        <w:jc w:val="left"/>
        <w:rPr>
          <w:rFonts w:hint="eastAsia" w:ascii="宋体" w:hAnsi="宋体" w:eastAsia="宋体" w:cs="宋体"/>
          <w:color w:val="000000" w:themeColor="text1"/>
          <w:kern w:val="0"/>
          <w:sz w:val="28"/>
          <w:szCs w:val="32"/>
          <w:lang w:val="en-US" w:eastAsia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32"/>
          <w:lang w:val="en-US" w:eastAsia="en-US"/>
          <w14:textFill>
            <w14:solidFill>
              <w14:schemeClr w14:val="tx1"/>
            </w14:solidFill>
          </w14:textFill>
        </w:rPr>
        <w:t>规范性原则</w:t>
      </w:r>
    </w:p>
    <w:p w14:paraId="6984BB1A">
      <w:pPr>
        <w:widowControl/>
        <w:spacing w:after="120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Cs w:val="22"/>
          <w:lang w:val="en-US"/>
        </w:rPr>
        <w:t>本标准根据《中华人民共和国标准化法》、GB/T 1.1—2020《标准化工作导则 第1部分：标准化文件的结构和起草规则》、GB/T 20001.11—2022《标准编写规则 第11部分：管理体系标准》进行编制；修订不改变原标准基于ISO管理体系高阶结构与PDCA循环的总体框架。</w:t>
      </w:r>
    </w:p>
    <w:p w14:paraId="240AB52E">
      <w:pPr>
        <w:pStyle w:val="4"/>
        <w:keepNext/>
        <w:keepLines/>
        <w:widowControl/>
        <w:numPr>
          <w:ilvl w:val="0"/>
          <w:numId w:val="2"/>
        </w:numPr>
        <w:spacing w:before="200" w:line="240" w:lineRule="auto"/>
        <w:ind w:firstLine="0" w:firstLineChars="0"/>
        <w:jc w:val="left"/>
        <w:rPr>
          <w:rFonts w:hint="eastAsia" w:ascii="宋体" w:hAnsi="宋体" w:eastAsia="宋体" w:cs="宋体"/>
          <w:color w:val="000000" w:themeColor="text1"/>
          <w:kern w:val="0"/>
          <w:sz w:val="28"/>
          <w:szCs w:val="32"/>
          <w:lang w:val="en-US" w:eastAsia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32"/>
          <w:lang w:val="en-US" w:eastAsia="en-US"/>
          <w14:textFill>
            <w14:solidFill>
              <w14:schemeClr w14:val="tx1"/>
            </w14:solidFill>
          </w14:textFill>
        </w:rPr>
        <w:t>协调性与前瞻性原则</w:t>
      </w:r>
    </w:p>
    <w:p w14:paraId="49D56C4B">
      <w:pPr>
        <w:widowControl/>
        <w:spacing w:after="120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Cs w:val="22"/>
          <w:lang w:val="en-US"/>
        </w:rPr>
        <w:t>本次修订注重与同系列T/XXXXXXX《中国汽车行业ESG信息披露指南》、T/XXXXXXX《中国汽车行业ESG评价指南》的协同，形成“管理体系要求—评价—披露”有机整体；积极借鉴ISSB、GRI、ISO等国际准则的有益经验，同时落实国内法律法规、监管部门披露要求与汽车行业特点，回应双重重要性、可持续披露、供应链碳管理、数字化赋能等发展趋势，使标准既与国际通行做法趋同，又契合中国汽车产业实际，适度前瞻，引导企业提前布局ESG管理能力。</w:t>
      </w:r>
    </w:p>
    <w:p w14:paraId="1BA85722">
      <w:pPr>
        <w:widowControl/>
        <w:spacing w:before="240" w:after="120" w:line="276" w:lineRule="auto"/>
        <w:ind w:firstLine="0"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b/>
          <w:kern w:val="0"/>
          <w:sz w:val="28"/>
          <w:szCs w:val="22"/>
          <w:lang w:val="en-US"/>
        </w:rPr>
        <w:t>三、采用国际标准和国外先进标准情况</w:t>
      </w:r>
    </w:p>
    <w:p w14:paraId="24237DAF">
      <w:pPr>
        <w:widowControl/>
        <w:spacing w:after="120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Cs w:val="22"/>
          <w:lang w:val="en-US"/>
        </w:rPr>
        <w:t>本标准属于团体标准，与现行法律法规、规章和政策以及有关基础和相关标准不矛盾。本文件主要参考及引用的标准文件如下：</w:t>
      </w:r>
    </w:p>
    <w:p w14:paraId="00995D3F">
      <w:pPr>
        <w:pStyle w:val="3"/>
        <w:widowControl/>
        <w:jc w:val="left"/>
        <w:rPr>
          <w:rFonts w:hint="eastAsia" w:ascii="宋体" w:hAnsi="宋体" w:eastAsia="宋体" w:cs="宋体"/>
          <w:kern w:val="0"/>
          <w:lang w:val="en-US" w:eastAsia="en-US"/>
        </w:rPr>
      </w:pPr>
      <w:r>
        <w:rPr>
          <w:rFonts w:hint="eastAsia" w:ascii="宋体" w:hAnsi="宋体" w:eastAsia="宋体" w:cs="宋体"/>
          <w:kern w:val="0"/>
          <w:lang w:val="en-US" w:eastAsia="en-US"/>
        </w:rPr>
        <w:t>规范性引用文件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3"/>
        <w:gridCol w:w="4229"/>
      </w:tblGrid>
      <w:tr w14:paraId="69BB3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2" w:type="dxa"/>
          </w:tcPr>
          <w:p w14:paraId="169AF5FB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kern w:val="0"/>
                <w:szCs w:val="22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2"/>
                <w:lang w:val="en-US" w:eastAsia="en-US"/>
              </w:rPr>
              <w:t>标准号</w:t>
            </w:r>
          </w:p>
        </w:tc>
        <w:tc>
          <w:tcPr>
            <w:tcW w:w="4532" w:type="dxa"/>
          </w:tcPr>
          <w:p w14:paraId="51DB6B96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kern w:val="0"/>
                <w:szCs w:val="22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2"/>
                <w:lang w:val="en-US" w:eastAsia="en-US"/>
              </w:rPr>
              <w:t>名称</w:t>
            </w:r>
          </w:p>
        </w:tc>
      </w:tr>
      <w:tr w14:paraId="0C5EF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2" w:type="dxa"/>
          </w:tcPr>
          <w:p w14:paraId="4D4CC9D8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kern w:val="0"/>
                <w:szCs w:val="22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2"/>
                <w:lang w:val="en-US" w:eastAsia="en-US"/>
              </w:rPr>
              <w:t>GB/T 19000—2016</w:t>
            </w:r>
          </w:p>
        </w:tc>
        <w:tc>
          <w:tcPr>
            <w:tcW w:w="4532" w:type="dxa"/>
          </w:tcPr>
          <w:p w14:paraId="15E85058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kern w:val="0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2"/>
                <w:lang w:val="en-US"/>
              </w:rPr>
              <w:t>质量管理体系 基础和术语</w:t>
            </w:r>
          </w:p>
        </w:tc>
      </w:tr>
      <w:tr w14:paraId="408ED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2" w:type="dxa"/>
          </w:tcPr>
          <w:p w14:paraId="313E1321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kern w:val="0"/>
                <w:szCs w:val="22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2"/>
                <w:lang w:val="en-US" w:eastAsia="en-US"/>
              </w:rPr>
              <w:t>GB/T 19001—2016</w:t>
            </w:r>
          </w:p>
        </w:tc>
        <w:tc>
          <w:tcPr>
            <w:tcW w:w="4532" w:type="dxa"/>
          </w:tcPr>
          <w:p w14:paraId="3570B9A6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kern w:val="0"/>
                <w:szCs w:val="22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2"/>
                <w:lang w:val="en-US" w:eastAsia="en-US"/>
              </w:rPr>
              <w:t>质量管理体系 要求</w:t>
            </w:r>
          </w:p>
        </w:tc>
      </w:tr>
      <w:tr w14:paraId="18F62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2" w:type="dxa"/>
          </w:tcPr>
          <w:p w14:paraId="428B1D61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kern w:val="0"/>
                <w:szCs w:val="22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2"/>
                <w:lang w:val="en-US" w:eastAsia="en-US"/>
              </w:rPr>
              <w:t>GB/T 19011—2021</w:t>
            </w:r>
          </w:p>
        </w:tc>
        <w:tc>
          <w:tcPr>
            <w:tcW w:w="4532" w:type="dxa"/>
          </w:tcPr>
          <w:p w14:paraId="6DF2DC31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kern w:val="0"/>
                <w:szCs w:val="22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2"/>
                <w:lang w:val="en-US" w:eastAsia="en-US"/>
              </w:rPr>
              <w:t>管理体系审核指南</w:t>
            </w:r>
          </w:p>
        </w:tc>
      </w:tr>
      <w:tr w14:paraId="6C7D9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2" w:type="dxa"/>
          </w:tcPr>
          <w:p w14:paraId="3676FBE8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kern w:val="0"/>
                <w:szCs w:val="22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2"/>
                <w:lang w:val="en-US" w:eastAsia="en-US"/>
              </w:rPr>
              <w:t>GB/T 39604—2020</w:t>
            </w:r>
          </w:p>
        </w:tc>
        <w:tc>
          <w:tcPr>
            <w:tcW w:w="4532" w:type="dxa"/>
          </w:tcPr>
          <w:p w14:paraId="0DAACCC0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kern w:val="0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2"/>
                <w:lang w:val="en-US"/>
              </w:rPr>
              <w:t>社会责任管理体系 要求及使用指南</w:t>
            </w:r>
          </w:p>
        </w:tc>
      </w:tr>
      <w:tr w14:paraId="7B890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2" w:type="dxa"/>
          </w:tcPr>
          <w:p w14:paraId="28206BC3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kern w:val="0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2"/>
                <w:lang w:val="en-US"/>
              </w:rPr>
              <w:t>T/XXXX XXXXXXX</w:t>
            </w:r>
          </w:p>
        </w:tc>
        <w:tc>
          <w:tcPr>
            <w:tcW w:w="4532" w:type="dxa"/>
          </w:tcPr>
          <w:p w14:paraId="7ED2E430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kern w:val="0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2"/>
                <w:lang w:val="en-US"/>
              </w:rPr>
              <w:t>中国汽车行业ESG信息披露指南</w:t>
            </w:r>
          </w:p>
        </w:tc>
      </w:tr>
      <w:tr w14:paraId="1A00E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2" w:type="dxa"/>
          </w:tcPr>
          <w:p w14:paraId="53315052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kern w:val="0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2"/>
                <w:lang w:val="en-US"/>
              </w:rPr>
              <w:t>T/XXXX XXXXXXX</w:t>
            </w:r>
          </w:p>
        </w:tc>
        <w:tc>
          <w:tcPr>
            <w:tcW w:w="4532" w:type="dxa"/>
          </w:tcPr>
          <w:p w14:paraId="25E33F52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kern w:val="0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2"/>
                <w:lang w:val="en-US"/>
              </w:rPr>
              <w:t>中国汽车行业ESG评价指南</w:t>
            </w:r>
          </w:p>
        </w:tc>
      </w:tr>
    </w:tbl>
    <w:p w14:paraId="2F5D7A3B">
      <w:pPr>
        <w:pStyle w:val="3"/>
        <w:widowControl/>
        <w:jc w:val="left"/>
        <w:rPr>
          <w:rFonts w:hint="eastAsia" w:ascii="宋体" w:hAnsi="宋体" w:eastAsia="宋体" w:cs="宋体"/>
          <w:kern w:val="0"/>
          <w:lang w:val="en-US"/>
        </w:rPr>
      </w:pPr>
      <w:r>
        <w:rPr>
          <w:rFonts w:hint="eastAsia" w:ascii="宋体" w:hAnsi="宋体" w:eastAsia="宋体" w:cs="宋体"/>
          <w:kern w:val="0"/>
          <w:lang w:val="en-US"/>
        </w:rPr>
        <w:t>主要参考标准及法律法规</w:t>
      </w:r>
    </w:p>
    <w:p w14:paraId="3026E561">
      <w:pPr>
        <w:widowControl/>
        <w:numPr>
          <w:ilvl w:val="0"/>
          <w:numId w:val="3"/>
        </w:numPr>
        <w:spacing w:after="40" w:line="276" w:lineRule="auto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/>
        </w:rPr>
        <w:t>GB/T 1.1—2020 标准化工作导则 第1部分：标准化文件的结构和起草规则</w:t>
      </w:r>
    </w:p>
    <w:p w14:paraId="5F3A79B3">
      <w:pPr>
        <w:widowControl/>
        <w:numPr>
          <w:ilvl w:val="0"/>
          <w:numId w:val="3"/>
        </w:numPr>
        <w:spacing w:after="40" w:line="276" w:lineRule="auto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/>
        </w:rPr>
        <w:t>GB/T 4754—2017 国民经济行业分类</w:t>
      </w:r>
    </w:p>
    <w:p w14:paraId="615BC275">
      <w:pPr>
        <w:widowControl/>
        <w:numPr>
          <w:ilvl w:val="0"/>
          <w:numId w:val="3"/>
        </w:numPr>
        <w:spacing w:after="40" w:line="276" w:lineRule="auto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/>
        </w:rPr>
        <w:t>GB/T 20001.11—2022 标准编写规则 第11部分：管理体系标准</w:t>
      </w:r>
    </w:p>
    <w:p w14:paraId="183FFB11">
      <w:pPr>
        <w:widowControl/>
        <w:numPr>
          <w:ilvl w:val="0"/>
          <w:numId w:val="3"/>
        </w:numPr>
        <w:spacing w:after="40" w:line="276" w:lineRule="auto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 w:eastAsia="en-US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 w:eastAsia="en-US"/>
        </w:rPr>
        <w:t>GB/T 23331—2020 能源管理体系 要求及使用指南</w:t>
      </w:r>
    </w:p>
    <w:p w14:paraId="698F789D">
      <w:pPr>
        <w:widowControl/>
        <w:numPr>
          <w:ilvl w:val="0"/>
          <w:numId w:val="3"/>
        </w:numPr>
        <w:spacing w:after="40" w:line="276" w:lineRule="auto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 w:eastAsia="en-US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 w:eastAsia="en-US"/>
        </w:rPr>
        <w:t>GB/T 24001—2016 环境管理体系 要求及使用指南</w:t>
      </w:r>
    </w:p>
    <w:p w14:paraId="40131D24">
      <w:pPr>
        <w:widowControl/>
        <w:numPr>
          <w:ilvl w:val="0"/>
          <w:numId w:val="3"/>
        </w:numPr>
        <w:spacing w:after="40" w:line="276" w:lineRule="auto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 w:eastAsia="en-US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 w:eastAsia="en-US"/>
        </w:rPr>
        <w:t>GB/T 24353—2022 风险管理指南</w:t>
      </w:r>
    </w:p>
    <w:p w14:paraId="3851BC74">
      <w:pPr>
        <w:widowControl/>
        <w:numPr>
          <w:ilvl w:val="0"/>
          <w:numId w:val="3"/>
        </w:numPr>
        <w:spacing w:after="40" w:line="276" w:lineRule="auto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 w:eastAsia="en-US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 w:eastAsia="en-US"/>
        </w:rPr>
        <w:t>GB/T 35770—2022 合规管理体系 要求及使用指南</w:t>
      </w:r>
    </w:p>
    <w:p w14:paraId="32B787D5">
      <w:pPr>
        <w:widowControl/>
        <w:numPr>
          <w:ilvl w:val="0"/>
          <w:numId w:val="3"/>
        </w:numPr>
        <w:spacing w:after="40" w:line="276" w:lineRule="auto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 w:eastAsia="en-US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 w:eastAsia="en-US"/>
        </w:rPr>
        <w:t>GB/T 36000—2015 社会责任指南</w:t>
      </w:r>
    </w:p>
    <w:p w14:paraId="45E2BA1D">
      <w:pPr>
        <w:widowControl/>
        <w:numPr>
          <w:ilvl w:val="0"/>
          <w:numId w:val="3"/>
        </w:numPr>
        <w:spacing w:after="40" w:line="276" w:lineRule="auto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/>
        </w:rPr>
        <w:t>GB/T 36001—2015 社会责任报告编写指南</w:t>
      </w:r>
    </w:p>
    <w:p w14:paraId="260ACC2B">
      <w:pPr>
        <w:widowControl/>
        <w:numPr>
          <w:ilvl w:val="0"/>
          <w:numId w:val="3"/>
        </w:numPr>
        <w:spacing w:after="40" w:line="276" w:lineRule="auto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/>
        </w:rPr>
        <w:t>GB/T 45001—2020 职业健康安全管理体系 要求及使用指南</w:t>
      </w:r>
    </w:p>
    <w:p w14:paraId="07475B1A">
      <w:pPr>
        <w:widowControl/>
        <w:numPr>
          <w:ilvl w:val="0"/>
          <w:numId w:val="3"/>
        </w:numPr>
        <w:spacing w:after="40" w:line="276" w:lineRule="auto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 w:eastAsia="en-US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 w:eastAsia="en-US"/>
        </w:rPr>
        <w:t>ISO 26000</w:t>
      </w:r>
      <w:r>
        <w:rPr>
          <w:rFonts w:hint="eastAsia" w:ascii="宋体" w:hAnsi="宋体" w:eastAsia="宋体" w:cs="宋体"/>
          <w:kern w:val="0"/>
          <w:sz w:val="22"/>
          <w:szCs w:val="22"/>
          <w:lang w:val="en-US"/>
        </w:rPr>
        <w:t>:</w:t>
      </w:r>
      <w:r>
        <w:rPr>
          <w:rFonts w:hint="eastAsia" w:ascii="宋体" w:hAnsi="宋体" w:eastAsia="宋体" w:cs="宋体"/>
          <w:kern w:val="0"/>
          <w:sz w:val="22"/>
          <w:szCs w:val="22"/>
          <w:lang w:val="en-US" w:eastAsia="en-US"/>
        </w:rPr>
        <w:t>2010 社会责任指南</w:t>
      </w:r>
    </w:p>
    <w:p w14:paraId="577EA0E0">
      <w:pPr>
        <w:widowControl/>
        <w:numPr>
          <w:ilvl w:val="0"/>
          <w:numId w:val="3"/>
        </w:numPr>
        <w:spacing w:after="40" w:line="276" w:lineRule="auto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/>
        </w:rPr>
        <w:t>《中华人民共和国生态环境法典》</w:t>
      </w:r>
    </w:p>
    <w:p w14:paraId="2FEEA690">
      <w:pPr>
        <w:widowControl/>
        <w:numPr>
          <w:ilvl w:val="0"/>
          <w:numId w:val="3"/>
        </w:numPr>
        <w:spacing w:after="40" w:line="276" w:lineRule="auto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/>
        </w:rPr>
        <w:t>《中华人民共和国道路交通安全法》</w:t>
      </w:r>
    </w:p>
    <w:p w14:paraId="7178BF72">
      <w:pPr>
        <w:widowControl/>
        <w:numPr>
          <w:ilvl w:val="0"/>
          <w:numId w:val="3"/>
        </w:numPr>
        <w:spacing w:after="40" w:line="276" w:lineRule="auto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/>
        </w:rPr>
        <w:t>《中华人民共和国个人信息保护法》</w:t>
      </w:r>
    </w:p>
    <w:p w14:paraId="40557026">
      <w:pPr>
        <w:widowControl/>
        <w:numPr>
          <w:ilvl w:val="0"/>
          <w:numId w:val="3"/>
        </w:numPr>
        <w:spacing w:after="40" w:line="276" w:lineRule="auto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/>
        </w:rPr>
        <w:t>《中华人民共和国产品质量法》</w:t>
      </w:r>
    </w:p>
    <w:p w14:paraId="28BC45D6">
      <w:pPr>
        <w:widowControl/>
        <w:numPr>
          <w:ilvl w:val="0"/>
          <w:numId w:val="3"/>
        </w:numPr>
        <w:spacing w:after="40" w:line="276" w:lineRule="auto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/>
        </w:rPr>
        <w:t>《中华人民共和国劳动法》</w:t>
      </w:r>
    </w:p>
    <w:p w14:paraId="59CFE906">
      <w:pPr>
        <w:widowControl/>
        <w:numPr>
          <w:ilvl w:val="0"/>
          <w:numId w:val="3"/>
        </w:numPr>
        <w:spacing w:after="40" w:line="276" w:lineRule="auto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/>
        </w:rPr>
        <w:t>《中华人民共和国公司法》</w:t>
      </w:r>
    </w:p>
    <w:p w14:paraId="182B738F">
      <w:pPr>
        <w:widowControl/>
        <w:numPr>
          <w:ilvl w:val="0"/>
          <w:numId w:val="3"/>
        </w:numPr>
        <w:spacing w:after="40" w:line="276" w:lineRule="auto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/>
        </w:rPr>
        <w:t>《中华人民共和国反不正当竞争法》</w:t>
      </w:r>
    </w:p>
    <w:p w14:paraId="55FCE966">
      <w:pPr>
        <w:widowControl/>
        <w:numPr>
          <w:ilvl w:val="0"/>
          <w:numId w:val="3"/>
        </w:numPr>
        <w:spacing w:after="40" w:line="276" w:lineRule="auto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/>
        </w:rPr>
        <w:t>《中华人民共和国反垄断法》</w:t>
      </w:r>
    </w:p>
    <w:p w14:paraId="6292CD96">
      <w:pPr>
        <w:widowControl/>
        <w:numPr>
          <w:ilvl w:val="0"/>
          <w:numId w:val="3"/>
        </w:numPr>
        <w:spacing w:after="40" w:line="276" w:lineRule="auto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/>
        </w:rPr>
        <w:t>企业环境信息依法披露管理办法</w:t>
      </w:r>
    </w:p>
    <w:p w14:paraId="34E5E409">
      <w:pPr>
        <w:widowControl/>
        <w:numPr>
          <w:ilvl w:val="0"/>
          <w:numId w:val="3"/>
        </w:numPr>
        <w:spacing w:after="40" w:line="276" w:lineRule="auto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/>
        </w:rPr>
        <w:t>财政部《企业可持续披露准则——基本准则（试行）》（财会〔2024〕17号）</w:t>
      </w:r>
    </w:p>
    <w:p w14:paraId="726A005D">
      <w:pPr>
        <w:widowControl/>
        <w:numPr>
          <w:ilvl w:val="0"/>
          <w:numId w:val="3"/>
        </w:numPr>
        <w:spacing w:after="40" w:line="276" w:lineRule="auto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/>
        </w:rPr>
        <w:t>上海证券交易所 上市公司自律监管指引第14号——可持续发展报告（试行）</w:t>
      </w:r>
    </w:p>
    <w:p w14:paraId="679CDA7B">
      <w:pPr>
        <w:widowControl/>
        <w:numPr>
          <w:ilvl w:val="0"/>
          <w:numId w:val="3"/>
        </w:numPr>
        <w:spacing w:after="40" w:line="276" w:lineRule="auto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/>
        </w:rPr>
        <w:t>深圳证券交易所 上市公司自律监管指引第17号——可持续发展报告（试行）</w:t>
      </w:r>
    </w:p>
    <w:p w14:paraId="077693B4">
      <w:pPr>
        <w:widowControl/>
        <w:numPr>
          <w:ilvl w:val="0"/>
          <w:numId w:val="3"/>
        </w:numPr>
        <w:spacing w:after="40" w:line="276" w:lineRule="auto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/>
        </w:rPr>
        <w:t>北京证券交易所 上市公司持续监管指引第11号——可持续发展报告（试行）</w:t>
      </w:r>
    </w:p>
    <w:p w14:paraId="6B0D0CE5">
      <w:pPr>
        <w:widowControl/>
        <w:numPr>
          <w:ilvl w:val="0"/>
          <w:numId w:val="3"/>
        </w:numPr>
        <w:spacing w:after="40" w:line="276" w:lineRule="auto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/>
        </w:rPr>
        <w:t>香港联合交易所 主板上市规则 附录C2《环境、社会及管治报告守则》</w:t>
      </w:r>
    </w:p>
    <w:p w14:paraId="6EB4A958">
      <w:pPr>
        <w:widowControl/>
        <w:numPr>
          <w:ilvl w:val="0"/>
          <w:numId w:val="3"/>
        </w:numPr>
        <w:spacing w:after="40" w:line="276" w:lineRule="auto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 w:eastAsia="en-US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 w:eastAsia="en-US"/>
        </w:rPr>
        <w:t>全球报告倡议组织（GRI）可持续发展报告标准（GRI Standards）</w:t>
      </w:r>
    </w:p>
    <w:p w14:paraId="23D1946C">
      <w:pPr>
        <w:widowControl/>
        <w:numPr>
          <w:ilvl w:val="0"/>
          <w:numId w:val="3"/>
        </w:numPr>
        <w:spacing w:after="40" w:line="276" w:lineRule="auto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 w:eastAsia="en-US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 w:eastAsia="en-US"/>
        </w:rPr>
        <w:t>可持续行业分类系统（Sustainable Industry Classification System，SICS）</w:t>
      </w:r>
    </w:p>
    <w:p w14:paraId="3A37CC06">
      <w:pPr>
        <w:widowControl/>
        <w:numPr>
          <w:ilvl w:val="0"/>
          <w:numId w:val="3"/>
        </w:numPr>
        <w:spacing w:after="40" w:line="276" w:lineRule="auto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 w:eastAsia="en-US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 w:eastAsia="en-US"/>
        </w:rPr>
        <w:t>全球行业分类标准（Global Industry Classification Standard，GICS）</w:t>
      </w:r>
    </w:p>
    <w:p w14:paraId="099AE563">
      <w:pPr>
        <w:widowControl/>
        <w:numPr>
          <w:ilvl w:val="0"/>
          <w:numId w:val="3"/>
        </w:numPr>
        <w:spacing w:after="40" w:line="276" w:lineRule="auto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/>
        </w:rPr>
        <w:t>国际可持续准则理事会（ISSB）《国际财务报告可持续披露准则第1号——可持续相关财务信息披露一般要求》（IFRS S1）</w:t>
      </w:r>
    </w:p>
    <w:p w14:paraId="165ECD53">
      <w:pPr>
        <w:widowControl/>
        <w:numPr>
          <w:ilvl w:val="0"/>
          <w:numId w:val="3"/>
        </w:numPr>
        <w:spacing w:after="40" w:line="276" w:lineRule="auto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/>
        </w:rPr>
        <w:t>国际可持续准则理事会（ISSB）《国际财务报告可持续披露准则第2号——气候相关披露》（IFRS S2）</w:t>
      </w:r>
    </w:p>
    <w:p w14:paraId="4DF7B222">
      <w:pPr>
        <w:widowControl/>
        <w:numPr>
          <w:ilvl w:val="0"/>
          <w:numId w:val="3"/>
        </w:numPr>
        <w:spacing w:after="40" w:line="276" w:lineRule="auto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/>
        </w:rPr>
        <w:t>联合国《2030年可持续发展议程》</w:t>
      </w:r>
    </w:p>
    <w:p w14:paraId="3279990B">
      <w:pPr>
        <w:widowControl/>
        <w:numPr>
          <w:ilvl w:val="0"/>
          <w:numId w:val="3"/>
        </w:numPr>
        <w:spacing w:after="40" w:line="276" w:lineRule="auto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/>
        </w:rPr>
        <w:t>美国纳斯达克交易所《ESG报告指南》2.0版本</w:t>
      </w:r>
    </w:p>
    <w:p w14:paraId="7DF11AE7">
      <w:pPr>
        <w:widowControl/>
        <w:numPr>
          <w:ilvl w:val="0"/>
          <w:numId w:val="3"/>
        </w:numPr>
        <w:spacing w:after="40" w:line="276" w:lineRule="auto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 w:eastAsia="en-US"/>
        </w:rPr>
      </w:pPr>
      <w:r>
        <w:rPr>
          <w:rFonts w:hint="eastAsia" w:ascii="宋体" w:hAnsi="宋体" w:eastAsia="宋体" w:cs="宋体"/>
          <w:kern w:val="0"/>
          <w:szCs w:val="22"/>
          <w:lang w:val="en-US" w:eastAsia="en-US"/>
        </w:rPr>
        <w:t>IWA 48:2024Framework for implementing environmental, social and governance (ESG) principles</w:t>
      </w:r>
    </w:p>
    <w:p w14:paraId="25A1FCF1">
      <w:pPr>
        <w:widowControl/>
        <w:spacing w:before="240" w:after="120" w:line="276" w:lineRule="auto"/>
        <w:ind w:firstLine="0" w:firstLineChars="0"/>
        <w:jc w:val="left"/>
        <w:rPr>
          <w:rFonts w:hint="eastAsia" w:ascii="宋体" w:hAnsi="宋体" w:eastAsia="宋体" w:cs="宋体"/>
          <w:kern w:val="0"/>
          <w:szCs w:val="22"/>
          <w:lang w:val="en-US" w:eastAsia="en-US"/>
        </w:rPr>
      </w:pPr>
      <w:r>
        <w:rPr>
          <w:rFonts w:hint="eastAsia" w:ascii="宋体" w:hAnsi="宋体" w:eastAsia="宋体" w:cs="宋体"/>
          <w:b/>
          <w:kern w:val="0"/>
          <w:sz w:val="28"/>
          <w:szCs w:val="22"/>
          <w:lang w:val="en-US" w:eastAsia="en-US"/>
        </w:rPr>
        <w:t>四、主要内容</w:t>
      </w:r>
    </w:p>
    <w:p w14:paraId="5271681D">
      <w:pPr>
        <w:pStyle w:val="4"/>
        <w:keepNext/>
        <w:keepLines/>
        <w:widowControl/>
        <w:numPr>
          <w:ilvl w:val="0"/>
          <w:numId w:val="4"/>
        </w:numPr>
        <w:spacing w:before="200" w:line="240" w:lineRule="auto"/>
        <w:ind w:firstLine="0" w:firstLineChars="0"/>
        <w:jc w:val="left"/>
        <w:rPr>
          <w:rFonts w:hint="eastAsia" w:ascii="宋体" w:hAnsi="宋体" w:eastAsia="宋体" w:cs="宋体"/>
          <w:color w:val="000000" w:themeColor="text1"/>
          <w:kern w:val="0"/>
          <w:sz w:val="28"/>
          <w:szCs w:val="32"/>
          <w:lang w:val="en-US" w:eastAsia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32"/>
          <w:lang w:val="en-US" w:eastAsia="en-US"/>
          <w14:textFill>
            <w14:solidFill>
              <w14:schemeClr w14:val="tx1"/>
            </w14:solidFill>
          </w14:textFill>
        </w:rPr>
        <w:t>基础部分</w:t>
      </w:r>
    </w:p>
    <w:p w14:paraId="63B41413">
      <w:pPr>
        <w:widowControl/>
        <w:spacing w:after="120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Cs w:val="22"/>
          <w:lang w:val="en-US"/>
        </w:rPr>
        <w:t>对标准的适用范围、所涉及规范性引用文件、术语和定义进行规定。</w:t>
      </w:r>
    </w:p>
    <w:p w14:paraId="0E72FA31">
      <w:pPr>
        <w:widowControl/>
        <w:spacing w:after="120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Cs w:val="22"/>
          <w:lang w:val="en-US"/>
        </w:rPr>
        <w:t>本文件适用于汽车行业的整车企业及零部件企业，供汽车产业链供应链相关企业参考使用。</w:t>
      </w:r>
    </w:p>
    <w:p w14:paraId="6BF4E2BE">
      <w:pPr>
        <w:widowControl/>
        <w:spacing w:after="120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Cs w:val="22"/>
          <w:lang w:val="en-US"/>
        </w:rPr>
        <w:t>本文件界定了要求、法律法规要求和其他要求、管理体系、方针、不良影响因素、ESG风险、ESG机遇、文件化信息、过程、程序、绩效、监视、测量、审核、纠正措施、持续改进、供应链、双重重要性共18项术语和定义。</w:t>
      </w:r>
    </w:p>
    <w:p w14:paraId="2CAB9507">
      <w:pPr>
        <w:pStyle w:val="4"/>
        <w:keepNext/>
        <w:keepLines/>
        <w:widowControl/>
        <w:numPr>
          <w:ilvl w:val="0"/>
          <w:numId w:val="4"/>
        </w:numPr>
        <w:spacing w:before="200" w:line="240" w:lineRule="auto"/>
        <w:ind w:firstLine="0" w:firstLineChars="0"/>
        <w:jc w:val="left"/>
        <w:rPr>
          <w:rFonts w:hint="eastAsia" w:ascii="宋体" w:hAnsi="宋体" w:eastAsia="宋体" w:cs="宋体"/>
          <w:color w:val="000000" w:themeColor="text1"/>
          <w:kern w:val="0"/>
          <w:sz w:val="28"/>
          <w:szCs w:val="32"/>
          <w:lang w:val="en-US" w:eastAsia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32"/>
          <w:lang w:val="en-US" w:eastAsia="en-US"/>
          <w14:textFill>
            <w14:solidFill>
              <w14:schemeClr w14:val="tx1"/>
            </w14:solidFill>
          </w14:textFill>
        </w:rPr>
        <w:t>主要技术内容</w:t>
      </w:r>
    </w:p>
    <w:p w14:paraId="4D80E6B6">
      <w:pPr>
        <w:widowControl/>
        <w:spacing w:after="120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Cs w:val="22"/>
          <w:lang w:val="en-US"/>
        </w:rPr>
        <w:t>本文件沿用2023版的总体架构，分为范围、规范性引用文件、术语和定义、企业所处的环境、领导作用和利益相关方参与、策划、支持、运行、绩效评价、改进共10章，并以“本文件的使用指南”作为资料性附录A，另附参考文献。</w:t>
      </w:r>
    </w:p>
    <w:p w14:paraId="651FC4A8">
      <w:pPr>
        <w:widowControl/>
        <w:spacing w:after="120"/>
        <w:ind w:firstLine="0"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Cs w:val="22"/>
          <w:lang w:val="en-US"/>
        </w:rPr>
        <w:t>（1）企业所处的环境（第4章）：规定了通用要求、理解企业及其环境、理解利益相关方的需求和期望、确定ESG管理体系的范围、ESG管理体系等内容；</w:t>
      </w:r>
    </w:p>
    <w:p w14:paraId="0EC85A7E">
      <w:pPr>
        <w:widowControl/>
        <w:spacing w:after="120"/>
        <w:ind w:firstLine="0"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Cs w:val="22"/>
          <w:lang w:val="en-US"/>
        </w:rPr>
        <w:t>（2）领导作用和利益相关方参与（第5章）：规定了最高管理者作用与承诺（含最高管理者、ESG文化）、企业发展方向和决策体系、ESG方针、企业的角色职责和权限、利益相关方的协商和参与等内容；</w:t>
      </w:r>
    </w:p>
    <w:p w14:paraId="3744581C">
      <w:pPr>
        <w:widowControl/>
        <w:spacing w:after="120"/>
        <w:ind w:firstLine="0"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Cs w:val="22"/>
          <w:lang w:val="en-US"/>
        </w:rPr>
        <w:t>（3）策划（第6章）：规定了ESG议题与风险机遇的辨别、风险和机遇的具体识别和应对措施、ESG目标及其实现的策划等内容；</w:t>
      </w:r>
    </w:p>
    <w:p w14:paraId="53F4F6D3">
      <w:pPr>
        <w:widowControl/>
        <w:spacing w:after="120"/>
        <w:ind w:firstLine="0"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Cs w:val="22"/>
          <w:lang w:val="en-US"/>
        </w:rPr>
        <w:t>（4）支持（第7章）：规定了资源、能力、意识、沟通、文件化信息等内容；</w:t>
      </w:r>
    </w:p>
    <w:p w14:paraId="77ADCF85">
      <w:pPr>
        <w:widowControl/>
        <w:spacing w:after="120"/>
        <w:ind w:firstLine="0"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Cs w:val="22"/>
          <w:lang w:val="en-US"/>
        </w:rPr>
        <w:t>（5）运行（第8章）：规定了运行策划和控制、供应链管理、应急准备和响应、处理矛盾和分歧等内容；</w:t>
      </w:r>
    </w:p>
    <w:p w14:paraId="61FF1D79">
      <w:pPr>
        <w:widowControl/>
        <w:spacing w:after="120"/>
        <w:ind w:firstLine="0"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Cs w:val="22"/>
          <w:lang w:val="en-US"/>
        </w:rPr>
        <w:t>（6）绩效评价（第9章）：规定了监视测量分析和绩效评价、内部审核、管理评审、外部评价等内容；</w:t>
      </w:r>
    </w:p>
    <w:p w14:paraId="131A840D">
      <w:pPr>
        <w:widowControl/>
        <w:spacing w:after="120"/>
        <w:ind w:firstLine="0"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Cs w:val="22"/>
          <w:lang w:val="en-US"/>
        </w:rPr>
        <w:t>（7）改进（第10章）：规定了总则、事件不符合和纠正措施、持续改进等内容；</w:t>
      </w:r>
    </w:p>
    <w:p w14:paraId="7B489912">
      <w:pPr>
        <w:widowControl/>
        <w:spacing w:after="120"/>
        <w:ind w:firstLine="0"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Cs w:val="22"/>
          <w:lang w:val="en-US"/>
        </w:rPr>
        <w:t>（8）附录A（资料性）“本文件的使用指南”：按第4章至第10章的顺序逐条给出使用指南，与正文要求一一对应。</w:t>
      </w:r>
    </w:p>
    <w:p w14:paraId="2B254A24">
      <w:pPr>
        <w:widowControl/>
        <w:spacing w:after="120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Cs w:val="22"/>
          <w:lang w:val="en-US"/>
        </w:rPr>
        <w:t>衔接性说明：本次修订未改变标准的总体架构与章节编号体系，继续沿用ISO管理体系高阶结构与PDCA循环，与GB/T 19001、GB/T 24001、GB/T 45001、GB/T 39604等管理体系标准协调一致，便于企业将ESG管理体系与既有管理体系整合。</w:t>
      </w:r>
    </w:p>
    <w:p w14:paraId="509A11A2">
      <w:pPr>
        <w:widowControl/>
        <w:spacing w:before="240" w:after="120" w:line="276" w:lineRule="auto"/>
        <w:ind w:firstLine="0"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b/>
          <w:kern w:val="0"/>
          <w:sz w:val="28"/>
          <w:szCs w:val="22"/>
          <w:lang w:val="en-US"/>
        </w:rPr>
        <w:t>五、与现行法律、法规和政策及相关标准的协调性</w:t>
      </w:r>
    </w:p>
    <w:p w14:paraId="41A3436D">
      <w:pPr>
        <w:widowControl/>
        <w:spacing w:after="120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Cs w:val="22"/>
          <w:lang w:val="en-US"/>
        </w:rPr>
        <w:t>本文件与现有的法律、法规和强制性国家标准无冲突。</w:t>
      </w:r>
    </w:p>
    <w:p w14:paraId="2F5E82B1">
      <w:pPr>
        <w:widowControl/>
        <w:spacing w:after="120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Cs w:val="22"/>
          <w:lang w:val="en-US"/>
        </w:rPr>
        <w:t>本次修订进一步强化了与最新法规政策的协调性：与《中华人民共和国公司法》（2023年修订）关于企业社会责任、利益相关方与生态环境公共利益的要求相一致；落实财政部《企业可持续披露准则——基本准则（试行）》以及上海、深圳、北京证券交易所《上市公司可持续发展报告指引》的披露框架与重要性原则；衔接TCFD、ISSB等国际可持续披露准则；呼应“双碳”目标、新能源汽车动力电池回收利用、个人信息保护、供应链尽责管理等政策要求。</w:t>
      </w:r>
    </w:p>
    <w:p w14:paraId="57C88ED3">
      <w:pPr>
        <w:widowControl/>
        <w:spacing w:after="120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Cs w:val="22"/>
          <w:lang w:val="en-US"/>
        </w:rPr>
        <w:t>本文件与 T/XXXX—XXXX《中国汽车行业ESG信息披露指南》、T/XXXX—XXXX《中国汽车行业ESG评价指南》共同构成中国汽车行业ESG管理基础性系列标准，相互衔接、互为支撑。</w:t>
      </w:r>
    </w:p>
    <w:p w14:paraId="441C1C47">
      <w:pPr>
        <w:widowControl/>
        <w:spacing w:before="240" w:after="120" w:line="276" w:lineRule="auto"/>
        <w:ind w:firstLine="0"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b/>
          <w:kern w:val="0"/>
          <w:sz w:val="28"/>
          <w:szCs w:val="22"/>
          <w:lang w:val="en-US"/>
        </w:rPr>
        <w:t>六、贯彻标准的要求和措施</w:t>
      </w:r>
    </w:p>
    <w:p w14:paraId="0575B1A7">
      <w:pPr>
        <w:widowControl/>
        <w:spacing w:after="120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Cs w:val="22"/>
          <w:lang w:val="en-US"/>
        </w:rPr>
        <w:t>建议本文件发布后，供标准起草单位、中国汽车工业协会会员单位和行业相关单位自愿采用。中国汽车工业协会同其他标准起草单位组织标准宣贯会、专题培训与企业交流，解读双重重要性、ESG治理、可持续披露、供应链碳管理等重点修订内容，进行推广应用，促进标准的顺利实施。</w:t>
      </w:r>
    </w:p>
    <w:p w14:paraId="0F2D0FB0">
      <w:pPr>
        <w:widowControl/>
        <w:spacing w:after="120"/>
        <w:ind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Cs w:val="22"/>
          <w:lang w:val="en-US"/>
        </w:rPr>
        <w:t>同时，建议企业在建立ESG管理体系的基础上，依据 T/XXXX—XXXX《中国汽车行业ESG评价指南》开展自评价或第三方评价，并参照T/XXXX—XXXX《中国汽车行业ESG信息披露指南》编制和披露可持续发展报告，推动ESG数据管理系统、碳足迹核算工具等数字化手段应用，系统提升ESG管理水平和信息披露质量。此外，建立标准实施反馈机制，跟踪国际、国家ESG及信息披露最新要求，适时组织修订完善。</w:t>
      </w:r>
    </w:p>
    <w:p w14:paraId="4EBF995F">
      <w:pPr>
        <w:widowControl/>
        <w:spacing w:before="240" w:after="120" w:line="276" w:lineRule="auto"/>
        <w:ind w:firstLine="0" w:firstLineChars="0"/>
        <w:jc w:val="lef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b/>
          <w:kern w:val="0"/>
          <w:sz w:val="28"/>
          <w:szCs w:val="22"/>
          <w:lang w:val="en-US"/>
        </w:rPr>
        <w:t>七、其他需要说明的事项</w:t>
      </w:r>
    </w:p>
    <w:p w14:paraId="276BA176">
      <w:pPr>
        <w:widowControl/>
        <w:spacing w:after="120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Cs w:val="22"/>
          <w:lang w:val="en-US"/>
        </w:rPr>
        <w:t>（1）版本更替：本文件代替 T/CAAMTB 173—2023《中国汽车行业ESG管理体系 要求及使用指南》，标准编号相应由 T/CAAMTB 173—2023 调整为 T/XXXX—XXXX；</w:t>
      </w:r>
    </w:p>
    <w:p w14:paraId="671DFE70">
      <w:pPr>
        <w:widowControl/>
        <w:spacing w:after="120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Cs w:val="22"/>
          <w:lang w:val="en-US"/>
        </w:rPr>
        <w:t>（2）系列协同：本文件与 T/XXXX—XXXX《中国汽车行业ESG信息披露指南》、T/XXXX—XXXX《中国汽车行业ESG评价指南》配套使用，形成“管理体系要求—评价—披露”有机整体，建议相关方结合使用；</w:t>
      </w:r>
    </w:p>
    <w:p w14:paraId="04B6EEF9">
      <w:pPr>
        <w:widowControl/>
        <w:spacing w:after="120"/>
        <w:rPr>
          <w:rFonts w:hint="eastAsia" w:ascii="宋体" w:hAnsi="宋体" w:eastAsia="宋体" w:cs="宋体"/>
          <w:kern w:val="0"/>
          <w:szCs w:val="22"/>
          <w:lang w:val="en-US" w:eastAsia="en-US"/>
        </w:rPr>
      </w:pPr>
      <w:r>
        <w:rPr>
          <w:rFonts w:hint="eastAsia" w:ascii="宋体" w:hAnsi="宋体" w:eastAsia="宋体" w:cs="宋体"/>
          <w:kern w:val="0"/>
          <w:szCs w:val="22"/>
          <w:lang w:val="en-US" w:eastAsia="en-US"/>
        </w:rPr>
        <w:t>（3）本文件的英文名称为 ESG management system of China automotive industry — Requirements with guidance for use，国际分类号为 ICS 03.100.01，中国标准分类号为 CCS A 02；</w:t>
      </w:r>
    </w:p>
    <w:p w14:paraId="78FA8997">
      <w:pPr>
        <w:widowControl/>
        <w:spacing w:before="480" w:after="200" w:line="276" w:lineRule="auto"/>
        <w:ind w:firstLine="0" w:firstLineChars="0"/>
        <w:jc w:val="right"/>
        <w:rPr>
          <w:rFonts w:hint="eastAsia" w:ascii="宋体" w:hAnsi="宋体" w:eastAsia="宋体" w:cs="宋体"/>
          <w:kern w:val="0"/>
          <w:szCs w:val="22"/>
          <w:lang w:val="en-US"/>
        </w:rPr>
      </w:pPr>
      <w:r>
        <w:rPr>
          <w:rFonts w:hint="eastAsia" w:ascii="宋体" w:hAnsi="宋体" w:eastAsia="宋体" w:cs="宋体"/>
          <w:kern w:val="0"/>
          <w:szCs w:val="22"/>
          <w:lang w:val="en-US"/>
        </w:rPr>
        <w:t>《中国汽车行业ESG管理体系 要求及使用指南》标准起草工作组</w:t>
      </w:r>
    </w:p>
    <w:p w14:paraId="3E7D5C78">
      <w:pPr>
        <w:widowControl/>
        <w:spacing w:after="200" w:line="276" w:lineRule="auto"/>
        <w:ind w:firstLine="0" w:firstLineChars="0"/>
        <w:jc w:val="right"/>
        <w:rPr>
          <w:rFonts w:hint="eastAsia" w:ascii="宋体" w:hAnsi="宋体" w:eastAsia="宋体" w:cs="宋体"/>
          <w:kern w:val="0"/>
          <w:szCs w:val="22"/>
          <w:lang w:val="en-US" w:eastAsia="en-US"/>
        </w:rPr>
      </w:pPr>
      <w:r>
        <w:rPr>
          <w:rFonts w:hint="eastAsia" w:ascii="宋体" w:hAnsi="宋体" w:eastAsia="宋体" w:cs="宋体"/>
          <w:kern w:val="0"/>
          <w:szCs w:val="22"/>
          <w:lang w:val="en-US" w:eastAsia="en-US"/>
        </w:rPr>
        <w:t>2026年9月</w:t>
      </w:r>
    </w:p>
    <w:p w14:paraId="6A512FBF">
      <w:pPr>
        <w:rPr>
          <w:rFonts w:hint="eastAsia" w:ascii="宋体" w:hAnsi="宋体" w:eastAsia="宋体" w:cs="宋体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0758A1D-68B3-4FF4-9A12-7E1240DA71DE}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29F3E2">
    <w:pPr>
      <w:pStyle w:val="7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40662D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542BE9">
    <w:pPr>
      <w:pStyle w:val="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483A5D">
    <w:pPr>
      <w:pStyle w:val="8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F8B490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00C85C">
    <w:pPr>
      <w:pStyle w:val="8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29BE1F0"/>
    <w:multiLevelType w:val="singleLevel"/>
    <w:tmpl w:val="E29BE1F0"/>
    <w:lvl w:ilvl="0" w:tentative="0">
      <w:start w:val="1"/>
      <w:numFmt w:val="decimal"/>
      <w:pStyle w:val="4"/>
      <w:suff w:val="nothing"/>
      <w:lvlText w:val="%1、"/>
      <w:lvlJc w:val="left"/>
    </w:lvl>
  </w:abstractNum>
  <w:abstractNum w:abstractNumId="1">
    <w:nsid w:val="F8058535"/>
    <w:multiLevelType w:val="multilevel"/>
    <w:tmpl w:val="F8058535"/>
    <w:lvl w:ilvl="0" w:tentative="0">
      <w:start w:val="1"/>
      <w:numFmt w:val="decimal"/>
      <w:suff w:val="nothing"/>
      <w:lvlText w:val="[%1]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1"/>
  </w:num>
  <w:num w:numId="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9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187674"/>
    <w:rsid w:val="0021526E"/>
    <w:rsid w:val="008F6190"/>
    <w:rsid w:val="00950085"/>
    <w:rsid w:val="00A16010"/>
    <w:rsid w:val="00C20F31"/>
    <w:rsid w:val="00EE0F78"/>
    <w:rsid w:val="034C76EB"/>
    <w:rsid w:val="03E868F6"/>
    <w:rsid w:val="05955076"/>
    <w:rsid w:val="05FF3ED8"/>
    <w:rsid w:val="099B74AD"/>
    <w:rsid w:val="0BFC01CC"/>
    <w:rsid w:val="0E3A694F"/>
    <w:rsid w:val="0E5B4EA0"/>
    <w:rsid w:val="11B35EE0"/>
    <w:rsid w:val="178B2ED0"/>
    <w:rsid w:val="18D03D16"/>
    <w:rsid w:val="20187674"/>
    <w:rsid w:val="23A14EBC"/>
    <w:rsid w:val="24BF7C37"/>
    <w:rsid w:val="2AE17038"/>
    <w:rsid w:val="2D5269E7"/>
    <w:rsid w:val="2E314FE9"/>
    <w:rsid w:val="2E763DC8"/>
    <w:rsid w:val="30670EAD"/>
    <w:rsid w:val="30B53FB9"/>
    <w:rsid w:val="31E266E3"/>
    <w:rsid w:val="37D83FDC"/>
    <w:rsid w:val="3D180FDD"/>
    <w:rsid w:val="3DA92031"/>
    <w:rsid w:val="4550294E"/>
    <w:rsid w:val="48B97DC5"/>
    <w:rsid w:val="4B881658"/>
    <w:rsid w:val="4C542B44"/>
    <w:rsid w:val="4EAF0A86"/>
    <w:rsid w:val="50DC02BA"/>
    <w:rsid w:val="51262AE4"/>
    <w:rsid w:val="54B37FA8"/>
    <w:rsid w:val="580D6C2A"/>
    <w:rsid w:val="5A5C2C2E"/>
    <w:rsid w:val="5ED34ABA"/>
    <w:rsid w:val="6274570D"/>
    <w:rsid w:val="62B05F43"/>
    <w:rsid w:val="63145F85"/>
    <w:rsid w:val="6378419B"/>
    <w:rsid w:val="643D4914"/>
    <w:rsid w:val="6DA94E0E"/>
    <w:rsid w:val="724834E8"/>
    <w:rsid w:val="73221B22"/>
    <w:rsid w:val="78DF4BA1"/>
    <w:rsid w:val="78F80262"/>
    <w:rsid w:val="7BC65A42"/>
    <w:rsid w:val="7CB3467D"/>
    <w:rsid w:val="7DB93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80" w:firstLineChars="200"/>
      <w:jc w:val="both"/>
    </w:pPr>
    <w:rPr>
      <w:rFonts w:ascii="Times New Roman" w:hAnsi="Times New Roman" w:eastAsiaTheme="minorEastAsia" w:cstheme="minorBidi"/>
      <w:kern w:val="2"/>
      <w:sz w:val="24"/>
      <w:szCs w:val="24"/>
      <w:lang w:val="zh-CN" w:eastAsia="zh-CN" w:bidi="ar-SA"/>
    </w:rPr>
  </w:style>
  <w:style w:type="paragraph" w:styleId="2">
    <w:name w:val="heading 1"/>
    <w:basedOn w:val="1"/>
    <w:next w:val="3"/>
    <w:qFormat/>
    <w:uiPriority w:val="0"/>
    <w:pPr>
      <w:keepNext/>
      <w:keepLines/>
      <w:tabs>
        <w:tab w:val="left" w:pos="360"/>
      </w:tabs>
      <w:adjustRightInd w:val="0"/>
      <w:ind w:firstLine="0" w:firstLineChars="0"/>
      <w:jc w:val="left"/>
      <w:outlineLvl w:val="0"/>
    </w:pPr>
    <w:rPr>
      <w:rFonts w:ascii="宋体" w:hAnsi="宋体" w:eastAsia="宋体"/>
      <w:b/>
      <w:kern w:val="44"/>
      <w:szCs w:val="21"/>
    </w:rPr>
  </w:style>
  <w:style w:type="paragraph" w:styleId="4">
    <w:name w:val="heading 2"/>
    <w:basedOn w:val="1"/>
    <w:next w:val="3"/>
    <w:link w:val="13"/>
    <w:semiHidden/>
    <w:unhideWhenUsed/>
    <w:qFormat/>
    <w:uiPriority w:val="0"/>
    <w:pPr>
      <w:numPr>
        <w:ilvl w:val="0"/>
        <w:numId w:val="1"/>
      </w:numPr>
      <w:outlineLvl w:val="1"/>
    </w:pPr>
    <w:rPr>
      <w:rFonts w:asciiTheme="minorHAnsi" w:hAnsiTheme="minorHAnsi" w:eastAsiaTheme="majorEastAsia"/>
      <w:b/>
      <w:bCs/>
    </w:rPr>
  </w:style>
  <w:style w:type="paragraph" w:styleId="5">
    <w:name w:val="heading 3"/>
    <w:basedOn w:val="1"/>
    <w:next w:val="1"/>
    <w:link w:val="12"/>
    <w:semiHidden/>
    <w:unhideWhenUsed/>
    <w:qFormat/>
    <w:uiPriority w:val="0"/>
    <w:pPr>
      <w:keepNext/>
      <w:keepLines/>
      <w:adjustRightInd w:val="0"/>
      <w:spacing w:line="240" w:lineRule="auto"/>
      <w:ind w:firstLine="643"/>
      <w:jc w:val="left"/>
      <w:outlineLvl w:val="2"/>
    </w:pPr>
    <w:rPr>
      <w:rFonts w:ascii="宋体" w:hAnsi="宋体" w:eastAsia="宋体" w:cs="Times New Roman"/>
      <w:b/>
      <w:bCs/>
      <w:szCs w:val="21"/>
    </w:rPr>
  </w:style>
  <w:style w:type="paragraph" w:styleId="6">
    <w:name w:val="heading 4"/>
    <w:basedOn w:val="1"/>
    <w:next w:val="1"/>
    <w:semiHidden/>
    <w:unhideWhenUsed/>
    <w:qFormat/>
    <w:uiPriority w:val="0"/>
    <w:pPr>
      <w:keepNext/>
      <w:keepLines/>
      <w:outlineLvl w:val="3"/>
    </w:pPr>
    <w:rPr>
      <w:rFonts w:ascii="宋体" w:hAnsi="宋体" w:eastAsia="宋体"/>
      <w:b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before="180" w:after="180"/>
    </w:pPr>
  </w:style>
  <w:style w:type="paragraph" w:styleId="7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8">
    <w:name w:val="header"/>
    <w:basedOn w:val="1"/>
    <w:link w:val="14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10">
    <w:name w:val="Table Grid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标题 3 字符"/>
    <w:basedOn w:val="11"/>
    <w:link w:val="5"/>
    <w:autoRedefine/>
    <w:qFormat/>
    <w:uiPriority w:val="0"/>
    <w:rPr>
      <w:rFonts w:ascii="宋体" w:hAnsi="宋体" w:eastAsia="宋体" w:cs="Times New Roman"/>
      <w:b/>
      <w:bCs/>
      <w:kern w:val="2"/>
      <w:sz w:val="24"/>
      <w:szCs w:val="21"/>
    </w:rPr>
  </w:style>
  <w:style w:type="character" w:customStyle="1" w:styleId="13">
    <w:name w:val="标题 2 字符"/>
    <w:link w:val="4"/>
    <w:qFormat/>
    <w:uiPriority w:val="0"/>
    <w:rPr>
      <w:rFonts w:asciiTheme="minorHAnsi" w:hAnsiTheme="minorHAnsi" w:eastAsiaTheme="majorEastAsia" w:cstheme="minorBidi"/>
      <w:b/>
      <w:bCs/>
      <w:kern w:val="2"/>
      <w:sz w:val="24"/>
      <w:szCs w:val="24"/>
      <w:lang w:val="zh-CN" w:eastAsia="zh-CN" w:bidi="ar-SA"/>
    </w:rPr>
  </w:style>
  <w:style w:type="character" w:customStyle="1" w:styleId="14">
    <w:name w:val="页眉 字符"/>
    <w:basedOn w:val="11"/>
    <w:link w:val="8"/>
    <w:qFormat/>
    <w:uiPriority w:val="0"/>
    <w:rPr>
      <w:rFonts w:ascii="Times New Roman" w:hAnsi="Times New Roman"/>
      <w:kern w:val="2"/>
      <w:sz w:val="18"/>
      <w:szCs w:val="18"/>
      <w:lang w:val="zh-CN"/>
    </w:rPr>
  </w:style>
  <w:style w:type="character" w:customStyle="1" w:styleId="15">
    <w:name w:val="页脚 字符"/>
    <w:basedOn w:val="11"/>
    <w:link w:val="7"/>
    <w:qFormat/>
    <w:uiPriority w:val="0"/>
    <w:rPr>
      <w:rFonts w:ascii="Times New Roman" w:hAnsi="Times New Roman"/>
      <w:kern w:val="2"/>
      <w:sz w:val="18"/>
      <w:szCs w:val="18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e8cacd01-21f2-4002-9ba0-16e79a99d634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7374C91D</paraID>
      <start>66</start>
      <end>67</end>
      <status>modified</status>
      <modifiedWord>，</modifiedWord>
      <trackRevisions>false</trackRevisions>
    </reviewItem>
    <reviewItem>
      <errorID>22939fde-594a-47f7-a90e-0ef2fdac537e</errorID>
      <errorWord>《管理体系》（征求意见稿）</errorWord>
      <group>L1_Knowledge</group>
      <groupName>知识性问题</groupName>
      <ability>L2_Knowledge</ability>
      <abilityName>其他知识</abilityName>
      <candidateList>
        <item>《管理体系（征求意见稿）》</item>
      </candidateList>
      <explain>疑似政策文件、法律法规名称等书写不规范，请注意检查。</explain>
      <paraID>2C927EF9</paraID>
      <start>133</start>
      <end>146</end>
      <status>modified</status>
      <modifiedWord>《管理体系（征求意见稿）》</modifiedWord>
      <trackRevisions>false</trackRevisions>
    </reviewItem>
    <reviewItem>
      <errorID>b7ec120d-807a-42cc-9c66-4b78eb09770e</errorID>
      <errorWord>与</errorWord>
      <group>L1_Word</group>
      <groupName>字词问题</groupName>
      <ability>L2_Typo</ability>
      <abilityName>字词错误</abilityName>
      <candidateList>
        <item>和</item>
      </candidateList>
      <explain/>
      <paraID>4BBDF6A2</paraID>
      <start>68</start>
      <end>69</end>
      <status>modified</status>
      <modifiedWord>和</modifiedWord>
      <trackRevisions>false</trackRevisions>
    </reviewItem>
    <reviewItem>
      <errorID>c8152b21-7f93-47ed-b757-60b97c1309a7</errorID>
      <errorWord>。</errorWord>
      <group>L1_Format</group>
      <groupName>格式问题</groupName>
      <ability>L2_HalfPunc_CN</ability>
      <abilityName>全半角问题</abilityName>
      <candidateList>
        <item>.</item>
      </candidateList>
      <explain>文本全半角错误。</explain>
      <paraID> 3710461</paraID>
      <start>5</start>
      <end>6</end>
      <status>ignored</status>
      <modifiedWord/>
      <trackRevisions>false</trackRevisions>
    </reviewItem>
    <reviewItem>
      <errorID>e0bf4e3a-daac-4972-9e98-a460bd351a12</errorID>
      <errorWord>。</errorWord>
      <group>L1_Format</group>
      <groupName>格式问题</groupName>
      <ability>L2_HalfPunc_CN</ability>
      <abilityName>全半角问题</abilityName>
      <candidateList>
        <item>.</item>
      </candidateList>
      <explain>文本全半角错误。</explain>
      <paraID> D559FB2</paraID>
      <start>5</start>
      <end>6</end>
      <status>ignored</status>
      <modifiedWord/>
      <trackRevisions>false</trackRevisions>
    </reviewItem>
    <reviewItem>
      <errorID>3c9a6d10-8d32-418c-bcbf-91340a3784d4</errorID>
      <errorWord>；</errorWord>
      <group>L1_Word</group>
      <groupName>字词问题</groupName>
      <ability>L2_Typo</ability>
      <abilityName>字词错误</abilityName>
      <candidateList>
        <item>；在</item>
      </candidateList>
      <explain/>
      <paraID>3F701AB8</paraID>
      <start>44</start>
      <end>46</end>
      <status>modified</status>
      <modifiedWord>；在</modifiedWord>
      <trackRevisions>false</trackRevisions>
    </reviewItem>
    <reviewItem>
      <errorID>ec3ae52b-b5c1-48ee-99d4-6463a77d40d0</errorID>
      <errorWord>扰动</errorWord>
      <group>L1_Word</group>
      <groupName>字词问题</groupName>
      <ability>L2_Typo</ability>
      <abilityName>字词错误</abilityName>
      <candidateList>
        <item>干扰</item>
      </candidateList>
      <explain/>
      <paraID>3F701AB8</paraID>
      <start>84</start>
      <end>86</end>
      <status>modified</status>
      <modifiedWord>干扰</modifiedWord>
      <trackRevisions>false</trackRevisions>
    </reviewItem>
    <reviewItem>
      <errorID>3e56474c-d530-4cec-97dc-35c1811df9ad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4754F81B</paraID>
      <start>9</start>
      <end>10</end>
      <status>modified</status>
      <modifiedWord>:</modifiedWord>
      <trackRevisions>false</trackRevisions>
    </reviewItem>
    <reviewItem>
      <errorID>8153efe6-0204-406e-9d65-11f63d0545a0</errorID>
      <errorWord>中华人民共和国道路交通安全法</errorWord>
      <group>L1_Knowledge</group>
      <groupName>知识性问题</groupName>
      <ability>L2_Knowledge</ability>
      <abilityName>其他知识</abilityName>
      <candidateList>
        <item>《中华人民共和国道路交通安全法》</item>
      </candidateList>
      <explain>完整法律法规名称需要加书名号，请注意检查。</explain>
      <paraID>22D0825F</paraID>
      <start>0</start>
      <end>16</end>
      <status>modified</status>
      <modifiedWord>《中华人民共和国道路交通安全法》</modifiedWord>
      <trackRevisions>false</trackRevisions>
    </reviewItem>
    <reviewItem>
      <errorID>b2736618-5674-4203-b957-9f7df5713f37</errorID>
      <errorWord>中华人民共和国个人信息保护法</errorWord>
      <group>L1_Knowledge</group>
      <groupName>知识性问题</groupName>
      <ability>L2_Knowledge</ability>
      <abilityName>其他知识</abilityName>
      <candidateList>
        <item>《中华人民共和国个人信息保护法》</item>
      </candidateList>
      <explain>完整法律法规名称需要加书名号，请注意检查。</explain>
      <paraID>670A8EEB</paraID>
      <start>0</start>
      <end>16</end>
      <status>modified</status>
      <modifiedWord>《中华人民共和国个人信息保护法》</modifiedWord>
      <trackRevisions>false</trackRevisions>
    </reviewItem>
    <reviewItem>
      <errorID>1f8018b0-2401-4a54-8d03-7b9417b0a505</errorID>
      <errorWord>中华人民共和国产品质量法</errorWord>
      <group>L1_Knowledge</group>
      <groupName>知识性问题</groupName>
      <ability>L2_Knowledge</ability>
      <abilityName>其他知识</abilityName>
      <candidateList>
        <item>《中华人民共和国产品质量法》</item>
      </candidateList>
      <explain>完整法律法规名称需要加书名号，请注意检查。</explain>
      <paraID>  3F36AD</paraID>
      <start>0</start>
      <end>14</end>
      <status>modified</status>
      <modifiedWord>《中华人民共和国产品质量法》</modifiedWord>
      <trackRevisions>false</trackRevisions>
    </reviewItem>
    <reviewItem>
      <errorID>d4d53a79-87a7-45b4-9e76-7ef1773d8322</errorID>
      <errorWord>中华人民共和国劳动法</errorWord>
      <group>L1_Knowledge</group>
      <groupName>知识性问题</groupName>
      <ability>L2_Knowledge</ability>
      <abilityName>其他知识</abilityName>
      <candidateList>
        <item>《中华人民共和国劳动法》</item>
      </candidateList>
      <explain>完整法律法规名称需要加书名号，请注意检查。</explain>
      <paraID> 4924809</paraID>
      <start>0</start>
      <end>12</end>
      <status>modified</status>
      <modifiedWord>《中华人民共和国劳动法》</modifiedWord>
      <trackRevisions>false</trackRevisions>
    </reviewItem>
    <reviewItem>
      <errorID>332ca219-c94b-45e8-adcd-0ff0d2f5b691</errorID>
      <errorWord>中华人民共和国公司法</errorWord>
      <group>L1_Knowledge</group>
      <groupName>知识性问题</groupName>
      <ability>L2_Knowledge</ability>
      <abilityName>其他知识</abilityName>
      <candidateList>
        <item>《中华人民共和国公司法》</item>
      </candidateList>
      <explain>完整法律法规名称需要加书名号，请注意检查。</explain>
      <paraID>1C494530</paraID>
      <start>0</start>
      <end>12</end>
      <status>modified</status>
      <modifiedWord>《中华人民共和国公司法》</modifiedWord>
      <trackRevisions>false</trackRevisions>
    </reviewItem>
    <reviewItem>
      <errorID>be51745d-c6d2-4727-bd9e-7952e1c0d7fa</errorID>
      <errorWord>中华人民共和国反不正当竞争法</errorWord>
      <group>L1_Knowledge</group>
      <groupName>知识性问题</groupName>
      <ability>L2_Knowledge</ability>
      <abilityName>其他知识</abilityName>
      <candidateList>
        <item>《中华人民共和国反不正当竞争法》</item>
      </candidateList>
      <explain>完整法律法规名称需要加书名号，请注意检查。</explain>
      <paraID>38937CB9</paraID>
      <start>0</start>
      <end>16</end>
      <status>modified</status>
      <modifiedWord>《中华人民共和国反不正当竞争法》</modifiedWord>
      <trackRevisions>false</trackRevisions>
    </reviewItem>
    <reviewItem>
      <errorID>db93debe-3fa0-429c-bd3c-7e5d2c305a6d</errorID>
      <errorWord>中华人民共和国反垄断法</errorWord>
      <group>L1_Knowledge</group>
      <groupName>知识性问题</groupName>
      <ability>L2_Knowledge</ability>
      <abilityName>其他知识</abilityName>
      <candidateList>
        <item>《中华人民共和国反垄断法》</item>
      </candidateList>
      <explain>完整法律法规名称需要加书名号，请注意检查。</explain>
      <paraID>22210649</paraID>
      <start>0</start>
      <end>13</end>
      <status>modified</status>
      <modifiedWord>《中华人民共和国反垄断法》</modifiedWord>
      <trackRevisions>false</trackRevisions>
    </reviewItem>
    <reviewItem>
      <errorID>195dcca4-3a84-47e5-9117-ed1327b953a8</errorID>
      <errorWord>产业链和供应链</errorWord>
      <group>L1_Political</group>
      <groupName>政治性问题</groupName>
      <ability>L2_Keyword</ability>
      <abilityName>固定表述</abilityName>
      <candidateList>
        <item>产业链供应链</item>
      </candidateList>
      <explain>词汇“产业链供应链”在特定场景下为固定表述形式，请确认此处的“产业链和供应链”是否存在不当。</explain>
      <paraID>5505136F</paraID>
      <start>25</start>
      <end>31</end>
      <status>modified</status>
      <modifiedWord>产业链供应链</modifiedWord>
      <trackRevisions>false</trackRevisions>
    </reviewItem>
    <reviewItem>
      <errorID>848ce5b0-3beb-4455-8da7-75da7410cd83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51F18C1F</paraID>
      <start>5</start>
      <end>10</end>
      <status>ignored</status>
      <modifiedWord/>
      <trackRevisions>false</trackRevisions>
    </reviewItem>
    <reviewItem>
      <errorID>36aba42a-30b8-471c-b72c-dff19f2a1cef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633A4AF3</paraID>
      <start>7</start>
      <end>12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24FCD44-15DF-461A-86A1-76E8FC004D1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5208</Words>
  <Characters>6067</Characters>
  <Lines>44</Lines>
  <Paragraphs>12</Paragraphs>
  <TotalTime>18</TotalTime>
  <ScaleCrop>false</ScaleCrop>
  <LinksUpToDate>false</LinksUpToDate>
  <CharactersWithSpaces>6182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2026-09-04T06:44:00Z</dcterms:created>
  <dc:creator>文琦</dc:creator>
  <cp:lastModifiedBy>文琦</cp:lastModifiedBy>
  <dcterms:modified xsi:type="dcterms:W3CDTF">2026-09-10T09:26:44Z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EEFC0DDD3E1C4A38BFB4AE74B129F315_11</vt:lpwstr>
  </property>
  <property fmtid="{D5CDD505-2E9C-101B-9397-08002B2CF9AE}" pid="4" name="KSOTemplateDocerSaveRecord">
    <vt:lpwstr>eyJoZGlkIjoiZjM0N2FiNDFiNzA2Y2VkZmJiZDRkMThmZjdjNzVjOTQiLCJ1c2VySWQiOiIzNTcwOTAzNDgifQ==</vt:lpwstr>
  </property>
</Properties>
</file>