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DE786" w14:textId="77777777" w:rsidR="00CA5006" w:rsidRDefault="00000000">
      <w:pPr>
        <w:overflowPunct w:val="0"/>
        <w:snapToGrid w:val="0"/>
        <w:spacing w:before="43" w:line="360" w:lineRule="auto"/>
        <w:ind w:left="30" w:right="8259" w:hanging="2"/>
        <w:jc w:val="left"/>
        <w:textAlignment w:val="baseline"/>
        <w:rPr>
          <w:rFonts w:ascii="黑体" w:eastAsia="黑体" w:hAnsi="黑体" w:cs="黑体" w:hint="eastAsia"/>
          <w:snapToGrid w:val="0"/>
          <w:color w:val="000000"/>
          <w:kern w:val="0"/>
          <w:lang w:eastAsia="en-US"/>
        </w:rPr>
      </w:pPr>
      <w:bookmarkStart w:id="0" w:name="BookMark1"/>
      <w:bookmarkStart w:id="1" w:name="_Toc149133497"/>
      <w:bookmarkStart w:id="2" w:name="_Toc155276538"/>
      <w:bookmarkStart w:id="3" w:name="_Toc155283309"/>
      <w:bookmarkStart w:id="4" w:name="_Toc25559"/>
      <w:r>
        <w:rPr>
          <w:rFonts w:ascii="Times New Roman" w:eastAsia="Times New Roman" w:hAnsi="Times New Roman"/>
          <w:snapToGrid w:val="0"/>
          <w:color w:val="000000"/>
          <w:spacing w:val="-1"/>
          <w:kern w:val="0"/>
          <w:position w:val="1"/>
          <w:lang w:eastAsia="en-US"/>
        </w:rPr>
        <w:t>ICS</w:t>
      </w:r>
      <w:r>
        <w:rPr>
          <w:rFonts w:ascii="Times New Roman" w:eastAsia="Times New Roman" w:hAnsi="Times New Roman"/>
          <w:snapToGrid w:val="0"/>
          <w:color w:val="000000"/>
          <w:spacing w:val="11"/>
          <w:kern w:val="0"/>
          <w:position w:val="1"/>
          <w:lang w:eastAsia="en-US"/>
        </w:rPr>
        <w:t xml:space="preserve">   </w:t>
      </w:r>
      <w:r>
        <w:rPr>
          <w:rFonts w:ascii="黑体" w:eastAsia="黑体" w:hAnsi="黑体" w:cs="黑体"/>
          <w:snapToGrid w:val="0"/>
          <w:color w:val="000000"/>
          <w:spacing w:val="-1"/>
          <w:kern w:val="0"/>
          <w:lang w:eastAsia="en-US"/>
        </w:rPr>
        <w:t>03.100.01</w:t>
      </w:r>
      <w:r>
        <w:rPr>
          <w:rFonts w:ascii="黑体" w:eastAsia="黑体" w:hAnsi="黑体" w:cs="黑体"/>
          <w:snapToGrid w:val="0"/>
          <w:color w:val="000000"/>
          <w:kern w:val="0"/>
          <w:lang w:eastAsia="en-US"/>
        </w:rPr>
        <w:t xml:space="preserve"> </w:t>
      </w:r>
      <w:r>
        <w:rPr>
          <w:rFonts w:ascii="Times New Roman" w:eastAsia="Times New Roman" w:hAnsi="Times New Roman"/>
          <w:snapToGrid w:val="0"/>
          <w:color w:val="000000"/>
          <w:spacing w:val="-2"/>
          <w:kern w:val="0"/>
          <w:position w:val="1"/>
          <w:lang w:eastAsia="en-US"/>
        </w:rPr>
        <w:t>CCS</w:t>
      </w:r>
      <w:r>
        <w:rPr>
          <w:rFonts w:ascii="Times New Roman" w:eastAsia="Times New Roman" w:hAnsi="Times New Roman"/>
          <w:snapToGrid w:val="0"/>
          <w:color w:val="000000"/>
          <w:spacing w:val="4"/>
          <w:kern w:val="0"/>
          <w:position w:val="1"/>
          <w:lang w:eastAsia="en-US"/>
        </w:rPr>
        <w:t xml:space="preserve">  </w:t>
      </w:r>
      <w:r>
        <w:rPr>
          <w:rFonts w:ascii="黑体" w:eastAsia="黑体" w:hAnsi="黑体" w:cs="黑体"/>
          <w:snapToGrid w:val="0"/>
          <w:color w:val="000000"/>
          <w:spacing w:val="-2"/>
          <w:kern w:val="0"/>
          <w:lang w:eastAsia="en-US"/>
        </w:rPr>
        <w:t>A</w:t>
      </w:r>
      <w:r>
        <w:rPr>
          <w:rFonts w:ascii="黑体" w:eastAsia="黑体" w:hAnsi="黑体" w:cs="黑体"/>
          <w:snapToGrid w:val="0"/>
          <w:color w:val="000000"/>
          <w:spacing w:val="7"/>
          <w:kern w:val="0"/>
          <w:lang w:eastAsia="en-US"/>
        </w:rPr>
        <w:t xml:space="preserve"> </w:t>
      </w:r>
      <w:r>
        <w:rPr>
          <w:rFonts w:ascii="黑体" w:eastAsia="黑体" w:hAnsi="黑体" w:cs="黑体"/>
          <w:snapToGrid w:val="0"/>
          <w:color w:val="000000"/>
          <w:spacing w:val="-2"/>
          <w:kern w:val="0"/>
          <w:lang w:eastAsia="en-US"/>
        </w:rPr>
        <w:t>02</w:t>
      </w:r>
    </w:p>
    <w:p w14:paraId="0E27CA63" w14:textId="77777777" w:rsidR="00CA5006" w:rsidRDefault="00CA5006">
      <w:pPr>
        <w:widowControl/>
        <w:overflowPunct w:val="0"/>
        <w:snapToGrid w:val="0"/>
        <w:spacing w:line="360" w:lineRule="auto"/>
        <w:jc w:val="left"/>
        <w:textAlignment w:val="baseline"/>
        <w:rPr>
          <w:rFonts w:ascii="Arial" w:eastAsia="Arial" w:hAnsi="Arial" w:cs="Arial"/>
          <w:snapToGrid w:val="0"/>
          <w:color w:val="000000"/>
          <w:kern w:val="0"/>
          <w:lang w:eastAsia="en-US"/>
        </w:rPr>
      </w:pPr>
    </w:p>
    <w:p w14:paraId="278BEF1D" w14:textId="77777777" w:rsidR="00CA5006" w:rsidRDefault="00CA5006">
      <w:pPr>
        <w:widowControl/>
        <w:overflowPunct w:val="0"/>
        <w:snapToGrid w:val="0"/>
        <w:spacing w:line="360" w:lineRule="auto"/>
        <w:jc w:val="left"/>
        <w:textAlignment w:val="baseline"/>
        <w:rPr>
          <w:rFonts w:ascii="Arial" w:eastAsia="Arial" w:hAnsi="Arial" w:cs="Arial"/>
          <w:snapToGrid w:val="0"/>
          <w:color w:val="000000"/>
          <w:kern w:val="0"/>
          <w:lang w:eastAsia="en-US"/>
        </w:rPr>
      </w:pPr>
    </w:p>
    <w:p w14:paraId="3E60F963" w14:textId="77777777" w:rsidR="00CA5006" w:rsidRDefault="00000000">
      <w:pPr>
        <w:overflowPunct w:val="0"/>
        <w:snapToGrid w:val="0"/>
        <w:spacing w:before="234" w:line="360" w:lineRule="auto"/>
        <w:jc w:val="left"/>
        <w:textAlignment w:val="baseline"/>
        <w:rPr>
          <w:rFonts w:ascii="黑体" w:eastAsia="黑体" w:hAnsi="黑体" w:cs="黑体" w:hint="eastAsia"/>
          <w:snapToGrid w:val="0"/>
          <w:color w:val="000000"/>
          <w:kern w:val="0"/>
          <w:sz w:val="72"/>
          <w:szCs w:val="72"/>
          <w:lang w:eastAsia="en-US"/>
        </w:rPr>
      </w:pPr>
      <w:r>
        <w:rPr>
          <w:rFonts w:ascii="黑体" w:eastAsia="黑体" w:hAnsi="黑体" w:cs="黑体"/>
          <w:snapToGrid w:val="0"/>
          <w:color w:val="000000"/>
          <w:spacing w:val="-28"/>
          <w:kern w:val="0"/>
          <w:sz w:val="72"/>
          <w:szCs w:val="72"/>
          <w:lang w:eastAsia="en-US"/>
        </w:rPr>
        <w:t>团</w:t>
      </w:r>
      <w:r>
        <w:rPr>
          <w:rFonts w:ascii="黑体" w:eastAsia="黑体" w:hAnsi="黑体" w:cs="黑体"/>
          <w:snapToGrid w:val="0"/>
          <w:color w:val="000000"/>
          <w:spacing w:val="20"/>
          <w:kern w:val="0"/>
          <w:sz w:val="72"/>
          <w:szCs w:val="72"/>
          <w:lang w:eastAsia="en-US"/>
        </w:rPr>
        <w:t xml:space="preserve">      </w:t>
      </w:r>
      <w:r>
        <w:rPr>
          <w:rFonts w:ascii="黑体" w:eastAsia="黑体" w:hAnsi="黑体" w:cs="黑体"/>
          <w:snapToGrid w:val="0"/>
          <w:color w:val="000000"/>
          <w:spacing w:val="-28"/>
          <w:kern w:val="0"/>
          <w:sz w:val="72"/>
          <w:szCs w:val="72"/>
          <w:lang w:eastAsia="en-US"/>
        </w:rPr>
        <w:t>体</w:t>
      </w:r>
      <w:r>
        <w:rPr>
          <w:rFonts w:ascii="黑体" w:eastAsia="黑体" w:hAnsi="黑体" w:cs="黑体"/>
          <w:snapToGrid w:val="0"/>
          <w:color w:val="000000"/>
          <w:spacing w:val="18"/>
          <w:kern w:val="0"/>
          <w:sz w:val="72"/>
          <w:szCs w:val="72"/>
          <w:lang w:eastAsia="en-US"/>
        </w:rPr>
        <w:t xml:space="preserve">      </w:t>
      </w:r>
      <w:r>
        <w:rPr>
          <w:rFonts w:ascii="黑体" w:eastAsia="黑体" w:hAnsi="黑体" w:cs="黑体"/>
          <w:snapToGrid w:val="0"/>
          <w:color w:val="000000"/>
          <w:spacing w:val="-28"/>
          <w:kern w:val="0"/>
          <w:sz w:val="72"/>
          <w:szCs w:val="72"/>
          <w:lang w:eastAsia="en-US"/>
        </w:rPr>
        <w:t>标</w:t>
      </w:r>
      <w:r>
        <w:rPr>
          <w:rFonts w:ascii="黑体" w:eastAsia="黑体" w:hAnsi="黑体" w:cs="黑体"/>
          <w:snapToGrid w:val="0"/>
          <w:color w:val="000000"/>
          <w:spacing w:val="21"/>
          <w:kern w:val="0"/>
          <w:sz w:val="72"/>
          <w:szCs w:val="72"/>
          <w:lang w:eastAsia="en-US"/>
        </w:rPr>
        <w:t xml:space="preserve">      </w:t>
      </w:r>
      <w:r>
        <w:rPr>
          <w:rFonts w:ascii="黑体" w:eastAsia="黑体" w:hAnsi="黑体" w:cs="黑体"/>
          <w:snapToGrid w:val="0"/>
          <w:color w:val="000000"/>
          <w:spacing w:val="-28"/>
          <w:kern w:val="0"/>
          <w:sz w:val="72"/>
          <w:szCs w:val="72"/>
          <w:lang w:eastAsia="en-US"/>
        </w:rPr>
        <w:t>准</w:t>
      </w:r>
    </w:p>
    <w:p w14:paraId="294C1A3E" w14:textId="77777777" w:rsidR="00CA5006" w:rsidRDefault="00000000">
      <w:pPr>
        <w:overflowPunct w:val="0"/>
        <w:snapToGrid w:val="0"/>
        <w:spacing w:before="323" w:line="360" w:lineRule="auto"/>
        <w:ind w:left="6919"/>
        <w:jc w:val="left"/>
        <w:textAlignment w:val="baseline"/>
        <w:rPr>
          <w:rFonts w:ascii="黑体" w:eastAsia="黑体" w:hAnsi="黑体" w:cs="黑体" w:hint="eastAsia"/>
          <w:snapToGrid w:val="0"/>
          <w:color w:val="000000"/>
          <w:kern w:val="0"/>
          <w:sz w:val="28"/>
          <w:szCs w:val="28"/>
          <w:lang w:eastAsia="en-US"/>
        </w:rPr>
      </w:pPr>
      <w:r>
        <w:rPr>
          <w:rFonts w:ascii="黑体" w:eastAsia="黑体" w:hAnsi="黑体" w:cs="黑体"/>
          <w:snapToGrid w:val="0"/>
          <w:color w:val="000000"/>
          <w:spacing w:val="-3"/>
          <w:kern w:val="0"/>
          <w:sz w:val="28"/>
          <w:szCs w:val="28"/>
          <w:lang w:eastAsia="en-US"/>
        </w:rPr>
        <w:t>T/</w:t>
      </w:r>
      <w:r>
        <w:rPr>
          <w:rFonts w:ascii="黑体" w:eastAsia="黑体" w:hAnsi="黑体" w:cs="黑体" w:hint="eastAsia"/>
          <w:snapToGrid w:val="0"/>
          <w:color w:val="000000"/>
          <w:spacing w:val="-3"/>
          <w:kern w:val="0"/>
          <w:sz w:val="28"/>
          <w:szCs w:val="28"/>
        </w:rPr>
        <w:t>XXX</w:t>
      </w:r>
      <w:r>
        <w:rPr>
          <w:rFonts w:ascii="黑体" w:eastAsia="黑体" w:hAnsi="黑体" w:cs="黑体"/>
          <w:snapToGrid w:val="0"/>
          <w:color w:val="000000"/>
          <w:spacing w:val="37"/>
          <w:kern w:val="0"/>
          <w:sz w:val="28"/>
          <w:szCs w:val="28"/>
          <w:lang w:eastAsia="en-US"/>
        </w:rPr>
        <w:t xml:space="preserve"> </w:t>
      </w:r>
      <w:r>
        <w:rPr>
          <w:rFonts w:ascii="黑体" w:eastAsia="黑体" w:hAnsi="黑体" w:cs="黑体" w:hint="eastAsia"/>
          <w:snapToGrid w:val="0"/>
          <w:color w:val="000000"/>
          <w:spacing w:val="-3"/>
          <w:kern w:val="0"/>
          <w:sz w:val="28"/>
          <w:szCs w:val="28"/>
        </w:rPr>
        <w:t>XXXX</w:t>
      </w:r>
      <w:r>
        <w:rPr>
          <w:rFonts w:ascii="黑体" w:eastAsia="黑体" w:hAnsi="黑体" w:cs="黑体"/>
          <w:snapToGrid w:val="0"/>
          <w:color w:val="000000"/>
          <w:spacing w:val="-3"/>
          <w:kern w:val="0"/>
          <w:sz w:val="28"/>
          <w:szCs w:val="28"/>
          <w:lang w:eastAsia="en-US"/>
        </w:rPr>
        <w:t>—</w:t>
      </w:r>
      <w:r>
        <w:rPr>
          <w:rFonts w:ascii="黑体" w:eastAsia="黑体" w:hAnsi="黑体" w:cs="黑体" w:hint="eastAsia"/>
          <w:snapToGrid w:val="0"/>
          <w:color w:val="000000"/>
          <w:spacing w:val="-3"/>
          <w:kern w:val="0"/>
          <w:sz w:val="28"/>
          <w:szCs w:val="28"/>
        </w:rPr>
        <w:t>XXXX</w:t>
      </w:r>
    </w:p>
    <w:p w14:paraId="679776BE" w14:textId="77777777" w:rsidR="00CA5006" w:rsidRDefault="00CA5006">
      <w:pPr>
        <w:widowControl/>
        <w:overflowPunct w:val="0"/>
        <w:snapToGrid w:val="0"/>
        <w:spacing w:line="360" w:lineRule="auto"/>
        <w:jc w:val="left"/>
        <w:textAlignment w:val="baseline"/>
        <w:rPr>
          <w:rFonts w:ascii="Arial" w:eastAsia="Arial" w:hAnsi="Arial" w:cs="Arial"/>
          <w:snapToGrid w:val="0"/>
          <w:color w:val="000000"/>
          <w:kern w:val="0"/>
          <w:lang w:eastAsia="en-US"/>
        </w:rPr>
      </w:pPr>
    </w:p>
    <w:p w14:paraId="38B33609" w14:textId="77777777" w:rsidR="00CA5006" w:rsidRDefault="00CA5006">
      <w:pPr>
        <w:widowControl/>
        <w:overflowPunct w:val="0"/>
        <w:snapToGrid w:val="0"/>
        <w:spacing w:line="360" w:lineRule="auto"/>
        <w:jc w:val="left"/>
        <w:textAlignment w:val="baseline"/>
        <w:rPr>
          <w:rFonts w:ascii="Arial" w:eastAsia="Arial" w:hAnsi="Arial" w:cs="Arial"/>
          <w:snapToGrid w:val="0"/>
          <w:color w:val="000000"/>
          <w:kern w:val="0"/>
          <w:lang w:eastAsia="en-US"/>
        </w:rPr>
      </w:pPr>
    </w:p>
    <w:p w14:paraId="4E2CB708" w14:textId="77777777" w:rsidR="00CA5006" w:rsidRDefault="00000000">
      <w:pPr>
        <w:widowControl/>
        <w:overflowPunct w:val="0"/>
        <w:snapToGrid w:val="0"/>
        <w:spacing w:line="360" w:lineRule="auto"/>
        <w:jc w:val="left"/>
        <w:textAlignment w:val="baseline"/>
        <w:rPr>
          <w:rFonts w:ascii="Arial" w:eastAsia="Arial" w:hAnsi="Arial" w:cs="Arial"/>
          <w:snapToGrid w:val="0"/>
          <w:color w:val="000000"/>
          <w:kern w:val="0"/>
          <w:lang w:eastAsia="en-US"/>
        </w:rPr>
      </w:pPr>
      <w:r>
        <w:rPr>
          <w:rFonts w:ascii="Arial" w:eastAsia="Arial" w:hAnsi="Arial" w:cs="Arial"/>
          <w:noProof/>
          <w:snapToGrid w:val="0"/>
          <w:color w:val="000000"/>
          <w:kern w:val="0"/>
          <w:lang w:eastAsia="en-US"/>
        </w:rPr>
        <mc:AlternateContent>
          <mc:Choice Requires="wps">
            <w:drawing>
              <wp:anchor distT="0" distB="0" distL="114300" distR="114300" simplePos="0" relativeHeight="251660288" behindDoc="0" locked="0" layoutInCell="1" allowOverlap="1" wp14:anchorId="034A3D9B" wp14:editId="522A2120">
                <wp:simplePos x="0" y="0"/>
                <wp:positionH relativeFrom="column">
                  <wp:posOffset>49530</wp:posOffset>
                </wp:positionH>
                <wp:positionV relativeFrom="paragraph">
                  <wp:posOffset>86360</wp:posOffset>
                </wp:positionV>
                <wp:extent cx="6120130" cy="9525"/>
                <wp:effectExtent l="0" t="0" r="0" b="0"/>
                <wp:wrapNone/>
                <wp:docPr id="2" name="任意多边形 2"/>
                <wp:cNvGraphicFramePr/>
                <a:graphic xmlns:a="http://schemas.openxmlformats.org/drawingml/2006/main">
                  <a:graphicData uri="http://schemas.microsoft.com/office/word/2010/wordprocessingShape">
                    <wps:wsp>
                      <wps:cNvSpPr/>
                      <wps:spPr>
                        <a:xfrm>
                          <a:off x="0" y="0"/>
                          <a:ext cx="6120130" cy="9525"/>
                        </a:xfrm>
                        <a:custGeom>
                          <a:avLst/>
                          <a:gdLst/>
                          <a:ahLst/>
                          <a:cxnLst/>
                          <a:rect l="0" t="0" r="0" b="0"/>
                          <a:pathLst>
                            <a:path w="9637" h="15">
                              <a:moveTo>
                                <a:pt x="0" y="7"/>
                              </a:moveTo>
                              <a:lnTo>
                                <a:pt x="9637" y="7"/>
                              </a:lnTo>
                            </a:path>
                          </a:pathLst>
                        </a:custGeom>
                        <a:noFill/>
                        <a:ln w="9525" cap="flat" cmpd="sng">
                          <a:solidFill>
                            <a:srgbClr val="000000"/>
                          </a:solidFill>
                          <a:prstDash val="solid"/>
                          <a:headEnd type="none" w="med" len="med"/>
                          <a:tailEnd type="none" w="med" len="med"/>
                        </a:ln>
                      </wps:spPr>
                      <wps:bodyPr upright="1"/>
                    </wps:wsp>
                  </a:graphicData>
                </a:graphic>
              </wp:anchor>
            </w:drawing>
          </mc:Choice>
          <mc:Fallback>
            <w:pict>
              <v:shape w14:anchorId="032248A5" id="任意多边形 2" o:spid="_x0000_s1026" style="position:absolute;margin-left:3.9pt;margin-top:6.8pt;width:481.9pt;height:.75pt;z-index:251660288;visibility:visible;mso-wrap-style:square;mso-wrap-distance-left:9pt;mso-wrap-distance-top:0;mso-wrap-distance-right:9pt;mso-wrap-distance-bottom:0;mso-position-horizontal:absolute;mso-position-horizontal-relative:text;mso-position-vertical:absolute;mso-position-vertical-relative:text;v-text-anchor:top" coordsize="963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" path="m,7r9637,e" filled="f">
                <v:path arrowok="t" textboxrect="0,0,9637,15"/>
              </v:shape>
            </w:pict>
          </mc:Fallback>
        </mc:AlternateContent>
      </w:r>
    </w:p>
    <w:p w14:paraId="24769DDA" w14:textId="77777777" w:rsidR="00CA5006" w:rsidRDefault="00CA5006">
      <w:pPr>
        <w:widowControl/>
        <w:overflowPunct w:val="0"/>
        <w:snapToGrid w:val="0"/>
        <w:spacing w:line="360" w:lineRule="auto"/>
        <w:jc w:val="left"/>
        <w:textAlignment w:val="baseline"/>
        <w:rPr>
          <w:rFonts w:ascii="Arial" w:eastAsia="Arial" w:hAnsi="Arial" w:cs="Arial"/>
          <w:snapToGrid w:val="0"/>
          <w:color w:val="000000"/>
          <w:kern w:val="0"/>
          <w:lang w:eastAsia="en-US"/>
        </w:rPr>
      </w:pPr>
    </w:p>
    <w:p w14:paraId="759275E8" w14:textId="77777777" w:rsidR="00CA5006" w:rsidRDefault="00CA5006">
      <w:pPr>
        <w:widowControl/>
        <w:overflowPunct w:val="0"/>
        <w:snapToGrid w:val="0"/>
        <w:spacing w:line="360" w:lineRule="auto"/>
        <w:jc w:val="left"/>
        <w:textAlignment w:val="baseline"/>
        <w:rPr>
          <w:rFonts w:ascii="Arial" w:eastAsia="Arial" w:hAnsi="Arial" w:cs="Arial"/>
          <w:snapToGrid w:val="0"/>
          <w:color w:val="000000"/>
          <w:kern w:val="0"/>
          <w:lang w:eastAsia="en-US"/>
        </w:rPr>
      </w:pPr>
    </w:p>
    <w:p w14:paraId="0EC22A96" w14:textId="77777777" w:rsidR="00CA5006" w:rsidRDefault="00CA5006">
      <w:pPr>
        <w:widowControl/>
        <w:overflowPunct w:val="0"/>
        <w:snapToGrid w:val="0"/>
        <w:spacing w:line="360" w:lineRule="auto"/>
        <w:jc w:val="left"/>
        <w:textAlignment w:val="baseline"/>
        <w:rPr>
          <w:rFonts w:ascii="Arial" w:eastAsia="Arial" w:hAnsi="Arial" w:cs="Arial"/>
          <w:snapToGrid w:val="0"/>
          <w:color w:val="000000"/>
          <w:kern w:val="0"/>
          <w:lang w:eastAsia="en-US"/>
        </w:rPr>
      </w:pPr>
    </w:p>
    <w:p w14:paraId="49E88625" w14:textId="77777777" w:rsidR="00CA5006" w:rsidRDefault="00CA5006">
      <w:pPr>
        <w:widowControl/>
        <w:overflowPunct w:val="0"/>
        <w:snapToGrid w:val="0"/>
        <w:spacing w:line="360" w:lineRule="auto"/>
        <w:jc w:val="left"/>
        <w:textAlignment w:val="baseline"/>
        <w:rPr>
          <w:rFonts w:ascii="Arial" w:eastAsia="Arial" w:hAnsi="Arial" w:cs="Arial"/>
          <w:snapToGrid w:val="0"/>
          <w:color w:val="000000"/>
          <w:kern w:val="0"/>
          <w:lang w:eastAsia="en-US"/>
        </w:rPr>
      </w:pPr>
    </w:p>
    <w:p w14:paraId="786F287B" w14:textId="77777777" w:rsidR="00CA5006" w:rsidRDefault="00CA5006">
      <w:pPr>
        <w:widowControl/>
        <w:overflowPunct w:val="0"/>
        <w:snapToGrid w:val="0"/>
        <w:spacing w:line="360" w:lineRule="auto"/>
        <w:jc w:val="left"/>
        <w:textAlignment w:val="baseline"/>
        <w:rPr>
          <w:rFonts w:ascii="Arial" w:eastAsia="Arial" w:hAnsi="Arial" w:cs="Arial"/>
          <w:snapToGrid w:val="0"/>
          <w:color w:val="000000"/>
          <w:kern w:val="0"/>
          <w:lang w:eastAsia="en-US"/>
        </w:rPr>
      </w:pPr>
    </w:p>
    <w:p w14:paraId="5B70FE3A" w14:textId="77777777" w:rsidR="00CA5006" w:rsidRDefault="00000000">
      <w:pPr>
        <w:pStyle w:val="afffb"/>
        <w:widowControl/>
        <w:overflowPunct w:val="0"/>
        <w:snapToGrid w:val="0"/>
        <w:spacing w:before="169"/>
        <w:jc w:val="center"/>
        <w:textAlignment w:val="baseline"/>
        <w:outlineLvl w:val="0"/>
        <w:rPr>
          <w:rFonts w:ascii="黑体" w:eastAsia="黑体" w:hAnsi="黑体" w:cs="黑体" w:hint="eastAsia"/>
          <w:snapToGrid w:val="0"/>
          <w:color w:val="000000"/>
          <w:spacing w:val="-7"/>
          <w:kern w:val="0"/>
          <w:sz w:val="52"/>
          <w:szCs w:val="52"/>
        </w:rPr>
      </w:pPr>
      <w:r>
        <w:rPr>
          <w:rFonts w:ascii="黑体" w:eastAsia="黑体" w:hAnsi="黑体" w:cs="黑体" w:hint="eastAsia"/>
          <w:snapToGrid w:val="0"/>
          <w:color w:val="000000"/>
          <w:spacing w:val="-7"/>
          <w:kern w:val="0"/>
          <w:sz w:val="52"/>
          <w:szCs w:val="52"/>
        </w:rPr>
        <w:t>中国汽车行业ESG评价指南</w:t>
      </w:r>
    </w:p>
    <w:p w14:paraId="18D5E78A" w14:textId="77777777" w:rsidR="00CA5006" w:rsidRDefault="00CA5006">
      <w:pPr>
        <w:widowControl/>
        <w:overflowPunct w:val="0"/>
        <w:snapToGrid w:val="0"/>
        <w:spacing w:line="360" w:lineRule="auto"/>
        <w:jc w:val="left"/>
        <w:textAlignment w:val="baseline"/>
        <w:rPr>
          <w:rFonts w:ascii="Arial" w:eastAsia="Arial" w:hAnsi="Arial" w:cs="Arial"/>
          <w:snapToGrid w:val="0"/>
          <w:color w:val="000000"/>
          <w:kern w:val="0"/>
          <w:lang w:eastAsia="en-US"/>
        </w:rPr>
      </w:pPr>
    </w:p>
    <w:p w14:paraId="61206542" w14:textId="77777777" w:rsidR="00CA5006" w:rsidRDefault="00000000">
      <w:pPr>
        <w:spacing w:line="360" w:lineRule="exact"/>
        <w:jc w:val="center"/>
        <w:textAlignment w:val="bottom"/>
        <w:rPr>
          <w:rFonts w:ascii="Times New Roman" w:eastAsia="黑体" w:hAnsi="Times New Roman"/>
          <w:sz w:val="28"/>
          <w:szCs w:val="28"/>
        </w:rPr>
      </w:pPr>
      <w:r>
        <w:rPr>
          <w:rFonts w:ascii="Times New Roman" w:eastAsia="黑体" w:hAnsi="Times New Roman"/>
          <w:sz w:val="28"/>
          <w:szCs w:val="28"/>
        </w:rPr>
        <w:t>Evaluation guidance on ESG of China automotive industry</w:t>
      </w:r>
    </w:p>
    <w:p w14:paraId="32D983CC" w14:textId="77777777" w:rsidR="00CA5006" w:rsidRDefault="00CA5006">
      <w:pPr>
        <w:widowControl/>
        <w:overflowPunct w:val="0"/>
        <w:snapToGrid w:val="0"/>
        <w:spacing w:line="360" w:lineRule="auto"/>
        <w:jc w:val="left"/>
        <w:textAlignment w:val="baseline"/>
        <w:rPr>
          <w:rFonts w:ascii="Arial" w:eastAsia="Arial" w:hAnsi="Arial" w:cs="Arial"/>
          <w:snapToGrid w:val="0"/>
          <w:color w:val="000000"/>
          <w:kern w:val="0"/>
          <w:lang w:eastAsia="en-US"/>
        </w:rPr>
      </w:pPr>
    </w:p>
    <w:p w14:paraId="5DA1F563" w14:textId="77777777" w:rsidR="00CA5006" w:rsidRDefault="00CA5006">
      <w:pPr>
        <w:widowControl/>
        <w:overflowPunct w:val="0"/>
        <w:snapToGrid w:val="0"/>
        <w:spacing w:line="360" w:lineRule="auto"/>
        <w:jc w:val="left"/>
        <w:textAlignment w:val="baseline"/>
        <w:rPr>
          <w:rFonts w:ascii="Arial" w:eastAsia="Arial" w:hAnsi="Arial" w:cs="Arial"/>
          <w:snapToGrid w:val="0"/>
          <w:color w:val="000000"/>
          <w:kern w:val="0"/>
          <w:lang w:eastAsia="en-US"/>
        </w:rPr>
      </w:pPr>
    </w:p>
    <w:p w14:paraId="294FAD5C" w14:textId="77777777" w:rsidR="00CA5006" w:rsidRDefault="00CA5006">
      <w:pPr>
        <w:widowControl/>
        <w:overflowPunct w:val="0"/>
        <w:snapToGrid w:val="0"/>
        <w:spacing w:line="360" w:lineRule="auto"/>
        <w:jc w:val="left"/>
        <w:textAlignment w:val="baseline"/>
        <w:rPr>
          <w:rFonts w:ascii="Arial" w:eastAsia="Arial" w:hAnsi="Arial" w:cs="Arial"/>
          <w:snapToGrid w:val="0"/>
          <w:color w:val="000000"/>
          <w:kern w:val="0"/>
          <w:lang w:eastAsia="en-US"/>
        </w:rPr>
      </w:pPr>
    </w:p>
    <w:p w14:paraId="70BA6674" w14:textId="77777777" w:rsidR="00CA5006" w:rsidRDefault="00CA5006">
      <w:pPr>
        <w:widowControl/>
        <w:overflowPunct w:val="0"/>
        <w:snapToGrid w:val="0"/>
        <w:spacing w:line="360" w:lineRule="auto"/>
        <w:jc w:val="left"/>
        <w:textAlignment w:val="baseline"/>
        <w:rPr>
          <w:rFonts w:ascii="Arial" w:eastAsia="Arial" w:hAnsi="Arial" w:cs="Arial"/>
          <w:snapToGrid w:val="0"/>
          <w:color w:val="000000"/>
          <w:kern w:val="0"/>
          <w:lang w:eastAsia="en-US"/>
        </w:rPr>
      </w:pPr>
    </w:p>
    <w:p w14:paraId="39F96DA5" w14:textId="77777777" w:rsidR="00CA5006" w:rsidRDefault="00CA5006">
      <w:pPr>
        <w:widowControl/>
        <w:overflowPunct w:val="0"/>
        <w:snapToGrid w:val="0"/>
        <w:spacing w:line="360" w:lineRule="auto"/>
        <w:jc w:val="left"/>
        <w:textAlignment w:val="baseline"/>
        <w:rPr>
          <w:rFonts w:ascii="Arial" w:eastAsia="Arial" w:hAnsi="Arial" w:cs="Arial"/>
          <w:snapToGrid w:val="0"/>
          <w:color w:val="000000"/>
          <w:kern w:val="0"/>
          <w:lang w:eastAsia="en-US"/>
        </w:rPr>
      </w:pPr>
    </w:p>
    <w:p w14:paraId="30F0365F" w14:textId="77777777" w:rsidR="00CA5006" w:rsidRDefault="00CA5006">
      <w:pPr>
        <w:widowControl/>
        <w:overflowPunct w:val="0"/>
        <w:snapToGrid w:val="0"/>
        <w:spacing w:line="360" w:lineRule="auto"/>
        <w:jc w:val="left"/>
        <w:textAlignment w:val="baseline"/>
        <w:rPr>
          <w:rFonts w:ascii="Arial" w:eastAsia="Arial" w:hAnsi="Arial" w:cs="Arial"/>
          <w:snapToGrid w:val="0"/>
          <w:color w:val="000000"/>
          <w:kern w:val="0"/>
          <w:lang w:eastAsia="en-US"/>
        </w:rPr>
      </w:pPr>
    </w:p>
    <w:p w14:paraId="0A62B5C7" w14:textId="77777777" w:rsidR="00CA5006" w:rsidRDefault="00CA5006">
      <w:pPr>
        <w:widowControl/>
        <w:overflowPunct w:val="0"/>
        <w:snapToGrid w:val="0"/>
        <w:spacing w:line="360" w:lineRule="auto"/>
        <w:jc w:val="left"/>
        <w:textAlignment w:val="baseline"/>
        <w:rPr>
          <w:rFonts w:ascii="Arial" w:eastAsia="Arial" w:hAnsi="Arial" w:cs="Arial"/>
          <w:snapToGrid w:val="0"/>
          <w:color w:val="000000"/>
          <w:kern w:val="0"/>
          <w:lang w:eastAsia="en-US"/>
        </w:rPr>
      </w:pPr>
    </w:p>
    <w:p w14:paraId="07E44FEA" w14:textId="77777777" w:rsidR="00CA5006" w:rsidRDefault="00CA5006">
      <w:pPr>
        <w:widowControl/>
        <w:overflowPunct w:val="0"/>
        <w:snapToGrid w:val="0"/>
        <w:spacing w:line="360" w:lineRule="auto"/>
        <w:jc w:val="left"/>
        <w:textAlignment w:val="baseline"/>
        <w:rPr>
          <w:rFonts w:ascii="Arial" w:eastAsia="Arial" w:hAnsi="Arial" w:cs="Arial"/>
          <w:snapToGrid w:val="0"/>
          <w:color w:val="000000"/>
          <w:kern w:val="0"/>
          <w:lang w:eastAsia="en-US"/>
        </w:rPr>
      </w:pPr>
    </w:p>
    <w:p w14:paraId="5CDA7576" w14:textId="77777777" w:rsidR="00CA5006" w:rsidRDefault="00CA5006">
      <w:pPr>
        <w:widowControl/>
        <w:overflowPunct w:val="0"/>
        <w:snapToGrid w:val="0"/>
        <w:spacing w:line="360" w:lineRule="auto"/>
        <w:jc w:val="left"/>
        <w:textAlignment w:val="baseline"/>
        <w:rPr>
          <w:rFonts w:ascii="Arial" w:eastAsia="Arial" w:hAnsi="Arial" w:cs="Arial"/>
          <w:snapToGrid w:val="0"/>
          <w:color w:val="000000"/>
          <w:kern w:val="0"/>
          <w:lang w:eastAsia="en-US"/>
        </w:rPr>
      </w:pPr>
    </w:p>
    <w:p w14:paraId="43D90536" w14:textId="77777777" w:rsidR="00CA5006" w:rsidRDefault="00000000">
      <w:pPr>
        <w:kinsoku w:val="0"/>
        <w:autoSpaceDE w:val="0"/>
        <w:autoSpaceDN w:val="0"/>
        <w:snapToGrid w:val="0"/>
        <w:spacing w:before="91" w:line="360" w:lineRule="auto"/>
        <w:ind w:firstLineChars="500" w:firstLine="1010"/>
        <w:jc w:val="left"/>
        <w:textAlignment w:val="baseline"/>
        <w:rPr>
          <w:rFonts w:ascii="宋体" w:hAnsi="宋体" w:cs="宋体" w:hint="eastAsia"/>
          <w:snapToGrid w:val="0"/>
          <w:color w:val="000000"/>
          <w:spacing w:val="-5"/>
          <w:kern w:val="0"/>
        </w:rPr>
      </w:pPr>
      <w:r>
        <w:rPr>
          <w:rFonts w:ascii="宋体" w:hAnsi="宋体" w:cs="宋体" w:hint="eastAsia"/>
          <w:snapToGrid w:val="0"/>
          <w:color w:val="000000"/>
          <w:spacing w:val="-4"/>
          <w:kern w:val="0"/>
        </w:rPr>
        <w:t xml:space="preserve">XXXX - XX - XX发布                    </w:t>
      </w:r>
      <w:r>
        <w:rPr>
          <w:rFonts w:ascii="宋体" w:hAnsi="宋体" w:cs="宋体" w:hint="eastAsia"/>
          <w:snapToGrid w:val="0"/>
          <w:color w:val="000000"/>
          <w:spacing w:val="-5"/>
          <w:kern w:val="0"/>
        </w:rPr>
        <w:t xml:space="preserve">                XXXX - XX - XX实施</w:t>
      </w:r>
    </w:p>
    <w:p w14:paraId="77A9BE2F" w14:textId="77777777" w:rsidR="00CA5006" w:rsidRDefault="00CA5006">
      <w:pPr>
        <w:kinsoku w:val="0"/>
        <w:autoSpaceDE w:val="0"/>
        <w:autoSpaceDN w:val="0"/>
        <w:snapToGrid w:val="0"/>
        <w:spacing w:before="91" w:line="360" w:lineRule="auto"/>
        <w:jc w:val="left"/>
        <w:textAlignment w:val="baseline"/>
        <w:rPr>
          <w:rFonts w:ascii="宋体" w:hAnsi="宋体" w:cs="宋体" w:hint="eastAsia"/>
          <w:snapToGrid w:val="0"/>
          <w:color w:val="000000"/>
          <w:spacing w:val="-5"/>
          <w:kern w:val="0"/>
        </w:rPr>
      </w:pPr>
    </w:p>
    <w:p w14:paraId="45F1FB8C" w14:textId="77777777" w:rsidR="00CA5006" w:rsidRDefault="00000000">
      <w:pPr>
        <w:kinsoku w:val="0"/>
        <w:autoSpaceDE w:val="0"/>
        <w:autoSpaceDN w:val="0"/>
        <w:snapToGrid w:val="0"/>
        <w:spacing w:before="91" w:line="360" w:lineRule="auto"/>
        <w:jc w:val="center"/>
        <w:textAlignment w:val="baseline"/>
        <w:rPr>
          <w:rFonts w:ascii="宋体" w:hAnsi="宋体" w:cs="宋体" w:hint="eastAsia"/>
          <w:snapToGrid w:val="0"/>
          <w:color w:val="000000"/>
          <w:kern w:val="0"/>
        </w:rPr>
      </w:pPr>
      <w:r>
        <w:rPr>
          <w:rFonts w:ascii="宋体" w:hAnsi="宋体" w:cs="宋体" w:hint="eastAsia"/>
          <w:noProof/>
          <w:snapToGrid w:val="0"/>
          <w:color w:val="000000"/>
          <w:kern w:val="0"/>
          <w:lang w:eastAsia="en-US"/>
        </w:rPr>
        <mc:AlternateContent>
          <mc:Choice Requires="wps">
            <w:drawing>
              <wp:anchor distT="0" distB="0" distL="114300" distR="114300" simplePos="0" relativeHeight="251661312" behindDoc="0" locked="0" layoutInCell="1" allowOverlap="1" wp14:anchorId="35459CD9" wp14:editId="4A9F019B">
                <wp:simplePos x="0" y="0"/>
                <wp:positionH relativeFrom="column">
                  <wp:posOffset>135255</wp:posOffset>
                </wp:positionH>
                <wp:positionV relativeFrom="paragraph">
                  <wp:posOffset>13335</wp:posOffset>
                </wp:positionV>
                <wp:extent cx="6120130" cy="9525"/>
                <wp:effectExtent l="0" t="0" r="0" b="0"/>
                <wp:wrapNone/>
                <wp:docPr id="1" name="任意多边形 1"/>
                <wp:cNvGraphicFramePr/>
                <a:graphic xmlns:a="http://schemas.openxmlformats.org/drawingml/2006/main">
                  <a:graphicData uri="http://schemas.microsoft.com/office/word/2010/wordprocessingShape">
                    <wps:wsp>
                      <wps:cNvSpPr/>
                      <wps:spPr>
                        <a:xfrm>
                          <a:off x="0" y="0"/>
                          <a:ext cx="6120130" cy="9525"/>
                        </a:xfrm>
                        <a:custGeom>
                          <a:avLst/>
                          <a:gdLst/>
                          <a:ahLst/>
                          <a:cxnLst/>
                          <a:rect l="0" t="0" r="0" b="0"/>
                          <a:pathLst>
                            <a:path w="9637" h="15">
                              <a:moveTo>
                                <a:pt x="0" y="7"/>
                              </a:moveTo>
                              <a:lnTo>
                                <a:pt x="9637" y="7"/>
                              </a:lnTo>
                            </a:path>
                          </a:pathLst>
                        </a:custGeom>
                        <a:noFill/>
                        <a:ln w="9525" cap="flat" cmpd="sng">
                          <a:solidFill>
                            <a:srgbClr val="000000"/>
                          </a:solidFill>
                          <a:prstDash val="solid"/>
                          <a:headEnd type="none" w="med" len="med"/>
                          <a:tailEnd type="none" w="med" len="med"/>
                        </a:ln>
                      </wps:spPr>
                      <wps:bodyPr upright="1"/>
                    </wps:wsp>
                  </a:graphicData>
                </a:graphic>
              </wp:anchor>
            </w:drawing>
          </mc:Choice>
          <mc:Fallback>
            <w:pict>
              <v:shape w14:anchorId="55A72D18" id="任意多边形 1" o:spid="_x0000_s1026" style="position:absolute;margin-left:10.65pt;margin-top:1.05pt;width:481.9pt;height:.75pt;z-index:251661312;visibility:visible;mso-wrap-style:square;mso-wrap-distance-left:9pt;mso-wrap-distance-top:0;mso-wrap-distance-right:9pt;mso-wrap-distance-bottom:0;mso-position-horizontal:absolute;mso-position-horizontal-relative:text;mso-position-vertical:absolute;mso-position-vertical-relative:text;v-text-anchor:top" coordsize="963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" path="m,7r9637,e" filled="f">
                <v:path arrowok="t" textboxrect="0,0,9637,15"/>
              </v:shape>
            </w:pict>
          </mc:Fallback>
        </mc:AlternateContent>
      </w:r>
      <w:r>
        <w:rPr>
          <w:rFonts w:ascii="宋体" w:hAnsi="宋体" w:cs="宋体" w:hint="eastAsia"/>
          <w:snapToGrid w:val="0"/>
          <w:color w:val="000000"/>
          <w:spacing w:val="-3"/>
          <w:kern w:val="0"/>
        </w:rPr>
        <w:t>中国汽车工业协会    发</w:t>
      </w:r>
      <w:r>
        <w:rPr>
          <w:rFonts w:ascii="宋体" w:hAnsi="宋体" w:cs="宋体" w:hint="eastAsia"/>
          <w:snapToGrid w:val="0"/>
          <w:color w:val="000000"/>
          <w:spacing w:val="46"/>
          <w:kern w:val="0"/>
        </w:rPr>
        <w:t xml:space="preserve"> </w:t>
      </w:r>
      <w:r>
        <w:rPr>
          <w:rFonts w:ascii="宋体" w:hAnsi="宋体" w:cs="宋体" w:hint="eastAsia"/>
          <w:snapToGrid w:val="0"/>
          <w:color w:val="000000"/>
          <w:spacing w:val="-3"/>
          <w:kern w:val="0"/>
        </w:rPr>
        <w:t>布</w:t>
      </w:r>
    </w:p>
    <w:p w14:paraId="6F4C080B" w14:textId="77777777" w:rsidR="00CA5006" w:rsidRDefault="00CA5006">
      <w:pPr>
        <w:spacing w:line="360" w:lineRule="auto"/>
        <w:rPr>
          <w:rFonts w:ascii="宋体" w:hAnsi="宋体" w:cs="宋体" w:hint="eastAsia"/>
        </w:rPr>
        <w:sectPr w:rsidR="00CA5006">
          <w:pgSz w:w="11907" w:h="16839"/>
          <w:pgMar w:top="553" w:right="610" w:bottom="0" w:left="1210" w:header="0" w:footer="0" w:gutter="0"/>
          <w:cols w:space="720"/>
        </w:sectPr>
      </w:pPr>
    </w:p>
    <w:p w14:paraId="52DD7433" w14:textId="77777777" w:rsidR="00CA5006" w:rsidRDefault="00000000">
      <w:pPr>
        <w:pStyle w:val="afffffff9"/>
        <w:spacing w:after="360"/>
      </w:pPr>
      <w:r>
        <w:rPr>
          <w:rFonts w:hint="eastAsia"/>
          <w:spacing w:val="320"/>
        </w:rPr>
        <w:lastRenderedPageBreak/>
        <w:t>目</w:t>
      </w:r>
      <w:r>
        <w:rPr>
          <w:rFonts w:hint="eastAsia"/>
        </w:rPr>
        <w:t>次</w:t>
      </w:r>
    </w:p>
    <w:p w14:paraId="14BF9914" w14:textId="77777777" w:rsidR="00CA5006" w:rsidRDefault="00000000">
      <w:pPr>
        <w:pStyle w:val="TOC1"/>
        <w:tabs>
          <w:tab w:val="right" w:leader="dot" w:pos="9354"/>
        </w:tabs>
      </w:pPr>
      <w:r>
        <w:fldChar w:fldCharType="begin"/>
      </w:r>
      <w:r>
        <w:instrText xml:space="preserve"> TOC \o "1-1" \h </w:instrText>
      </w:r>
      <w:r>
        <w:fldChar w:fldCharType="separate"/>
      </w:r>
      <w:hyperlink w:anchor="_Toc25436" w:history="1">
        <w:r>
          <w:rPr>
            <w:spacing w:val="320"/>
          </w:rPr>
          <w:t>前</w:t>
        </w:r>
        <w:r>
          <w:t>言</w:t>
        </w:r>
        <w:r>
          <w:tab/>
        </w:r>
        <w:r>
          <w:fldChar w:fldCharType="begin"/>
        </w:r>
        <w:r>
          <w:instrText xml:space="preserve"> PAGEREF _Toc25436 \h </w:instrText>
        </w:r>
        <w:r>
          <w:fldChar w:fldCharType="separate"/>
        </w:r>
        <w:r>
          <w:t>I</w:t>
        </w:r>
        <w:r>
          <w:fldChar w:fldCharType="end"/>
        </w:r>
      </w:hyperlink>
    </w:p>
    <w:p w14:paraId="156051DC" w14:textId="77777777" w:rsidR="00CA5006" w:rsidRDefault="00000000">
      <w:pPr>
        <w:pStyle w:val="TOC1"/>
        <w:tabs>
          <w:tab w:val="right" w:leader="dot" w:pos="9354"/>
        </w:tabs>
      </w:pPr>
      <w:hyperlink w:anchor="_Toc2175" w:history="1">
        <w:r>
          <w:rPr>
            <w:spacing w:val="320"/>
          </w:rPr>
          <w:t>引</w:t>
        </w:r>
        <w:r>
          <w:t>言</w:t>
        </w:r>
        <w:r>
          <w:tab/>
        </w:r>
        <w:r>
          <w:fldChar w:fldCharType="begin"/>
        </w:r>
        <w:r>
          <w:instrText xml:space="preserve"> PAGEREF _Toc2175 \h </w:instrText>
        </w:r>
        <w:r>
          <w:fldChar w:fldCharType="separate"/>
        </w:r>
        <w:r>
          <w:t>II</w:t>
        </w:r>
        <w:r>
          <w:fldChar w:fldCharType="end"/>
        </w:r>
      </w:hyperlink>
    </w:p>
    <w:p w14:paraId="2B31243D" w14:textId="77777777" w:rsidR="00CA5006" w:rsidRDefault="00000000">
      <w:pPr>
        <w:pStyle w:val="TOC1"/>
        <w:tabs>
          <w:tab w:val="right" w:leader="dot" w:pos="9354"/>
        </w:tabs>
      </w:pPr>
      <w:hyperlink w:anchor="_Toc4352" w:history="1">
        <w:r>
          <w:rPr>
            <w:rFonts w:ascii="黑体" w:eastAsia="黑体" w:hint="eastAsia"/>
          </w:rPr>
          <w:t xml:space="preserve">1 </w:t>
        </w:r>
        <w:r>
          <w:rPr>
            <w:rFonts w:hint="eastAsia"/>
          </w:rPr>
          <w:t>范围</w:t>
        </w:r>
        <w:r>
          <w:tab/>
        </w:r>
        <w:r>
          <w:fldChar w:fldCharType="begin"/>
        </w:r>
        <w:r>
          <w:instrText xml:space="preserve"> PAGEREF _Toc4352 \h </w:instrText>
        </w:r>
        <w:r>
          <w:fldChar w:fldCharType="separate"/>
        </w:r>
        <w:r>
          <w:t>1</w:t>
        </w:r>
        <w:r>
          <w:fldChar w:fldCharType="end"/>
        </w:r>
      </w:hyperlink>
    </w:p>
    <w:p w14:paraId="1747FE4C" w14:textId="77777777" w:rsidR="00CA5006" w:rsidRDefault="00000000">
      <w:pPr>
        <w:pStyle w:val="TOC1"/>
        <w:tabs>
          <w:tab w:val="right" w:leader="dot" w:pos="9354"/>
        </w:tabs>
      </w:pPr>
      <w:hyperlink w:anchor="_Toc11569" w:history="1">
        <w:r>
          <w:rPr>
            <w:rFonts w:ascii="黑体" w:eastAsia="黑体" w:hint="eastAsia"/>
          </w:rPr>
          <w:t xml:space="preserve">2 </w:t>
        </w:r>
        <w:r>
          <w:rPr>
            <w:rFonts w:hint="eastAsia"/>
          </w:rPr>
          <w:t>规范性引用文件</w:t>
        </w:r>
        <w:r>
          <w:tab/>
        </w:r>
        <w:r>
          <w:fldChar w:fldCharType="begin"/>
        </w:r>
        <w:r>
          <w:instrText xml:space="preserve"> PAGEREF _Toc11569 \h </w:instrText>
        </w:r>
        <w:r>
          <w:fldChar w:fldCharType="separate"/>
        </w:r>
        <w:r>
          <w:t>1</w:t>
        </w:r>
        <w:r>
          <w:fldChar w:fldCharType="end"/>
        </w:r>
      </w:hyperlink>
    </w:p>
    <w:p w14:paraId="3FF35DAF" w14:textId="77777777" w:rsidR="00CA5006" w:rsidRDefault="00000000">
      <w:pPr>
        <w:pStyle w:val="TOC1"/>
        <w:tabs>
          <w:tab w:val="right" w:leader="dot" w:pos="9354"/>
        </w:tabs>
      </w:pPr>
      <w:hyperlink w:anchor="_Toc7980" w:history="1">
        <w:r>
          <w:rPr>
            <w:rFonts w:ascii="黑体" w:eastAsia="黑体" w:hint="eastAsia"/>
          </w:rPr>
          <w:t xml:space="preserve">3 </w:t>
        </w:r>
        <w:r>
          <w:rPr>
            <w:rFonts w:hint="eastAsia"/>
          </w:rPr>
          <w:t>术语和定义</w:t>
        </w:r>
        <w:r>
          <w:tab/>
        </w:r>
        <w:r>
          <w:fldChar w:fldCharType="begin"/>
        </w:r>
        <w:r>
          <w:instrText xml:space="preserve"> PAGEREF _Toc7980 \h </w:instrText>
        </w:r>
        <w:r>
          <w:fldChar w:fldCharType="separate"/>
        </w:r>
        <w:r>
          <w:t>1</w:t>
        </w:r>
        <w:r>
          <w:fldChar w:fldCharType="end"/>
        </w:r>
      </w:hyperlink>
    </w:p>
    <w:p w14:paraId="765DE5A0" w14:textId="77777777" w:rsidR="00CA5006" w:rsidRDefault="00000000">
      <w:pPr>
        <w:pStyle w:val="TOC1"/>
        <w:tabs>
          <w:tab w:val="right" w:leader="dot" w:pos="9354"/>
        </w:tabs>
      </w:pPr>
      <w:hyperlink w:anchor="_Toc32387" w:history="1">
        <w:r>
          <w:rPr>
            <w:rFonts w:ascii="黑体" w:eastAsia="黑体" w:hint="eastAsia"/>
          </w:rPr>
          <w:t xml:space="preserve">4 </w:t>
        </w:r>
        <w:r>
          <w:rPr>
            <w:rFonts w:ascii="Times New Roman" w:hAnsi="宋体" w:hint="eastAsia"/>
          </w:rPr>
          <w:t>总体要求</w:t>
        </w:r>
        <w:r>
          <w:tab/>
        </w:r>
        <w:r>
          <w:fldChar w:fldCharType="begin"/>
        </w:r>
        <w:r>
          <w:instrText xml:space="preserve"> PAGEREF _Toc32387 \h </w:instrText>
        </w:r>
        <w:r>
          <w:fldChar w:fldCharType="separate"/>
        </w:r>
        <w:r>
          <w:t>2</w:t>
        </w:r>
        <w:r>
          <w:fldChar w:fldCharType="end"/>
        </w:r>
      </w:hyperlink>
    </w:p>
    <w:p w14:paraId="0B3F3047" w14:textId="77777777" w:rsidR="00CA5006" w:rsidRDefault="00000000">
      <w:pPr>
        <w:pStyle w:val="TOC1"/>
        <w:tabs>
          <w:tab w:val="right" w:leader="dot" w:pos="9354"/>
        </w:tabs>
      </w:pPr>
      <w:hyperlink w:anchor="_Toc26071" w:history="1">
        <w:r>
          <w:rPr>
            <w:rFonts w:ascii="黑体" w:eastAsia="黑体" w:hint="eastAsia"/>
          </w:rPr>
          <w:t xml:space="preserve">5 </w:t>
        </w:r>
        <w:r>
          <w:rPr>
            <w:rFonts w:hint="eastAsia"/>
          </w:rPr>
          <w:t>评价原则</w:t>
        </w:r>
        <w:r>
          <w:tab/>
        </w:r>
        <w:r>
          <w:fldChar w:fldCharType="begin"/>
        </w:r>
        <w:r>
          <w:instrText xml:space="preserve"> PAGEREF _Toc26071 \h </w:instrText>
        </w:r>
        <w:r>
          <w:fldChar w:fldCharType="separate"/>
        </w:r>
        <w:r>
          <w:t>3</w:t>
        </w:r>
        <w:r>
          <w:fldChar w:fldCharType="end"/>
        </w:r>
      </w:hyperlink>
    </w:p>
    <w:p w14:paraId="122BBEBB" w14:textId="77777777" w:rsidR="00CA5006" w:rsidRDefault="00000000">
      <w:pPr>
        <w:pStyle w:val="TOC1"/>
        <w:tabs>
          <w:tab w:val="right" w:leader="dot" w:pos="9354"/>
        </w:tabs>
      </w:pPr>
      <w:hyperlink w:anchor="_Toc28737" w:history="1">
        <w:r>
          <w:rPr>
            <w:rFonts w:ascii="黑体" w:eastAsia="黑体" w:hint="eastAsia"/>
          </w:rPr>
          <w:t xml:space="preserve">6 </w:t>
        </w:r>
        <w:r>
          <w:rPr>
            <w:rFonts w:hint="eastAsia"/>
          </w:rPr>
          <w:t>评价内容</w:t>
        </w:r>
        <w:r>
          <w:tab/>
        </w:r>
        <w:r>
          <w:fldChar w:fldCharType="begin"/>
        </w:r>
        <w:r>
          <w:instrText xml:space="preserve"> PAGEREF _Toc28737 \h </w:instrText>
        </w:r>
        <w:r>
          <w:fldChar w:fldCharType="separate"/>
        </w:r>
        <w:r>
          <w:t>3</w:t>
        </w:r>
        <w:r>
          <w:fldChar w:fldCharType="end"/>
        </w:r>
      </w:hyperlink>
    </w:p>
    <w:p w14:paraId="3340C27C" w14:textId="77777777" w:rsidR="00CA5006" w:rsidRDefault="00000000">
      <w:pPr>
        <w:pStyle w:val="TOC1"/>
        <w:tabs>
          <w:tab w:val="right" w:leader="dot" w:pos="9354"/>
        </w:tabs>
      </w:pPr>
      <w:hyperlink w:anchor="_Toc24197" w:history="1">
        <w:r>
          <w:rPr>
            <w:rFonts w:ascii="黑体" w:eastAsia="黑体" w:hint="eastAsia"/>
          </w:rPr>
          <w:t xml:space="preserve">7 </w:t>
        </w:r>
        <w:r>
          <w:rPr>
            <w:rFonts w:hint="eastAsia"/>
          </w:rPr>
          <w:t>评价方法</w:t>
        </w:r>
        <w:r>
          <w:tab/>
        </w:r>
        <w:r>
          <w:fldChar w:fldCharType="begin"/>
        </w:r>
        <w:r>
          <w:instrText xml:space="preserve"> PAGEREF _Toc24197 \h </w:instrText>
        </w:r>
        <w:r>
          <w:fldChar w:fldCharType="separate"/>
        </w:r>
        <w:r>
          <w:t>3</w:t>
        </w:r>
        <w:r>
          <w:fldChar w:fldCharType="end"/>
        </w:r>
      </w:hyperlink>
    </w:p>
    <w:p w14:paraId="5671CB83" w14:textId="77777777" w:rsidR="00CA5006" w:rsidRDefault="00000000">
      <w:pPr>
        <w:pStyle w:val="TOC1"/>
        <w:tabs>
          <w:tab w:val="right" w:leader="dot" w:pos="9354"/>
        </w:tabs>
      </w:pPr>
      <w:hyperlink w:anchor="_Toc16156" w:history="1">
        <w:r>
          <w:rPr>
            <w:rFonts w:ascii="黑体" w:eastAsia="黑体" w:hint="eastAsia"/>
          </w:rPr>
          <w:t xml:space="preserve">8 </w:t>
        </w:r>
        <w:r>
          <w:rPr>
            <w:rFonts w:hint="eastAsia"/>
          </w:rPr>
          <w:t>评价过程</w:t>
        </w:r>
        <w:r>
          <w:tab/>
        </w:r>
        <w:r>
          <w:fldChar w:fldCharType="begin"/>
        </w:r>
        <w:r>
          <w:instrText xml:space="preserve"> PAGEREF _Toc16156 \h </w:instrText>
        </w:r>
        <w:r>
          <w:fldChar w:fldCharType="separate"/>
        </w:r>
        <w:r>
          <w:t>4</w:t>
        </w:r>
        <w:r>
          <w:fldChar w:fldCharType="end"/>
        </w:r>
      </w:hyperlink>
    </w:p>
    <w:p w14:paraId="669950D5" w14:textId="77777777" w:rsidR="00CA5006" w:rsidRDefault="00000000">
      <w:pPr>
        <w:pStyle w:val="TOC1"/>
        <w:tabs>
          <w:tab w:val="right" w:leader="dot" w:pos="9354"/>
        </w:tabs>
      </w:pPr>
      <w:hyperlink w:anchor="_Toc24413" w:history="1">
        <w:r>
          <w:rPr>
            <w:rFonts w:hint="eastAsia"/>
          </w:rPr>
          <w:t>附录A</w:t>
        </w:r>
        <w:r>
          <w:t xml:space="preserve"> </w:t>
        </w:r>
        <w:r>
          <w:rPr>
            <w:rFonts w:hint="eastAsia"/>
          </w:rPr>
          <w:t>（规范性）</w:t>
        </w:r>
        <w:r>
          <w:t xml:space="preserve"> </w:t>
        </w:r>
        <w:r>
          <w:rPr>
            <w:rFonts w:hint="eastAsia"/>
          </w:rPr>
          <w:t>中国汽车行业ESG评价指标内容</w:t>
        </w:r>
        <w:r>
          <w:tab/>
        </w:r>
        <w:r>
          <w:fldChar w:fldCharType="begin"/>
        </w:r>
        <w:r>
          <w:instrText xml:space="preserve"> PAGEREF _Toc24413 \h </w:instrText>
        </w:r>
        <w:r>
          <w:fldChar w:fldCharType="separate"/>
        </w:r>
        <w:r>
          <w:t>7</w:t>
        </w:r>
        <w:r>
          <w:fldChar w:fldCharType="end"/>
        </w:r>
      </w:hyperlink>
    </w:p>
    <w:p w14:paraId="22BED8F7" w14:textId="77777777" w:rsidR="00CA5006" w:rsidRDefault="00000000">
      <w:pPr>
        <w:pStyle w:val="TOC1"/>
        <w:tabs>
          <w:tab w:val="right" w:leader="dot" w:pos="9354"/>
        </w:tabs>
      </w:pPr>
      <w:hyperlink w:anchor="_Toc11257" w:history="1">
        <w:r>
          <w:rPr>
            <w:rFonts w:hint="eastAsia"/>
          </w:rPr>
          <w:t>附录B</w:t>
        </w:r>
        <w:r>
          <w:t xml:space="preserve"> </w:t>
        </w:r>
        <w:r>
          <w:rPr>
            <w:rFonts w:hint="eastAsia"/>
          </w:rPr>
          <w:t>（规范性）</w:t>
        </w:r>
        <w:r>
          <w:t xml:space="preserve"> </w:t>
        </w:r>
        <w:r>
          <w:rPr>
            <w:rFonts w:hint="eastAsia"/>
          </w:rPr>
          <w:t>中国汽车行业ESG评价指标计算方法与权重系数设定方法</w:t>
        </w:r>
        <w:r>
          <w:tab/>
        </w:r>
        <w:r>
          <w:fldChar w:fldCharType="begin"/>
        </w:r>
        <w:r>
          <w:instrText xml:space="preserve"> PAGEREF _Toc11257 \h </w:instrText>
        </w:r>
        <w:r>
          <w:fldChar w:fldCharType="separate"/>
        </w:r>
        <w:r>
          <w:t>35</w:t>
        </w:r>
        <w:r>
          <w:fldChar w:fldCharType="end"/>
        </w:r>
      </w:hyperlink>
    </w:p>
    <w:p w14:paraId="0E96508D" w14:textId="77777777" w:rsidR="00CA5006" w:rsidRDefault="00000000">
      <w:pPr>
        <w:pStyle w:val="TOC1"/>
        <w:tabs>
          <w:tab w:val="right" w:leader="dot" w:pos="9354"/>
        </w:tabs>
      </w:pPr>
      <w:hyperlink w:anchor="_Toc9148" w:history="1">
        <w:r>
          <w:rPr>
            <w:rFonts w:hint="eastAsia"/>
          </w:rPr>
          <w:t>附录C</w:t>
        </w:r>
        <w:r>
          <w:t xml:space="preserve"> </w:t>
        </w:r>
        <w:r>
          <w:rPr>
            <w:rFonts w:hint="eastAsia"/>
          </w:rPr>
          <w:t>（规范性）</w:t>
        </w:r>
        <w:r>
          <w:t xml:space="preserve"> </w:t>
        </w:r>
        <w:r>
          <w:rPr>
            <w:rFonts w:hint="eastAsia"/>
          </w:rPr>
          <w:t>中国汽车行业ESG评价分级方法</w:t>
        </w:r>
        <w:r>
          <w:tab/>
        </w:r>
        <w:r>
          <w:fldChar w:fldCharType="begin"/>
        </w:r>
        <w:r>
          <w:instrText xml:space="preserve"> PAGEREF _Toc9148 \h </w:instrText>
        </w:r>
        <w:r>
          <w:fldChar w:fldCharType="separate"/>
        </w:r>
        <w:r>
          <w:t>37</w:t>
        </w:r>
        <w:r>
          <w:fldChar w:fldCharType="end"/>
        </w:r>
      </w:hyperlink>
    </w:p>
    <w:p w14:paraId="379CFC60" w14:textId="77777777" w:rsidR="00CA5006" w:rsidRDefault="00000000">
      <w:pPr>
        <w:pStyle w:val="TOC1"/>
        <w:tabs>
          <w:tab w:val="right" w:leader="dot" w:pos="9354"/>
        </w:tabs>
      </w:pPr>
      <w:hyperlink w:anchor="_Toc12959" w:history="1">
        <w:r>
          <w:rPr>
            <w:rFonts w:ascii="Times New Roman" w:hAnsi="宋体" w:hint="eastAsia"/>
          </w:rPr>
          <w:t>参</w:t>
        </w:r>
        <w:r>
          <w:rPr>
            <w:rFonts w:ascii="Times New Roman" w:hAnsi="宋体" w:hint="eastAsia"/>
          </w:rPr>
          <w:t xml:space="preserve"> </w:t>
        </w:r>
        <w:r>
          <w:rPr>
            <w:rFonts w:ascii="Times New Roman" w:hAnsi="宋体" w:hint="eastAsia"/>
          </w:rPr>
          <w:t>考</w:t>
        </w:r>
        <w:r>
          <w:rPr>
            <w:rFonts w:ascii="Times New Roman" w:hAnsi="宋体" w:hint="eastAsia"/>
          </w:rPr>
          <w:t xml:space="preserve"> </w:t>
        </w:r>
        <w:r>
          <w:rPr>
            <w:rFonts w:ascii="Times New Roman" w:hAnsi="宋体" w:hint="eastAsia"/>
          </w:rPr>
          <w:t>文</w:t>
        </w:r>
        <w:r>
          <w:rPr>
            <w:rFonts w:ascii="Times New Roman" w:hAnsi="宋体" w:hint="eastAsia"/>
          </w:rPr>
          <w:t xml:space="preserve"> </w:t>
        </w:r>
        <w:r>
          <w:rPr>
            <w:rFonts w:ascii="Times New Roman" w:hAnsi="宋体" w:hint="eastAsia"/>
          </w:rPr>
          <w:t>献</w:t>
        </w:r>
        <w:r>
          <w:tab/>
        </w:r>
        <w:r>
          <w:fldChar w:fldCharType="begin"/>
        </w:r>
        <w:r>
          <w:instrText xml:space="preserve"> PAGEREF _Toc12959 \h </w:instrText>
        </w:r>
        <w:r>
          <w:fldChar w:fldCharType="separate"/>
        </w:r>
        <w:r>
          <w:t>38</w:t>
        </w:r>
        <w:r>
          <w:fldChar w:fldCharType="end"/>
        </w:r>
      </w:hyperlink>
    </w:p>
    <w:p w14:paraId="1C8ACFD6" w14:textId="77777777" w:rsidR="00CA5006" w:rsidRDefault="00000000">
      <w:pPr>
        <w:pStyle w:val="afffffff9"/>
        <w:spacing w:after="360"/>
        <w:sectPr w:rsidR="00CA5006">
          <w:headerReference w:type="default" r:id="rId9"/>
          <w:footerReference w:type="default" r:id="rId10"/>
          <w:pgSz w:w="11906" w:h="16838"/>
          <w:pgMar w:top="2410" w:right="1134" w:bottom="1134" w:left="1134" w:header="1418" w:footer="1134" w:gutter="284"/>
          <w:pgNumType w:fmt="upperRoman" w:start="1"/>
          <w:cols w:space="425"/>
          <w:formProt w:val="0"/>
          <w:docGrid w:linePitch="312"/>
        </w:sectPr>
      </w:pPr>
      <w:r>
        <w:fldChar w:fldCharType="end"/>
      </w:r>
    </w:p>
    <w:p w14:paraId="1453F9DF" w14:textId="77777777" w:rsidR="00CA5006" w:rsidRDefault="00000000">
      <w:pPr>
        <w:pStyle w:val="a6"/>
        <w:spacing w:after="360"/>
      </w:pPr>
      <w:bookmarkStart w:id="5" w:name="_Toc25436"/>
      <w:bookmarkStart w:id="6" w:name="BookMark2"/>
      <w:bookmarkEnd w:id="0"/>
      <w:r>
        <w:rPr>
          <w:spacing w:val="320"/>
        </w:rPr>
        <w:lastRenderedPageBreak/>
        <w:t>前</w:t>
      </w:r>
      <w:r>
        <w:t>言</w:t>
      </w:r>
      <w:bookmarkEnd w:id="1"/>
      <w:bookmarkEnd w:id="2"/>
      <w:bookmarkEnd w:id="3"/>
      <w:bookmarkEnd w:id="4"/>
      <w:bookmarkEnd w:id="5"/>
    </w:p>
    <w:p w14:paraId="74A58B2B" w14:textId="77777777" w:rsidR="00CA5006" w:rsidRDefault="00000000">
      <w:pPr>
        <w:pStyle w:val="affffff1"/>
        <w:spacing w:line="360" w:lineRule="auto"/>
        <w:ind w:firstLine="420"/>
      </w:pPr>
      <w:r>
        <w:rPr>
          <w:rFonts w:hint="eastAsia"/>
        </w:rPr>
        <w:t>本文件按照GB/T 1.1—2020《标准化工作导则 第1部分：标准化文件的结构和起草规则》的规定起草。</w:t>
      </w:r>
    </w:p>
    <w:p w14:paraId="0DD8E271" w14:textId="77777777" w:rsidR="00CA5006" w:rsidRDefault="00000000">
      <w:pPr>
        <w:pStyle w:val="affffff1"/>
        <w:spacing w:line="360" w:lineRule="auto"/>
        <w:ind w:firstLine="420"/>
      </w:pPr>
      <w:r>
        <w:rPr>
          <w:rFonts w:hint="eastAsia"/>
        </w:rPr>
        <w:t>本文件代替 T/CAAMTB 172—2023《中国汽车行业ESG评价指南》，与 T/CAAMTB 172—2023 相比，除结构调整和编辑性改动外，主要技术变化如下：</w:t>
      </w:r>
    </w:p>
    <w:p w14:paraId="5473B93B" w14:textId="77777777" w:rsidR="00CA5006" w:rsidRDefault="00000000">
      <w:pPr>
        <w:pStyle w:val="affffff1"/>
        <w:spacing w:line="360" w:lineRule="auto"/>
        <w:ind w:firstLine="420"/>
      </w:pPr>
      <w:r>
        <w:rPr>
          <w:rFonts w:hint="eastAsia"/>
        </w:rPr>
        <w:t>a) 调整了评价指标体系结构，由“维度—议题—指标”结构调整为“维度—议题—支柱—指标—数据点”五级结构；</w:t>
      </w:r>
    </w:p>
    <w:p w14:paraId="7695DE67" w14:textId="77777777" w:rsidR="00CA5006" w:rsidRDefault="00000000">
      <w:pPr>
        <w:pStyle w:val="affffff1"/>
        <w:spacing w:line="360" w:lineRule="auto"/>
        <w:ind w:firstLine="420"/>
      </w:pPr>
      <w:r>
        <w:rPr>
          <w:rFonts w:hint="eastAsia"/>
        </w:rPr>
        <w:t>b) 优化了议题设置，形成环境、社会、治理3个维度共18个议题；</w:t>
      </w:r>
    </w:p>
    <w:p w14:paraId="6E820AAE" w14:textId="77777777" w:rsidR="00CA5006" w:rsidRDefault="00000000">
      <w:pPr>
        <w:pStyle w:val="affffff1"/>
        <w:spacing w:line="360" w:lineRule="auto"/>
        <w:ind w:firstLine="420"/>
      </w:pPr>
      <w:r>
        <w:rPr>
          <w:rFonts w:hint="eastAsia"/>
        </w:rPr>
        <w:t>c) 参照国际可持续披露准则（ISSB）四支柱框架，每个议题按治理、战略、影响、风险和机遇管理、指标与目标四个支柱组织评价内容，并增设负面信息作为独立扣分项；</w:t>
      </w:r>
    </w:p>
    <w:p w14:paraId="0DE09965" w14:textId="77777777" w:rsidR="00CA5006" w:rsidRDefault="00000000">
      <w:pPr>
        <w:pStyle w:val="affffff1"/>
        <w:spacing w:line="360" w:lineRule="auto"/>
        <w:ind w:firstLine="420"/>
      </w:pPr>
      <w:r>
        <w:rPr>
          <w:rFonts w:hint="eastAsia"/>
        </w:rPr>
        <w:t>T/XXX XXXX—XXXX《中国汽车行业ESG评价指南》与T/XXX XXXX—XXXX《中国汽车行业ESG信息披露指南》和T/XXX XXXX—XXXX《中国汽车行业ESG管理体系 要求及使用指南》共同构成支撑中国汽车行业ESG管理和实践的基础性系列团体标准。</w:t>
      </w:r>
    </w:p>
    <w:p w14:paraId="7C69659E" w14:textId="77777777" w:rsidR="00CA5006" w:rsidRDefault="00000000">
      <w:pPr>
        <w:pStyle w:val="affffff1"/>
        <w:spacing w:line="360" w:lineRule="auto"/>
        <w:ind w:firstLine="420"/>
      </w:pPr>
      <w:r>
        <w:rPr>
          <w:rFonts w:hint="eastAsia"/>
        </w:rPr>
        <w:t>请注意本文件的某些内容可能涉及专利。本文件的发布机构不承担识别专利的责任。</w:t>
      </w:r>
    </w:p>
    <w:p w14:paraId="726C6BDC" w14:textId="77777777" w:rsidR="00CA5006" w:rsidRDefault="00000000">
      <w:pPr>
        <w:pStyle w:val="affffff1"/>
        <w:spacing w:line="360" w:lineRule="auto"/>
        <w:ind w:firstLine="420"/>
      </w:pPr>
      <w:r>
        <w:rPr>
          <w:rFonts w:hint="eastAsia"/>
        </w:rPr>
        <w:t xml:space="preserve">本文件由中国汽车工业协会提出并归口。 </w:t>
      </w:r>
    </w:p>
    <w:p w14:paraId="0457BC84" w14:textId="6900AFAC" w:rsidR="00CA5006" w:rsidRDefault="00000000">
      <w:pPr>
        <w:pStyle w:val="affffff1"/>
        <w:spacing w:line="360" w:lineRule="auto"/>
        <w:ind w:firstLine="420"/>
      </w:pPr>
      <w:r>
        <w:rPr>
          <w:rFonts w:hint="eastAsia"/>
        </w:rPr>
        <w:t xml:space="preserve">本文件起草单位：中国汽车工业协会、浙江吉利控股集团有限公司、责扬天下（北京）管理顾问有限公司、中国汽车工程研究院股份有限公司、中国第一汽车集团有限公司、重庆长安汽车股份有限公司、广州汽车集团股份有限公司、上海汽车集团股份有限公司、北京汽车集团有限公司、奇瑞控股集团有限公司、理想汽车、上海蔚来汽车有限公司、厦门金龙汽车集团股份有限公司、广汽本田汽车有限公司、沃尔沃汽车(亚太)投资控股有限公司、宁德时代新能源科技有限公司、米其林（中国） 投资有限公司、贝卡尔特（中国）技术研发有限公司、上海国际汽车城（集团）有限公司、中国汽车技术研究中心有限公司、中国乡村发展基金会、中国标准化研究院、中国信息通信研究院、北京车之家信息技术有限公司。 </w:t>
      </w:r>
    </w:p>
    <w:p w14:paraId="34E7B85F" w14:textId="77777777" w:rsidR="00CA5006" w:rsidRDefault="00000000">
      <w:pPr>
        <w:pStyle w:val="affffff1"/>
        <w:spacing w:line="360" w:lineRule="auto"/>
        <w:ind w:firstLine="420"/>
        <w:sectPr w:rsidR="00CA5006">
          <w:footerReference w:type="default" r:id="rId11"/>
          <w:pgSz w:w="11906" w:h="16838"/>
          <w:pgMar w:top="2410" w:right="1134" w:bottom="1134" w:left="1134" w:header="1418" w:footer="1134" w:gutter="284"/>
          <w:pgNumType w:fmt="upperRoman" w:start="1"/>
          <w:cols w:space="425"/>
          <w:formProt w:val="0"/>
          <w:docGrid w:linePitch="312"/>
        </w:sectPr>
      </w:pPr>
      <w:r>
        <w:rPr>
          <w:rFonts w:hint="eastAsia"/>
        </w:rPr>
        <w:t>本文件主要起草人：</w:t>
      </w:r>
      <w:r>
        <w:t>李邵华、伊鸣、尚蛟、黄兴、林波、代奕波、管竹笋、尹捷、张小燕、岳海燕、陈晓宁、姜南、赵贵平、李妍如、刘先、桂飞、王浩然、谢萌、曹政、吕家正、马文雄、杨松玲、郭跃宁、潘学兴、郭佳栋、仲崇毅、吴俊贤、冯会健、丁亚冬、黎钊、李芳、林翎、丁晴、常琳、张炜明、刘鑫、金辉、侯楚卿、陈颖、文琦、贺倩、张蕊、黄石旦、戚伊琳。</w:t>
      </w:r>
    </w:p>
    <w:p w14:paraId="3898D2A1" w14:textId="77777777" w:rsidR="00CA5006" w:rsidRDefault="00000000">
      <w:pPr>
        <w:pStyle w:val="a6"/>
        <w:spacing w:after="360"/>
      </w:pPr>
      <w:bookmarkStart w:id="7" w:name="_Toc155283310"/>
      <w:bookmarkStart w:id="8" w:name="_Toc155276539"/>
      <w:bookmarkStart w:id="9" w:name="_Toc32432"/>
      <w:bookmarkStart w:id="10" w:name="_Toc2175"/>
      <w:bookmarkStart w:id="11" w:name="_Toc149133498"/>
      <w:bookmarkStart w:id="12" w:name="BookMark3"/>
      <w:bookmarkEnd w:id="6"/>
      <w:r>
        <w:rPr>
          <w:spacing w:val="320"/>
        </w:rPr>
        <w:lastRenderedPageBreak/>
        <w:t>引</w:t>
      </w:r>
      <w:r>
        <w:t>言</w:t>
      </w:r>
      <w:bookmarkEnd w:id="7"/>
      <w:bookmarkEnd w:id="8"/>
      <w:bookmarkEnd w:id="9"/>
      <w:bookmarkEnd w:id="10"/>
      <w:bookmarkEnd w:id="11"/>
    </w:p>
    <w:p w14:paraId="59D53437" w14:textId="77777777" w:rsidR="00CA5006" w:rsidRDefault="00000000">
      <w:pPr>
        <w:pStyle w:val="affffff1"/>
        <w:autoSpaceDE/>
        <w:autoSpaceDN/>
        <w:spacing w:line="360" w:lineRule="auto"/>
        <w:ind w:firstLine="420"/>
      </w:pPr>
      <w:r>
        <w:rPr>
          <w:rFonts w:hint="eastAsia"/>
        </w:rPr>
        <w:t>汽车行业是国民经济的支柱产业之一，产业链长，涉及面广、带动性强、国际化程度高，在国民经济和社会发展中占据重要地位。同时，汽车行业作为“制造强国”建设的重要领域，也是“双碳”和可持续发展等国家重大战略的重要实践者和贡献者。环境、社会和治理（Environmental，Social and Governance，ESG）是一种关注环境、社会和治理等而非单一财务因素的可持续发展观，汽车行业关注ESG，将ESG理念融入生产、经营、科研和管理的各个环节，对于营造全行业良好的ESG文化和发展氛围，对全球可持续发展有着重要作用。通过ESG评价，可以进一步规范汽车行业企业ESG行为和管理能力，降低风险，持续提升企业形象、价值和竞争力，从而更好地利用资本市场运行规则，以环境友好、社会和谐、安全智能、品质卓越、治理一流的方式参与全球汽车工业领域经济活动。</w:t>
      </w:r>
    </w:p>
    <w:p w14:paraId="634117FE" w14:textId="77777777" w:rsidR="00CA5006" w:rsidRDefault="00000000">
      <w:pPr>
        <w:pStyle w:val="affffff1"/>
        <w:autoSpaceDE/>
        <w:autoSpaceDN/>
        <w:spacing w:line="360" w:lineRule="auto"/>
        <w:ind w:firstLine="420"/>
      </w:pPr>
      <w:r>
        <w:rPr>
          <w:rFonts w:hint="eastAsia"/>
        </w:rPr>
        <w:t>为了推动中国汽车行业高质量发展，《中国汽车行业ESG评价指南》于2023年12月正式实施，本文件以中国的法律法规和批准、签署或加入的国际公约为合规基础，以国际通行的商业惯例和已有标准为重要参考，适用于寻求提升ESG管理水平的汽车行业企业，为其提供一套全面、深入和系统地了解、监测和评价ESG目标、行动、结果及风险管控能力的评价标准，通过“以评促改，以评促建”，助力汽车行业企业有针对性地改进ESG实践，提升企业可持续发展能力，帮助企业获得投资者等利益相关方的信任与支持。</w:t>
      </w:r>
    </w:p>
    <w:p w14:paraId="53424855" w14:textId="77777777" w:rsidR="00CA5006" w:rsidRDefault="00000000">
      <w:pPr>
        <w:pStyle w:val="affffff1"/>
        <w:autoSpaceDE/>
        <w:autoSpaceDN/>
        <w:spacing w:line="360" w:lineRule="auto"/>
        <w:ind w:firstLine="420"/>
        <w:sectPr w:rsidR="00CA5006">
          <w:pgSz w:w="11906" w:h="16838"/>
          <w:pgMar w:top="2410" w:right="1134" w:bottom="1134" w:left="1134" w:header="1418" w:footer="1134" w:gutter="284"/>
          <w:pgNumType w:fmt="upperRoman"/>
          <w:cols w:space="425"/>
          <w:formProt w:val="0"/>
          <w:docGrid w:linePitch="312"/>
        </w:sectPr>
      </w:pPr>
      <w:r>
        <w:rPr>
          <w:rFonts w:hint="eastAsia"/>
        </w:rPr>
        <w:t>《中国汽车行业ESG评价指南》自发布实施以来，为汽车行业企业开展ESG评价提供了重要技术依据，为保持评价体系的先进性，中国汽车工业协会对原标准进行了系统修订。本次修订重点优化评价指标体系，进一步提升评价指标的科学性、行业适用性和国际可比性，使评价体系更加科学、全面、可操作，更好地服务汽车行业ESG管理提升和高质量发展。</w:t>
      </w:r>
    </w:p>
    <w:p w14:paraId="30DDD5A6" w14:textId="77777777" w:rsidR="00CA5006" w:rsidRDefault="00CA5006">
      <w:pPr>
        <w:spacing w:line="20" w:lineRule="exact"/>
        <w:jc w:val="center"/>
        <w:rPr>
          <w:rFonts w:ascii="黑体" w:eastAsia="黑体" w:hAnsi="黑体" w:hint="eastAsia"/>
          <w:sz w:val="32"/>
          <w:szCs w:val="32"/>
        </w:rPr>
      </w:pPr>
      <w:bookmarkStart w:id="13" w:name="BookMark4"/>
      <w:bookmarkEnd w:id="12"/>
    </w:p>
    <w:p w14:paraId="495A02F1" w14:textId="77777777" w:rsidR="00CA5006" w:rsidRDefault="00CA5006">
      <w:pPr>
        <w:spacing w:line="20" w:lineRule="exact"/>
        <w:jc w:val="center"/>
        <w:rPr>
          <w:rFonts w:ascii="黑体" w:eastAsia="黑体" w:hAnsi="黑体" w:hint="eastAsia"/>
          <w:sz w:val="32"/>
          <w:szCs w:val="32"/>
        </w:rPr>
      </w:pPr>
    </w:p>
    <w:bookmarkStart w:id="14" w:name="NEW_STAND_NAME" w:displacedByCustomXml="next"/>
    <w:sdt>
      <w:sdtPr>
        <w:tag w:val="NEW_STAND_NAME"/>
        <w:id w:val="595910757"/>
        <w:lock w:val="sdtLocked"/>
        <w:placeholder>
          <w:docPart w:val="1345B3F069034A99851F090C7326B95E"/>
        </w:placeholder>
      </w:sdtPr>
      <w:sdtContent>
        <w:p w14:paraId="1D2FB5E3" w14:textId="77777777" w:rsidR="00CA5006" w:rsidRDefault="00000000">
          <w:pPr>
            <w:pStyle w:val="affffffffffa"/>
            <w:spacing w:afterLines="220" w:after="528"/>
            <w:rPr>
              <w:rFonts w:hint="eastAsia"/>
            </w:rPr>
          </w:pPr>
          <w:r>
            <w:rPr>
              <w:rFonts w:hint="eastAsia"/>
            </w:rPr>
            <w:t>中国汽车行业ESG评价指南</w:t>
          </w:r>
        </w:p>
      </w:sdtContent>
    </w:sdt>
    <w:p w14:paraId="4A61933D" w14:textId="77777777" w:rsidR="00CA5006" w:rsidRDefault="00000000">
      <w:pPr>
        <w:pStyle w:val="aff9"/>
        <w:spacing w:before="240" w:after="240"/>
      </w:pPr>
      <w:bookmarkStart w:id="15" w:name="_Toc155276540"/>
      <w:bookmarkStart w:id="16" w:name="_Toc4352"/>
      <w:bookmarkStart w:id="17" w:name="_Toc13630"/>
      <w:bookmarkStart w:id="18" w:name="_Toc24884211"/>
      <w:bookmarkStart w:id="19" w:name="_Toc17233333"/>
      <w:bookmarkStart w:id="20" w:name="_Toc26986771"/>
      <w:bookmarkStart w:id="21" w:name="_Toc26718930"/>
      <w:bookmarkStart w:id="22" w:name="_Toc17233325"/>
      <w:bookmarkStart w:id="23" w:name="_Toc24884218"/>
      <w:bookmarkStart w:id="24" w:name="_Toc26986530"/>
      <w:bookmarkStart w:id="25" w:name="_Toc149133499"/>
      <w:bookmarkStart w:id="26" w:name="_Toc155283311"/>
      <w:bookmarkStart w:id="27" w:name="_Toc26648465"/>
      <w:bookmarkEnd w:id="14"/>
      <w:r>
        <w:rPr>
          <w:rFonts w:hint="eastAsia"/>
        </w:rPr>
        <w:t>范围</w:t>
      </w:r>
      <w:bookmarkEnd w:id="15"/>
      <w:bookmarkEnd w:id="16"/>
      <w:bookmarkEnd w:id="17"/>
      <w:bookmarkEnd w:id="18"/>
      <w:bookmarkEnd w:id="19"/>
      <w:bookmarkEnd w:id="20"/>
      <w:bookmarkEnd w:id="21"/>
      <w:bookmarkEnd w:id="22"/>
      <w:bookmarkEnd w:id="23"/>
      <w:bookmarkEnd w:id="24"/>
      <w:bookmarkEnd w:id="25"/>
      <w:bookmarkEnd w:id="26"/>
      <w:bookmarkEnd w:id="27"/>
    </w:p>
    <w:p w14:paraId="1C5A79D5"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rPr>
      </w:pPr>
      <w:bookmarkStart w:id="28" w:name="_Toc24884212"/>
      <w:bookmarkStart w:id="29" w:name="_Toc24884219"/>
      <w:bookmarkStart w:id="30" w:name="_Toc17233334"/>
      <w:bookmarkStart w:id="31" w:name="_Toc26648466"/>
      <w:bookmarkStart w:id="32" w:name="_Toc17233326"/>
      <w:r>
        <w:rPr>
          <w:rFonts w:ascii="宋体" w:hAnsi="宋体" w:cs="宋体"/>
          <w:snapToGrid w:val="0"/>
          <w:color w:val="000000"/>
          <w:kern w:val="0"/>
        </w:rPr>
        <w:t>本文件为中国汽车行业提供ESG的评价指南，规定评价的总体要求、评价原则、评价内容、评价方法和评价过程等内容。</w:t>
      </w:r>
    </w:p>
    <w:p w14:paraId="56009EB8" w14:textId="77777777" w:rsidR="00CA5006" w:rsidRDefault="00000000">
      <w:pPr>
        <w:widowControl/>
        <w:overflowPunct w:val="0"/>
        <w:snapToGrid w:val="0"/>
        <w:spacing w:line="360" w:lineRule="auto"/>
        <w:ind w:right="57" w:firstLineChars="200" w:firstLine="420"/>
        <w:textAlignment w:val="baseline"/>
      </w:pPr>
      <w:r>
        <w:rPr>
          <w:rFonts w:ascii="宋体" w:hAnsi="宋体" w:cs="宋体"/>
          <w:snapToGrid w:val="0"/>
          <w:color w:val="000000"/>
          <w:kern w:val="0"/>
        </w:rPr>
        <w:t>本文件适用于汽车行业整车企业及供应链企业（以下简称为“企业”）。</w:t>
      </w:r>
    </w:p>
    <w:p w14:paraId="70D5D77A" w14:textId="77777777" w:rsidR="00CA5006" w:rsidRDefault="00000000">
      <w:pPr>
        <w:pStyle w:val="aff9"/>
        <w:spacing w:before="240" w:after="240"/>
      </w:pPr>
      <w:bookmarkStart w:id="33" w:name="_Toc11569"/>
      <w:bookmarkStart w:id="34" w:name="_Toc26986772"/>
      <w:bookmarkStart w:id="35" w:name="_Toc155276541"/>
      <w:bookmarkStart w:id="36" w:name="_Toc26986531"/>
      <w:bookmarkStart w:id="37" w:name="_Toc149133500"/>
      <w:bookmarkStart w:id="38" w:name="_Toc26718931"/>
      <w:bookmarkStart w:id="39" w:name="_Toc8950"/>
      <w:bookmarkStart w:id="40" w:name="_Toc155283312"/>
      <w:r>
        <w:rPr>
          <w:rFonts w:hint="eastAsia"/>
        </w:rPr>
        <w:t>规范性引用文件</w:t>
      </w:r>
      <w:bookmarkEnd w:id="28"/>
      <w:bookmarkEnd w:id="29"/>
      <w:bookmarkEnd w:id="30"/>
      <w:bookmarkEnd w:id="31"/>
      <w:bookmarkEnd w:id="32"/>
      <w:bookmarkEnd w:id="33"/>
      <w:bookmarkEnd w:id="34"/>
      <w:bookmarkEnd w:id="35"/>
      <w:bookmarkEnd w:id="36"/>
      <w:bookmarkEnd w:id="37"/>
      <w:bookmarkEnd w:id="38"/>
      <w:bookmarkEnd w:id="39"/>
      <w:bookmarkEnd w:id="40"/>
    </w:p>
    <w:sdt>
      <w:sdtPr>
        <w:rPr>
          <w:rFonts w:hint="eastAsia"/>
        </w:rPr>
        <w:id w:val="715848253"/>
        <w:placeholder>
          <w:docPart w:val="77EDBA46618F4F9BAB36570CD446646E"/>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ascii="宋体" w:hAnsi="宋体" w:cs="宋体" w:hint="default"/>
          <w:snapToGrid w:val="0"/>
          <w:color w:val="000000"/>
          <w:kern w:val="0"/>
        </w:rPr>
      </w:sdtEndPr>
      <w:sdtContent>
        <w:p w14:paraId="56B84CF8"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776DA46D"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GB/T 36000-2015 社会责任指南</w:t>
      </w:r>
    </w:p>
    <w:p w14:paraId="4449DDBD"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GB/T 36002-2015 社会责任绩效分类指引</w:t>
      </w:r>
    </w:p>
    <w:p w14:paraId="60CC641D"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lang w:eastAsia="en-US"/>
        </w:rPr>
      </w:pPr>
      <w:r>
        <w:rPr>
          <w:rFonts w:ascii="宋体" w:hAnsi="宋体" w:cs="宋体"/>
          <w:snapToGrid w:val="0"/>
          <w:color w:val="000000"/>
          <w:kern w:val="0"/>
          <w:lang w:eastAsia="en-US"/>
        </w:rPr>
        <w:t>ISO 14064-1:2018 温室气体 第一部分 组织层次上对温室气体排放和清除的量化和报告的规范及指南（Greenhouse gases – Part 1:Specification with guidance at the organization level for quantification and reporting of greenhouse gas emission and removal）</w:t>
      </w:r>
    </w:p>
    <w:p w14:paraId="1C299F2E"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lang w:eastAsia="en-US"/>
        </w:rPr>
      </w:pPr>
      <w:r>
        <w:rPr>
          <w:rFonts w:ascii="宋体" w:hAnsi="宋体" w:cs="宋体"/>
          <w:snapToGrid w:val="0"/>
          <w:color w:val="000000"/>
          <w:kern w:val="0"/>
          <w:lang w:eastAsia="en-US"/>
        </w:rPr>
        <w:t>ISO 14067</w:t>
      </w:r>
      <w:r>
        <w:rPr>
          <w:rFonts w:ascii="宋体" w:hAnsi="宋体" w:cs="宋体" w:hint="eastAsia"/>
          <w:snapToGrid w:val="0"/>
          <w:color w:val="000000"/>
          <w:kern w:val="0"/>
          <w:lang w:eastAsia="en-US"/>
        </w:rPr>
        <w:t>：</w:t>
      </w:r>
      <w:r>
        <w:rPr>
          <w:rFonts w:ascii="宋体" w:hAnsi="宋体" w:cs="宋体"/>
          <w:snapToGrid w:val="0"/>
          <w:color w:val="000000"/>
          <w:kern w:val="0"/>
          <w:lang w:eastAsia="en-US"/>
        </w:rPr>
        <w:t>2018  温室气体-产品碳足迹量化要求和指南（Greenhouse gases Carbon footprint of products-Requirements and guidelines for quantification）</w:t>
      </w:r>
    </w:p>
    <w:p w14:paraId="03CC57BE"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lang w:eastAsia="en-US"/>
        </w:rPr>
      </w:pPr>
      <w:r>
        <w:rPr>
          <w:rFonts w:ascii="宋体" w:hAnsi="宋体" w:cs="宋体"/>
          <w:snapToGrid w:val="0"/>
          <w:color w:val="000000"/>
          <w:kern w:val="0"/>
          <w:lang w:eastAsia="en-US"/>
        </w:rPr>
        <w:t>T/CAAMTB 67-2022  中国汽车行业社会责任指南</w:t>
      </w:r>
    </w:p>
    <w:p w14:paraId="514ED80F"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lang w:eastAsia="en-US"/>
        </w:rPr>
      </w:pPr>
      <w:r>
        <w:rPr>
          <w:rFonts w:ascii="宋体" w:hAnsi="宋体" w:cs="宋体"/>
          <w:snapToGrid w:val="0"/>
          <w:color w:val="000000"/>
          <w:kern w:val="0"/>
          <w:lang w:eastAsia="en-US"/>
        </w:rPr>
        <w:t>T/CAAMTB 78-2022  中国汽车行业社会责任绩效评价指标体系</w:t>
      </w:r>
    </w:p>
    <w:p w14:paraId="58C38E97"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T/CAAMTB 138-2023  汽车行业生产企业温室气体排放核算与报告规范</w:t>
      </w:r>
    </w:p>
    <w:p w14:paraId="61421A35"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T/XXX XXXX—XXXX  中国汽车行业ESG信息披露指南</w:t>
      </w:r>
    </w:p>
    <w:p w14:paraId="3FF45DE9"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T/XXX XXXX—XXXX  中国汽车行业ESG管理体系 要求及使用指南</w:t>
      </w:r>
    </w:p>
    <w:p w14:paraId="1CC39AC0" w14:textId="77777777" w:rsidR="00CA5006" w:rsidRDefault="00000000">
      <w:pPr>
        <w:pStyle w:val="aff9"/>
        <w:spacing w:before="240" w:after="240"/>
      </w:pPr>
      <w:bookmarkStart w:id="41" w:name="_Toc29079"/>
      <w:bookmarkStart w:id="42" w:name="_Toc155276542"/>
      <w:bookmarkStart w:id="43" w:name="_Toc149133501"/>
      <w:bookmarkStart w:id="44" w:name="_Toc7980"/>
      <w:bookmarkStart w:id="45" w:name="_Toc155283313"/>
      <w:r>
        <w:rPr>
          <w:rFonts w:hint="eastAsia"/>
          <w:szCs w:val="21"/>
        </w:rPr>
        <w:t>术语和定义</w:t>
      </w:r>
      <w:bookmarkEnd w:id="41"/>
      <w:bookmarkEnd w:id="42"/>
      <w:bookmarkEnd w:id="43"/>
      <w:bookmarkEnd w:id="44"/>
      <w:bookmarkEnd w:id="45"/>
    </w:p>
    <w:p w14:paraId="171468D5" w14:textId="77777777" w:rsidR="00CA5006" w:rsidRDefault="00000000">
      <w:pPr>
        <w:overflowPunct w:val="0"/>
        <w:snapToGrid w:val="0"/>
        <w:spacing w:line="360" w:lineRule="auto"/>
        <w:ind w:right="57" w:firstLine="412"/>
        <w:textAlignment w:val="baseline"/>
      </w:pPr>
      <w:sdt>
        <w:sdtPr>
          <w:id w:val="-1909835108"/>
          <w:placeholder>
            <w:docPart w:val="B823004A3EAB47FCBB3946F10075A711"/>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r>
            <w:rPr>
              <w:rFonts w:hint="eastAsia"/>
            </w:rPr>
            <w:t>GB/T 36000-2015</w:t>
          </w:r>
          <w:r>
            <w:rPr>
              <w:rFonts w:hint="eastAsia"/>
            </w:rPr>
            <w:t>、</w:t>
          </w:r>
          <w:r>
            <w:rPr>
              <w:rFonts w:hint="eastAsia"/>
            </w:rPr>
            <w:t>GB/T 36002-2015</w:t>
          </w:r>
          <w:r>
            <w:rPr>
              <w:rFonts w:hint="eastAsia"/>
            </w:rPr>
            <w:t>、</w:t>
          </w:r>
          <w:r>
            <w:rPr>
              <w:rFonts w:hint="eastAsia"/>
            </w:rPr>
            <w:t>T/CAAMTB 67-2022</w:t>
          </w:r>
          <w:r>
            <w:rPr>
              <w:rFonts w:hint="eastAsia"/>
            </w:rPr>
            <w:t>、</w:t>
          </w:r>
          <w:r>
            <w:rPr>
              <w:rFonts w:hint="eastAsia"/>
            </w:rPr>
            <w:t>T/CAAMTB 78-2022</w:t>
          </w:r>
          <w:r>
            <w:rPr>
              <w:rFonts w:hint="eastAsia"/>
            </w:rPr>
            <w:t>、</w:t>
          </w:r>
          <w:r>
            <w:rPr>
              <w:rFonts w:hint="eastAsia"/>
            </w:rPr>
            <w:t>T/XXX XXXX</w:t>
          </w:r>
          <w:r>
            <w:rPr>
              <w:rFonts w:hint="eastAsia"/>
            </w:rPr>
            <w:t>—</w:t>
          </w:r>
          <w:r>
            <w:rPr>
              <w:rFonts w:hint="eastAsia"/>
            </w:rPr>
            <w:t>XXXX</w:t>
          </w:r>
          <w:r>
            <w:rPr>
              <w:rFonts w:hint="eastAsia"/>
            </w:rPr>
            <w:t>中国汽车行业</w:t>
          </w:r>
          <w:r>
            <w:rPr>
              <w:rFonts w:hint="eastAsia"/>
            </w:rPr>
            <w:t>ESG</w:t>
          </w:r>
          <w:r>
            <w:rPr>
              <w:rFonts w:hint="eastAsia"/>
            </w:rPr>
            <w:t>信息披露指南</w:t>
          </w:r>
          <w:r>
            <w:rPr>
              <w:rFonts w:hint="eastAsia"/>
            </w:rPr>
            <w:t xml:space="preserve"> </w:t>
          </w:r>
          <w:r>
            <w:rPr>
              <w:rFonts w:hint="eastAsia"/>
            </w:rPr>
            <w:t>、</w:t>
          </w:r>
          <w:r>
            <w:rPr>
              <w:rFonts w:hint="eastAsia"/>
            </w:rPr>
            <w:t>T/XXX XXXX</w:t>
          </w:r>
          <w:r>
            <w:rPr>
              <w:rFonts w:hint="eastAsia"/>
            </w:rPr>
            <w:t>—</w:t>
          </w:r>
          <w:r>
            <w:rPr>
              <w:rFonts w:hint="eastAsia"/>
            </w:rPr>
            <w:t>XXXX</w:t>
          </w:r>
          <w:r>
            <w:rPr>
              <w:rFonts w:hint="eastAsia"/>
            </w:rPr>
            <w:t>中国汽车行业</w:t>
          </w:r>
          <w:r>
            <w:rPr>
              <w:rFonts w:hint="eastAsia"/>
            </w:rPr>
            <w:t>ESG</w:t>
          </w:r>
          <w:r>
            <w:rPr>
              <w:rFonts w:hint="eastAsia"/>
            </w:rPr>
            <w:t>管理体系</w:t>
          </w:r>
          <w:r>
            <w:rPr>
              <w:rFonts w:hint="eastAsia"/>
            </w:rPr>
            <w:t xml:space="preserve"> </w:t>
          </w:r>
          <w:r>
            <w:rPr>
              <w:rFonts w:hint="eastAsia"/>
            </w:rPr>
            <w:t>要求及使用指南界定的以及</w:t>
          </w:r>
          <w:r>
            <w:rPr>
              <w:rFonts w:ascii="宋体" w:hAnsi="宋体" w:cs="宋体"/>
              <w:snapToGrid w:val="0"/>
              <w:color w:val="000000"/>
              <w:kern w:val="0"/>
            </w:rPr>
            <w:t>下列</w:t>
          </w:r>
          <w:r>
            <w:t>术语和定义适用于本文件。</w:t>
          </w:r>
        </w:sdtContent>
      </w:sdt>
    </w:p>
    <w:p w14:paraId="050665E2" w14:textId="77777777" w:rsidR="00CA5006" w:rsidRDefault="00000000">
      <w:pPr>
        <w:spacing w:line="240" w:lineRule="auto"/>
        <w:rPr>
          <w:rFonts w:ascii="黑体" w:eastAsia="黑体" w:hAnsi="黑体" w:hint="eastAsia"/>
        </w:rPr>
      </w:pPr>
      <w:r>
        <w:rPr>
          <w:rFonts w:ascii="黑体" w:eastAsia="黑体" w:hAnsi="黑体"/>
        </w:rPr>
        <w:t>3.1</w:t>
      </w:r>
    </w:p>
    <w:p w14:paraId="617F52E9" w14:textId="77777777" w:rsidR="00CA5006" w:rsidRDefault="00000000">
      <w:pPr>
        <w:spacing w:line="240" w:lineRule="auto"/>
        <w:ind w:leftChars="200" w:left="840" w:hangingChars="200" w:hanging="420"/>
        <w:rPr>
          <w:rFonts w:ascii="黑体" w:eastAsia="黑体" w:hAnsi="黑体" w:hint="eastAsia"/>
        </w:rPr>
      </w:pPr>
      <w:r>
        <w:rPr>
          <w:rFonts w:ascii="黑体" w:eastAsia="黑体" w:hAnsi="黑体" w:hint="eastAsia"/>
        </w:rPr>
        <w:t>ESG评价  ESG evaluation</w:t>
      </w:r>
    </w:p>
    <w:p w14:paraId="6C9C9D3E" w14:textId="77777777" w:rsidR="00CA5006" w:rsidRDefault="00000000">
      <w:pPr>
        <w:widowControl/>
        <w:overflowPunct w:val="0"/>
        <w:snapToGrid w:val="0"/>
        <w:spacing w:line="360" w:lineRule="auto"/>
        <w:ind w:right="57" w:firstLineChars="200" w:firstLine="420"/>
        <w:textAlignment w:val="baseline"/>
      </w:pPr>
      <w:r>
        <w:rPr>
          <w:rFonts w:hint="eastAsia"/>
        </w:rPr>
        <w:t>指对企业在环境、</w:t>
      </w:r>
      <w:r>
        <w:rPr>
          <w:rFonts w:ascii="宋体" w:hAnsi="宋体" w:cs="宋体"/>
          <w:snapToGrid w:val="0"/>
          <w:color w:val="000000"/>
          <w:kern w:val="0"/>
        </w:rPr>
        <w:t>社会</w:t>
      </w:r>
      <w:r>
        <w:rPr>
          <w:rFonts w:hint="eastAsia"/>
        </w:rPr>
        <w:t>和治理维度的目标、行动、结果以及风险应变能力等方面进行的评估活动，反映企业对风险和机遇的管理水平及结果。</w:t>
      </w:r>
    </w:p>
    <w:p w14:paraId="4F49433E" w14:textId="77777777" w:rsidR="00CA5006" w:rsidRDefault="00000000">
      <w:pPr>
        <w:spacing w:line="240" w:lineRule="auto"/>
        <w:rPr>
          <w:rFonts w:ascii="黑体" w:eastAsia="黑体" w:hAnsi="黑体" w:hint="eastAsia"/>
        </w:rPr>
      </w:pPr>
      <w:r>
        <w:rPr>
          <w:rFonts w:ascii="黑体" w:eastAsia="黑体" w:hAnsi="黑体"/>
        </w:rPr>
        <w:lastRenderedPageBreak/>
        <w:t>3.2</w:t>
      </w:r>
    </w:p>
    <w:p w14:paraId="48A574C5" w14:textId="77777777" w:rsidR="00CA5006" w:rsidRDefault="00000000">
      <w:pPr>
        <w:spacing w:line="240" w:lineRule="auto"/>
        <w:ind w:firstLine="360"/>
        <w:rPr>
          <w:rFonts w:ascii="黑体" w:eastAsia="黑体" w:hAnsi="黑体" w:hint="eastAsia"/>
        </w:rPr>
      </w:pPr>
      <w:r>
        <w:rPr>
          <w:rFonts w:ascii="黑体" w:eastAsia="黑体" w:hAnsi="黑体" w:hint="eastAsia"/>
        </w:rPr>
        <w:t xml:space="preserve">温室气体  greenhouse gas（GHG） </w:t>
      </w:r>
    </w:p>
    <w:p w14:paraId="0E7D7BD7"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 xml:space="preserve">大气层中自然存在的和由于人类活动产生的能够吸收和散发由地球表面、大气层和云层所产生的、波长在红外光谱内的辐射的气态成分。 </w:t>
      </w:r>
    </w:p>
    <w:p w14:paraId="7F04AB83"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[来源：T/CAAMTB 138-2023，3.1.1]</w:t>
      </w:r>
    </w:p>
    <w:p w14:paraId="7134BA92"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如无特别说明，</w:t>
      </w:r>
      <w:r>
        <w:rPr>
          <w:rFonts w:ascii="宋体" w:hAnsi="宋体" w:cs="宋体" w:hint="eastAsia"/>
          <w:snapToGrid w:val="0"/>
          <w:color w:val="000000"/>
          <w:kern w:val="0"/>
        </w:rPr>
        <w:t>本文件</w:t>
      </w:r>
      <w:r>
        <w:rPr>
          <w:rFonts w:ascii="宋体" w:hAnsi="宋体" w:cs="宋体"/>
          <w:snapToGrid w:val="0"/>
          <w:color w:val="000000"/>
          <w:kern w:val="0"/>
        </w:rPr>
        <w:t xml:space="preserve">中的温室气体GHG主要指二氧化碳CO2、甲烷CH4、氧化亚氮N2O、氢氟碳化物HFCs、全氟碳化物PFCs、六氟化硫SF6、三氟化氮NF3，同时鼓励企业参考最新的IPCC（联合国政府间气候变化专门委员会）评估报告确定的温室气体清单。 </w:t>
      </w:r>
    </w:p>
    <w:p w14:paraId="0EE66828"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注：水蒸气和臭氧是人为的、也是自然存在的温室气体，但没有被列为公认的温室气体，因为在大多数情况下，很难分离出因其在大气中的存在而引起的全球变暖的人为贡献部分。</w:t>
      </w:r>
    </w:p>
    <w:p w14:paraId="38367669" w14:textId="77777777" w:rsidR="00CA5006" w:rsidRDefault="00000000">
      <w:pPr>
        <w:spacing w:line="240" w:lineRule="auto"/>
        <w:rPr>
          <w:rFonts w:ascii="黑体" w:eastAsia="黑体" w:hAnsi="黑体" w:hint="eastAsia"/>
        </w:rPr>
      </w:pPr>
      <w:r>
        <w:rPr>
          <w:rFonts w:ascii="黑体" w:eastAsia="黑体" w:hAnsi="黑体"/>
        </w:rPr>
        <w:t>3.3</w:t>
      </w:r>
    </w:p>
    <w:p w14:paraId="1C69769C" w14:textId="77777777" w:rsidR="00CA5006" w:rsidRDefault="00000000">
      <w:pPr>
        <w:spacing w:line="240" w:lineRule="auto"/>
        <w:ind w:firstLine="420"/>
        <w:rPr>
          <w:rFonts w:ascii="黑体" w:eastAsia="黑体" w:hAnsi="黑体" w:hint="eastAsia"/>
        </w:rPr>
      </w:pPr>
      <w:r>
        <w:rPr>
          <w:rFonts w:ascii="黑体" w:eastAsia="黑体" w:hAnsi="黑体" w:hint="eastAsia"/>
        </w:rPr>
        <w:t>范围1温室气体排放  scope 1 greenhouse gas emissions</w:t>
      </w:r>
    </w:p>
    <w:p w14:paraId="14F7F7B2"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lang w:eastAsia="en-US"/>
        </w:rPr>
      </w:pPr>
      <w:r>
        <w:rPr>
          <w:rFonts w:ascii="宋体" w:hAnsi="宋体" w:cs="宋体"/>
          <w:snapToGrid w:val="0"/>
          <w:color w:val="000000"/>
          <w:kern w:val="0"/>
          <w:lang w:eastAsia="en-US"/>
        </w:rPr>
        <w:t>组织拥有或控制的温室气体排放源所产生的温室气体排放。包含固定设备化石燃料燃烧温室气体排放量、交通运输设备燃料燃烧温室气体排放量、生产工艺过程温室气体排放量、逸散温室气体排放量。</w:t>
      </w:r>
    </w:p>
    <w:p w14:paraId="07E623E9"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lang w:eastAsia="en-US"/>
        </w:rPr>
      </w:pPr>
      <w:r>
        <w:rPr>
          <w:rFonts w:ascii="宋体" w:hAnsi="宋体" w:cs="宋体"/>
          <w:snapToGrid w:val="0"/>
          <w:color w:val="000000"/>
          <w:kern w:val="0"/>
          <w:lang w:eastAsia="en-US"/>
        </w:rPr>
        <w:t>[来源：ISO 14064-1:2018，2.8，有修改]</w:t>
      </w:r>
    </w:p>
    <w:p w14:paraId="22FC569F" w14:textId="77777777" w:rsidR="00CA5006" w:rsidRDefault="00000000">
      <w:pPr>
        <w:spacing w:line="240" w:lineRule="auto"/>
        <w:rPr>
          <w:rFonts w:ascii="黑体" w:eastAsia="黑体" w:hAnsi="黑体" w:hint="eastAsia"/>
        </w:rPr>
      </w:pPr>
      <w:r>
        <w:rPr>
          <w:rFonts w:ascii="黑体" w:eastAsia="黑体" w:hAnsi="黑体"/>
        </w:rPr>
        <w:t>3.4</w:t>
      </w:r>
    </w:p>
    <w:p w14:paraId="4593D559" w14:textId="77777777" w:rsidR="00CA5006" w:rsidRDefault="00000000">
      <w:pPr>
        <w:spacing w:line="240" w:lineRule="auto"/>
        <w:ind w:leftChars="200" w:left="840" w:hangingChars="200" w:hanging="420"/>
        <w:rPr>
          <w:rFonts w:ascii="黑体" w:eastAsia="黑体" w:hAnsi="黑体" w:hint="eastAsia"/>
        </w:rPr>
      </w:pPr>
      <w:r>
        <w:rPr>
          <w:rFonts w:ascii="黑体" w:eastAsia="黑体" w:hAnsi="黑体" w:hint="eastAsia"/>
        </w:rPr>
        <w:t>范围2温室气体排放 scope 2 greenhouse gas emissions</w:t>
      </w:r>
    </w:p>
    <w:p w14:paraId="536C8B07"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lang w:eastAsia="en-US"/>
        </w:rPr>
      </w:pPr>
      <w:r>
        <w:rPr>
          <w:rFonts w:ascii="宋体" w:hAnsi="宋体" w:cs="宋体"/>
          <w:snapToGrid w:val="0"/>
          <w:color w:val="000000"/>
          <w:kern w:val="0"/>
          <w:lang w:eastAsia="en-US"/>
        </w:rPr>
        <w:t>组织所消耗的外部电力、热力或蒸汽的生产而造成的温室气体排放。</w:t>
      </w:r>
    </w:p>
    <w:p w14:paraId="061E6144"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lang w:eastAsia="en-US"/>
        </w:rPr>
      </w:pPr>
      <w:r>
        <w:rPr>
          <w:rFonts w:ascii="宋体" w:hAnsi="宋体" w:cs="宋体"/>
          <w:snapToGrid w:val="0"/>
          <w:color w:val="000000"/>
          <w:kern w:val="0"/>
          <w:lang w:eastAsia="en-US"/>
        </w:rPr>
        <w:t>[来源：ISO 14064-1:2018，2.9，有修改]</w:t>
      </w:r>
    </w:p>
    <w:p w14:paraId="56861963" w14:textId="77777777" w:rsidR="00CA5006" w:rsidRDefault="00000000">
      <w:pPr>
        <w:spacing w:line="240" w:lineRule="auto"/>
        <w:rPr>
          <w:rFonts w:ascii="黑体" w:eastAsia="黑体" w:hAnsi="黑体" w:hint="eastAsia"/>
        </w:rPr>
      </w:pPr>
      <w:r>
        <w:rPr>
          <w:rFonts w:ascii="黑体" w:eastAsia="黑体" w:hAnsi="黑体"/>
        </w:rPr>
        <w:t>3.5</w:t>
      </w:r>
    </w:p>
    <w:p w14:paraId="7188C0D4" w14:textId="77777777" w:rsidR="00CA5006" w:rsidRDefault="00000000">
      <w:pPr>
        <w:spacing w:line="240" w:lineRule="auto"/>
        <w:ind w:leftChars="200" w:left="840" w:hangingChars="200" w:hanging="420"/>
        <w:rPr>
          <w:rFonts w:ascii="黑体" w:eastAsia="黑体" w:hAnsi="黑体" w:hint="eastAsia"/>
        </w:rPr>
      </w:pPr>
      <w:r>
        <w:rPr>
          <w:rFonts w:ascii="黑体" w:eastAsia="黑体" w:hAnsi="黑体" w:hint="eastAsia"/>
        </w:rPr>
        <w:t>范围3温室气体排放 scope 3 greenhouse gas emissions</w:t>
      </w:r>
    </w:p>
    <w:p w14:paraId="265A8B5D" w14:textId="77777777" w:rsidR="00CA5006" w:rsidRDefault="00000000">
      <w:pPr>
        <w:overflowPunct w:val="0"/>
        <w:snapToGrid w:val="0"/>
        <w:spacing w:line="360" w:lineRule="auto"/>
        <w:ind w:right="57" w:firstLine="412"/>
        <w:textAlignment w:val="baseline"/>
      </w:pPr>
      <w:r>
        <w:rPr>
          <w:rFonts w:hint="eastAsia"/>
        </w:rPr>
        <w:t>因组织的活动引起的，而被其他组织拥有或控制的温室气体排放源所产生的温室气体排放。包括上下游运输产生的间接温室气体排放量、员工通勤间接温室气体排放量、员工差旅间接温室气体排放量，</w:t>
      </w:r>
      <w:r>
        <w:rPr>
          <w:rFonts w:hint="eastAsia"/>
        </w:rPr>
        <w:t xml:space="preserve"> </w:t>
      </w:r>
      <w:r>
        <w:rPr>
          <w:rFonts w:hint="eastAsia"/>
        </w:rPr>
        <w:t>但不包括能源间接温室气体排放。</w:t>
      </w:r>
    </w:p>
    <w:p w14:paraId="7AA13C7C" w14:textId="77777777" w:rsidR="00CA5006" w:rsidRDefault="00000000">
      <w:pPr>
        <w:overflowPunct w:val="0"/>
        <w:snapToGrid w:val="0"/>
        <w:spacing w:line="360" w:lineRule="auto"/>
        <w:ind w:right="57" w:firstLine="412"/>
        <w:textAlignment w:val="baseline"/>
        <w:rPr>
          <w:sz w:val="18"/>
          <w:szCs w:val="18"/>
        </w:rPr>
      </w:pPr>
      <w:r>
        <w:rPr>
          <w:rFonts w:hint="eastAsia"/>
        </w:rPr>
        <w:t>[</w:t>
      </w:r>
      <w:r>
        <w:rPr>
          <w:rFonts w:hint="eastAsia"/>
        </w:rPr>
        <w:t>来源：</w:t>
      </w:r>
      <w:r>
        <w:rPr>
          <w:rFonts w:hint="eastAsia"/>
        </w:rPr>
        <w:t>ISO 14064-1:2018</w:t>
      </w:r>
      <w:r>
        <w:rPr>
          <w:rFonts w:hint="eastAsia"/>
        </w:rPr>
        <w:t>，</w:t>
      </w:r>
      <w:r>
        <w:rPr>
          <w:rFonts w:hint="eastAsia"/>
        </w:rPr>
        <w:t>2.10</w:t>
      </w:r>
      <w:r>
        <w:rPr>
          <w:rFonts w:hint="eastAsia"/>
        </w:rPr>
        <w:t>，有修改</w:t>
      </w:r>
      <w:r>
        <w:rPr>
          <w:rFonts w:hint="eastAsia"/>
        </w:rPr>
        <w:t>]</w:t>
      </w:r>
    </w:p>
    <w:p w14:paraId="169A48C0" w14:textId="77777777" w:rsidR="00CA5006" w:rsidRDefault="00000000">
      <w:pPr>
        <w:spacing w:line="240" w:lineRule="auto"/>
        <w:rPr>
          <w:rFonts w:ascii="黑体" w:eastAsia="黑体" w:hAnsi="黑体" w:hint="eastAsia"/>
        </w:rPr>
      </w:pPr>
      <w:r>
        <w:rPr>
          <w:rFonts w:ascii="黑体" w:eastAsia="黑体" w:hAnsi="黑体"/>
        </w:rPr>
        <w:t>3.6</w:t>
      </w:r>
    </w:p>
    <w:p w14:paraId="37E5B036" w14:textId="77777777" w:rsidR="00CA5006" w:rsidRDefault="00000000">
      <w:pPr>
        <w:spacing w:line="240" w:lineRule="auto"/>
        <w:ind w:firstLine="420"/>
        <w:rPr>
          <w:rFonts w:ascii="黑体" w:eastAsia="黑体" w:hAnsi="黑体" w:hint="eastAsia"/>
        </w:rPr>
      </w:pPr>
      <w:r>
        <w:rPr>
          <w:rFonts w:ascii="黑体" w:eastAsia="黑体" w:hAnsi="黑体" w:hint="eastAsia"/>
        </w:rPr>
        <w:t xml:space="preserve">产品碳足迹 carbon footprint of a product（CFP） </w:t>
      </w:r>
    </w:p>
    <w:p w14:paraId="01A5E5E2" w14:textId="77777777" w:rsidR="00CA5006" w:rsidRDefault="00000000">
      <w:pPr>
        <w:overflowPunct w:val="0"/>
        <w:snapToGrid w:val="0"/>
        <w:spacing w:line="360" w:lineRule="auto"/>
        <w:ind w:right="57" w:firstLine="412"/>
        <w:textAlignment w:val="baseline"/>
      </w:pPr>
      <w:r>
        <w:rPr>
          <w:rFonts w:hint="eastAsia"/>
        </w:rPr>
        <w:t>产品系统中的温室气体排放量和温室气体清除量之和，以</w:t>
      </w:r>
      <w:r>
        <w:rPr>
          <w:rFonts w:ascii="宋体" w:hAnsi="宋体" w:cs="宋体"/>
          <w:snapToGrid w:val="0"/>
          <w:color w:val="000000"/>
          <w:kern w:val="0"/>
          <w:lang w:eastAsia="en-US"/>
        </w:rPr>
        <w:t>二氧化碳</w:t>
      </w:r>
      <w:r>
        <w:rPr>
          <w:rFonts w:hint="eastAsia"/>
        </w:rPr>
        <w:t>当量表示，并基于生命周期评价，使用气候变化单一影响类别。</w:t>
      </w:r>
    </w:p>
    <w:p w14:paraId="5470AF8B" w14:textId="77777777" w:rsidR="00CA5006" w:rsidRDefault="00000000">
      <w:pPr>
        <w:pStyle w:val="affffff1"/>
        <w:ind w:firstLine="420"/>
        <w:rPr>
          <w:rFonts w:ascii="黑体" w:eastAsia="黑体" w:hAnsi="黑体" w:hint="eastAsia"/>
          <w:kern w:val="2"/>
          <w:szCs w:val="21"/>
        </w:rPr>
      </w:pPr>
      <w:r>
        <w:rPr>
          <w:rFonts w:hint="eastAsia"/>
        </w:rPr>
        <w:t>[来源：ISO 14067：2018，3.1.1.1，有修改]</w:t>
      </w:r>
    </w:p>
    <w:p w14:paraId="020B5A4B" w14:textId="77777777" w:rsidR="00CA5006" w:rsidRDefault="00000000">
      <w:pPr>
        <w:pStyle w:val="aff9"/>
        <w:spacing w:before="240" w:after="240"/>
      </w:pPr>
      <w:bookmarkStart w:id="46" w:name="_Toc32387"/>
      <w:r>
        <w:rPr>
          <w:rFonts w:ascii="Times New Roman" w:hAnsi="宋体" w:hint="eastAsia"/>
        </w:rPr>
        <w:t>总体要求</w:t>
      </w:r>
      <w:bookmarkEnd w:id="46"/>
    </w:p>
    <w:p w14:paraId="08939251"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中国汽车行业使用本文件进行ESG评价，包括环境、社会、治理三个维度，宜遵循评价原则（5），结合评价内容（6）准备技术文件，由审核组按照评价方法（7）和评价过程（8）完成评价。</w:t>
      </w:r>
    </w:p>
    <w:p w14:paraId="2060E135"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lastRenderedPageBreak/>
        <w:t>对照附录A评价指标内容，以及附录B评价指标计算方法</w:t>
      </w:r>
      <w:r>
        <w:rPr>
          <w:rFonts w:ascii="宋体" w:hAnsi="宋体" w:cs="宋体" w:hint="eastAsia"/>
          <w:snapToGrid w:val="0"/>
          <w:color w:val="000000"/>
          <w:kern w:val="0"/>
        </w:rPr>
        <w:t>和</w:t>
      </w:r>
      <w:r>
        <w:rPr>
          <w:rFonts w:ascii="宋体" w:hAnsi="宋体" w:cs="宋体"/>
          <w:snapToGrid w:val="0"/>
          <w:color w:val="000000"/>
          <w:kern w:val="0"/>
        </w:rPr>
        <w:t>权重系数设定方法进行评价，并结合附录C进行评价结果分级评定。</w:t>
      </w:r>
    </w:p>
    <w:p w14:paraId="3FAC6611" w14:textId="77777777" w:rsidR="00CA5006" w:rsidRDefault="00000000">
      <w:pPr>
        <w:pStyle w:val="aff9"/>
        <w:spacing w:before="240" w:after="240"/>
      </w:pPr>
      <w:bookmarkStart w:id="47" w:name="_Toc26071"/>
      <w:r>
        <w:rPr>
          <w:rFonts w:hint="eastAsia"/>
        </w:rPr>
        <w:t>评价原则</w:t>
      </w:r>
      <w:bookmarkEnd w:id="47"/>
    </w:p>
    <w:p w14:paraId="53D47121" w14:textId="77777777" w:rsidR="00CA5006" w:rsidRDefault="00000000">
      <w:pPr>
        <w:pStyle w:val="affa"/>
        <w:spacing w:before="120" w:after="120"/>
      </w:pPr>
      <w:r>
        <w:rPr>
          <w:rFonts w:hint="eastAsia"/>
        </w:rPr>
        <w:t>科学性</w:t>
      </w:r>
    </w:p>
    <w:p w14:paraId="1804E425"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评价方案的设计应科学、合理、有效，评价结果能够真实、客观地反映被评价企业的ESG</w:t>
      </w:r>
      <w:r>
        <w:rPr>
          <w:rFonts w:ascii="宋体" w:hAnsi="宋体" w:cs="宋体" w:hint="eastAsia"/>
          <w:snapToGrid w:val="0"/>
          <w:color w:val="000000"/>
          <w:kern w:val="0"/>
        </w:rPr>
        <w:t>管理水平</w:t>
      </w:r>
      <w:r>
        <w:rPr>
          <w:rFonts w:ascii="宋体" w:hAnsi="宋体" w:cs="宋体"/>
          <w:snapToGrid w:val="0"/>
          <w:color w:val="000000"/>
          <w:kern w:val="0"/>
        </w:rPr>
        <w:t>和能力水平。</w:t>
      </w:r>
    </w:p>
    <w:p w14:paraId="0EB11B2A" w14:textId="77777777" w:rsidR="00CA5006" w:rsidRDefault="00000000">
      <w:pPr>
        <w:pStyle w:val="affa"/>
        <w:spacing w:before="120" w:after="120"/>
      </w:pPr>
      <w:r>
        <w:rPr>
          <w:rFonts w:hint="eastAsia"/>
        </w:rPr>
        <w:t xml:space="preserve">公正性 </w:t>
      </w:r>
    </w:p>
    <w:p w14:paraId="3B6BC4D1"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 xml:space="preserve">评价过程应公正、公平、规范。对于同类型评价对象在同一应用场景和同一时期的ESG评价应使用同一评价方法和指标体系。 </w:t>
      </w:r>
    </w:p>
    <w:p w14:paraId="306A665C" w14:textId="77777777" w:rsidR="00CA5006" w:rsidRDefault="00000000">
      <w:pPr>
        <w:pStyle w:val="affa"/>
        <w:spacing w:before="120" w:after="120"/>
      </w:pPr>
      <w:r>
        <w:rPr>
          <w:rFonts w:hint="eastAsia"/>
        </w:rPr>
        <w:t xml:space="preserve">客观性 </w:t>
      </w:r>
    </w:p>
    <w:p w14:paraId="7CE5A87E"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 xml:space="preserve">对ESG评价以事实为依据，以资料和数据为客观证明，并且使用统一的量度标准。评价指标应尽量采用定量的统计方法，对于难以定量评价的指标，采取定性描述评价。 </w:t>
      </w:r>
    </w:p>
    <w:p w14:paraId="117DD825" w14:textId="77777777" w:rsidR="00CA5006" w:rsidRDefault="00000000">
      <w:pPr>
        <w:pStyle w:val="affa"/>
        <w:spacing w:before="120" w:after="120"/>
      </w:pPr>
      <w:r>
        <w:rPr>
          <w:rFonts w:hint="eastAsia"/>
        </w:rPr>
        <w:t xml:space="preserve">全面性 </w:t>
      </w:r>
    </w:p>
    <w:p w14:paraId="23D9CC59" w14:textId="77777777" w:rsidR="00CA5006" w:rsidRDefault="00000000">
      <w:pPr>
        <w:overflowPunct w:val="0"/>
        <w:snapToGrid w:val="0"/>
        <w:spacing w:line="360" w:lineRule="auto"/>
        <w:ind w:right="57" w:firstLine="412"/>
        <w:textAlignment w:val="baseline"/>
      </w:pPr>
      <w:r>
        <w:rPr>
          <w:rFonts w:hint="eastAsia"/>
        </w:rPr>
        <w:t>评价时需对企业进行全面的信息收集、核实与分析。评价内容应涵盖环境、社会、治理三方面，以及环保、健康、安全等关键议题。</w:t>
      </w:r>
    </w:p>
    <w:p w14:paraId="7581420E" w14:textId="77777777" w:rsidR="00CA5006" w:rsidRDefault="00000000">
      <w:pPr>
        <w:pStyle w:val="affa"/>
        <w:spacing w:before="120" w:after="120"/>
      </w:pPr>
      <w:r>
        <w:rPr>
          <w:rFonts w:hint="eastAsia"/>
        </w:rPr>
        <w:t xml:space="preserve">透明性 </w:t>
      </w:r>
    </w:p>
    <w:p w14:paraId="7ACFF71D" w14:textId="77777777" w:rsidR="00CA5006" w:rsidRDefault="00000000">
      <w:pPr>
        <w:overflowPunct w:val="0"/>
        <w:snapToGrid w:val="0"/>
        <w:spacing w:line="360" w:lineRule="auto"/>
        <w:ind w:right="57" w:firstLine="412"/>
        <w:textAlignment w:val="baseline"/>
      </w:pPr>
      <w:r>
        <w:rPr>
          <w:rFonts w:hint="eastAsia"/>
        </w:rPr>
        <w:t>由于</w:t>
      </w:r>
      <w:r>
        <w:rPr>
          <w:rFonts w:hint="eastAsia"/>
        </w:rPr>
        <w:t>ESG</w:t>
      </w:r>
      <w:r>
        <w:rPr>
          <w:rFonts w:hint="eastAsia"/>
        </w:rPr>
        <w:t>评价固有的复杂性，透明性是进行</w:t>
      </w:r>
      <w:r>
        <w:rPr>
          <w:rFonts w:hint="eastAsia"/>
        </w:rPr>
        <w:t>ESG</w:t>
      </w:r>
      <w:r>
        <w:rPr>
          <w:rFonts w:hint="eastAsia"/>
        </w:rPr>
        <w:t>评价的一个重要指导原则，以确保评价方法、过程及其变更修订和评价结果透明公开，并做出恰当的解释。</w:t>
      </w:r>
    </w:p>
    <w:p w14:paraId="17480042" w14:textId="77777777" w:rsidR="00CA5006" w:rsidRDefault="00000000">
      <w:pPr>
        <w:pStyle w:val="aff9"/>
        <w:spacing w:before="240" w:after="240"/>
      </w:pPr>
      <w:bookmarkStart w:id="48" w:name="_Toc28737"/>
      <w:r>
        <w:rPr>
          <w:rFonts w:hint="eastAsia"/>
        </w:rPr>
        <w:t>评价内容</w:t>
      </w:r>
      <w:bookmarkStart w:id="49" w:name="_Toc120131587"/>
      <w:bookmarkStart w:id="50" w:name="_Toc120088652"/>
      <w:bookmarkEnd w:id="48"/>
    </w:p>
    <w:bookmarkEnd w:id="49"/>
    <w:bookmarkEnd w:id="50"/>
    <w:p w14:paraId="403EAD08"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本文件充分考虑企业类别的差异性和适用性等内容，议题主要包括：</w:t>
      </w:r>
    </w:p>
    <w:p w14:paraId="3F80E991"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环境(E)：环境合规管理、应对气候变化、污染物排放、废弃物、循环经济、能源利用、水资源、生态系统和生物多样性保护等。</w:t>
      </w:r>
    </w:p>
    <w:p w14:paraId="4F8D3B76"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社会(S)：产品服务安全与质量、创新驱动、数据安全与隐私保护、员工权益、社会贡献、供应链管理等。</w:t>
      </w:r>
    </w:p>
    <w:p w14:paraId="782F0B42" w14:textId="77777777" w:rsidR="00CA5006" w:rsidRDefault="00000000">
      <w:pPr>
        <w:widowControl/>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治理(G)：ESG治理、ESG合规管理、反商业贿赂及反贪污、反不正当竞争等。</w:t>
      </w:r>
    </w:p>
    <w:p w14:paraId="3FCFEAAC" w14:textId="77777777" w:rsidR="00CA5006" w:rsidRDefault="00000000">
      <w:pPr>
        <w:overflowPunct w:val="0"/>
        <w:snapToGrid w:val="0"/>
        <w:spacing w:line="360" w:lineRule="auto"/>
        <w:ind w:right="57" w:firstLine="412"/>
        <w:textAlignment w:val="baseline"/>
      </w:pPr>
      <w:r>
        <w:rPr>
          <w:rFonts w:hint="eastAsia"/>
        </w:rPr>
        <w:t>本文件包括上述议题。本文件议题以附录形式呈现，共分为</w:t>
      </w:r>
      <w:r>
        <w:rPr>
          <w:rFonts w:hint="eastAsia"/>
        </w:rPr>
        <w:t>3</w:t>
      </w:r>
      <w:r>
        <w:rPr>
          <w:rFonts w:hint="eastAsia"/>
        </w:rPr>
        <w:t>大主题维度，</w:t>
      </w:r>
      <w:r>
        <w:rPr>
          <w:rFonts w:hint="eastAsia"/>
        </w:rPr>
        <w:t>4</w:t>
      </w:r>
      <w:r>
        <w:rPr>
          <w:rFonts w:hint="eastAsia"/>
        </w:rPr>
        <w:t>大支柱，涵盖</w:t>
      </w:r>
      <w:r>
        <w:rPr>
          <w:rFonts w:hint="eastAsia"/>
        </w:rPr>
        <w:t>18</w:t>
      </w:r>
      <w:r>
        <w:rPr>
          <w:rFonts w:hint="eastAsia"/>
        </w:rPr>
        <w:t>个议题，</w:t>
      </w:r>
      <w:r>
        <w:rPr>
          <w:rFonts w:hint="eastAsia"/>
        </w:rPr>
        <w:t>177</w:t>
      </w:r>
      <w:r>
        <w:rPr>
          <w:rFonts w:hint="eastAsia"/>
        </w:rPr>
        <w:t>项指标（四级），</w:t>
      </w:r>
      <w:r>
        <w:rPr>
          <w:rFonts w:hint="eastAsia"/>
        </w:rPr>
        <w:t>416</w:t>
      </w:r>
      <w:r>
        <w:rPr>
          <w:rFonts w:hint="eastAsia"/>
        </w:rPr>
        <w:t>个数据点。</w:t>
      </w:r>
    </w:p>
    <w:p w14:paraId="266AA087" w14:textId="77777777" w:rsidR="00CA5006" w:rsidRDefault="00000000">
      <w:pPr>
        <w:pStyle w:val="aff9"/>
        <w:spacing w:before="240" w:after="240"/>
      </w:pPr>
      <w:bookmarkStart w:id="51" w:name="_Toc24197"/>
      <w:r>
        <w:rPr>
          <w:rFonts w:hint="eastAsia"/>
        </w:rPr>
        <w:t>评价方法</w:t>
      </w:r>
      <w:bookmarkEnd w:id="51"/>
    </w:p>
    <w:p w14:paraId="639D1EED" w14:textId="77777777" w:rsidR="00CA5006" w:rsidRDefault="00000000">
      <w:pPr>
        <w:widowControl/>
        <w:overflowPunct w:val="0"/>
        <w:adjustRightInd/>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lastRenderedPageBreak/>
        <w:t>中国汽车行业ESG评价指南使用多级指标评价体系。评价指标权重系数可根据需要设置，相关方法的具体操作步骤见附录B。</w:t>
      </w:r>
    </w:p>
    <w:p w14:paraId="1DB859AB" w14:textId="77777777" w:rsidR="00CA5006" w:rsidRDefault="00000000">
      <w:pPr>
        <w:widowControl/>
        <w:overflowPunct w:val="0"/>
        <w:adjustRightInd/>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ESG指标分为定量指标和定性指标两类。</w:t>
      </w:r>
    </w:p>
    <w:p w14:paraId="4454BA5B" w14:textId="77777777" w:rsidR="00CA5006" w:rsidRDefault="00000000">
      <w:pPr>
        <w:widowControl/>
        <w:overflowPunct w:val="0"/>
        <w:adjustRightInd/>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对于定性指标，考察评价</w:t>
      </w:r>
      <w:r>
        <w:rPr>
          <w:rFonts w:ascii="宋体" w:hAnsi="宋体" w:cs="宋体" w:hint="eastAsia"/>
          <w:snapToGrid w:val="0"/>
          <w:color w:val="000000"/>
          <w:kern w:val="0"/>
        </w:rPr>
        <w:t>对象</w:t>
      </w:r>
      <w:r>
        <w:rPr>
          <w:rFonts w:ascii="宋体" w:hAnsi="宋体" w:cs="宋体"/>
          <w:snapToGrid w:val="0"/>
          <w:color w:val="000000"/>
          <w:kern w:val="0"/>
        </w:rPr>
        <w:t>符合相关法律法规和政策要求，以及满足相关具体目标的情况。</w:t>
      </w:r>
    </w:p>
    <w:p w14:paraId="017E089C" w14:textId="77777777" w:rsidR="00CA5006" w:rsidRDefault="00000000">
      <w:pPr>
        <w:widowControl/>
        <w:overflowPunct w:val="0"/>
        <w:adjustRightInd/>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对于定量指标，考察评价</w:t>
      </w:r>
      <w:r>
        <w:rPr>
          <w:rFonts w:ascii="宋体" w:hAnsi="宋体" w:cs="宋体" w:hint="eastAsia"/>
          <w:snapToGrid w:val="0"/>
          <w:color w:val="000000"/>
          <w:kern w:val="0"/>
        </w:rPr>
        <w:t>对象</w:t>
      </w:r>
      <w:r>
        <w:rPr>
          <w:rFonts w:ascii="宋体" w:hAnsi="宋体" w:cs="宋体"/>
          <w:snapToGrid w:val="0"/>
          <w:color w:val="000000"/>
          <w:kern w:val="0"/>
        </w:rPr>
        <w:t>的实际情况与自身发展水平以及行业平均水平相比较的结果。评价者可从国家和地方统计机构、行业协会、各类研究机构或第三方机构发布的数据报告获取相关信息，或自行收集。</w:t>
      </w:r>
    </w:p>
    <w:p w14:paraId="5B1CEA17" w14:textId="77777777" w:rsidR="00CA5006" w:rsidRDefault="00000000">
      <w:pPr>
        <w:widowControl/>
        <w:overflowPunct w:val="0"/>
        <w:adjustRightInd/>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ESG指标项的量化评分方法参见附录B。</w:t>
      </w:r>
    </w:p>
    <w:p w14:paraId="7F4D4EA4" w14:textId="77777777" w:rsidR="00CA5006" w:rsidRDefault="00000000">
      <w:pPr>
        <w:widowControl/>
        <w:overflowPunct w:val="0"/>
        <w:adjustRightInd/>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hint="eastAsia"/>
          <w:snapToGrid w:val="0"/>
          <w:color w:val="000000"/>
          <w:kern w:val="0"/>
        </w:rPr>
        <w:t>对</w:t>
      </w:r>
      <w:r>
        <w:rPr>
          <w:rFonts w:ascii="宋体" w:hAnsi="宋体" w:cs="宋体"/>
          <w:snapToGrid w:val="0"/>
          <w:color w:val="000000"/>
          <w:kern w:val="0"/>
        </w:rPr>
        <w:t>ESG管理水平和结果为等级评价。等级评价方法参见附录C</w:t>
      </w:r>
      <w:r>
        <w:rPr>
          <w:rFonts w:ascii="宋体" w:hAnsi="宋体" w:cs="宋体" w:hint="eastAsia"/>
          <w:snapToGrid w:val="0"/>
          <w:color w:val="000000"/>
          <w:kern w:val="0"/>
        </w:rPr>
        <w:t>，</w:t>
      </w:r>
      <w:r>
        <w:rPr>
          <w:rFonts w:ascii="宋体" w:hAnsi="宋体" w:cs="宋体"/>
          <w:snapToGrid w:val="0"/>
          <w:color w:val="000000"/>
          <w:kern w:val="0"/>
        </w:rPr>
        <w:t>以AAAAA、AAAA、AAA、AA、A、BBB、BB、B、CCC、CC分级的形式，进行评价。</w:t>
      </w:r>
    </w:p>
    <w:p w14:paraId="53CEF086" w14:textId="77777777" w:rsidR="00CA5006" w:rsidRDefault="00000000">
      <w:pPr>
        <w:widowControl/>
        <w:overflowPunct w:val="0"/>
        <w:adjustRightInd/>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本评价方案适用于企业自评或第三方评估。</w:t>
      </w:r>
    </w:p>
    <w:p w14:paraId="44EE23C4" w14:textId="77777777" w:rsidR="00CA5006" w:rsidRDefault="00000000">
      <w:pPr>
        <w:widowControl/>
        <w:overflowPunct w:val="0"/>
        <w:adjustRightInd/>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企业可基于附录A所述的指标内容，结合自身实际需要，对ESG情况进行评估，并总结分析、提出改进措施并落实改进。同时，</w:t>
      </w:r>
      <w:r>
        <w:rPr>
          <w:rFonts w:ascii="宋体" w:hAnsi="宋体" w:cs="宋体" w:hint="eastAsia"/>
          <w:snapToGrid w:val="0"/>
          <w:color w:val="000000"/>
          <w:kern w:val="0"/>
        </w:rPr>
        <w:t>本文件</w:t>
      </w:r>
      <w:r>
        <w:rPr>
          <w:rFonts w:ascii="宋体" w:hAnsi="宋体" w:cs="宋体"/>
          <w:snapToGrid w:val="0"/>
          <w:color w:val="000000"/>
          <w:kern w:val="0"/>
        </w:rPr>
        <w:t>所附的指标内容仅为汽车行业提供一个技术框架，企业可结合自身业务特点，细化开发和确定每项具体的ESG评价指标，进一步设计和确定其ESG指标体系的分类、结构、内容以及权重设置。</w:t>
      </w:r>
    </w:p>
    <w:p w14:paraId="7EDEDCEF" w14:textId="77777777" w:rsidR="00CA5006" w:rsidRDefault="00000000">
      <w:pPr>
        <w:widowControl/>
        <w:overflowPunct w:val="0"/>
        <w:adjustRightInd/>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第三方评价机构可通过应用本文件对企业的ESG管理水平和结果进行评估和研究，评价企业的ESG能力水平。</w:t>
      </w:r>
    </w:p>
    <w:p w14:paraId="46CEA8A5" w14:textId="77777777" w:rsidR="00CA5006" w:rsidRDefault="00000000">
      <w:pPr>
        <w:pStyle w:val="aff9"/>
        <w:spacing w:before="240" w:after="240"/>
      </w:pPr>
      <w:bookmarkStart w:id="52" w:name="_Toc16156"/>
      <w:r>
        <w:rPr>
          <w:rFonts w:hint="eastAsia"/>
        </w:rPr>
        <w:t>评价过程</w:t>
      </w:r>
      <w:bookmarkEnd w:id="52"/>
    </w:p>
    <w:p w14:paraId="0128AA78" w14:textId="77777777" w:rsidR="00CA5006" w:rsidRDefault="00000000">
      <w:pPr>
        <w:pStyle w:val="affa"/>
        <w:spacing w:before="120" w:after="120"/>
      </w:pPr>
      <w:r>
        <w:rPr>
          <w:rFonts w:hint="eastAsia"/>
        </w:rPr>
        <w:t>计划与准备</w:t>
      </w:r>
    </w:p>
    <w:p w14:paraId="10207FFC"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制定评价工作计划，确定信息采集、处理、量化评价及撰写评价报告等评价时间安排。</w:t>
      </w:r>
    </w:p>
    <w:p w14:paraId="49DA977A"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根据评价计划完成相关材料的准备工作。</w:t>
      </w:r>
    </w:p>
    <w:p w14:paraId="61F1F9C0" w14:textId="77777777" w:rsidR="00CA5006" w:rsidRDefault="00000000">
      <w:pPr>
        <w:pStyle w:val="affa"/>
        <w:spacing w:before="120" w:after="120"/>
      </w:pPr>
      <w:r>
        <w:rPr>
          <w:rFonts w:hint="eastAsia"/>
        </w:rPr>
        <w:t>信息采集、处理</w:t>
      </w:r>
    </w:p>
    <w:p w14:paraId="1B07156A"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评价者可参照下列所述渠道进行信息采集与处理，应尽可能完整地采集被评价对象的内部信息与外部信息，并进行核实、记录存档与内部复核。</w:t>
      </w:r>
    </w:p>
    <w:p w14:paraId="79CD551A"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评价对象ESG信息按来源角度分类，可包括内部信息和外部信息。</w:t>
      </w:r>
    </w:p>
    <w:p w14:paraId="5546BF3B"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 xml:space="preserve">内部信息指由评价对象自主发布的关于自身的信息，内部信息包括但不限于企业发布的： </w:t>
      </w:r>
    </w:p>
    <w:p w14:paraId="16230CC8"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a)</w:t>
      </w:r>
      <w:r>
        <w:rPr>
          <w:rFonts w:ascii="宋体" w:hAnsi="宋体" w:cs="宋体"/>
          <w:snapToGrid w:val="0"/>
          <w:color w:val="000000"/>
          <w:kern w:val="0"/>
        </w:rPr>
        <w:tab/>
        <w:t xml:space="preserve">《ESG报告》《企业社会责任报告》《可持续发展报告》； </w:t>
      </w:r>
    </w:p>
    <w:p w14:paraId="59AE2008"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b)</w:t>
      </w:r>
      <w:r>
        <w:rPr>
          <w:rFonts w:ascii="宋体" w:hAnsi="宋体" w:cs="宋体"/>
          <w:snapToGrid w:val="0"/>
          <w:color w:val="000000"/>
          <w:kern w:val="0"/>
        </w:rPr>
        <w:tab/>
        <w:t xml:space="preserve">公司年报、半年报、专项报告； </w:t>
      </w:r>
    </w:p>
    <w:p w14:paraId="080FC8C6"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c)</w:t>
      </w:r>
      <w:r>
        <w:rPr>
          <w:rFonts w:ascii="宋体" w:hAnsi="宋体" w:cs="宋体"/>
          <w:snapToGrid w:val="0"/>
          <w:color w:val="000000"/>
          <w:kern w:val="0"/>
        </w:rPr>
        <w:tab/>
        <w:t xml:space="preserve">根据评价主体要求编制的资料清单； </w:t>
      </w:r>
    </w:p>
    <w:p w14:paraId="6095FCB0"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d)</w:t>
      </w:r>
      <w:r>
        <w:rPr>
          <w:rFonts w:ascii="宋体" w:hAnsi="宋体" w:cs="宋体"/>
          <w:snapToGrid w:val="0"/>
          <w:color w:val="000000"/>
          <w:kern w:val="0"/>
        </w:rPr>
        <w:tab/>
        <w:t xml:space="preserve">公开数据信息； </w:t>
      </w:r>
    </w:p>
    <w:p w14:paraId="750BE4F2"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e)</w:t>
      </w:r>
      <w:r>
        <w:rPr>
          <w:rFonts w:ascii="宋体" w:hAnsi="宋体" w:cs="宋体"/>
          <w:snapToGrid w:val="0"/>
          <w:color w:val="000000"/>
          <w:kern w:val="0"/>
        </w:rPr>
        <w:tab/>
        <w:t xml:space="preserve">规章、声明或简报； </w:t>
      </w:r>
    </w:p>
    <w:p w14:paraId="645AFF2A"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lastRenderedPageBreak/>
        <w:t>f)</w:t>
      </w:r>
      <w:r>
        <w:rPr>
          <w:rFonts w:ascii="宋体" w:hAnsi="宋体" w:cs="宋体"/>
          <w:snapToGrid w:val="0"/>
          <w:color w:val="000000"/>
          <w:kern w:val="0"/>
        </w:rPr>
        <w:tab/>
        <w:t>其它形式的信息。</w:t>
      </w:r>
    </w:p>
    <w:p w14:paraId="11FBD3CA"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外部信息指由非评价对象发布的关于评价对象的ESG相关信息。外部信息包括但不限于：</w:t>
      </w:r>
    </w:p>
    <w:p w14:paraId="04F8A495"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a)</w:t>
      </w:r>
      <w:r>
        <w:rPr>
          <w:rFonts w:ascii="宋体" w:hAnsi="宋体" w:cs="宋体"/>
          <w:snapToGrid w:val="0"/>
          <w:color w:val="000000"/>
          <w:kern w:val="0"/>
        </w:rPr>
        <w:tab/>
        <w:t>国家或地方监管部门发布的关于企业ESG方面的信息，如违反ESG相关监管规定的通报等；</w:t>
      </w:r>
    </w:p>
    <w:p w14:paraId="51CEA472"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b)</w:t>
      </w:r>
      <w:r>
        <w:rPr>
          <w:rFonts w:ascii="宋体" w:hAnsi="宋体" w:cs="宋体"/>
          <w:snapToGrid w:val="0"/>
          <w:color w:val="000000"/>
          <w:kern w:val="0"/>
        </w:rPr>
        <w:tab/>
        <w:t>国家或地方统计部门发布的关于企业的资源使用量的统计信息；</w:t>
      </w:r>
    </w:p>
    <w:p w14:paraId="7F878BB7"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c)</w:t>
      </w:r>
      <w:r>
        <w:rPr>
          <w:rFonts w:ascii="宋体" w:hAnsi="宋体" w:cs="宋体"/>
          <w:snapToGrid w:val="0"/>
          <w:color w:val="000000"/>
          <w:kern w:val="0"/>
        </w:rPr>
        <w:tab/>
        <w:t>司法机构公布的企业司法数据；</w:t>
      </w:r>
    </w:p>
    <w:p w14:paraId="0E07F7AD"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d)</w:t>
      </w:r>
      <w:r>
        <w:rPr>
          <w:rFonts w:ascii="宋体" w:hAnsi="宋体" w:cs="宋体"/>
          <w:snapToGrid w:val="0"/>
          <w:color w:val="000000"/>
          <w:kern w:val="0"/>
        </w:rPr>
        <w:tab/>
        <w:t>社会组织（非政府组织/非营利组织）发布的关于企业的ESG相关信息；</w:t>
      </w:r>
    </w:p>
    <w:p w14:paraId="62B555A1"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e)</w:t>
      </w:r>
      <w:r>
        <w:rPr>
          <w:rFonts w:ascii="宋体" w:hAnsi="宋体" w:cs="宋体"/>
          <w:snapToGrid w:val="0"/>
          <w:color w:val="000000"/>
          <w:kern w:val="0"/>
        </w:rPr>
        <w:tab/>
        <w:t>专业数据库发布的关于企业的ESG相关信息；</w:t>
      </w:r>
    </w:p>
    <w:p w14:paraId="61A2DAA7"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f)</w:t>
      </w:r>
      <w:r>
        <w:rPr>
          <w:rFonts w:ascii="宋体" w:hAnsi="宋体" w:cs="宋体"/>
          <w:snapToGrid w:val="0"/>
          <w:color w:val="000000"/>
          <w:kern w:val="0"/>
        </w:rPr>
        <w:tab/>
        <w:t>媒体发布的关于企业的ESG相关信息；</w:t>
      </w:r>
    </w:p>
    <w:p w14:paraId="3FAB185A"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g)</w:t>
      </w:r>
      <w:r>
        <w:rPr>
          <w:rFonts w:ascii="宋体" w:hAnsi="宋体" w:cs="宋体"/>
          <w:snapToGrid w:val="0"/>
          <w:color w:val="000000"/>
          <w:kern w:val="0"/>
        </w:rPr>
        <w:tab/>
        <w:t>其它形式的信息。</w:t>
      </w:r>
    </w:p>
    <w:p w14:paraId="21D20CD0"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对评价对象的ESG信息搜集须遵守国家相关法规，不得以非法手段获取信息。信息搜集应尽可能广泛、全面，宜同时覆盖内部信息和外部信息。外部信息来源应多样化，未经证实的非正规渠道信息不宜使用。</w:t>
      </w:r>
    </w:p>
    <w:p w14:paraId="1242526B"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对于企业自愿披露的信息，应结合企业相关信息（如企业年报、半年报及其他形式的信息披露）进行查阅、核对和分析。针对疑点采取相应询问、现场勘查等实际性分析程序进行确认。无法证实的存疑数据信息不应使用。如内部信息和外部信息出现矛盾或不一致的情况，应对相关信息进行核实后取用符合事实的信息。应建立工作底稿存档制度，对每一评价的数据来源和基础、评价的依据和基础记录存档。同时设立内部审核制度，评价人员和内部审核人员相互独立，确保评价结果公正客观。</w:t>
      </w:r>
    </w:p>
    <w:p w14:paraId="156097F5" w14:textId="77777777" w:rsidR="00CA5006" w:rsidRDefault="00000000">
      <w:pPr>
        <w:pStyle w:val="affa"/>
        <w:spacing w:before="120" w:after="120"/>
      </w:pPr>
      <w:r>
        <w:rPr>
          <w:rFonts w:hint="eastAsia"/>
        </w:rPr>
        <w:t>信息评价</w:t>
      </w:r>
    </w:p>
    <w:p w14:paraId="35B2579D"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评价者根据本文件附录A对企业ESG管理情况进行评价。利用前期确定采取的评价方法，根据处理后的汇总信息，对评价对象进行评价。</w:t>
      </w:r>
    </w:p>
    <w:p w14:paraId="15D7F210" w14:textId="77777777" w:rsidR="00CA5006" w:rsidRDefault="00000000">
      <w:pPr>
        <w:pStyle w:val="affa"/>
        <w:spacing w:before="120" w:after="120"/>
      </w:pPr>
      <w:r>
        <w:rPr>
          <w:rFonts w:hint="eastAsia"/>
        </w:rPr>
        <w:t>评价结果等级评定</w:t>
      </w:r>
    </w:p>
    <w:p w14:paraId="186E02FE"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评价者按照附录B、附录C得出评价结果，确定ESG评价等级。</w:t>
      </w:r>
    </w:p>
    <w:p w14:paraId="4F758012"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当企业出现一些负面影响较大的事件时，应对评价结果进行修正。应在最终评价结果的基础上扣减相应的分数或者降低等级，以反映相关事件造成的后果对ESG评价的负面影响。</w:t>
      </w:r>
    </w:p>
    <w:p w14:paraId="69BF1C69" w14:textId="77777777" w:rsidR="00CA5006" w:rsidRDefault="00000000">
      <w:pPr>
        <w:pStyle w:val="affa"/>
        <w:spacing w:before="120" w:after="120"/>
      </w:pPr>
      <w:r>
        <w:rPr>
          <w:rFonts w:hint="eastAsia"/>
        </w:rPr>
        <w:t xml:space="preserve">评价结果应用与追踪 </w:t>
      </w:r>
    </w:p>
    <w:p w14:paraId="63B1DB3C"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评价者确定企业ESG评价等级并出具评价报告。评价报告可包括企业基本信息介绍、企业ESG评价得分及等级结果、企业ESG评价结果分析、评价结论及建议等内容。</w:t>
      </w:r>
    </w:p>
    <w:p w14:paraId="393466A3"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报告对企业ESG评价结果，核心评价要素的内容、ESG评价等级等进行解释和说明，并为企业提升ESG绩效表现提出合理化建议。</w:t>
      </w:r>
    </w:p>
    <w:p w14:paraId="2A524CE3"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根据实际需要，企业ESG评价报告可在政府相关部门行政管理、投资机构和投资者投资决策、企业经营等事项中使用。</w:t>
      </w:r>
    </w:p>
    <w:p w14:paraId="325C79DB"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lastRenderedPageBreak/>
        <w:t>评价者在出具企业ESG评价报告后，宜对ESG评价结果进行定期（一般一年一次）跟踪，并对企业ESG评级和报告内容进行及时更新。</w:t>
      </w:r>
    </w:p>
    <w:p w14:paraId="20BB94C9" w14:textId="77777777" w:rsidR="00CA5006" w:rsidRDefault="00CA5006">
      <w:pPr>
        <w:pStyle w:val="afd"/>
        <w:numPr>
          <w:ilvl w:val="0"/>
          <w:numId w:val="0"/>
        </w:numPr>
        <w:ind w:left="851"/>
      </w:pPr>
    </w:p>
    <w:p w14:paraId="5747AEC5" w14:textId="77777777" w:rsidR="00CA5006" w:rsidRDefault="00CA5006">
      <w:pPr>
        <w:pStyle w:val="affffff1"/>
        <w:ind w:firstLine="420"/>
        <w:sectPr w:rsidR="00CA5006">
          <w:pgSz w:w="11906" w:h="16838"/>
          <w:pgMar w:top="2410" w:right="1134" w:bottom="1134" w:left="1134" w:header="1418" w:footer="1134" w:gutter="284"/>
          <w:pgNumType w:start="1"/>
          <w:cols w:space="425"/>
          <w:formProt w:val="0"/>
          <w:docGrid w:linePitch="312"/>
        </w:sectPr>
      </w:pPr>
    </w:p>
    <w:p w14:paraId="7408ADE7" w14:textId="77777777" w:rsidR="00CA5006" w:rsidRDefault="00CA5006">
      <w:pPr>
        <w:pStyle w:val="af4"/>
        <w:rPr>
          <w:rFonts w:hint="eastAsia"/>
        </w:rPr>
      </w:pPr>
      <w:bookmarkStart w:id="53" w:name="BookMark5"/>
      <w:bookmarkEnd w:id="13"/>
    </w:p>
    <w:p w14:paraId="0C047E2B" w14:textId="77777777" w:rsidR="00CA5006" w:rsidRDefault="00CA5006">
      <w:pPr>
        <w:pStyle w:val="afa"/>
      </w:pPr>
    </w:p>
    <w:p w14:paraId="2368E5DB" w14:textId="77777777" w:rsidR="00CA5006" w:rsidRDefault="00000000">
      <w:pPr>
        <w:pStyle w:val="afffffff2"/>
        <w:spacing w:before="60" w:after="120"/>
      </w:pPr>
      <w:bookmarkStart w:id="54" w:name="_Toc155276550"/>
      <w:bookmarkStart w:id="55" w:name="_Toc26055"/>
      <w:bookmarkStart w:id="56" w:name="_Toc155283321"/>
      <w:bookmarkStart w:id="57" w:name="_Toc24413"/>
      <w:r>
        <w:rPr>
          <w:rFonts w:hint="eastAsia"/>
        </w:rPr>
        <w:t>附录A</w:t>
      </w:r>
      <w:r>
        <w:br/>
      </w:r>
      <w:r>
        <w:rPr>
          <w:rFonts w:hint="eastAsia"/>
        </w:rPr>
        <w:t>（规范性）</w:t>
      </w:r>
      <w:r>
        <w:br/>
      </w:r>
      <w:bookmarkEnd w:id="54"/>
      <w:bookmarkEnd w:id="55"/>
      <w:bookmarkEnd w:id="56"/>
      <w:r>
        <w:rPr>
          <w:rFonts w:hint="eastAsia"/>
        </w:rPr>
        <w:t>中国汽车行业ESG评价指标内容</w:t>
      </w:r>
      <w:bookmarkEnd w:id="57"/>
    </w:p>
    <w:p w14:paraId="0A46B8CF" w14:textId="77777777" w:rsidR="00CA5006" w:rsidRDefault="00000000">
      <w:pPr>
        <w:overflowPunct w:val="0"/>
        <w:snapToGrid w:val="0"/>
        <w:spacing w:line="360" w:lineRule="auto"/>
        <w:ind w:right="57" w:firstLine="412"/>
        <w:textAlignment w:val="baseline"/>
        <w:rPr>
          <w:rFonts w:ascii="宋体" w:hAnsi="宋体" w:cs="宋体" w:hint="eastAsia"/>
          <w:snapToGrid w:val="0"/>
          <w:color w:val="000000"/>
          <w:kern w:val="0"/>
        </w:rPr>
      </w:pPr>
      <w:r>
        <w:rPr>
          <w:rFonts w:ascii="宋体" w:hAnsi="宋体" w:cs="宋体"/>
          <w:snapToGrid w:val="0"/>
          <w:color w:val="000000"/>
          <w:kern w:val="0"/>
        </w:rPr>
        <w:t>表A.1给出了中国汽车行业ESG评价指标，其中</w:t>
      </w:r>
      <w:r>
        <w:rPr>
          <w:rFonts w:ascii="宋体" w:hAnsi="宋体" w:cs="宋体" w:hint="eastAsia"/>
          <w:snapToGrid w:val="0"/>
          <w:color w:val="000000"/>
          <w:kern w:val="0"/>
        </w:rPr>
        <w:t>通用</w:t>
      </w:r>
      <w:r>
        <w:rPr>
          <w:rFonts w:ascii="宋体" w:hAnsi="宋体" w:cs="宋体"/>
          <w:snapToGrid w:val="0"/>
          <w:color w:val="000000"/>
          <w:kern w:val="0"/>
        </w:rPr>
        <w:t>指标是指企业遵循国家法律法规要求、政策，以及监管部门规范、指引文件要求，开展ESG管理和实践的基础性指标；</w:t>
      </w:r>
      <w:r>
        <w:rPr>
          <w:rFonts w:ascii="宋体" w:hAnsi="宋体" w:cs="宋体" w:hint="eastAsia"/>
          <w:snapToGrid w:val="0"/>
          <w:color w:val="000000"/>
          <w:kern w:val="0"/>
        </w:rPr>
        <w:t>差异指标</w:t>
      </w:r>
      <w:r>
        <w:rPr>
          <w:rFonts w:ascii="宋体" w:hAnsi="宋体" w:cs="宋体"/>
          <w:snapToGrid w:val="0"/>
          <w:color w:val="000000"/>
          <w:kern w:val="0"/>
        </w:rPr>
        <w:t>是指建议企业用于评价的可以反映汽车行业</w:t>
      </w:r>
      <w:r>
        <w:rPr>
          <w:rFonts w:ascii="宋体" w:hAnsi="宋体" w:cs="宋体" w:hint="eastAsia"/>
          <w:snapToGrid w:val="0"/>
          <w:color w:val="000000"/>
          <w:kern w:val="0"/>
        </w:rPr>
        <w:t>特殊类型企业</w:t>
      </w:r>
      <w:r>
        <w:rPr>
          <w:rFonts w:ascii="宋体" w:hAnsi="宋体" w:cs="宋体"/>
          <w:snapToGrid w:val="0"/>
          <w:color w:val="000000"/>
          <w:kern w:val="0"/>
        </w:rPr>
        <w:t>特点的ESG专项行动和实践绩效指标。</w:t>
      </w:r>
    </w:p>
    <w:p w14:paraId="562CA428" w14:textId="77777777" w:rsidR="00CA5006" w:rsidRDefault="00000000">
      <w:pPr>
        <w:pStyle w:val="afb"/>
        <w:spacing w:before="120" w:after="120"/>
      </w:pPr>
      <w:r>
        <w:rPr>
          <w:rFonts w:hint="eastAsia"/>
        </w:rPr>
        <w:t>中国汽车行业ESG评价指标</w:t>
      </w:r>
    </w:p>
    <w:tbl>
      <w:tblPr>
        <w:tblW w:w="4998" w:type="pct"/>
        <w:tblLook w:val="04A0" w:firstRow="1" w:lastRow="0" w:firstColumn="1" w:lastColumn="0" w:noHBand="0" w:noVBand="1"/>
      </w:tblPr>
      <w:tblGrid>
        <w:gridCol w:w="515"/>
        <w:gridCol w:w="2014"/>
        <w:gridCol w:w="1715"/>
        <w:gridCol w:w="3962"/>
        <w:gridCol w:w="3513"/>
        <w:gridCol w:w="1565"/>
      </w:tblGrid>
      <w:tr w:rsidR="00CA5006" w14:paraId="73A90E9A" w14:textId="77777777">
        <w:trPr>
          <w:trHeight w:val="400"/>
        </w:trPr>
        <w:tc>
          <w:tcPr>
            <w:tcW w:w="383" w:type="pct"/>
            <w:vMerge w:val="restart"/>
            <w:tcBorders>
              <w:top w:val="single" w:sz="4" w:space="0" w:color="000000"/>
              <w:left w:val="single" w:sz="4" w:space="0" w:color="000000"/>
              <w:bottom w:val="single" w:sz="4" w:space="0" w:color="000000"/>
              <w:right w:val="single" w:sz="4" w:space="0" w:color="000000"/>
            </w:tcBorders>
            <w:noWrap/>
            <w:vAlign w:val="center"/>
          </w:tcPr>
          <w:p w14:paraId="09A26CE6"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维度</w:t>
            </w:r>
          </w:p>
        </w:tc>
        <w:tc>
          <w:tcPr>
            <w:tcW w:w="385" w:type="pct"/>
            <w:vMerge w:val="restart"/>
            <w:tcBorders>
              <w:top w:val="single" w:sz="4" w:space="0" w:color="000000"/>
              <w:left w:val="single" w:sz="4" w:space="0" w:color="000000"/>
              <w:bottom w:val="single" w:sz="4" w:space="0" w:color="000000"/>
              <w:right w:val="single" w:sz="4" w:space="0" w:color="000000"/>
            </w:tcBorders>
            <w:noWrap/>
            <w:vAlign w:val="center"/>
          </w:tcPr>
          <w:p w14:paraId="37386947"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议题</w:t>
            </w: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0A2BABB4"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支柱</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4866C2E0"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指标</w:t>
            </w:r>
          </w:p>
        </w:tc>
        <w:tc>
          <w:tcPr>
            <w:tcW w:w="2645" w:type="pct"/>
            <w:vMerge w:val="restart"/>
            <w:tcBorders>
              <w:top w:val="single" w:sz="4" w:space="0" w:color="000000"/>
              <w:left w:val="single" w:sz="4" w:space="0" w:color="000000"/>
              <w:bottom w:val="single" w:sz="4" w:space="0" w:color="000000"/>
              <w:right w:val="single" w:sz="4" w:space="0" w:color="000000"/>
            </w:tcBorders>
            <w:vAlign w:val="center"/>
          </w:tcPr>
          <w:p w14:paraId="294EE4D7"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数据点</w:t>
            </w:r>
          </w:p>
        </w:tc>
        <w:tc>
          <w:tcPr>
            <w:tcW w:w="362" w:type="pct"/>
            <w:vMerge w:val="restart"/>
            <w:tcBorders>
              <w:top w:val="single" w:sz="4" w:space="0" w:color="000000"/>
              <w:left w:val="single" w:sz="4" w:space="0" w:color="000000"/>
              <w:bottom w:val="single" w:sz="4" w:space="0" w:color="000000"/>
              <w:right w:val="single" w:sz="4" w:space="0" w:color="000000"/>
            </w:tcBorders>
            <w:noWrap/>
            <w:vAlign w:val="center"/>
          </w:tcPr>
          <w:p w14:paraId="52ADE14C"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适用情况</w:t>
            </w:r>
          </w:p>
        </w:tc>
      </w:tr>
      <w:tr w:rsidR="00CA5006" w14:paraId="48752D0F" w14:textId="77777777">
        <w:trPr>
          <w:trHeight w:val="40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7A21CA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1325CD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4201E42" w14:textId="77777777" w:rsidR="00CA5006" w:rsidRDefault="00CA5006">
            <w:pPr>
              <w:jc w:val="center"/>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F35C3BC" w14:textId="77777777" w:rsidR="00CA5006" w:rsidRDefault="00CA5006">
            <w:pPr>
              <w:jc w:val="center"/>
              <w:rPr>
                <w:rFonts w:ascii="宋体" w:hAnsi="宋体" w:cs="宋体" w:hint="eastAsia"/>
                <w:color w:val="000000"/>
              </w:rPr>
            </w:pPr>
          </w:p>
        </w:tc>
        <w:tc>
          <w:tcPr>
            <w:tcW w:w="2645" w:type="pct"/>
            <w:vMerge/>
            <w:tcBorders>
              <w:top w:val="single" w:sz="4" w:space="0" w:color="000000"/>
              <w:left w:val="single" w:sz="4" w:space="0" w:color="000000"/>
              <w:bottom w:val="single" w:sz="4" w:space="0" w:color="000000"/>
              <w:right w:val="single" w:sz="4" w:space="0" w:color="000000"/>
            </w:tcBorders>
            <w:vAlign w:val="center"/>
          </w:tcPr>
          <w:p w14:paraId="0CA2E382" w14:textId="77777777" w:rsidR="00CA5006" w:rsidRDefault="00CA5006">
            <w:pPr>
              <w:jc w:val="center"/>
              <w:rPr>
                <w:rFonts w:ascii="宋体" w:hAnsi="宋体" w:cs="宋体" w:hint="eastAsia"/>
                <w:color w:val="000000"/>
              </w:rPr>
            </w:pPr>
          </w:p>
        </w:tc>
        <w:tc>
          <w:tcPr>
            <w:tcW w:w="362" w:type="pct"/>
            <w:vMerge/>
            <w:tcBorders>
              <w:top w:val="single" w:sz="4" w:space="0" w:color="000000"/>
              <w:left w:val="single" w:sz="4" w:space="0" w:color="000000"/>
              <w:bottom w:val="single" w:sz="4" w:space="0" w:color="000000"/>
              <w:right w:val="single" w:sz="4" w:space="0" w:color="000000"/>
            </w:tcBorders>
            <w:noWrap/>
            <w:vAlign w:val="center"/>
          </w:tcPr>
          <w:p w14:paraId="5FFEAE64" w14:textId="77777777" w:rsidR="00CA5006" w:rsidRDefault="00CA5006">
            <w:pPr>
              <w:jc w:val="center"/>
              <w:rPr>
                <w:rFonts w:ascii="宋体" w:hAnsi="宋体" w:cs="宋体" w:hint="eastAsia"/>
                <w:color w:val="000000"/>
              </w:rPr>
            </w:pPr>
          </w:p>
        </w:tc>
      </w:tr>
      <w:tr w:rsidR="00CA5006" w14:paraId="1AACFB2E" w14:textId="77777777">
        <w:trPr>
          <w:trHeight w:val="326"/>
        </w:trPr>
        <w:tc>
          <w:tcPr>
            <w:tcW w:w="383" w:type="pct"/>
            <w:vMerge w:val="restart"/>
            <w:tcBorders>
              <w:top w:val="single" w:sz="4" w:space="0" w:color="000000"/>
              <w:left w:val="single" w:sz="4" w:space="0" w:color="000000"/>
              <w:bottom w:val="single" w:sz="4" w:space="0" w:color="000000"/>
              <w:right w:val="single" w:sz="4" w:space="0" w:color="000000"/>
            </w:tcBorders>
            <w:noWrap/>
            <w:vAlign w:val="center"/>
          </w:tcPr>
          <w:p w14:paraId="524E8685"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环境</w:t>
            </w:r>
          </w:p>
        </w:tc>
        <w:tc>
          <w:tcPr>
            <w:tcW w:w="385" w:type="pct"/>
            <w:vMerge w:val="restart"/>
            <w:tcBorders>
              <w:top w:val="single" w:sz="4" w:space="0" w:color="000000"/>
              <w:left w:val="single" w:sz="4" w:space="0" w:color="000000"/>
              <w:bottom w:val="single" w:sz="4" w:space="0" w:color="000000"/>
              <w:right w:val="single" w:sz="4" w:space="0" w:color="000000"/>
            </w:tcBorders>
            <w:noWrap/>
            <w:vAlign w:val="center"/>
          </w:tcPr>
          <w:p w14:paraId="298B6FA3"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应对气候变化</w:t>
            </w: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6546997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治理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6079DDC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公司应对气候变化组织建设情况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3E3E88B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是否由董事会负责气候治理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010AC4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7B3516E"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92CC4B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583800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0D39BBB"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10A3332"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F5ACBF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是否由高级管理层负责气候治理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94FDBE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C9BEF68"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547CB1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E4815C9"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E78C2B2"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9D1F81C"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728350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是否由专门部门负责气候治理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C86DB6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65FE55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53C65B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915E2FB"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57B1B36A"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73CC9A4"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210742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是否建立气候治理信息报告、监督机制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C44619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AAE19D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7EF445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11E1E8A"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5B8678E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0D9683F"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F811E6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是否将气候变化纳入管理层薪酬绩效考核</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778A71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0B183A8"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422C8D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580AC1E"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0457A89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战略</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31EC148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公司气候变化风险与机遇识别情况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48DB7CA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是否开展气候相关影响重要性评估</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74A83D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FB97471"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514C41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8B343CD"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03CF813"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7E05BA41"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CC7492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是否披露说明气候相关影响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44E024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8455DE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8B5046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3774FF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343A16E"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4494C59D"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A6DEAE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是否开展气候相关物理风险分析</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5D99C1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33126FE"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830D21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3F9A942"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BDF1316"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7EBD8C3"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DE752E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是否开展气候相关转型风险分析</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E65671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AB5BA10"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FB189E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903720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439651C"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8E8A75C"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069332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是否开展气候相关机遇分析</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EDBA0D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CE34CF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8AFBFE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96183F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D116BE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40658BCE"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2B1469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是否说明气候相关风险和机遇对商业模式和价值链的影响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5EDBFC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B2671B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70BD25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B90C87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5C666E6A"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60A6D0C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公司应对气候变化转型计划</w:t>
            </w:r>
          </w:p>
        </w:tc>
        <w:tc>
          <w:tcPr>
            <w:tcW w:w="2645" w:type="pct"/>
            <w:tcBorders>
              <w:top w:val="single" w:sz="4" w:space="0" w:color="000000"/>
              <w:left w:val="single" w:sz="4" w:space="0" w:color="000000"/>
              <w:bottom w:val="single" w:sz="4" w:space="0" w:color="000000"/>
              <w:right w:val="single" w:sz="4" w:space="0" w:color="000000"/>
            </w:tcBorders>
            <w:vAlign w:val="center"/>
          </w:tcPr>
          <w:p w14:paraId="7AA3DD7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是否制定转型计划</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B75395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EFA30A6"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CE6281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49DD32D"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5BB3BE4"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AF56BCD"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435665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是否说明为转型计划提供的资源支持</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FA52E9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E938B54"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F29349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AD22D2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C1A73BA"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DD68281"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9598A3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是否说明转型计划进展</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B17794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C7A3D06"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D54F1C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ECB439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6ECE6D2"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796006D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公司气候变化风险与机遇应对战略</w:t>
            </w:r>
          </w:p>
        </w:tc>
        <w:tc>
          <w:tcPr>
            <w:tcW w:w="2645" w:type="pct"/>
            <w:tcBorders>
              <w:top w:val="single" w:sz="4" w:space="0" w:color="000000"/>
              <w:left w:val="single" w:sz="4" w:space="0" w:color="000000"/>
              <w:bottom w:val="single" w:sz="4" w:space="0" w:color="000000"/>
              <w:right w:val="single" w:sz="4" w:space="0" w:color="000000"/>
            </w:tcBorders>
            <w:vAlign w:val="center"/>
          </w:tcPr>
          <w:p w14:paraId="73F440C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是否说明气候相关风险和机遇对战略和决策的影响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C66BD5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8F29AD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883CC3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33F6827"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28B5CC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77362D7"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0A3981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是否说明气候风险与机遇的影响时间范围</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F0E76D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8804FD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E2BA19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AE31C7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55C899D6"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BC289F3"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132F5A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是否定性说明气候相关风险和机遇对财务的影响（含短期、中期及长期）</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B06373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D48569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D84647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B0F164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CD57A1A"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4BA2405"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4048EF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是否定量说明气候相关风险和机遇对当期财务的影响（含短期、中期及长期）</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DEC4CB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9B564DD"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B2F6CC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56BBF92"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1A0F1E6"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66CBE53"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4CE51B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是否开展气候情景分析</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A21B1F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D3416ED"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EEB501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46C927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43ADE4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416E32D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BA1554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是否明确气候情景假定</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75118E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A90024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2605BD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5B0F7F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126826C"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7D663715"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55C164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是否明确气候情景分析结果及应用</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8CF0F6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62CE12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1B3EEF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EE2D0F8"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1E779B2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影响、风险和机遇管理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6D86FD1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公司温室气体减排工作情况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6EA7DC0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是否采取措施降低温室气体排放</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8B0EAC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A301313"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2C7CE0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6387382"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EB41134"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4D04BC99"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9C4291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是否量化说明温室气体减排措施成效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568A28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12DE239"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158874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C4BBF82"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0FEC7F4"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49499A81"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7B92FE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是否监测温室气体排放情况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66FFC4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07AA826"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84C618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547249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553311B"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438FD5DD"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00C5F3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是否量化说明范围一温室气体排放情况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5ACC7D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4F4874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C91676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139FEEA"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58F54A7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536DA59"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46372B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是否量化说明范围二温室气体排放情况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635471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E92E939"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3F5C34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651152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FA5EA10"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B1140AD"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FEB170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是否量化说明范围三温室气体排放情况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8DF036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6953840"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50A293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1DCFAD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58F5F8D"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851511A"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2A14B1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是否开展第三方温室气体排放核查</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0CA290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246D6B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59BE45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8949A07"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57E5DB01"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280F94C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公司产品碳足迹管理工作情况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78CA45F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是否开展产品碳足迹管理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2EBFC9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55D06D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2A7455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61B901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A749841"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601C8C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D80925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是否说明产品碳足迹覆盖度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87A42A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198F5C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CDB788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AACF0BA"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79BBCD3"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CA7DFC4"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F40387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是否开展产品碳足迹核查认证</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DC249E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1433761"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418F61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CA55EF7"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F3913AE"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6BB4CE0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公司供应链降碳工作情况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1251D2B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是否采取措施推动供应链降碳</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80E8CF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27C9646"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AB02E9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3F788E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A4CEFE6"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49C1170"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255C91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是否量化说明供应链降碳措施成效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0100AD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6B98A9A"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09DCFC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139B32F"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6D9BBF0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指标与目标</w:t>
            </w: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0AFC6F2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公司应对气候变化相关目标及进展</w:t>
            </w:r>
          </w:p>
        </w:tc>
        <w:tc>
          <w:tcPr>
            <w:tcW w:w="2645" w:type="pct"/>
            <w:tcBorders>
              <w:top w:val="single" w:sz="4" w:space="0" w:color="000000"/>
              <w:left w:val="single" w:sz="4" w:space="0" w:color="000000"/>
              <w:bottom w:val="single" w:sz="4" w:space="0" w:color="000000"/>
              <w:right w:val="single" w:sz="4" w:space="0" w:color="000000"/>
            </w:tcBorders>
            <w:vAlign w:val="center"/>
          </w:tcPr>
          <w:p w14:paraId="1140C52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是否设定减碳目标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CD8DD9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08A058A"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706F7F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1634CD2"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986CD75"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4384F20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公司应对气候变化相关目标及进展</w:t>
            </w:r>
          </w:p>
        </w:tc>
        <w:tc>
          <w:tcPr>
            <w:tcW w:w="2645" w:type="pct"/>
            <w:tcBorders>
              <w:top w:val="single" w:sz="4" w:space="0" w:color="000000"/>
              <w:left w:val="single" w:sz="4" w:space="0" w:color="000000"/>
              <w:bottom w:val="single" w:sz="4" w:space="0" w:color="000000"/>
              <w:right w:val="single" w:sz="4" w:space="0" w:color="000000"/>
            </w:tcBorders>
            <w:vAlign w:val="center"/>
          </w:tcPr>
          <w:p w14:paraId="5E46899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是否设定实现碳中和的年限目标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319D19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C13BBBD"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A0352C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C8A84D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917E875"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753D7FA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公司应对气候变化相关目标及进展</w:t>
            </w:r>
          </w:p>
        </w:tc>
        <w:tc>
          <w:tcPr>
            <w:tcW w:w="2645" w:type="pct"/>
            <w:tcBorders>
              <w:top w:val="single" w:sz="4" w:space="0" w:color="000000"/>
              <w:left w:val="single" w:sz="4" w:space="0" w:color="000000"/>
              <w:bottom w:val="single" w:sz="4" w:space="0" w:color="000000"/>
              <w:right w:val="single" w:sz="4" w:space="0" w:color="000000"/>
            </w:tcBorders>
            <w:vAlign w:val="center"/>
          </w:tcPr>
          <w:p w14:paraId="53564D5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是否说明减碳目标进展情况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0E27E4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7F1C657"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C16403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CAA4FE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CC732AB"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10EFB25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公司温室气体排放情况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5699CD3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每百万营收温室气体范围一、二排放总量</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562520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222CDEA"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152AB6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B8595C9"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ED008EE"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5DF33BD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公司温室气体排放情况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574ACB5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每百万营收温室气体范围一、二、三排放总量</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B66CF1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6517A79"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C4264E5" w14:textId="77777777" w:rsidR="00CA5006" w:rsidRDefault="00CA5006">
            <w:pPr>
              <w:jc w:val="center"/>
              <w:rPr>
                <w:rFonts w:ascii="宋体" w:hAnsi="宋体" w:cs="宋体" w:hint="eastAsia"/>
                <w:color w:val="000000"/>
              </w:rPr>
            </w:pPr>
          </w:p>
        </w:tc>
        <w:tc>
          <w:tcPr>
            <w:tcW w:w="385" w:type="pct"/>
            <w:vMerge w:val="restart"/>
            <w:tcBorders>
              <w:top w:val="single" w:sz="4" w:space="0" w:color="000000"/>
              <w:left w:val="single" w:sz="4" w:space="0" w:color="000000"/>
              <w:bottom w:val="single" w:sz="4" w:space="0" w:color="000000"/>
              <w:right w:val="single" w:sz="4" w:space="0" w:color="000000"/>
            </w:tcBorders>
            <w:noWrap/>
            <w:vAlign w:val="center"/>
          </w:tcPr>
          <w:p w14:paraId="4A258BB1"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污染物排放</w:t>
            </w: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1D6CF1B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治理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778219A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公司污染物排放管理组织建设情况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551FE90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是否由董事会负责污染物管理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43B69A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EACAE8D"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ED4340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DDC894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08AF3CE"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1DB81A94"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AE0533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是否由高级管理层负责污染物管理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AE6433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D8433D7"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1B14BD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9B6365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E4E8D6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693894D"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507239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是否由专门部门负责污染物管理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DEC4E4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1AED8F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3C5997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E9D6CA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85F321E"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71279BF"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AD56DD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是否建立污染物管理信息报告、监督机制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8E4196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72A254A"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BC621B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B086D47"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D552A09"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773A950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公司污染物排放管理基本政策情况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1D740DD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是否建立污染物排放管理政策与制度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843413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511B636"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6E54BD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59B6DA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6CA140F"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1703101"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814DDF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是否将污染物达标排放纳入绩效考核</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394F89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6AC518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3880B0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51C34CF"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4622A93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战略</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3AC174E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公司污染物排放相关风险与机遇识别情况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2AAF5D7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是否说明污染物排放相关风险、机遇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4A0C4D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D254B56"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BC1B28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0EB3EF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BDA38C1"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DC02D77"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09CF08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是否说明污染物排放对公司财务的影响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FC4D4D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50FADF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AC8144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8BEF9A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17D54CA"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602A954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公司污染物排放风险与机遇应对战略</w:t>
            </w:r>
          </w:p>
        </w:tc>
        <w:tc>
          <w:tcPr>
            <w:tcW w:w="2645" w:type="pct"/>
            <w:tcBorders>
              <w:top w:val="single" w:sz="4" w:space="0" w:color="000000"/>
              <w:left w:val="single" w:sz="4" w:space="0" w:color="000000"/>
              <w:bottom w:val="single" w:sz="4" w:space="0" w:color="000000"/>
              <w:right w:val="single" w:sz="4" w:space="0" w:color="000000"/>
            </w:tcBorders>
            <w:vAlign w:val="center"/>
          </w:tcPr>
          <w:p w14:paraId="5CADEB6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是否制定污染物减排计划与策略</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72DD9F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6BFDC4A"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593049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424502E"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0024AC1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影响、风险和机遇管理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19EA846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公司大气污染物防治工作情况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54E58CE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是否说明大气污染防治措施</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55A5D7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BE084A9"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973091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D302A6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BD72E46"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916F524"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0C74B6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是否量化说明大气污染防治措施成效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8A3B84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E124729"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F4E023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EB7C20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A9AB240"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BB50DD5"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BE049E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是否量化说明大气污染物排放情况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680964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EC9B241"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E40C52B"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5D8AADB"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41F822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7D0EFE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59053A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是否说明车辆使用过程中的污染物减排措施</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CE6D6C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w:t>
            </w:r>
          </w:p>
        </w:tc>
      </w:tr>
      <w:tr w:rsidR="00CA5006" w14:paraId="3207BEE7"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AC8696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57FEBE2"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7890CAC"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FB81EF2"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587D21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是否量化说明车辆使用过程中污染物减排措施的成效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6930A8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w:t>
            </w:r>
          </w:p>
        </w:tc>
      </w:tr>
      <w:tr w:rsidR="00CA5006" w14:paraId="588F32B7"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E335FE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3F4409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C5FE3B7"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55AF8FB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公司水污染防治工作情况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4B28333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是否说明废水处理措施</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041D4D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7F60AB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89984E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48D47E6"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B0C0731"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77CA4F6"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3D15A1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是否量化说明废水处理措施成效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17B083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326C85E"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50673F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39C726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53DD8374"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7408CF3B"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102FF5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是否量化说明废水排放情况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B09D46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8609C4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1E17A2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2188A0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2752208"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22A7752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公司噪声污染防治工作情况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0D45663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是否说明噪声污染防治措施</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A6FA6D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775E3A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D57907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34E85D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6725E8D"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1CA23D51"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716FAC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是否量化说明噪声污染防治措施成效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7A09B6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F5E69E7"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0AC655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0B7F63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C6CBC38"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727DAB4C"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A2185A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是否量化说明噪声排放情况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311726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F60446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4119B4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27E12BB"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9A19561"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tcPr>
          <w:p w14:paraId="76EC9768" w14:textId="77777777" w:rsidR="00CA5006" w:rsidRDefault="00000000">
            <w:pPr>
              <w:widowControl/>
              <w:jc w:val="left"/>
              <w:textAlignment w:val="top"/>
              <w:rPr>
                <w:rFonts w:ascii="宋体" w:hAnsi="宋体" w:cs="宋体" w:hint="eastAsia"/>
                <w:color w:val="000000"/>
              </w:rPr>
            </w:pPr>
            <w:r>
              <w:rPr>
                <w:rFonts w:ascii="宋体" w:hAnsi="宋体" w:cs="宋体" w:hint="eastAsia"/>
                <w:color w:val="000000"/>
                <w:kern w:val="0"/>
                <w:lang w:bidi="ar"/>
              </w:rPr>
              <w:t>公司污染物排放监测工作情况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6D79639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是否建立污染物排放监测机制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4EDBC5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054C1E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B2C1C1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63EC34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0D62654"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tcPr>
          <w:p w14:paraId="02892C73" w14:textId="77777777" w:rsidR="00CA5006" w:rsidRDefault="00000000">
            <w:pPr>
              <w:widowControl/>
              <w:jc w:val="left"/>
              <w:textAlignment w:val="top"/>
              <w:rPr>
                <w:rFonts w:ascii="宋体" w:hAnsi="宋体" w:cs="宋体" w:hint="eastAsia"/>
                <w:color w:val="000000"/>
              </w:rPr>
            </w:pPr>
            <w:r>
              <w:rPr>
                <w:rFonts w:ascii="宋体" w:hAnsi="宋体" w:cs="宋体" w:hint="eastAsia"/>
                <w:color w:val="000000"/>
                <w:kern w:val="0"/>
                <w:lang w:bidi="ar"/>
              </w:rPr>
              <w:t>公司污染物应急管理工作情况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637AF9A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是否建立污染物排放应急预案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FC7D57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B028616"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EA03B1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408090C"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634FD87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指标与目标</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0930358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公司污染物减排目标与进展</w:t>
            </w:r>
          </w:p>
        </w:tc>
        <w:tc>
          <w:tcPr>
            <w:tcW w:w="2645" w:type="pct"/>
            <w:tcBorders>
              <w:top w:val="single" w:sz="4" w:space="0" w:color="000000"/>
              <w:left w:val="single" w:sz="4" w:space="0" w:color="000000"/>
              <w:bottom w:val="single" w:sz="4" w:space="0" w:color="000000"/>
              <w:right w:val="single" w:sz="4" w:space="0" w:color="000000"/>
            </w:tcBorders>
            <w:vAlign w:val="center"/>
          </w:tcPr>
          <w:p w14:paraId="1982764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是否说明污染物减排目标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CFF58E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B7DE1A0"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ADED09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0F5C99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204456D1"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78C34E30"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79B857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是否说明污染物减排进展</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45C142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0C73C9A"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7459F9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507AC56"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026B223B"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630CF3BE"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2EFB6B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是否说明污染物排放合规情况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1414A2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350C2CC"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66C966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ED362B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4E7F9FD6"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1123B0E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污染物排放情况</w:t>
            </w:r>
          </w:p>
        </w:tc>
        <w:tc>
          <w:tcPr>
            <w:tcW w:w="2645" w:type="pct"/>
            <w:tcBorders>
              <w:top w:val="single" w:sz="4" w:space="0" w:color="000000"/>
              <w:left w:val="single" w:sz="4" w:space="0" w:color="000000"/>
              <w:bottom w:val="single" w:sz="4" w:space="0" w:color="000000"/>
              <w:right w:val="single" w:sz="4" w:space="0" w:color="000000"/>
            </w:tcBorders>
          </w:tcPr>
          <w:p w14:paraId="214677CB" w14:textId="77777777" w:rsidR="00CA5006" w:rsidRDefault="00000000">
            <w:pPr>
              <w:widowControl/>
              <w:jc w:val="left"/>
              <w:textAlignment w:val="top"/>
              <w:rPr>
                <w:rFonts w:ascii="宋体" w:hAnsi="宋体" w:cs="宋体" w:hint="eastAsia"/>
                <w:color w:val="000000"/>
              </w:rPr>
            </w:pPr>
            <w:r>
              <w:rPr>
                <w:rFonts w:ascii="宋体" w:hAnsi="宋体" w:cs="宋体" w:hint="eastAsia"/>
                <w:color w:val="000000"/>
                <w:kern w:val="0"/>
                <w:lang w:bidi="ar"/>
              </w:rPr>
              <w:t>每亿营收氮氧化物排放量</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76E737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DAD3324"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C4DDDC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2421B0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2D146996"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03236B40"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tcPr>
          <w:p w14:paraId="00D61BDE" w14:textId="77777777" w:rsidR="00CA5006" w:rsidRDefault="00000000">
            <w:pPr>
              <w:widowControl/>
              <w:jc w:val="left"/>
              <w:textAlignment w:val="top"/>
              <w:rPr>
                <w:rFonts w:ascii="宋体" w:hAnsi="宋体" w:cs="宋体" w:hint="eastAsia"/>
                <w:color w:val="000000"/>
              </w:rPr>
            </w:pPr>
            <w:r>
              <w:rPr>
                <w:rFonts w:ascii="宋体" w:hAnsi="宋体" w:cs="宋体" w:hint="eastAsia"/>
                <w:color w:val="000000"/>
                <w:kern w:val="0"/>
                <w:lang w:bidi="ar"/>
              </w:rPr>
              <w:t>每亿营收悬浮粒子与颗粒物（PM）排放量</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0F7CE2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5E43DB5"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88FA58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9CD61F9"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07348BA4"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05DDC190"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tcPr>
          <w:p w14:paraId="27576085" w14:textId="77777777" w:rsidR="00CA5006" w:rsidRDefault="00000000">
            <w:pPr>
              <w:widowControl/>
              <w:jc w:val="left"/>
              <w:textAlignment w:val="top"/>
              <w:rPr>
                <w:rFonts w:ascii="宋体" w:hAnsi="宋体" w:cs="宋体" w:hint="eastAsia"/>
                <w:color w:val="000000"/>
              </w:rPr>
            </w:pPr>
            <w:r>
              <w:rPr>
                <w:rFonts w:ascii="宋体" w:hAnsi="宋体" w:cs="宋体" w:hint="eastAsia"/>
                <w:color w:val="000000"/>
                <w:kern w:val="0"/>
                <w:lang w:bidi="ar"/>
              </w:rPr>
              <w:t>每百万营收废水排放量</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E1E926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1E2D415"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02027F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CAAE99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23CFB65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7293372A"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tcPr>
          <w:p w14:paraId="14B8475D" w14:textId="77777777" w:rsidR="00CA5006" w:rsidRDefault="00000000">
            <w:pPr>
              <w:widowControl/>
              <w:jc w:val="left"/>
              <w:textAlignment w:val="top"/>
              <w:rPr>
                <w:rFonts w:ascii="宋体" w:hAnsi="宋体" w:cs="宋体" w:hint="eastAsia"/>
                <w:color w:val="000000"/>
              </w:rPr>
            </w:pPr>
            <w:r>
              <w:rPr>
                <w:rFonts w:ascii="宋体" w:hAnsi="宋体" w:cs="宋体" w:hint="eastAsia"/>
                <w:color w:val="000000"/>
                <w:kern w:val="0"/>
                <w:lang w:bidi="ar"/>
              </w:rPr>
              <w:t>每亿营收氨氮排放量</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C966D0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BC74067"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5EEF86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BBB7769"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01E0A64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2257AEF0"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tcPr>
          <w:p w14:paraId="18DEE90F" w14:textId="77777777" w:rsidR="00CA5006" w:rsidRDefault="00000000">
            <w:pPr>
              <w:widowControl/>
              <w:jc w:val="left"/>
              <w:textAlignment w:val="top"/>
              <w:rPr>
                <w:rFonts w:ascii="宋体" w:hAnsi="宋体" w:cs="宋体" w:hint="eastAsia"/>
                <w:color w:val="000000"/>
              </w:rPr>
            </w:pPr>
            <w:r>
              <w:rPr>
                <w:rFonts w:ascii="宋体" w:hAnsi="宋体" w:cs="宋体" w:hint="eastAsia"/>
                <w:color w:val="000000"/>
                <w:kern w:val="0"/>
                <w:lang w:bidi="ar"/>
              </w:rPr>
              <w:t>每亿营收排放的化学需氧量</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A9FB3F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0B600DE"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5FE821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FD0871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0DDA5632"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0C29666D"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tcPr>
          <w:p w14:paraId="2B4B2829" w14:textId="77777777" w:rsidR="00CA5006" w:rsidRDefault="00000000">
            <w:pPr>
              <w:widowControl/>
              <w:jc w:val="left"/>
              <w:textAlignment w:val="top"/>
              <w:rPr>
                <w:rFonts w:ascii="宋体" w:hAnsi="宋体" w:cs="宋体" w:hint="eastAsia"/>
                <w:color w:val="000000"/>
              </w:rPr>
            </w:pPr>
            <w:r>
              <w:rPr>
                <w:rFonts w:ascii="宋体" w:hAnsi="宋体" w:cs="宋体" w:hint="eastAsia"/>
                <w:color w:val="000000"/>
                <w:kern w:val="0"/>
                <w:lang w:bidi="ar"/>
              </w:rPr>
              <w:t>每亿元营收生化需氧量排放量</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D50681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CD635C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14BF54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A0D7A36"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02164628"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2B8E2C86"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84EC8C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每亿元营收挥发性有机化合物（VOCs）排放量</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17A533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9D7F20D"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0DAB96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206E27C"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tcPr>
          <w:p w14:paraId="5D2B6884" w14:textId="77777777" w:rsidR="00CA5006" w:rsidRDefault="00000000">
            <w:pPr>
              <w:widowControl/>
              <w:jc w:val="left"/>
              <w:textAlignment w:val="top"/>
              <w:rPr>
                <w:rFonts w:ascii="宋体" w:hAnsi="宋体" w:cs="宋体" w:hint="eastAsia"/>
                <w:color w:val="000000"/>
              </w:rPr>
            </w:pPr>
            <w:r>
              <w:rPr>
                <w:rFonts w:ascii="宋体" w:hAnsi="宋体" w:cs="宋体" w:hint="eastAsia"/>
                <w:color w:val="000000"/>
                <w:kern w:val="0"/>
                <w:lang w:bidi="ar"/>
              </w:rPr>
              <w:t>负面</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6555760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污染物排放合规负面信息情况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1A9D045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是否因污染物排放受到重大行政处罚</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4BC60B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3E7420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C6DA9D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618D9F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tcPr>
          <w:p w14:paraId="626EE286"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52F509F1"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D8B458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是否说明事件处置情况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2F74A3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430B390"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9DDC24B" w14:textId="77777777" w:rsidR="00CA5006" w:rsidRDefault="00CA5006">
            <w:pPr>
              <w:jc w:val="center"/>
              <w:rPr>
                <w:rFonts w:ascii="宋体" w:hAnsi="宋体" w:cs="宋体" w:hint="eastAsia"/>
                <w:color w:val="000000"/>
              </w:rPr>
            </w:pPr>
          </w:p>
        </w:tc>
        <w:tc>
          <w:tcPr>
            <w:tcW w:w="385" w:type="pct"/>
            <w:vMerge w:val="restart"/>
            <w:tcBorders>
              <w:top w:val="single" w:sz="4" w:space="0" w:color="000000"/>
              <w:left w:val="single" w:sz="4" w:space="0" w:color="000000"/>
              <w:bottom w:val="single" w:sz="4" w:space="0" w:color="000000"/>
              <w:right w:val="single" w:sz="4" w:space="0" w:color="000000"/>
            </w:tcBorders>
            <w:noWrap/>
            <w:vAlign w:val="center"/>
          </w:tcPr>
          <w:p w14:paraId="0B73925D"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废弃物</w:t>
            </w: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6BC2A87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治理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25C5BD4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公司废弃物管理组织建设情况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2DFB94A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是否由董事会负责废弃物管理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781A8A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3D55593"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B65766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E7D08A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DC15BA2"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DE550CF"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159F1E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是否由高级管理层负责废弃物管理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2A15F6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657844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A409E8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C0D8AE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E95A40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4DC29146"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C4BFBE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是否由专门部门负责废弃物管理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A0AAB3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152ED1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67B223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CDD54B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2074F5D"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D7C71B0"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A222AA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是否建立废弃物管理信息报告、监督机制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BCC227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601D5C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55F997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F8EACC9"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F879D52"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20AB27D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公司废弃物管理基本政策情况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6123F66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是否制定废弃物管理政策与制度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BB1FB4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8852A6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F72AD8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D77C80A"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7422A3C"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05B0A5A"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FA8EE4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是否将废弃物管理纳入绩效考核</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EC9A32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C339A97"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7B9327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6D313FF"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0AB2D9A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战略</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0A54C87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公司废弃物相关风险与机遇识别情况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719B4D2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是否说明废弃物相关影响、风险和机遇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DECB04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561EDCD"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2BE640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D0F4956"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E7D5350"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8F213A2"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9E7F32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是否说明废弃物排放对公司财务的影响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268466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745303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8ECD28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054612D"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020CBAD"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0532548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公司废弃物相关风险与机遇应对战略</w:t>
            </w:r>
          </w:p>
        </w:tc>
        <w:tc>
          <w:tcPr>
            <w:tcW w:w="2645" w:type="pct"/>
            <w:tcBorders>
              <w:top w:val="single" w:sz="4" w:space="0" w:color="000000"/>
              <w:left w:val="single" w:sz="4" w:space="0" w:color="000000"/>
              <w:bottom w:val="single" w:sz="4" w:space="0" w:color="000000"/>
              <w:right w:val="single" w:sz="4" w:space="0" w:color="000000"/>
            </w:tcBorders>
            <w:vAlign w:val="center"/>
          </w:tcPr>
          <w:p w14:paraId="76E1D77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是否说明废弃物减排计划与策略</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1132A2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A1FE5B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458DA6B"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FC02C8A"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4A7972A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影响、风险和机遇管理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3030B70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公司废弃物管理认证开展情况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57E973A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是否通过废弃物管理体系相关认证（如UL 2799 零填埋认证）</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205F8A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CCAB133"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4BD9F2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98ED7E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7FCCE9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88E80B9"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DED1B6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是否量化说明废弃物管理体系相关认证覆盖情况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C42768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942FA8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6FCD14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BF5BC9B"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D514D0A"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6305647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公司一般废弃物管理工作情况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60EB9EA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是否采取措施减少一般废弃物的产生</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A32C88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1F2376A"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9918B3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F97BBF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B11CE0A"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151A2609"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731D6E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是否量化说明一般废弃物减排措施的成效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E0F09A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64F1FF8"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444BEF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C5FD5C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39A679B"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5854D1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5EB7CD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是否采取一般废弃物管理处置措施</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62220B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1B8F03E"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48A4C1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896679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D103BFC"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2D9F442"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E7C6D4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是否量化说明一般废弃物处置措施的实施情况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6792CC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80A80E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EE55BB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FFBF8C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083FC2F"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626E3D5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公司有害废弃物管理工作情况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3A34EBA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是否采取措施减少有害废弃物的产生</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B416D4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793DBA9"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5FF1F2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75A750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54487C4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7BD4E830"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1DC7A5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是否量化说明有害废弃物减排措施的成效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24D391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0EECA58"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E5E8DC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C71EBA7"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96A2FC6"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9B78B0E"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15E86E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是否说明危险废弃物管理处置措施</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26A3E8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1375284"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3D5560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A513B82"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964A73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756FE3A3"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noWrap/>
            <w:vAlign w:val="center"/>
          </w:tcPr>
          <w:p w14:paraId="607CCB5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是否量化说明危险废弃物管理处置措施的实施情况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E90B9D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01848D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26555C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4980271"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16A27DD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指标与目标</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72C39F2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公司废弃物减排目标与进展</w:t>
            </w:r>
          </w:p>
        </w:tc>
        <w:tc>
          <w:tcPr>
            <w:tcW w:w="2645" w:type="pct"/>
            <w:tcBorders>
              <w:top w:val="single" w:sz="4" w:space="0" w:color="000000"/>
              <w:left w:val="single" w:sz="4" w:space="0" w:color="000000"/>
              <w:bottom w:val="single" w:sz="4" w:space="0" w:color="000000"/>
              <w:right w:val="single" w:sz="4" w:space="0" w:color="000000"/>
            </w:tcBorders>
            <w:vAlign w:val="center"/>
          </w:tcPr>
          <w:p w14:paraId="55BDEF3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是否制定废弃物减排目标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28EEC9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242186E"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EAFE34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CAF2662"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66066BB"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B51C16B"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A75E32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是否说明目标进展情况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7988C0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A0F3FB0"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CB00CE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8EBC4B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7E5C526"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14C8E64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公司废弃物排放具体情况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7A35D58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每亿营收产生的无害废弃物总量</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E4C8EC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8CEAC21"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60B2E7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6023172"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5D2FAE51"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93F335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8A1693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每亿营收产生的有害废弃物总量</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34F6B2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8CC36B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BAE5C9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B229DDD"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3A0F0A0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负面</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6E010AE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公司废弃物管理负面信息</w:t>
            </w:r>
          </w:p>
        </w:tc>
        <w:tc>
          <w:tcPr>
            <w:tcW w:w="2645" w:type="pct"/>
            <w:tcBorders>
              <w:top w:val="single" w:sz="4" w:space="0" w:color="000000"/>
              <w:left w:val="single" w:sz="4" w:space="0" w:color="000000"/>
              <w:bottom w:val="single" w:sz="4" w:space="0" w:color="000000"/>
              <w:right w:val="single" w:sz="4" w:space="0" w:color="000000"/>
            </w:tcBorders>
            <w:vAlign w:val="center"/>
          </w:tcPr>
          <w:p w14:paraId="390C47F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是否因废弃物管理发生行政处罚</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732895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3E7E9B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D5C997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47976C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52CD86E1"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1BC4B7E"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FA8EDE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是否说明事件处置情况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EBA80B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7F72284"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2FE8633" w14:textId="77777777" w:rsidR="00CA5006" w:rsidRDefault="00CA5006">
            <w:pPr>
              <w:jc w:val="center"/>
              <w:rPr>
                <w:rFonts w:ascii="宋体" w:hAnsi="宋体" w:cs="宋体" w:hint="eastAsia"/>
                <w:color w:val="000000"/>
              </w:rPr>
            </w:pPr>
          </w:p>
        </w:tc>
        <w:tc>
          <w:tcPr>
            <w:tcW w:w="385" w:type="pct"/>
            <w:vMerge w:val="restart"/>
            <w:tcBorders>
              <w:top w:val="single" w:sz="4" w:space="0" w:color="000000"/>
              <w:left w:val="single" w:sz="4" w:space="0" w:color="000000"/>
              <w:bottom w:val="single" w:sz="4" w:space="0" w:color="000000"/>
              <w:right w:val="single" w:sz="4" w:space="0" w:color="000000"/>
            </w:tcBorders>
            <w:noWrap/>
            <w:vAlign w:val="center"/>
          </w:tcPr>
          <w:p w14:paraId="696F0F24"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循环经济</w:t>
            </w: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64A4D64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治理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22BC775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公司循环经济管理组织建设情况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333A5A5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是否由董事会负责循环经济管理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0A93F8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0889A57"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EF4013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1DE631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B8CE664"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76F4D2A"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3F01EF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是否由高级管理层负责循环经济管理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DE1F53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F818E2E"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395DC4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72FDC5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223F16F"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77F1F946"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8F4FD5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是否由专门部门负责循环经济管理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9A8102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EC0015A"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838298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D9E812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4CC9B5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187035F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3D32B0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是否建立循环经济管理信息报告、监督机制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725C33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A228BF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700E63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88B8917"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C172666"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2F28F83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公司循环经济基本政策情况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51C8063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是否制定循环经济管理政策与制度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1A24AF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2D5870D"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A5F8ED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EF6CD4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D2EF9F5"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1E3816EE"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8D463A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是否将循环经济绩效纳入考核</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6FFEA8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927DDB4"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4AACC2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76794A4"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6BBE3D8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战略</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7C4C529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公司循环经济相关风险与机遇识别情况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17095B2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是否说明循环经济相关影响、风险和机遇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CFB8B9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7851F7A"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97109C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091B4E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0D68518"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0BCCEE0"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659231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是否说明循环经济对公司财务的影响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4A420A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7B1131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915546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252C48A"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C4A978F"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14A50FF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公司循环经济相关风险与机遇应对战略</w:t>
            </w:r>
          </w:p>
        </w:tc>
        <w:tc>
          <w:tcPr>
            <w:tcW w:w="2645" w:type="pct"/>
            <w:tcBorders>
              <w:top w:val="single" w:sz="4" w:space="0" w:color="000000"/>
              <w:left w:val="single" w:sz="4" w:space="0" w:color="000000"/>
              <w:bottom w:val="single" w:sz="4" w:space="0" w:color="000000"/>
              <w:right w:val="single" w:sz="4" w:space="0" w:color="000000"/>
            </w:tcBorders>
            <w:vAlign w:val="center"/>
          </w:tcPr>
          <w:p w14:paraId="1B63088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是否说明循环经济实施计划</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14AA53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3923F40"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F36003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5B42EC8"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0C73637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影响、风险和机遇管理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41BC41B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公司源头减量化工作开展情况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6E31259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是否采取绿色设计</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E7C59E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6BAB9F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C913A9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A82740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9A8EB1C"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050531C"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4912D0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是否量化绿色设计措施成效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078D61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8FF1F1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47D827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E01DBA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8537A44"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4586672F"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0313FC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是否说明整车设计可回收利用率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C69917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w:t>
            </w:r>
          </w:p>
        </w:tc>
      </w:tr>
      <w:tr w:rsidR="00CA5006" w14:paraId="789A8FB8"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E593F9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0E8D267"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EDC97C1"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FB694E4"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A7AB72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是否使用再生原材料</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0D0780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64D172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C886F7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92A131B"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5E2BE6F2"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547C0BB"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CB9B89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是否量化说明再生原材料利用情况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BEAB5C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0D249B8"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67DBD9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0DEE07B"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156C95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976F5B5"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3BCF83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是否采取措施防止过度包装</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38A6F0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152AAF3"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E62DA1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15520FD"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9DF36B8"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4342FC26"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BD011C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是否量化说明防止过度包装措施成效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847B0B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41D8E3A"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B752A1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8DC4092"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4A5EBD2"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0C54956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公司再利用与资源化工作开展情况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23F4808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是否采取废弃物循环再利用措施</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5F2F13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9DBA314"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CE5EB4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B7F38EB"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AB73F3F"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30256B6"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BC563A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是否量化说明废弃物循环再利用措施成效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E8CC7D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6EDBB48"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A0C088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AB05A8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A8E5A1E"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223FFA6"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A13597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是否采取废水循环再利用措施</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35C4C7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525A47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9369B6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EF403D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2438DD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4A5694A"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8C5233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是否量化说明废水循环再利用措施成效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DE4949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FF990A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02294C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9B2C81A"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AB34232"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9FF4D35"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241CA5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是否采取废气、废油、余热、余压等循环再利用措施</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0FB33A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5F1A6D6"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42ED0E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310ED6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B6F9CAB"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3DA44D5"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78F6AD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是否量化说明废气、废油、余热、余压等循环再利用措施成效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40243D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1B469BD"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29A32C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09A469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9921FD0"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15DB4110"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75BB5C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是否采取措施推动包装物循环再利用</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458E77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5CDAF7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14969A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8660387"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CA23B2C"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46C4B464"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3493D0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是否量化说明包装物循环再利用措施成效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BB6906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3050D27"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ED1F52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7B6892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0B74DB2"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332C5A9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公司产品回收再利用工作开展情况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479B294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是否建立产品回收体系</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68BFA1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整车企业、电池企业</w:t>
            </w:r>
          </w:p>
        </w:tc>
      </w:tr>
      <w:tr w:rsidR="00CA5006" w14:paraId="04A0A1B9"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3D68D1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8EFE28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55D33FB2"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43F6EE6"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08E423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是否采取措施推动整车回收再利用</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C8F684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w:t>
            </w:r>
          </w:p>
        </w:tc>
      </w:tr>
      <w:tr w:rsidR="00CA5006" w14:paraId="4DD40C30"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168EA9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0FC2EB2"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59830F6"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A9B4673"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1EA97F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是否量化说明整车回收再利用措施的成效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FD5F2E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w:t>
            </w:r>
          </w:p>
        </w:tc>
      </w:tr>
      <w:tr w:rsidR="00CA5006" w14:paraId="5CAE6A4A"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AE474E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96608E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A7156B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918BCE4"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5134DD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是否采取措施推动零部件回收再利用</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09D46B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w:t>
            </w:r>
          </w:p>
        </w:tc>
      </w:tr>
      <w:tr w:rsidR="00CA5006" w14:paraId="737FA668"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A307F5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190DF2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DCDB2C2"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74FA347"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537BCB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是否量化说明零部件回收再利用措施的成效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64FEE8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w:t>
            </w:r>
          </w:p>
        </w:tc>
      </w:tr>
      <w:tr w:rsidR="00CA5006" w14:paraId="3E2CD67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31FE87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A26848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2B74B0C"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CC6DCA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40BF5F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是否采取措施推动动力电池回收再利用</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9E7016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整车企业、电池企业</w:t>
            </w:r>
          </w:p>
        </w:tc>
      </w:tr>
      <w:tr w:rsidR="00CA5006" w14:paraId="2C31130E"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92D0A4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FEFCDE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DBA489F"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E80B65C"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AE09C8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是否量化说明动力电池回收再利用措施的成效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5E2786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整车企业、电池企业</w:t>
            </w:r>
          </w:p>
        </w:tc>
      </w:tr>
      <w:tr w:rsidR="00CA5006" w14:paraId="2FABD0AE"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1B4D68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197D097"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782A03F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指标与目标</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7EE66BF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公司循环经济目标与进展</w:t>
            </w:r>
          </w:p>
        </w:tc>
        <w:tc>
          <w:tcPr>
            <w:tcW w:w="2645" w:type="pct"/>
            <w:tcBorders>
              <w:top w:val="single" w:sz="4" w:space="0" w:color="000000"/>
              <w:left w:val="single" w:sz="4" w:space="0" w:color="000000"/>
              <w:bottom w:val="single" w:sz="4" w:space="0" w:color="000000"/>
              <w:right w:val="single" w:sz="4" w:space="0" w:color="000000"/>
            </w:tcBorders>
            <w:vAlign w:val="center"/>
          </w:tcPr>
          <w:p w14:paraId="68C9227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是否制定源头减量化相关目标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73C4EE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9ED2431"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D71781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51975E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CCE084C"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7721277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DF41AF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是否说明源头减量化目标的进展情况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8BB064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BD718F7"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992477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BCB732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570D3C04"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1C43CAC"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058567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是否制定再利用与资源化目标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7F9239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3B84662"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5E5B60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8847BB7"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D8AE12A"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3ECDF3F"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13D6FA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是否说明再利用与资源化目标的进展情况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CF1CFA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5CC0C2A"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F70FC3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C89737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01EBA99"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15E965C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公司循环经济指标</w:t>
            </w:r>
          </w:p>
        </w:tc>
        <w:tc>
          <w:tcPr>
            <w:tcW w:w="2645" w:type="pct"/>
            <w:tcBorders>
              <w:top w:val="single" w:sz="4" w:space="0" w:color="000000"/>
              <w:left w:val="single" w:sz="4" w:space="0" w:color="000000"/>
              <w:bottom w:val="single" w:sz="4" w:space="0" w:color="000000"/>
              <w:right w:val="single" w:sz="4" w:space="0" w:color="000000"/>
            </w:tcBorders>
            <w:vAlign w:val="center"/>
          </w:tcPr>
          <w:p w14:paraId="35F2A09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产品综合循环利用率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806BEA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972DA38"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FFB93C1" w14:textId="77777777" w:rsidR="00CA5006" w:rsidRDefault="00CA5006">
            <w:pPr>
              <w:jc w:val="center"/>
              <w:rPr>
                <w:rFonts w:ascii="宋体" w:hAnsi="宋体" w:cs="宋体" w:hint="eastAsia"/>
                <w:color w:val="000000"/>
              </w:rPr>
            </w:pPr>
          </w:p>
        </w:tc>
        <w:tc>
          <w:tcPr>
            <w:tcW w:w="385" w:type="pct"/>
            <w:vMerge w:val="restart"/>
            <w:tcBorders>
              <w:top w:val="single" w:sz="4" w:space="0" w:color="000000"/>
              <w:left w:val="single" w:sz="4" w:space="0" w:color="000000"/>
              <w:bottom w:val="single" w:sz="4" w:space="0" w:color="000000"/>
              <w:right w:val="single" w:sz="4" w:space="0" w:color="000000"/>
            </w:tcBorders>
            <w:noWrap/>
            <w:vAlign w:val="center"/>
          </w:tcPr>
          <w:p w14:paraId="61602D8D"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能源利用</w:t>
            </w: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41C05D4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治理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0BC74B9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公司能源管理组织建设情况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77AB3DF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是否由董事会负责能源管理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F75E8D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640F761"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62A8D4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979DA9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2C2D281"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771272EE"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9D00D0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是否由高级管理层负责能源管理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D905CB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094C8FD"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55EE82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4FC140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59A1D4C"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462E000"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0382F5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是否由专门部门负责能源管理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67D50E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2CC0881"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6EF786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BEB409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B18CE26"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41A948C5"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659738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是否建立能源管理信息报告、监督机制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0B2B4B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E4A853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86F1AE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967CD4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E3B3A4B"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513821B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公司能源管理基本政策情况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71734F5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是否制定能源管理政策与制度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FB783D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5E50E23"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BE6217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69DD36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FC2F638"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56CB536"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6709DA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是否将能源管理纳入绩效考核</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95BE82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C37A361"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F5C078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89932A3"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08386F5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战略</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7813DAB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公司能源相关风险与机遇识别情况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2CBB236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是否说明能源相关影响、风险和机遇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2492C5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9EA549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D83B7E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132CF8B"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550CAEF"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785F896"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99E4A1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是否说明能源对公司财务的影响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88D25A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1D2ACE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DBB949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0407B76"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4CD3B75"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506EA5F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公司能源相关风险与机遇应对战略</w:t>
            </w:r>
          </w:p>
        </w:tc>
        <w:tc>
          <w:tcPr>
            <w:tcW w:w="2645" w:type="pct"/>
            <w:tcBorders>
              <w:top w:val="single" w:sz="4" w:space="0" w:color="000000"/>
              <w:left w:val="single" w:sz="4" w:space="0" w:color="000000"/>
              <w:bottom w:val="single" w:sz="4" w:space="0" w:color="000000"/>
              <w:right w:val="single" w:sz="4" w:space="0" w:color="000000"/>
            </w:tcBorders>
            <w:vAlign w:val="center"/>
          </w:tcPr>
          <w:p w14:paraId="3FE1998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是否说明能源管理实施计划</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CCB644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C8C38B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A4084E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83710A6"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1386607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影响、风险和机遇管理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2530470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公司能源管理体系认证情况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482159B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是否通过能源管理体系认证</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27BA59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E540756"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A69B54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45C3FFB"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20F5C31"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250C61A"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FCCA87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是否说明能源管理体系认证范围</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968A37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5CE0A8D"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8AA58CB"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A1D229D"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AC5A3B9"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4B26BD0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公司能源节约工作开展情况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282DD68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是否开展能耗监测分析</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18C135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41A688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C77B44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74C640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8A57492"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E75E8B2"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C6CBE7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是否采取生产环节能源节约措施</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2D3D83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48173F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42A00C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A6DA3E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B365A5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F34B1FD"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39D36D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是否量化说明生产环节节能措施的成效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14CA5C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914FD83"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54A203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7C3EB1A"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21F1298"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D193C5E"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C2DB26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是否分类说明能源消耗情况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021BB2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F13641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54E759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E01E40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9955633"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7118E02E"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25D361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是否采取措施降低产品使用过程中的能耗</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CF0705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w:t>
            </w:r>
          </w:p>
        </w:tc>
      </w:tr>
      <w:tr w:rsidR="00CA5006" w14:paraId="32818A79"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5F4C5E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A5974E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4E5B188"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AD8876B"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FD00BF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是否量化说明降低产品使用过程中能耗措施的成效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B687C9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w:t>
            </w:r>
          </w:p>
        </w:tc>
      </w:tr>
      <w:tr w:rsidR="00CA5006" w14:paraId="10570C69"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EAA0BF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C99CB8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3231C11"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34F8A05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公司清洁能源利用情况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412B7C6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是否采取清洁能源利用措施</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C51272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D813A0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683CF7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9B9FDD7"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F4BE83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E1847EC"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48BD63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是否量化说明清洁能源利用情况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3A5DFA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14B050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19BA86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B998345"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1B4D927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指标与目标</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09F95D2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公司能源管理目标与进展</w:t>
            </w:r>
          </w:p>
        </w:tc>
        <w:tc>
          <w:tcPr>
            <w:tcW w:w="2645" w:type="pct"/>
            <w:tcBorders>
              <w:top w:val="single" w:sz="4" w:space="0" w:color="000000"/>
              <w:left w:val="single" w:sz="4" w:space="0" w:color="000000"/>
              <w:bottom w:val="single" w:sz="4" w:space="0" w:color="000000"/>
              <w:right w:val="single" w:sz="4" w:space="0" w:color="000000"/>
            </w:tcBorders>
            <w:vAlign w:val="center"/>
          </w:tcPr>
          <w:p w14:paraId="3E77DDF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是否制定能源管理目标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78C029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DACF793"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60C0E7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794DFD9"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55C6D23"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5D3A15E"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2E2823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是否量化说明能源管理目标完成情况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6A972F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7ACC410"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FA2C4E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269A21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97D59EC"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08EFAAB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公司能源消耗情况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6D74411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每百万营收能源消耗总量</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FF1BB5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F4CED8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9EA49E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C22876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3B040E6"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BB674EC"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1B0528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可再生能源占能源消耗的比例</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45A17B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D47ADED"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540F4EF" w14:textId="77777777" w:rsidR="00CA5006" w:rsidRDefault="00CA5006">
            <w:pPr>
              <w:jc w:val="center"/>
              <w:rPr>
                <w:rFonts w:ascii="宋体" w:hAnsi="宋体" w:cs="宋体" w:hint="eastAsia"/>
                <w:color w:val="000000"/>
              </w:rPr>
            </w:pPr>
          </w:p>
        </w:tc>
        <w:tc>
          <w:tcPr>
            <w:tcW w:w="385" w:type="pct"/>
            <w:vMerge w:val="restart"/>
            <w:tcBorders>
              <w:top w:val="single" w:sz="4" w:space="0" w:color="000000"/>
              <w:left w:val="single" w:sz="4" w:space="0" w:color="000000"/>
              <w:bottom w:val="single" w:sz="4" w:space="0" w:color="000000"/>
              <w:right w:val="single" w:sz="4" w:space="0" w:color="000000"/>
            </w:tcBorders>
            <w:noWrap/>
            <w:vAlign w:val="center"/>
          </w:tcPr>
          <w:p w14:paraId="38016B10"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水资源</w:t>
            </w: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2975106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治理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0B0396E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公司水资源管理组织建设情况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23C151C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是否由董事会负责水资源管理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A6AC65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A705C3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1E8516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8871936"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1DEE2B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1EAC65DE"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6CCB1E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是否由高级管理层负责水资源管理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5D1532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44C5CED"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38E30F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0F8B00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F849BAF"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D555E72"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F14F50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是否由专门部门负责水资源管理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20927E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790E90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095B6A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A8E261A"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A5874B4"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E82259D"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1E9B43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是否建立水资源管理信息报告、监督机制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DB3034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EBA1440"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D4944A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EDCA072"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1044280"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4B7829E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公司水资源管理基本政策情况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5BEC511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是否制定水资源管理政策与制度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3EEE45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D80353D"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3A7BBC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4DAD98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AD78734"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796A9F1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A66475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是否将水资源管理纳入绩效考核</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0CAC1F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3B7901D"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A873F7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199F3E5"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4A2E7F3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战略</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74D357D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公司水资源相关风险与机遇识别情况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6ADCC9E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是否说明水资源管理相关影响、风险和机遇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33AD98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8D7E110"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420AFB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501804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5A40A1A"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71245225"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970595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是否说明水资源相关风险和机遇的财务影响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61F464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921847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CE229C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B68D68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5FFC190B"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6559A6D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公司水资源相关风险与机遇应对战略</w:t>
            </w:r>
          </w:p>
        </w:tc>
        <w:tc>
          <w:tcPr>
            <w:tcW w:w="2645" w:type="pct"/>
            <w:tcBorders>
              <w:top w:val="single" w:sz="4" w:space="0" w:color="000000"/>
              <w:left w:val="single" w:sz="4" w:space="0" w:color="000000"/>
              <w:bottom w:val="single" w:sz="4" w:space="0" w:color="000000"/>
              <w:right w:val="single" w:sz="4" w:space="0" w:color="000000"/>
            </w:tcBorders>
            <w:vAlign w:val="center"/>
          </w:tcPr>
          <w:p w14:paraId="3B61886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是否说明水资源管理实施计划</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7B9ACA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FDBEA16"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5E2D3F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9EAA0AB"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922963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EE98A81"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0735E7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是否说明公司应对水资源风险及机遇的韧性</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4FCC34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B95A229"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2B0146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80C698C"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4F39F26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影响、风险和机遇管理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7D165D3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公司水资源节约管理工作情况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5E041A5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是否采取措施降低生产环节用水</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E728CE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2E842EE"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67AE9F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46E984D"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1D58734"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7B0CFCD"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520B35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是否量化说明生产环节节水措施成效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28C7EC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AEFC466"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35C658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AAEAC73"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7A1AA68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指标与目标</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6B7327F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公司水资源管理目标</w:t>
            </w:r>
          </w:p>
        </w:tc>
        <w:tc>
          <w:tcPr>
            <w:tcW w:w="2645" w:type="pct"/>
            <w:tcBorders>
              <w:top w:val="single" w:sz="4" w:space="0" w:color="000000"/>
              <w:left w:val="single" w:sz="4" w:space="0" w:color="000000"/>
              <w:bottom w:val="single" w:sz="4" w:space="0" w:color="000000"/>
              <w:right w:val="single" w:sz="4" w:space="0" w:color="000000"/>
            </w:tcBorders>
            <w:vAlign w:val="center"/>
          </w:tcPr>
          <w:p w14:paraId="3BD1EF8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是否制定水资源节约目标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FDDCC3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993AE4A"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B4E714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B5C336A"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B2D510F"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48B877D"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7D9947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是否量化说明节水目标的完成情况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1223D3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F7B2D49"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1922D0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FD5CE0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84D47F2"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17CDD640"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EA105B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是否设定单车水资源消耗目标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2659E6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w:t>
            </w:r>
          </w:p>
        </w:tc>
      </w:tr>
      <w:tr w:rsidR="00CA5006" w14:paraId="71ACB4F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3852F2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76D9DC9"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34B2CF1"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607FC62"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B6A057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是否说明单车水资源消耗目标进展</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D611D4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w:t>
            </w:r>
          </w:p>
        </w:tc>
      </w:tr>
      <w:tr w:rsidR="00CA5006" w14:paraId="3C6F7083"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9A7137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9A37F3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0556FC0"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28ACE6C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公司水资源利用情况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0C1D30F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每百万营收总用水量</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6EC25B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ECF30C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A3C30A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224239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F75D09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5CFF2F1"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5A7E95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每百万营收总取水量</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5AF3D4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A339DD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D8FF80B"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72BBA9A"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73A2827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负面</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3C748F0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水资源保护负面信息</w:t>
            </w:r>
          </w:p>
        </w:tc>
        <w:tc>
          <w:tcPr>
            <w:tcW w:w="2645" w:type="pct"/>
            <w:tcBorders>
              <w:top w:val="single" w:sz="4" w:space="0" w:color="000000"/>
              <w:left w:val="single" w:sz="4" w:space="0" w:color="000000"/>
              <w:bottom w:val="single" w:sz="4" w:space="0" w:color="000000"/>
              <w:right w:val="single" w:sz="4" w:space="0" w:color="000000"/>
            </w:tcBorders>
            <w:vAlign w:val="center"/>
          </w:tcPr>
          <w:p w14:paraId="5EA02AE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是否因水资源利用受到重大行政处罚</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19AC99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418AEC6"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93BE71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A1E872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03486F1"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A298ADD"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6C12CC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是否说明事件处置情况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BDFCF1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D6148E1"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1F5C0B7" w14:textId="77777777" w:rsidR="00CA5006" w:rsidRDefault="00CA5006">
            <w:pPr>
              <w:jc w:val="center"/>
              <w:rPr>
                <w:rFonts w:ascii="宋体" w:hAnsi="宋体" w:cs="宋体" w:hint="eastAsia"/>
                <w:color w:val="000000"/>
              </w:rPr>
            </w:pPr>
          </w:p>
        </w:tc>
        <w:tc>
          <w:tcPr>
            <w:tcW w:w="385" w:type="pct"/>
            <w:vMerge w:val="restart"/>
            <w:tcBorders>
              <w:top w:val="single" w:sz="4" w:space="0" w:color="000000"/>
              <w:left w:val="single" w:sz="4" w:space="0" w:color="000000"/>
              <w:bottom w:val="single" w:sz="4" w:space="0" w:color="000000"/>
              <w:right w:val="single" w:sz="4" w:space="0" w:color="000000"/>
            </w:tcBorders>
            <w:noWrap/>
            <w:vAlign w:val="center"/>
          </w:tcPr>
          <w:p w14:paraId="6BEEFDB3"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生态系统和生物多样性保护</w:t>
            </w: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4A87B85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治理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53B77BE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生态系统和生物多样性保护治理架构</w:t>
            </w:r>
          </w:p>
        </w:tc>
        <w:tc>
          <w:tcPr>
            <w:tcW w:w="2645" w:type="pct"/>
            <w:tcBorders>
              <w:top w:val="single" w:sz="4" w:space="0" w:color="000000"/>
              <w:left w:val="single" w:sz="4" w:space="0" w:color="000000"/>
              <w:bottom w:val="single" w:sz="4" w:space="0" w:color="000000"/>
              <w:right w:val="single" w:sz="4" w:space="0" w:color="000000"/>
            </w:tcBorders>
            <w:vAlign w:val="center"/>
          </w:tcPr>
          <w:p w14:paraId="411943C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是否由董事会负责生态系统和生物多样性保护管理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149201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F700FE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835CBD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2DAA07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84BFF5B"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6900A06"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EDD31F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是否由高级管理层负责生态系统和生物多样性保护管理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6D39E6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0062C6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91E3BB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7E6144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0A3D89A"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8B987BB"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098C71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是否由专门部门负责生态系统和生物多样性保护管理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01B3D2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66D5C8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7E160F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C5130B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1C65C81"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1D76C8C"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06C0CB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是否建立生态系统和生物多样性保护管理信息报告、监督机制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C31328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A912A6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C82C8C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05D8D86"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500B4B0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C4A6DC3"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E61B55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是否针对高生态敏感区建立利益相关方沟通协调机制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576D33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AA6E22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E13F04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DF6C01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E3437CE"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744DA09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生态系统和生物多样性保护制度</w:t>
            </w:r>
          </w:p>
        </w:tc>
        <w:tc>
          <w:tcPr>
            <w:tcW w:w="2645" w:type="pct"/>
            <w:tcBorders>
              <w:top w:val="single" w:sz="4" w:space="0" w:color="000000"/>
              <w:left w:val="single" w:sz="4" w:space="0" w:color="000000"/>
              <w:bottom w:val="single" w:sz="4" w:space="0" w:color="000000"/>
              <w:right w:val="single" w:sz="4" w:space="0" w:color="000000"/>
            </w:tcBorders>
            <w:vAlign w:val="center"/>
          </w:tcPr>
          <w:p w14:paraId="6115C67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是否制定生态系统和生物多样性保护管理政策与制度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B6CDEA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80150E6"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F3E7CB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B44033B"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B3C941F"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E0B511C"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33395E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是否将生态系统和生物多样性保护管理纳入绩效考核</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D0BC7E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842687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58948D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EBB5BC9"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14BCEA0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战略</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2E6B481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公司生态系统及生物多样性保护风险与机遇识别</w:t>
            </w:r>
          </w:p>
        </w:tc>
        <w:tc>
          <w:tcPr>
            <w:tcW w:w="2645" w:type="pct"/>
            <w:tcBorders>
              <w:top w:val="single" w:sz="4" w:space="0" w:color="000000"/>
              <w:left w:val="single" w:sz="4" w:space="0" w:color="000000"/>
              <w:bottom w:val="single" w:sz="4" w:space="0" w:color="000000"/>
              <w:right w:val="single" w:sz="4" w:space="0" w:color="000000"/>
            </w:tcBorders>
            <w:vAlign w:val="center"/>
          </w:tcPr>
          <w:p w14:paraId="64B8841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是否评估公司对生态系统和生物多样性的依赖和影响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5B1923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4649DE0"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6ADC6EB"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3B4CF4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5A7FDF0E"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769D123F"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2D1E5E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是否说明生态系统和生物多样性保护等对公司财务的影响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96CF7A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BDFFBC8"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30988AB"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FCCF059"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42D5335"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39DE000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公司生态系统及生物多样性保护相关风险与机遇应对战略</w:t>
            </w:r>
          </w:p>
        </w:tc>
        <w:tc>
          <w:tcPr>
            <w:tcW w:w="2645" w:type="pct"/>
            <w:tcBorders>
              <w:top w:val="single" w:sz="4" w:space="0" w:color="000000"/>
              <w:left w:val="single" w:sz="4" w:space="0" w:color="000000"/>
              <w:bottom w:val="single" w:sz="4" w:space="0" w:color="000000"/>
              <w:right w:val="single" w:sz="4" w:space="0" w:color="000000"/>
            </w:tcBorders>
            <w:vAlign w:val="center"/>
          </w:tcPr>
          <w:p w14:paraId="14B3FC5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是否说明生态系统和生物多样性保护管理计划</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7E4496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DB6967D"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ACB16E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C3B51E6"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AC1A930"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72847EF6"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0078C3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是否评估公司应对生态系统和生物多样性保护风险和机遇的韧性</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C9A122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985E4A3"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0B8281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3E66BF7"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69C8E7B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影响、风险和机遇管理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5B6EB44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公司生态系统及生物多样性保护工作开展情况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4107866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是否采取生态系统及生物多样性保护措施</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8BBD92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A649281"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0A121A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094AE6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2F28740"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D3B44B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5C80F9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是否量化说明生态系统及生物多样性保护措施成效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70B5FB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DA8A9A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F55253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081C4B1"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5D636AA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指标与目标</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49FE826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公司生态系统与生物多样性保护目标与进展</w:t>
            </w:r>
          </w:p>
        </w:tc>
        <w:tc>
          <w:tcPr>
            <w:tcW w:w="2645" w:type="pct"/>
            <w:tcBorders>
              <w:top w:val="single" w:sz="4" w:space="0" w:color="000000"/>
              <w:left w:val="single" w:sz="4" w:space="0" w:color="000000"/>
              <w:bottom w:val="single" w:sz="4" w:space="0" w:color="000000"/>
              <w:right w:val="single" w:sz="4" w:space="0" w:color="000000"/>
            </w:tcBorders>
            <w:vAlign w:val="center"/>
          </w:tcPr>
          <w:p w14:paraId="43DD49B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是否制定具体的生物多样性保护目标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B61AFF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1BFCF3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A81C02B"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EB5EA3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3E638F6"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224033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A9C4A9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是否量化生物多样性保护目标进展</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8E76FF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58985D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67C70E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F05240A"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33447BB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负面</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654AB42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生态系统与生物多样性保护负面信息</w:t>
            </w:r>
          </w:p>
        </w:tc>
        <w:tc>
          <w:tcPr>
            <w:tcW w:w="2645" w:type="pct"/>
            <w:tcBorders>
              <w:top w:val="single" w:sz="4" w:space="0" w:color="000000"/>
              <w:left w:val="single" w:sz="4" w:space="0" w:color="000000"/>
              <w:bottom w:val="single" w:sz="4" w:space="0" w:color="000000"/>
              <w:right w:val="single" w:sz="4" w:space="0" w:color="000000"/>
            </w:tcBorders>
            <w:vAlign w:val="center"/>
          </w:tcPr>
          <w:p w14:paraId="7DED4CF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是否因生态系统及生物多样性保护受到行政处罚</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3AED76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F1EC86A"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7E1897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264533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DD8E726"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528A747"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3A5F5A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是否说明事件处置情况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0CEF87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F97D8E8"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AFB8CE3" w14:textId="77777777" w:rsidR="00CA5006" w:rsidRDefault="00CA5006">
            <w:pPr>
              <w:jc w:val="center"/>
              <w:rPr>
                <w:rFonts w:ascii="宋体" w:hAnsi="宋体" w:cs="宋体" w:hint="eastAsia"/>
                <w:color w:val="000000"/>
              </w:rPr>
            </w:pPr>
          </w:p>
        </w:tc>
        <w:tc>
          <w:tcPr>
            <w:tcW w:w="385" w:type="pct"/>
            <w:vMerge w:val="restart"/>
            <w:tcBorders>
              <w:top w:val="single" w:sz="4" w:space="0" w:color="000000"/>
              <w:left w:val="single" w:sz="4" w:space="0" w:color="000000"/>
              <w:bottom w:val="single" w:sz="4" w:space="0" w:color="000000"/>
              <w:right w:val="single" w:sz="4" w:space="0" w:color="000000"/>
            </w:tcBorders>
            <w:noWrap/>
            <w:vAlign w:val="center"/>
          </w:tcPr>
          <w:p w14:paraId="6F589609"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环境合规管理</w:t>
            </w: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3480D29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治理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4D1C372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公司环境管理组织建设情况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4E7DECB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是否由董事会负责环境管理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FEF6F9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4B5B1C0"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F68FDD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9DF1ED6"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FAEC9C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1F802041"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162176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是否由高级管理层负责环境管理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B27E62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0972CF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970DA2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96E0E57"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E290955"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757C0AC"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C87423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是否由专门部门负责环境管理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C0395D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B138E17"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2A603B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5E9252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C420575"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BD82243"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DA7262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是否建立环境管理信息报告、监督机制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06E85E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EDDECB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83ED16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CF486CD"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BE4689F"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148E893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公司环境管理基本政策情况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3B3384B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是否建立环境管理基本政策</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277F42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CAFCC9D"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2CFB21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4F0661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5884CC1"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48F552E4"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679D95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是否将环境合规管理成效纳入管理层薪酬绩效考核</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B92756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2D231A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F4959BB"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C044BB3"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5BD8FA0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战略</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2DFCBCE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公司环境相关风险与机遇识别情况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53E6D18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是否说明环境管理相关风险、机遇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9007D4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76B13A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4C8BED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44E4E1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B17CA16"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1AB08B21"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1D6425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是否说明环境管理对公司财务的影响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3BCA74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6C8C34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1DF01D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356196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9185F59"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670ED39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公司环境相关风险与机遇应对战略</w:t>
            </w:r>
          </w:p>
        </w:tc>
        <w:tc>
          <w:tcPr>
            <w:tcW w:w="2645" w:type="pct"/>
            <w:tcBorders>
              <w:top w:val="single" w:sz="4" w:space="0" w:color="000000"/>
              <w:left w:val="single" w:sz="4" w:space="0" w:color="000000"/>
              <w:bottom w:val="single" w:sz="4" w:space="0" w:color="000000"/>
              <w:right w:val="single" w:sz="4" w:space="0" w:color="000000"/>
            </w:tcBorders>
            <w:vAlign w:val="center"/>
          </w:tcPr>
          <w:p w14:paraId="3ED918A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是否制定环境合规管理计划与策略</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993D11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7199748"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EF7906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A6B4F3A"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01CB4A8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影响、风险和机遇管理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6EF5CFA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公司环境管理体系认证情况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672C8B5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是否通过环境管理体系认证</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2E99C2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DF5B110"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BCD87B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6DB3F4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4188168"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B29461A"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9732CA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是否量化说明环境管理体系认证的覆盖范围</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2861C3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AE4851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596A46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F2E026B"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31FBE81"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13DC299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公司环境合规风险管理情况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0035423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是否说明环境类风险评估情况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6399A6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EB1A578"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BD34D6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44D70B7"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9E9DF8A"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C31A0C7"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6F1BE8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是否制定环境类风险应急预案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325DD9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8B80F07"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025C35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23C49E4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8F9CFCE"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2A5F7E4"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423A87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是否开展环境管理类相关培训活动</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701BCE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770AF2A"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825731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FBCC9EA"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89AF565"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BC4DFF0"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ACFAF2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是否量化说明环境管理类培训活动开展情况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C7FA1D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83DE18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8FCB3F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11914FDF"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0EB1CD9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指标与目标</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562900C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公司环境合规管理目标与进展情况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7E10CEB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是否建立环境合规管理目标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5D6B07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2853DE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9031A9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720059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2828F7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15C70235"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EAC587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是否量化说明环境合规管理情况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4C9887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DB18620"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CA3DC3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544376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50D07FD"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7FF82B8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环境保护投入</w:t>
            </w:r>
          </w:p>
        </w:tc>
        <w:tc>
          <w:tcPr>
            <w:tcW w:w="2645" w:type="pct"/>
            <w:tcBorders>
              <w:top w:val="single" w:sz="4" w:space="0" w:color="000000"/>
              <w:left w:val="single" w:sz="4" w:space="0" w:color="000000"/>
              <w:bottom w:val="single" w:sz="4" w:space="0" w:color="000000"/>
              <w:right w:val="single" w:sz="4" w:space="0" w:color="000000"/>
            </w:tcBorders>
            <w:noWrap/>
            <w:vAlign w:val="center"/>
          </w:tcPr>
          <w:p w14:paraId="6EAAEA3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环境保护总投入占营业收入比例（%）</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DE7B90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1061B9F" w14:textId="77777777">
        <w:trPr>
          <w:trHeight w:val="620"/>
        </w:trPr>
        <w:tc>
          <w:tcPr>
            <w:tcW w:w="383" w:type="pct"/>
            <w:vMerge w:val="restart"/>
            <w:tcBorders>
              <w:top w:val="single" w:sz="4" w:space="0" w:color="000000"/>
              <w:left w:val="single" w:sz="4" w:space="0" w:color="000000"/>
              <w:bottom w:val="single" w:sz="4" w:space="0" w:color="000000"/>
              <w:right w:val="single" w:sz="4" w:space="0" w:color="000000"/>
            </w:tcBorders>
            <w:noWrap/>
            <w:vAlign w:val="center"/>
          </w:tcPr>
          <w:p w14:paraId="0E7351E5"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lastRenderedPageBreak/>
              <w:t>社会</w:t>
            </w:r>
          </w:p>
        </w:tc>
        <w:tc>
          <w:tcPr>
            <w:tcW w:w="385" w:type="pct"/>
            <w:vMerge w:val="restart"/>
            <w:tcBorders>
              <w:top w:val="single" w:sz="4" w:space="0" w:color="000000"/>
              <w:left w:val="single" w:sz="4" w:space="0" w:color="000000"/>
              <w:bottom w:val="single" w:sz="4" w:space="0" w:color="000000"/>
              <w:right w:val="single" w:sz="4" w:space="0" w:color="000000"/>
            </w:tcBorders>
            <w:vAlign w:val="center"/>
          </w:tcPr>
          <w:p w14:paraId="7919709D"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产品与服务</w:t>
            </w: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6002409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治理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517540A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产品与服务管理组织架构</w:t>
            </w:r>
          </w:p>
        </w:tc>
        <w:tc>
          <w:tcPr>
            <w:tcW w:w="2645" w:type="pct"/>
            <w:tcBorders>
              <w:top w:val="single" w:sz="4" w:space="0" w:color="000000"/>
              <w:left w:val="single" w:sz="4" w:space="0" w:color="000000"/>
              <w:bottom w:val="single" w:sz="4" w:space="0" w:color="000000"/>
              <w:right w:val="single" w:sz="4" w:space="0" w:color="000000"/>
            </w:tcBorders>
            <w:vAlign w:val="center"/>
          </w:tcPr>
          <w:p w14:paraId="1A3EA91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是否由董事会及其下设委员会或者其他类似机构负责监督产品服务安全与质量议题相关风险与机遇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0EA212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50C7AD3" w14:textId="77777777">
        <w:trPr>
          <w:trHeight w:val="6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25E8FC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0BED08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351F7CB"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A9C2E85"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4B15CE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是否由高级管理层负责监督管理产品服务安全与质量议题相关风险</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3454F9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2D2E27E" w14:textId="77777777">
        <w:trPr>
          <w:trHeight w:val="6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AD0D85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908DD8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42715A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A767572"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D845EB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是否建立产品服务安全与质量议题信息报告、监督机制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A329D8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E583F36" w14:textId="77777777">
        <w:trPr>
          <w:trHeight w:val="6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F47E56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14393E6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31C7512"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25C42A7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产品与服务管理制度</w:t>
            </w:r>
          </w:p>
        </w:tc>
        <w:tc>
          <w:tcPr>
            <w:tcW w:w="2645" w:type="pct"/>
            <w:tcBorders>
              <w:top w:val="single" w:sz="4" w:space="0" w:color="000000"/>
              <w:left w:val="single" w:sz="4" w:space="0" w:color="000000"/>
              <w:bottom w:val="single" w:sz="4" w:space="0" w:color="000000"/>
              <w:right w:val="single" w:sz="4" w:space="0" w:color="000000"/>
            </w:tcBorders>
            <w:vAlign w:val="center"/>
          </w:tcPr>
          <w:p w14:paraId="719D61C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是否制定管理产品服务质量与安全相关风险和机遇的政策制度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DBE087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F2BA711" w14:textId="77777777">
        <w:trPr>
          <w:trHeight w:val="6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A7DBD0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24C8A6A8"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40AE45F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战略</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78BEBA6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产品与服务相关风险与机遇识别</w:t>
            </w:r>
          </w:p>
        </w:tc>
        <w:tc>
          <w:tcPr>
            <w:tcW w:w="2645" w:type="pct"/>
            <w:tcBorders>
              <w:top w:val="single" w:sz="4" w:space="0" w:color="000000"/>
              <w:left w:val="single" w:sz="4" w:space="0" w:color="000000"/>
              <w:bottom w:val="single" w:sz="4" w:space="0" w:color="000000"/>
              <w:right w:val="single" w:sz="4" w:space="0" w:color="000000"/>
            </w:tcBorders>
            <w:vAlign w:val="center"/>
          </w:tcPr>
          <w:p w14:paraId="480282B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是否识别产品服务质量与安全相关的风险和机遇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35DC3C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1378A0A" w14:textId="77777777">
        <w:trPr>
          <w:trHeight w:val="6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8B51CDB"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720C3B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F0037BD"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566730B7"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FC4BB4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是否说明产品与服务对公司财务的影响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950F0E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11CC219" w14:textId="77777777">
        <w:trPr>
          <w:trHeight w:val="6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AB7889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DFFABF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47636BF"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161F007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产品与服务相关风险与机遇的应对战略</w:t>
            </w:r>
          </w:p>
        </w:tc>
        <w:tc>
          <w:tcPr>
            <w:tcW w:w="2645" w:type="pct"/>
            <w:tcBorders>
              <w:top w:val="single" w:sz="4" w:space="0" w:color="000000"/>
              <w:left w:val="single" w:sz="4" w:space="0" w:color="000000"/>
              <w:bottom w:val="single" w:sz="4" w:space="0" w:color="000000"/>
              <w:right w:val="single" w:sz="4" w:space="0" w:color="000000"/>
            </w:tcBorders>
            <w:vAlign w:val="center"/>
          </w:tcPr>
          <w:p w14:paraId="3E61050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是否制定产品与服务相关的风险与机遇的管理计划</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B0BDCA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C06E538" w14:textId="77777777">
        <w:trPr>
          <w:trHeight w:val="7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74EDAE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72F9A25"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3839496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影响、风险和机遇管理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08C26EC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产品质量与安全管理</w:t>
            </w:r>
          </w:p>
        </w:tc>
        <w:tc>
          <w:tcPr>
            <w:tcW w:w="2645" w:type="pct"/>
            <w:tcBorders>
              <w:top w:val="single" w:sz="4" w:space="0" w:color="000000"/>
              <w:left w:val="single" w:sz="4" w:space="0" w:color="000000"/>
              <w:bottom w:val="single" w:sz="4" w:space="0" w:color="000000"/>
              <w:right w:val="single" w:sz="4" w:space="0" w:color="000000"/>
            </w:tcBorders>
            <w:vAlign w:val="center"/>
          </w:tcPr>
          <w:p w14:paraId="261FB6A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公司质量管理体系是否通过独立的外部认证（如ISO 9001、IATF 16949等）</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9AE3A7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FBC4511" w14:textId="77777777">
        <w:trPr>
          <w:trHeight w:val="7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F9448F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6C031B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63F978A"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0A5581C"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231EEE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是否量化质量管理体系认证覆盖范围</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0A61D3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610437E" w14:textId="77777777">
        <w:trPr>
          <w:trHeight w:val="7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4B2657B"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AEC046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B71289A"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F2F5F3B"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765389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是否建立供应商质量管理机制，包括对供应商的审核、认证及质量标准培训</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139EB9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AE0BE80" w14:textId="77777777">
        <w:trPr>
          <w:trHeight w:val="7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8FA1CBB"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E2CF13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D2FEA62"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23F8C0B"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AEC3EA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是否针对全体员工开展产品质量培训</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42DC4B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F1B7DEB" w14:textId="77777777">
        <w:trPr>
          <w:trHeight w:val="7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AF937C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5DD89C2"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EFAC7B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75CCBB6D"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A3F3FD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是否制定产品召回管理机制与流程</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78186C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D20B311" w14:textId="77777777">
        <w:trPr>
          <w:trHeight w:val="7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CBA781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89EBEE9"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D0ECA56"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7B7508F9"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3E6407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是否获得中国保险汽车安全指数（C-IASI）评级优秀或获得国内外主流汽车评估机构（如NHTSA、Euro NCAP、C-NCAP等）的安全测评五星安全认证</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3436FB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w:t>
            </w:r>
          </w:p>
        </w:tc>
      </w:tr>
      <w:tr w:rsidR="00CA5006" w14:paraId="6C642237" w14:textId="77777777">
        <w:trPr>
          <w:trHeight w:val="7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A825DE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6585E4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7248B1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4FF933B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641FA9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是否获得中国汽车健康指数（C-AHI）、中国绿色汽车评价规程（C-GCAP）五星及以上评价</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C36C65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w:t>
            </w:r>
          </w:p>
        </w:tc>
      </w:tr>
      <w:tr w:rsidR="00CA5006" w14:paraId="215D5545" w14:textId="77777777">
        <w:trPr>
          <w:trHeight w:val="60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88188A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7C650F8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C111D69"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47A212B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客户服务管理</w:t>
            </w:r>
          </w:p>
        </w:tc>
        <w:tc>
          <w:tcPr>
            <w:tcW w:w="2645" w:type="pct"/>
            <w:tcBorders>
              <w:top w:val="single" w:sz="4" w:space="0" w:color="000000"/>
              <w:left w:val="single" w:sz="4" w:space="0" w:color="000000"/>
              <w:bottom w:val="single" w:sz="4" w:space="0" w:color="000000"/>
              <w:right w:val="single" w:sz="4" w:space="0" w:color="000000"/>
            </w:tcBorders>
            <w:vAlign w:val="center"/>
          </w:tcPr>
          <w:p w14:paraId="2FB4106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是否有公开的负责任营销承诺</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9E716A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w:t>
            </w:r>
          </w:p>
        </w:tc>
      </w:tr>
      <w:tr w:rsidR="00CA5006" w14:paraId="0E462F58" w14:textId="77777777">
        <w:trPr>
          <w:trHeight w:val="60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49D05EB"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6F8D7A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375B585"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5C1B4B1"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33DAA1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是否开展责任营销培训及常态化管控流程</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FB217C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w:t>
            </w:r>
          </w:p>
        </w:tc>
      </w:tr>
      <w:tr w:rsidR="00CA5006" w14:paraId="71E7286A" w14:textId="77777777">
        <w:trPr>
          <w:trHeight w:val="60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592E97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013FB7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9A2A74B"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FF8E8BF"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B05D50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是否建立多渠道客户投诉处理机制，并说明投诉处理流程及时间透明度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9C97DA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w:t>
            </w:r>
          </w:p>
        </w:tc>
      </w:tr>
      <w:tr w:rsidR="00CA5006" w14:paraId="575A8E19" w14:textId="77777777">
        <w:trPr>
          <w:trHeight w:val="60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C06712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2E2FCEB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B1B263D"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B96DC7B"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595514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是否开展客户满意度调查，并公开调查方法论及结果</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C5C98B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w:t>
            </w:r>
          </w:p>
        </w:tc>
      </w:tr>
      <w:tr w:rsidR="00CA5006" w14:paraId="051D40BE" w14:textId="77777777">
        <w:trPr>
          <w:trHeight w:val="60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80A401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C4927CA"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2D88592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指标与目标</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62D044A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产品安全与质量的目标及进展</w:t>
            </w:r>
          </w:p>
        </w:tc>
        <w:tc>
          <w:tcPr>
            <w:tcW w:w="2645" w:type="pct"/>
            <w:tcBorders>
              <w:top w:val="single" w:sz="4" w:space="0" w:color="000000"/>
              <w:left w:val="single" w:sz="4" w:space="0" w:color="000000"/>
              <w:bottom w:val="single" w:sz="4" w:space="0" w:color="000000"/>
              <w:right w:val="single" w:sz="4" w:space="0" w:color="000000"/>
            </w:tcBorders>
            <w:vAlign w:val="center"/>
          </w:tcPr>
          <w:p w14:paraId="6AE638D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是否设定具体、可衡量和量化的目标以改善公司的产品质量绩效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D208F1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9F9DBA5" w14:textId="77777777">
        <w:trPr>
          <w:trHeight w:val="60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E496A0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7175607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F0196FB"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B0A0369"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A31A00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是否披露产品安全与质量目标进展</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CD4C79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D2BCC73" w14:textId="77777777">
        <w:trPr>
          <w:trHeight w:val="60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16C497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24A61A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A91D35B"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7766478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客户服务目标及进展</w:t>
            </w:r>
          </w:p>
        </w:tc>
        <w:tc>
          <w:tcPr>
            <w:tcW w:w="2645" w:type="pct"/>
            <w:tcBorders>
              <w:top w:val="single" w:sz="4" w:space="0" w:color="000000"/>
              <w:left w:val="single" w:sz="4" w:space="0" w:color="000000"/>
              <w:bottom w:val="single" w:sz="4" w:space="0" w:color="000000"/>
              <w:right w:val="single" w:sz="4" w:space="0" w:color="000000"/>
            </w:tcBorders>
            <w:vAlign w:val="center"/>
          </w:tcPr>
          <w:p w14:paraId="29D2D2C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是否设定具体、可衡量和量化的目标以改善客户满意度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7ECA96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1D1CA08" w14:textId="77777777">
        <w:trPr>
          <w:trHeight w:val="60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44F578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2DDCAB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1B6547B"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4AD3942D"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1E8639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是否披露客户服务目标进展</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B42194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C548C7F" w14:textId="77777777">
        <w:trPr>
          <w:trHeight w:val="60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840890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7ED659D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0407335"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4390686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客户关系绩效</w:t>
            </w:r>
          </w:p>
        </w:tc>
        <w:tc>
          <w:tcPr>
            <w:tcW w:w="2645" w:type="pct"/>
            <w:tcBorders>
              <w:top w:val="single" w:sz="4" w:space="0" w:color="000000"/>
              <w:left w:val="single" w:sz="4" w:space="0" w:color="000000"/>
              <w:bottom w:val="single" w:sz="4" w:space="0" w:color="000000"/>
              <w:right w:val="single" w:sz="4" w:space="0" w:color="000000"/>
            </w:tcBorders>
            <w:vAlign w:val="center"/>
          </w:tcPr>
          <w:p w14:paraId="16033C4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每百万营收客户投诉数量</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52D0CE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E694B5C" w14:textId="77777777">
        <w:trPr>
          <w:trHeight w:val="60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29EE62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4EFAC4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9AFDD6D"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1ACE980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产品召回绩效</w:t>
            </w:r>
          </w:p>
        </w:tc>
        <w:tc>
          <w:tcPr>
            <w:tcW w:w="2645" w:type="pct"/>
            <w:tcBorders>
              <w:top w:val="single" w:sz="4" w:space="0" w:color="000000"/>
              <w:left w:val="single" w:sz="4" w:space="0" w:color="000000"/>
              <w:bottom w:val="single" w:sz="4" w:space="0" w:color="000000"/>
              <w:right w:val="single" w:sz="4" w:space="0" w:color="000000"/>
            </w:tcBorders>
            <w:vAlign w:val="center"/>
          </w:tcPr>
          <w:p w14:paraId="02AC3BC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每万辆车辆召回次数</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47E5AA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整车企业</w:t>
            </w:r>
          </w:p>
        </w:tc>
      </w:tr>
      <w:tr w:rsidR="00CA5006" w14:paraId="2AFE0557" w14:textId="77777777">
        <w:trPr>
          <w:trHeight w:val="60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87CCEDB"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77187781" w14:textId="77777777" w:rsidR="00CA5006" w:rsidRDefault="00CA5006">
            <w:pPr>
              <w:jc w:val="center"/>
              <w:rPr>
                <w:rFonts w:ascii="宋体" w:hAnsi="宋体" w:cs="宋体" w:hint="eastAsia"/>
                <w:color w:val="000000"/>
              </w:rPr>
            </w:pPr>
          </w:p>
        </w:tc>
        <w:tc>
          <w:tcPr>
            <w:tcW w:w="519" w:type="pct"/>
            <w:tcBorders>
              <w:top w:val="single" w:sz="4" w:space="0" w:color="000000"/>
              <w:left w:val="single" w:sz="4" w:space="0" w:color="000000"/>
              <w:bottom w:val="single" w:sz="4" w:space="0" w:color="000000"/>
              <w:right w:val="single" w:sz="4" w:space="0" w:color="000000"/>
            </w:tcBorders>
            <w:noWrap/>
            <w:vAlign w:val="center"/>
          </w:tcPr>
          <w:p w14:paraId="00AD88C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负面</w:t>
            </w:r>
          </w:p>
        </w:tc>
        <w:tc>
          <w:tcPr>
            <w:tcW w:w="703" w:type="pct"/>
            <w:tcBorders>
              <w:top w:val="single" w:sz="4" w:space="0" w:color="000000"/>
              <w:left w:val="single" w:sz="4" w:space="0" w:color="000000"/>
              <w:bottom w:val="single" w:sz="4" w:space="0" w:color="000000"/>
              <w:right w:val="single" w:sz="4" w:space="0" w:color="000000"/>
            </w:tcBorders>
            <w:vAlign w:val="center"/>
          </w:tcPr>
          <w:p w14:paraId="1C65DA8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产品质量与安全负面信息</w:t>
            </w:r>
          </w:p>
        </w:tc>
        <w:tc>
          <w:tcPr>
            <w:tcW w:w="2645" w:type="pct"/>
            <w:tcBorders>
              <w:top w:val="single" w:sz="4" w:space="0" w:color="000000"/>
              <w:left w:val="single" w:sz="4" w:space="0" w:color="000000"/>
              <w:bottom w:val="single" w:sz="4" w:space="0" w:color="000000"/>
              <w:right w:val="single" w:sz="4" w:space="0" w:color="000000"/>
            </w:tcBorders>
            <w:vAlign w:val="center"/>
          </w:tcPr>
          <w:p w14:paraId="0A7DD79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是否发生与产品服务质量与安全相关缺陷的诉讼、投诉</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8C3CF8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089B0B2" w14:textId="77777777">
        <w:trPr>
          <w:trHeight w:val="5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E1FA3C5" w14:textId="77777777" w:rsidR="00CA5006" w:rsidRDefault="00CA5006">
            <w:pPr>
              <w:jc w:val="center"/>
              <w:rPr>
                <w:rFonts w:ascii="宋体" w:hAnsi="宋体" w:cs="宋体" w:hint="eastAsia"/>
                <w:color w:val="000000"/>
              </w:rPr>
            </w:pPr>
          </w:p>
        </w:tc>
        <w:tc>
          <w:tcPr>
            <w:tcW w:w="385" w:type="pct"/>
            <w:vMerge w:val="restart"/>
            <w:tcBorders>
              <w:top w:val="single" w:sz="4" w:space="0" w:color="000000"/>
              <w:left w:val="single" w:sz="4" w:space="0" w:color="000000"/>
              <w:bottom w:val="single" w:sz="4" w:space="0" w:color="000000"/>
              <w:right w:val="single" w:sz="4" w:space="0" w:color="000000"/>
            </w:tcBorders>
            <w:noWrap/>
            <w:vAlign w:val="center"/>
          </w:tcPr>
          <w:p w14:paraId="4EDAB7DC"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创新驱动</w:t>
            </w: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37CC5BB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治理</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35E88CA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科技创新管理组织架构</w:t>
            </w:r>
          </w:p>
        </w:tc>
        <w:tc>
          <w:tcPr>
            <w:tcW w:w="2645" w:type="pct"/>
            <w:tcBorders>
              <w:top w:val="single" w:sz="4" w:space="0" w:color="000000"/>
              <w:left w:val="single" w:sz="4" w:space="0" w:color="000000"/>
              <w:bottom w:val="single" w:sz="4" w:space="0" w:color="000000"/>
              <w:right w:val="single" w:sz="4" w:space="0" w:color="000000"/>
            </w:tcBorders>
            <w:vAlign w:val="center"/>
          </w:tcPr>
          <w:p w14:paraId="3568831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是否由董事会及其下设委员会或者其他类似机构负责监督科技创新议题相关风险与机遇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57ABBF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397BBFE" w14:textId="77777777">
        <w:trPr>
          <w:trHeight w:val="5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D4C7ED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AAA162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3A21BF06"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3BAA1AA1"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7CC56F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是否由高级管理层负责监督管理科技创新议题相关风险</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531690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F76C668" w14:textId="77777777">
        <w:trPr>
          <w:trHeight w:val="5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F13AF7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13EC71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10697270"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3857F081"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0B2591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是否建立科技创新议题信息报告、监督机制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5105AC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EF20B39" w14:textId="77777777">
        <w:trPr>
          <w:trHeight w:val="58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AA6360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574B2B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58F90B71"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6538DCA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科技创新基本管理制度</w:t>
            </w:r>
          </w:p>
        </w:tc>
        <w:tc>
          <w:tcPr>
            <w:tcW w:w="2645" w:type="pct"/>
            <w:tcBorders>
              <w:top w:val="single" w:sz="4" w:space="0" w:color="000000"/>
              <w:left w:val="single" w:sz="4" w:space="0" w:color="000000"/>
              <w:bottom w:val="single" w:sz="4" w:space="0" w:color="000000"/>
              <w:right w:val="single" w:sz="4" w:space="0" w:color="000000"/>
            </w:tcBorders>
            <w:vAlign w:val="center"/>
          </w:tcPr>
          <w:p w14:paraId="517583A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是否制定管理科技创新相关风险和机遇的政策制度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449669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C9A0220" w14:textId="77777777">
        <w:trPr>
          <w:trHeight w:val="58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6A5450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D56D82A"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67AFB84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战略</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5B3E0AC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科技创新相关风险与机遇识别</w:t>
            </w:r>
          </w:p>
        </w:tc>
        <w:tc>
          <w:tcPr>
            <w:tcW w:w="2645" w:type="pct"/>
            <w:tcBorders>
              <w:top w:val="single" w:sz="4" w:space="0" w:color="000000"/>
              <w:left w:val="single" w:sz="4" w:space="0" w:color="000000"/>
              <w:bottom w:val="single" w:sz="4" w:space="0" w:color="000000"/>
              <w:right w:val="single" w:sz="4" w:space="0" w:color="000000"/>
            </w:tcBorders>
            <w:vAlign w:val="center"/>
          </w:tcPr>
          <w:p w14:paraId="763180C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是否识别科技创新相关的风险和机遇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4278EB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5528E0E" w14:textId="77777777">
        <w:trPr>
          <w:trHeight w:val="58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B50800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A4D91A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0CD94AC0"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07155922"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909155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是否说明科技创新对公司的财务影响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C856A7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41C57BB" w14:textId="77777777">
        <w:trPr>
          <w:trHeight w:val="58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B2090B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B5CB05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5DE50C95"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3720A56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科技创新相关风险与机遇的应对战略</w:t>
            </w:r>
          </w:p>
        </w:tc>
        <w:tc>
          <w:tcPr>
            <w:tcW w:w="2645" w:type="pct"/>
            <w:tcBorders>
              <w:top w:val="single" w:sz="4" w:space="0" w:color="000000"/>
              <w:left w:val="single" w:sz="4" w:space="0" w:color="000000"/>
              <w:bottom w:val="single" w:sz="4" w:space="0" w:color="000000"/>
              <w:right w:val="single" w:sz="4" w:space="0" w:color="000000"/>
            </w:tcBorders>
            <w:vAlign w:val="center"/>
          </w:tcPr>
          <w:p w14:paraId="7A75D16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是否制定科技创新相关的风险与机遇的管理计划</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4F05C9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5B0F677" w14:textId="77777777">
        <w:trPr>
          <w:trHeight w:val="7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E5E831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AD7E13E"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46E90A3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影响、风险和机遇管理</w:t>
            </w:r>
          </w:p>
        </w:tc>
        <w:tc>
          <w:tcPr>
            <w:tcW w:w="703" w:type="pct"/>
            <w:tcBorders>
              <w:top w:val="single" w:sz="4" w:space="0" w:color="000000"/>
              <w:left w:val="single" w:sz="4" w:space="0" w:color="000000"/>
              <w:bottom w:val="single" w:sz="4" w:space="0" w:color="000000"/>
              <w:right w:val="single" w:sz="4" w:space="0" w:color="000000"/>
            </w:tcBorders>
            <w:vAlign w:val="center"/>
          </w:tcPr>
          <w:p w14:paraId="753917F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科技创新管理体系认证情况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2A59964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是否通过研发创新管理与知识产权管理体系相关认证，包括ISO 56002、ISO 56005或GB/T 29490等认证</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9E8091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B6A7A14" w14:textId="77777777">
        <w:trPr>
          <w:trHeight w:val="7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0EC27E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EC34EEA"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75B72EDC"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0F8DB58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鼓励研发与创新</w:t>
            </w:r>
          </w:p>
        </w:tc>
        <w:tc>
          <w:tcPr>
            <w:tcW w:w="2645" w:type="pct"/>
            <w:tcBorders>
              <w:top w:val="single" w:sz="4" w:space="0" w:color="000000"/>
              <w:left w:val="single" w:sz="4" w:space="0" w:color="000000"/>
              <w:bottom w:val="single" w:sz="4" w:space="0" w:color="000000"/>
              <w:right w:val="single" w:sz="4" w:space="0" w:color="000000"/>
            </w:tcBorders>
            <w:vAlign w:val="center"/>
          </w:tcPr>
          <w:p w14:paraId="4A7A66A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是否采取鼓励研发与创新的措施（如纳入绩效考评等）</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4C096E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BE18469" w14:textId="77777777">
        <w:trPr>
          <w:trHeight w:val="7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EDA40C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5F3371B"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6E95DE79"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0684B5B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科技伦理管理情况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2C3C7E7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是否制定负责任的AI使用等科技伦理管理规范</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7CC18D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9956B23" w14:textId="77777777">
        <w:trPr>
          <w:trHeight w:val="72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5A1929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281EB5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5D2E813C"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5C20B4B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研发与创新方向</w:t>
            </w:r>
          </w:p>
        </w:tc>
        <w:tc>
          <w:tcPr>
            <w:tcW w:w="2645" w:type="pct"/>
            <w:tcBorders>
              <w:top w:val="single" w:sz="4" w:space="0" w:color="000000"/>
              <w:left w:val="single" w:sz="4" w:space="0" w:color="000000"/>
              <w:bottom w:val="single" w:sz="4" w:space="0" w:color="000000"/>
              <w:right w:val="single" w:sz="4" w:space="0" w:color="000000"/>
            </w:tcBorders>
            <w:vAlign w:val="center"/>
          </w:tcPr>
          <w:p w14:paraId="6DC182C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是否在汽车新四化/清洁技术/安全驾驶等行业前沿领域开展研发创新</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3C221B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2E53770" w14:textId="77777777">
        <w:trPr>
          <w:trHeight w:val="60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43BF3E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B07FA97"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7C257CB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指标与目标</w:t>
            </w:r>
          </w:p>
        </w:tc>
        <w:tc>
          <w:tcPr>
            <w:tcW w:w="703" w:type="pct"/>
            <w:tcBorders>
              <w:top w:val="single" w:sz="4" w:space="0" w:color="000000"/>
              <w:left w:val="single" w:sz="4" w:space="0" w:color="000000"/>
              <w:bottom w:val="single" w:sz="4" w:space="0" w:color="000000"/>
              <w:right w:val="single" w:sz="4" w:space="0" w:color="000000"/>
            </w:tcBorders>
            <w:vAlign w:val="center"/>
          </w:tcPr>
          <w:p w14:paraId="452EA77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科技创新目标与进展情况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29DA52A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是否具有研发与创新相关的目标和规划</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7A07CE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1C64867" w14:textId="77777777">
        <w:trPr>
          <w:trHeight w:val="60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E8C850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FD8200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150A4A0"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2DC8551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科技创新目标</w:t>
            </w:r>
          </w:p>
        </w:tc>
        <w:tc>
          <w:tcPr>
            <w:tcW w:w="2645" w:type="pct"/>
            <w:tcBorders>
              <w:top w:val="single" w:sz="4" w:space="0" w:color="000000"/>
              <w:left w:val="single" w:sz="4" w:space="0" w:color="000000"/>
              <w:bottom w:val="single" w:sz="4" w:space="0" w:color="000000"/>
              <w:right w:val="single" w:sz="4" w:space="0" w:color="000000"/>
            </w:tcBorders>
            <w:vAlign w:val="center"/>
          </w:tcPr>
          <w:p w14:paraId="7974E0F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是否披露研发创新目标进展</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3E84C5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54A13ED" w14:textId="77777777">
        <w:trPr>
          <w:trHeight w:val="60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ED46F3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6BC262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B1008A6"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21288C9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研发投入情况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2BA55C5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研发投入占营业收入比例</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1D50C6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A0D0598" w14:textId="77777777">
        <w:trPr>
          <w:trHeight w:val="60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5EB47A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E280F36"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1DC39AC"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689D580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创新研发成果</w:t>
            </w:r>
          </w:p>
        </w:tc>
        <w:tc>
          <w:tcPr>
            <w:tcW w:w="2645" w:type="pct"/>
            <w:tcBorders>
              <w:top w:val="single" w:sz="4" w:space="0" w:color="000000"/>
              <w:left w:val="single" w:sz="4" w:space="0" w:color="000000"/>
              <w:bottom w:val="single" w:sz="4" w:space="0" w:color="000000"/>
              <w:right w:val="single" w:sz="4" w:space="0" w:color="000000"/>
            </w:tcBorders>
            <w:vAlign w:val="center"/>
          </w:tcPr>
          <w:p w14:paraId="77469E2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发明专利数量</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B2EB61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B7D90EC" w14:textId="77777777">
        <w:trPr>
          <w:trHeight w:val="60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09C85B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FC1994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1236CDF"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7714ACE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创新研发成果</w:t>
            </w:r>
          </w:p>
        </w:tc>
        <w:tc>
          <w:tcPr>
            <w:tcW w:w="2645" w:type="pct"/>
            <w:tcBorders>
              <w:top w:val="single" w:sz="4" w:space="0" w:color="000000"/>
              <w:left w:val="single" w:sz="4" w:space="0" w:color="000000"/>
              <w:bottom w:val="single" w:sz="4" w:space="0" w:color="000000"/>
              <w:right w:val="single" w:sz="4" w:space="0" w:color="000000"/>
            </w:tcBorders>
            <w:vAlign w:val="center"/>
          </w:tcPr>
          <w:p w14:paraId="6F3A30E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是否获得专业资质和科技奖项</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672C1B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309A0CD" w14:textId="77777777">
        <w:trPr>
          <w:trHeight w:val="10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B2D7D9C" w14:textId="77777777" w:rsidR="00CA5006" w:rsidRDefault="00CA5006">
            <w:pPr>
              <w:jc w:val="center"/>
              <w:rPr>
                <w:rFonts w:ascii="宋体" w:hAnsi="宋体" w:cs="宋体" w:hint="eastAsia"/>
                <w:color w:val="000000"/>
              </w:rPr>
            </w:pPr>
          </w:p>
        </w:tc>
        <w:tc>
          <w:tcPr>
            <w:tcW w:w="385" w:type="pct"/>
            <w:vMerge w:val="restart"/>
            <w:tcBorders>
              <w:top w:val="single" w:sz="4" w:space="0" w:color="000000"/>
              <w:left w:val="single" w:sz="4" w:space="0" w:color="000000"/>
              <w:bottom w:val="single" w:sz="4" w:space="0" w:color="000000"/>
              <w:right w:val="single" w:sz="4" w:space="0" w:color="000000"/>
            </w:tcBorders>
            <w:vAlign w:val="center"/>
          </w:tcPr>
          <w:p w14:paraId="5B389546"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数据安全与隐私保护</w:t>
            </w: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24C382D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治理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7B7F0E8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数据安全与隐私保护管理组织架构</w:t>
            </w:r>
          </w:p>
        </w:tc>
        <w:tc>
          <w:tcPr>
            <w:tcW w:w="2645" w:type="pct"/>
            <w:tcBorders>
              <w:top w:val="single" w:sz="4" w:space="0" w:color="000000"/>
              <w:left w:val="single" w:sz="4" w:space="0" w:color="000000"/>
              <w:bottom w:val="single" w:sz="4" w:space="0" w:color="000000"/>
              <w:right w:val="single" w:sz="4" w:space="0" w:color="000000"/>
            </w:tcBorders>
            <w:vAlign w:val="center"/>
          </w:tcPr>
          <w:p w14:paraId="545C3EA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是否由董事会及其下设委员会或者其他类似机构负责监督数据安全与隐私保护议题相关风险与机遇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1DBA9A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24C08B4" w14:textId="77777777">
        <w:trPr>
          <w:trHeight w:val="10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36AA69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5D870CE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210716E5"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8061746"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CB7A83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是否由高级管理层负责监督管理数据安全与隐私保护议题相关风险</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CBDA41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56810D1" w14:textId="77777777">
        <w:trPr>
          <w:trHeight w:val="10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9F6A3DB"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55F8C07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42FC0F50"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AE43C7D"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0F16BB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是否建立数据安全与隐私保护议题信息报告、监督机制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8BF13D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25FCB52" w14:textId="77777777">
        <w:trPr>
          <w:trHeight w:val="10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45A09B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D3307D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59BFDD6D"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309E8C3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数据安全与隐私保护制度</w:t>
            </w:r>
          </w:p>
        </w:tc>
        <w:tc>
          <w:tcPr>
            <w:tcW w:w="2645" w:type="pct"/>
            <w:tcBorders>
              <w:top w:val="single" w:sz="4" w:space="0" w:color="000000"/>
              <w:left w:val="single" w:sz="4" w:space="0" w:color="000000"/>
              <w:bottom w:val="single" w:sz="4" w:space="0" w:color="000000"/>
              <w:right w:val="single" w:sz="4" w:space="0" w:color="000000"/>
            </w:tcBorders>
            <w:vAlign w:val="center"/>
          </w:tcPr>
          <w:p w14:paraId="4D76103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是否制定数据安全与隐私保护的政策制度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558FFF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A917A92" w14:textId="77777777">
        <w:trPr>
          <w:trHeight w:val="10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007CB8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618B3FF"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6CBE0AF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战略</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51B76A9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数据安全与隐私保护相关风险与机遇的识别</w:t>
            </w:r>
          </w:p>
        </w:tc>
        <w:tc>
          <w:tcPr>
            <w:tcW w:w="2645" w:type="pct"/>
            <w:tcBorders>
              <w:top w:val="single" w:sz="4" w:space="0" w:color="000000"/>
              <w:left w:val="single" w:sz="4" w:space="0" w:color="000000"/>
              <w:bottom w:val="single" w:sz="4" w:space="0" w:color="000000"/>
              <w:right w:val="single" w:sz="4" w:space="0" w:color="000000"/>
            </w:tcBorders>
            <w:vAlign w:val="center"/>
          </w:tcPr>
          <w:p w14:paraId="0480FA0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是否识别数据安全与隐私保护相关的风险和机遇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3038EF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F60A679" w14:textId="77777777">
        <w:trPr>
          <w:trHeight w:val="10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A17F3C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3EFF0BB"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06F3352A"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3B4B5012"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34B84C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是否说明数据安全与隐私保护对公司的财务影响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3318FA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1BFF132" w14:textId="77777777">
        <w:trPr>
          <w:trHeight w:val="10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9DF619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9B0FFBB"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564F8325"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436716F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数据安全与隐私保护相关风险与机遇的应对战略</w:t>
            </w:r>
          </w:p>
        </w:tc>
        <w:tc>
          <w:tcPr>
            <w:tcW w:w="2645" w:type="pct"/>
            <w:tcBorders>
              <w:top w:val="single" w:sz="4" w:space="0" w:color="000000"/>
              <w:left w:val="single" w:sz="4" w:space="0" w:color="000000"/>
              <w:bottom w:val="single" w:sz="4" w:space="0" w:color="000000"/>
              <w:right w:val="single" w:sz="4" w:space="0" w:color="000000"/>
            </w:tcBorders>
            <w:vAlign w:val="center"/>
          </w:tcPr>
          <w:p w14:paraId="64E879C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是否制定应对数据安全与隐私保护相关的管理计划</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5950A7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C6328D5" w14:textId="77777777">
        <w:trPr>
          <w:trHeight w:val="10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B94BCD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541D6E5B"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081F794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影响、风险和机遇管理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3A7C083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数据安全与隐私保护的管理措施</w:t>
            </w:r>
          </w:p>
        </w:tc>
        <w:tc>
          <w:tcPr>
            <w:tcW w:w="2645" w:type="pct"/>
            <w:tcBorders>
              <w:top w:val="single" w:sz="4" w:space="0" w:color="000000"/>
              <w:left w:val="single" w:sz="4" w:space="0" w:color="000000"/>
              <w:bottom w:val="single" w:sz="4" w:space="0" w:color="000000"/>
              <w:right w:val="single" w:sz="4" w:space="0" w:color="000000"/>
            </w:tcBorders>
            <w:vAlign w:val="center"/>
          </w:tcPr>
          <w:p w14:paraId="4354BA2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是否针对数据安全与隐私保护采取信息分类管理、升级安全技术相关保护措施</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476CB5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4C6D1B8" w14:textId="77777777">
        <w:trPr>
          <w:trHeight w:val="8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32272F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5BA1EDE9"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E30DE9B"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3D8E4C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2CDABE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是否将供应商及商业伙伴纳入数据安全与隐私保护管理体系，如协议签署、安全评估、持续监控等</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7481E7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82A121C" w14:textId="77777777">
        <w:trPr>
          <w:trHeight w:val="8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A6842C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CD5C7D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05F97BD"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6E4CD5F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数据安全与隐私保护的培训活动</w:t>
            </w:r>
          </w:p>
        </w:tc>
        <w:tc>
          <w:tcPr>
            <w:tcW w:w="2645" w:type="pct"/>
            <w:tcBorders>
              <w:top w:val="single" w:sz="4" w:space="0" w:color="000000"/>
              <w:left w:val="single" w:sz="4" w:space="0" w:color="000000"/>
              <w:bottom w:val="single" w:sz="4" w:space="0" w:color="000000"/>
              <w:right w:val="single" w:sz="4" w:space="0" w:color="000000"/>
            </w:tcBorders>
            <w:vAlign w:val="center"/>
          </w:tcPr>
          <w:p w14:paraId="14B980A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是否针对全体员工开展数据安全与隐私保护培训</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B89951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2CE4C42" w14:textId="77777777">
        <w:trPr>
          <w:trHeight w:val="8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105AC3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1AB9C7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F9EFBDE"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1313DAE"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918015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是否针对供应商开展数据安全与隐私保护培训</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8F9661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298A7A5" w14:textId="77777777">
        <w:trPr>
          <w:trHeight w:val="8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F5059E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5895587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46FC8DC"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7F7994E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数据安全与隐私保护的相关管理认证</w:t>
            </w:r>
          </w:p>
        </w:tc>
        <w:tc>
          <w:tcPr>
            <w:tcW w:w="2645" w:type="pct"/>
            <w:tcBorders>
              <w:top w:val="single" w:sz="4" w:space="0" w:color="000000"/>
              <w:left w:val="single" w:sz="4" w:space="0" w:color="000000"/>
              <w:bottom w:val="single" w:sz="4" w:space="0" w:color="000000"/>
              <w:right w:val="single" w:sz="4" w:space="0" w:color="000000"/>
            </w:tcBorders>
            <w:vAlign w:val="center"/>
          </w:tcPr>
          <w:p w14:paraId="765190C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是否通过信息安全与隐私保护管理体系相关认证的情况，包括信息安全、隐私管理或云服务相关认证等</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22BBA5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AB6903D" w14:textId="77777777">
        <w:trPr>
          <w:trHeight w:val="8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564517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495102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55987EAE"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5640B7F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数据、隐私泄露应急预案</w:t>
            </w:r>
          </w:p>
        </w:tc>
        <w:tc>
          <w:tcPr>
            <w:tcW w:w="2645" w:type="pct"/>
            <w:tcBorders>
              <w:top w:val="single" w:sz="4" w:space="0" w:color="000000"/>
              <w:left w:val="single" w:sz="4" w:space="0" w:color="000000"/>
              <w:bottom w:val="single" w:sz="4" w:space="0" w:color="000000"/>
              <w:right w:val="single" w:sz="4" w:space="0" w:color="000000"/>
            </w:tcBorders>
            <w:vAlign w:val="center"/>
          </w:tcPr>
          <w:p w14:paraId="0BDF82D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是否针对数据或隐私泄露设立应急预案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8AC07D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D170493" w14:textId="77777777">
        <w:trPr>
          <w:trHeight w:val="8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8C83DA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4F283DD"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46B99EB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负面</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5A0A756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数据安全与隐私保护负面信息</w:t>
            </w:r>
          </w:p>
        </w:tc>
        <w:tc>
          <w:tcPr>
            <w:tcW w:w="2645" w:type="pct"/>
            <w:tcBorders>
              <w:top w:val="single" w:sz="4" w:space="0" w:color="000000"/>
              <w:left w:val="single" w:sz="4" w:space="0" w:color="000000"/>
              <w:bottom w:val="single" w:sz="4" w:space="0" w:color="000000"/>
              <w:right w:val="single" w:sz="4" w:space="0" w:color="000000"/>
            </w:tcBorders>
            <w:vAlign w:val="center"/>
          </w:tcPr>
          <w:p w14:paraId="5E46964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是否发生经证实的数据或隐私泄露事件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4FF316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D3FF4F8" w14:textId="77777777">
        <w:trPr>
          <w:trHeight w:val="58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717522B"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4B8228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7104B0A"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71B7D7F"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4AA5A3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是否针对已发生的数据或隐私泄露事件采取应对与处置措施，并披露相关具体情况（包括影响、涉及金额及处置进展）</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652B03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F528568" w14:textId="77777777">
        <w:trPr>
          <w:trHeight w:val="58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9A59BA5" w14:textId="77777777" w:rsidR="00CA5006" w:rsidRDefault="00CA5006">
            <w:pPr>
              <w:jc w:val="center"/>
              <w:rPr>
                <w:rFonts w:ascii="宋体" w:hAnsi="宋体" w:cs="宋体" w:hint="eastAsia"/>
                <w:color w:val="000000"/>
              </w:rPr>
            </w:pPr>
          </w:p>
        </w:tc>
        <w:tc>
          <w:tcPr>
            <w:tcW w:w="385" w:type="pct"/>
            <w:vMerge w:val="restart"/>
            <w:tcBorders>
              <w:top w:val="single" w:sz="4" w:space="0" w:color="000000"/>
              <w:left w:val="single" w:sz="4" w:space="0" w:color="000000"/>
              <w:bottom w:val="single" w:sz="4" w:space="0" w:color="000000"/>
              <w:right w:val="single" w:sz="4" w:space="0" w:color="000000"/>
            </w:tcBorders>
            <w:vAlign w:val="center"/>
          </w:tcPr>
          <w:p w14:paraId="2150E2B5"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员工权益</w:t>
            </w: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3716047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治理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62B5DA0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员工权益管理组织架构</w:t>
            </w:r>
          </w:p>
        </w:tc>
        <w:tc>
          <w:tcPr>
            <w:tcW w:w="2645" w:type="pct"/>
            <w:tcBorders>
              <w:top w:val="single" w:sz="4" w:space="0" w:color="000000"/>
              <w:left w:val="single" w:sz="4" w:space="0" w:color="000000"/>
              <w:bottom w:val="single" w:sz="4" w:space="0" w:color="000000"/>
              <w:right w:val="single" w:sz="4" w:space="0" w:color="000000"/>
            </w:tcBorders>
            <w:vAlign w:val="center"/>
          </w:tcPr>
          <w:p w14:paraId="7579994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是否由董事会及其下设委员会或者其他类似机构负责监督员工权益议题相关风险与机遇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4FB149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6E12014" w14:textId="77777777">
        <w:trPr>
          <w:trHeight w:val="58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BD4AD5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90BA6AD"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1F05DED1"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F41B29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66D53A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是否由高级管理层负责监督管理员工权益议题相关风险</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B2FE14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C832681" w14:textId="77777777">
        <w:trPr>
          <w:trHeight w:val="58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598723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74625E6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7CCB844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69E9E4B"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E2B588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是否将职业健康安全与管理层绩效挂钩</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FEFC5C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DAC50D3" w14:textId="77777777">
        <w:trPr>
          <w:trHeight w:val="58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E68FA1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C4EBB96"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237F6008"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893D42B"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A3F577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是否建立员工权益议题信息报告、监督机制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B0BC5B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EF2F85E" w14:textId="77777777">
        <w:trPr>
          <w:trHeight w:val="68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6A57E9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75F6AC83"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1345243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治理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5E8BFB5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员工权益管理基本制度</w:t>
            </w:r>
          </w:p>
        </w:tc>
        <w:tc>
          <w:tcPr>
            <w:tcW w:w="2645" w:type="pct"/>
            <w:tcBorders>
              <w:top w:val="single" w:sz="4" w:space="0" w:color="000000"/>
              <w:left w:val="single" w:sz="4" w:space="0" w:color="000000"/>
              <w:bottom w:val="single" w:sz="4" w:space="0" w:color="000000"/>
              <w:right w:val="single" w:sz="4" w:space="0" w:color="000000"/>
            </w:tcBorders>
            <w:vAlign w:val="center"/>
          </w:tcPr>
          <w:p w14:paraId="3B3742B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是否建立集体协商制度，与员工代表（工会或职工代表）签署集体合同</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207C3E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A99ACFC" w14:textId="77777777">
        <w:trPr>
          <w:trHeight w:val="68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A2EEF4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159DB14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5DA61B9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487DA8A1"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7BAFF7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是否制定反歧视与骚扰相关的声明、政策、制度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BE7E71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2E0BDC9" w14:textId="77777777">
        <w:trPr>
          <w:trHeight w:val="68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48DFF9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1693E92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4363483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2D64CC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24C769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是否制定员工薪酬与福利相关的声明、政策、制度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A6E41D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E7BA6AE" w14:textId="77777777">
        <w:trPr>
          <w:trHeight w:val="68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2DD88F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7DCF189"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422AD1E8"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7FC38BE2"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BDA6C9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是否制定反童工及强迫劳动相关的声明、政策、制度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584B0B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5820A8C" w14:textId="77777777">
        <w:trPr>
          <w:trHeight w:val="68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8B6516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155CCCD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242BC680"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E6AE747"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637734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是否制定职业健康与安全生产管理体系与制度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84E0E2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BAE075D" w14:textId="77777777">
        <w:trPr>
          <w:trHeight w:val="68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8DB539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1215F5A"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5853E7B2"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5EC7600"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B77ABC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是否制定发展与培训管理体系与制度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905B99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10BD509" w14:textId="77777777">
        <w:trPr>
          <w:trHeight w:val="68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E5D3A0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987DDB5"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1C51475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战略</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7529AAB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员工权益相关风险与机遇的识别</w:t>
            </w:r>
          </w:p>
        </w:tc>
        <w:tc>
          <w:tcPr>
            <w:tcW w:w="2645" w:type="pct"/>
            <w:tcBorders>
              <w:top w:val="single" w:sz="4" w:space="0" w:color="000000"/>
              <w:left w:val="single" w:sz="4" w:space="0" w:color="000000"/>
              <w:bottom w:val="single" w:sz="4" w:space="0" w:color="000000"/>
              <w:right w:val="single" w:sz="4" w:space="0" w:color="000000"/>
            </w:tcBorders>
            <w:vAlign w:val="center"/>
          </w:tcPr>
          <w:p w14:paraId="5A881D5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是否识别员工权益相关的风险和机遇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2DA055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58B68CA" w14:textId="77777777">
        <w:trPr>
          <w:trHeight w:val="46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DF8B2D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78F152E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5D05F9F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4953BD1E"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C8B04D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是否说明人力资源管理对公司财务的影响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C445C0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142A5C4" w14:textId="77777777">
        <w:trPr>
          <w:trHeight w:val="46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03FC4C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96C02D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4FB6E7EC"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36EC2A7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员工权益相关风险与机遇的应对战略</w:t>
            </w:r>
          </w:p>
        </w:tc>
        <w:tc>
          <w:tcPr>
            <w:tcW w:w="2645" w:type="pct"/>
            <w:tcBorders>
              <w:top w:val="single" w:sz="4" w:space="0" w:color="000000"/>
              <w:left w:val="single" w:sz="4" w:space="0" w:color="000000"/>
              <w:bottom w:val="single" w:sz="4" w:space="0" w:color="000000"/>
              <w:right w:val="single" w:sz="4" w:space="0" w:color="000000"/>
            </w:tcBorders>
            <w:vAlign w:val="center"/>
          </w:tcPr>
          <w:p w14:paraId="1D25057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是否制定应对员工权益相关风险与机遇的计划</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050A7D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6ECEDAB" w14:textId="77777777">
        <w:trPr>
          <w:trHeight w:val="46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4DE037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24375C46"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7ADBA8D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影响、风险和机遇管理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57E84D6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反歧视与骚扰</w:t>
            </w:r>
          </w:p>
        </w:tc>
        <w:tc>
          <w:tcPr>
            <w:tcW w:w="2645" w:type="pct"/>
            <w:tcBorders>
              <w:top w:val="single" w:sz="4" w:space="0" w:color="000000"/>
              <w:left w:val="single" w:sz="4" w:space="0" w:color="000000"/>
              <w:bottom w:val="single" w:sz="4" w:space="0" w:color="000000"/>
              <w:right w:val="single" w:sz="4" w:space="0" w:color="000000"/>
            </w:tcBorders>
            <w:vAlign w:val="center"/>
          </w:tcPr>
          <w:p w14:paraId="05EDCBB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是否建立歧视骚扰行为的举报途径和处理机制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EAD3C3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ED846CE"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A66761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77CE0AD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6824E1E"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FFBAC57"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50F5E7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是否开展面向全体员工的反歧视培训</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9A80BC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6883D28" w14:textId="77777777">
        <w:trPr>
          <w:trHeight w:val="4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A21163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225D28F9"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6AF9A3C2"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060C386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薪酬与福利关怀</w:t>
            </w:r>
          </w:p>
        </w:tc>
        <w:tc>
          <w:tcPr>
            <w:tcW w:w="2645" w:type="pct"/>
            <w:tcBorders>
              <w:top w:val="single" w:sz="4" w:space="0" w:color="000000"/>
              <w:left w:val="single" w:sz="4" w:space="0" w:color="000000"/>
              <w:bottom w:val="single" w:sz="4" w:space="0" w:color="000000"/>
              <w:right w:val="single" w:sz="4" w:space="0" w:color="000000"/>
            </w:tcBorders>
            <w:vAlign w:val="center"/>
          </w:tcPr>
          <w:p w14:paraId="1DDB67C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是否明确同工同酬，保障员工依法获得合理薪酬及社会保险</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5284FC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A30FD31" w14:textId="77777777">
        <w:trPr>
          <w:trHeight w:val="4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39F218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AD593B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E90368F"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1D89E19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DA04F4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是否保障女职工享有法定产假、哺乳假及相关福利待遇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A0EF09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205D059" w14:textId="77777777">
        <w:trPr>
          <w:trHeight w:val="4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46E11F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1DB3664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6669054"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7BB8949"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08E73C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是否提供弹性工作安排或家庭支持等措施，帮助员工平衡工作与家庭生活</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3FCBDA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5480214" w14:textId="77777777">
        <w:trPr>
          <w:trHeight w:val="4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4169DC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2AFC50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C260F9C"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4B318F64"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756D74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是否为员工提供补充医疗保险</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98CAFF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6B9A9F0" w14:textId="77777777">
        <w:trPr>
          <w:trHeight w:val="4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684A78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A1D012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5C2E83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153BA7B"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425F08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是否开展覆盖全体员工的满意度调查</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E8A325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1A9433F" w14:textId="77777777">
        <w:trPr>
          <w:trHeight w:val="48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BB94BD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E9EF696"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36681A2"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0E87CC9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职业健康与安全</w:t>
            </w:r>
          </w:p>
        </w:tc>
        <w:tc>
          <w:tcPr>
            <w:tcW w:w="2645" w:type="pct"/>
            <w:tcBorders>
              <w:top w:val="single" w:sz="4" w:space="0" w:color="000000"/>
              <w:left w:val="single" w:sz="4" w:space="0" w:color="000000"/>
              <w:bottom w:val="single" w:sz="4" w:space="0" w:color="000000"/>
              <w:right w:val="single" w:sz="4" w:space="0" w:color="000000"/>
            </w:tcBorders>
            <w:vAlign w:val="center"/>
          </w:tcPr>
          <w:p w14:paraId="0AC175A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是否定期开展员工健康与安全风险评估</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ACC7B7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3F0A069" w14:textId="77777777">
        <w:trPr>
          <w:trHeight w:val="50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585988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51389E26"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417F95E"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26C62B4B"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B77B32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职业健康安全相关管理体系认证覆盖情况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A2120B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8EB8DCF" w14:textId="77777777">
        <w:trPr>
          <w:trHeight w:val="54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146C22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1292014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6477E0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7FBA75DE"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F48CB5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健康安全培训覆盖情况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6AE547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824EDC3" w14:textId="77777777">
        <w:trPr>
          <w:trHeight w:val="46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FAC0E9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6B8D99A"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C80B081"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0000A40"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C95F45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是否采取应对工作场所压力和心理健康的行动</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FCCA00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E0A7403" w14:textId="77777777">
        <w:trPr>
          <w:trHeight w:val="46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BC21FF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152180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571C78D"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7901265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发展与培训</w:t>
            </w:r>
          </w:p>
        </w:tc>
        <w:tc>
          <w:tcPr>
            <w:tcW w:w="2645" w:type="pct"/>
            <w:tcBorders>
              <w:top w:val="single" w:sz="4" w:space="0" w:color="000000"/>
              <w:left w:val="single" w:sz="4" w:space="0" w:color="000000"/>
              <w:bottom w:val="single" w:sz="4" w:space="0" w:color="000000"/>
              <w:right w:val="single" w:sz="4" w:space="0" w:color="000000"/>
            </w:tcBorders>
            <w:vAlign w:val="center"/>
          </w:tcPr>
          <w:p w14:paraId="3C29BC3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是否为员工提供职业技能培训</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82567C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FAF0B9A" w14:textId="77777777">
        <w:trPr>
          <w:trHeight w:val="46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2117E9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431549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538735D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529652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01A602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是否开展数字化转型技能培训，帮助员工适应新数字工具、流程和技术的应用</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EE7DA5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7BF9997" w14:textId="77777777">
        <w:trPr>
          <w:trHeight w:val="46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95CD2E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914F95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4AD276A"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01CDCD93"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F543F7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是否为员工提升学历或考取证书提供支持</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E149C5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7ABDD83" w14:textId="77777777">
        <w:trPr>
          <w:trHeight w:val="46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C740ECB"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B6872E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10C5318"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10DC9763"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9A8785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是否建立并执行员工内部流动管理机制，包括但不限于内部竞聘、岗位轮换、晋升通道等</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F1EB25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1FDAE0E"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75DCFB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74F78E1A"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581372B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指标与目标</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7D25505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职业健康与安全的目标及进展</w:t>
            </w:r>
          </w:p>
        </w:tc>
        <w:tc>
          <w:tcPr>
            <w:tcW w:w="2645" w:type="pct"/>
            <w:tcBorders>
              <w:top w:val="single" w:sz="4" w:space="0" w:color="000000"/>
              <w:left w:val="single" w:sz="4" w:space="0" w:color="000000"/>
              <w:bottom w:val="single" w:sz="4" w:space="0" w:color="000000"/>
              <w:right w:val="single" w:sz="4" w:space="0" w:color="000000"/>
            </w:tcBorders>
            <w:vAlign w:val="center"/>
          </w:tcPr>
          <w:p w14:paraId="1B88F73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是否制定具体、可衡量、量化的职业健康与安全目标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0810DD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15BB3B3"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C0B0FC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F68093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0536ACB2"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1D8BEC2D"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BF0471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是否披露职业健康与安全目标进展</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BE37DB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96CA939"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6098D3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77AE00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FF23C98"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0B0B865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员工流失情况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542C5E8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员工流失率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533A5C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1586E0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8A4E44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8D7035D"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BA8D2C4"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06AA63B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员工培训绩效</w:t>
            </w:r>
          </w:p>
        </w:tc>
        <w:tc>
          <w:tcPr>
            <w:tcW w:w="2645" w:type="pct"/>
            <w:tcBorders>
              <w:top w:val="single" w:sz="4" w:space="0" w:color="000000"/>
              <w:left w:val="single" w:sz="4" w:space="0" w:color="000000"/>
              <w:bottom w:val="single" w:sz="4" w:space="0" w:color="000000"/>
              <w:right w:val="single" w:sz="4" w:space="0" w:color="000000"/>
            </w:tcBorders>
            <w:vAlign w:val="center"/>
          </w:tcPr>
          <w:p w14:paraId="51C084B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人均培训时长</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1B0A93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CA726C9"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8830F7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6F41B4B"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DC803C2"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D44F874"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noWrap/>
            <w:vAlign w:val="center"/>
          </w:tcPr>
          <w:p w14:paraId="19FC3ED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员工培训覆盖率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D03FA5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62EE053"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3879E6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14D47D6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6DCBEA7"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4D8AD06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集体协商情况</w:t>
            </w:r>
          </w:p>
        </w:tc>
        <w:tc>
          <w:tcPr>
            <w:tcW w:w="2645" w:type="pct"/>
            <w:tcBorders>
              <w:top w:val="single" w:sz="4" w:space="0" w:color="000000"/>
              <w:left w:val="single" w:sz="4" w:space="0" w:color="000000"/>
              <w:bottom w:val="single" w:sz="4" w:space="0" w:color="000000"/>
              <w:right w:val="single" w:sz="4" w:space="0" w:color="000000"/>
            </w:tcBorders>
            <w:noWrap/>
            <w:vAlign w:val="center"/>
          </w:tcPr>
          <w:p w14:paraId="6169E10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集体谈判协议覆盖率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5EB7D3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90E82B7"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F609EF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8BFB9F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1E4DBD74"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2769CFA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职业健康安全绩效</w:t>
            </w:r>
          </w:p>
        </w:tc>
        <w:tc>
          <w:tcPr>
            <w:tcW w:w="2645" w:type="pct"/>
            <w:tcBorders>
              <w:top w:val="single" w:sz="4" w:space="0" w:color="000000"/>
              <w:left w:val="single" w:sz="4" w:space="0" w:color="000000"/>
              <w:bottom w:val="single" w:sz="4" w:space="0" w:color="000000"/>
              <w:right w:val="single" w:sz="4" w:space="0" w:color="000000"/>
            </w:tcBorders>
            <w:noWrap/>
            <w:vAlign w:val="center"/>
          </w:tcPr>
          <w:p w14:paraId="214F07B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百万工时工伤率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FE7C21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45F2057"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CB9788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251A8E9"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71C9D2A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负面</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66A2381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员工权益负面信息</w:t>
            </w:r>
          </w:p>
        </w:tc>
        <w:tc>
          <w:tcPr>
            <w:tcW w:w="2645" w:type="pct"/>
            <w:tcBorders>
              <w:top w:val="single" w:sz="4" w:space="0" w:color="000000"/>
              <w:left w:val="single" w:sz="4" w:space="0" w:color="000000"/>
              <w:bottom w:val="single" w:sz="4" w:space="0" w:color="000000"/>
              <w:right w:val="single" w:sz="4" w:space="0" w:color="000000"/>
            </w:tcBorders>
            <w:noWrap/>
            <w:vAlign w:val="center"/>
          </w:tcPr>
          <w:p w14:paraId="784F914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是否发生重大员工权益负面事件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F84CAA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A5ABB23" w14:textId="77777777">
        <w:trPr>
          <w:trHeight w:val="325"/>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06881E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144B20C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21363BAE"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89C4892"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noWrap/>
            <w:vAlign w:val="center"/>
          </w:tcPr>
          <w:p w14:paraId="5E98D20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是否说明事件处置情况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7BDE08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449B7A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5C9F45F" w14:textId="77777777" w:rsidR="00CA5006" w:rsidRDefault="00CA5006">
            <w:pPr>
              <w:jc w:val="center"/>
              <w:rPr>
                <w:rFonts w:ascii="宋体" w:hAnsi="宋体" w:cs="宋体" w:hint="eastAsia"/>
                <w:color w:val="000000"/>
              </w:rPr>
            </w:pPr>
          </w:p>
        </w:tc>
        <w:tc>
          <w:tcPr>
            <w:tcW w:w="385" w:type="pct"/>
            <w:vMerge w:val="restart"/>
            <w:tcBorders>
              <w:top w:val="single" w:sz="4" w:space="0" w:color="000000"/>
              <w:left w:val="single" w:sz="4" w:space="0" w:color="000000"/>
              <w:bottom w:val="single" w:sz="4" w:space="0" w:color="000000"/>
              <w:right w:val="single" w:sz="4" w:space="0" w:color="000000"/>
            </w:tcBorders>
            <w:vAlign w:val="center"/>
          </w:tcPr>
          <w:p w14:paraId="6FB0C55D"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社会贡献</w:t>
            </w:r>
          </w:p>
        </w:tc>
        <w:tc>
          <w:tcPr>
            <w:tcW w:w="519" w:type="pct"/>
            <w:vMerge w:val="restart"/>
            <w:tcBorders>
              <w:top w:val="single" w:sz="4" w:space="0" w:color="000000"/>
              <w:left w:val="single" w:sz="4" w:space="0" w:color="000000"/>
              <w:bottom w:val="single" w:sz="4" w:space="0" w:color="000000"/>
              <w:right w:val="single" w:sz="4" w:space="0" w:color="000000"/>
            </w:tcBorders>
            <w:noWrap/>
            <w:vAlign w:val="center"/>
          </w:tcPr>
          <w:p w14:paraId="6B906D5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治理</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1EC01D8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社会贡献管理组织架构</w:t>
            </w:r>
          </w:p>
        </w:tc>
        <w:tc>
          <w:tcPr>
            <w:tcW w:w="2645" w:type="pct"/>
            <w:tcBorders>
              <w:top w:val="single" w:sz="4" w:space="0" w:color="000000"/>
              <w:left w:val="single" w:sz="4" w:space="0" w:color="000000"/>
              <w:bottom w:val="single" w:sz="4" w:space="0" w:color="000000"/>
              <w:right w:val="single" w:sz="4" w:space="0" w:color="000000"/>
            </w:tcBorders>
            <w:vAlign w:val="center"/>
          </w:tcPr>
          <w:p w14:paraId="4B3A1D1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是否由董事会及其下设委员会或者其他类似机构负责监督社会贡献议题相关风险与机遇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F7B9D2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1B7B2A6"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B17D94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CF8A2C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3988DE71"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2CA7974"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CA2404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是否由高级管理层负责监督管理社会贡献议题相关风险</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788447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67A5E5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F4D31D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F7EE7E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5293094B"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6DD85890"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FCA6FB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是否由专门部门负责监督管理社会贡献议题相关风险</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42DA75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3565426"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F83363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57C364F9"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7E057680"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32A008BB"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07BCE1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是否建立社会贡献议题信息报告、监督机制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89D3DB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D4D884A"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1E7238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2B49BC5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noWrap/>
            <w:vAlign w:val="center"/>
          </w:tcPr>
          <w:p w14:paraId="46CB4373"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7EE7778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社会贡献制度</w:t>
            </w:r>
          </w:p>
        </w:tc>
        <w:tc>
          <w:tcPr>
            <w:tcW w:w="2645" w:type="pct"/>
            <w:tcBorders>
              <w:top w:val="single" w:sz="4" w:space="0" w:color="000000"/>
              <w:left w:val="single" w:sz="4" w:space="0" w:color="000000"/>
              <w:bottom w:val="single" w:sz="4" w:space="0" w:color="000000"/>
              <w:right w:val="single" w:sz="4" w:space="0" w:color="000000"/>
            </w:tcBorders>
            <w:vAlign w:val="center"/>
          </w:tcPr>
          <w:p w14:paraId="10E2683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是否制定社会贡献相关政策制度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8C3DEF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927D77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272619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915B3B2"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209B7A1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战略</w:t>
            </w:r>
          </w:p>
        </w:tc>
        <w:tc>
          <w:tcPr>
            <w:tcW w:w="703" w:type="pct"/>
            <w:vMerge w:val="restart"/>
            <w:tcBorders>
              <w:top w:val="single" w:sz="4" w:space="0" w:color="000000"/>
              <w:left w:val="single" w:sz="4" w:space="0" w:color="000000"/>
              <w:bottom w:val="single" w:sz="4" w:space="0" w:color="000000"/>
              <w:right w:val="single" w:sz="4" w:space="0" w:color="000000"/>
            </w:tcBorders>
            <w:noWrap/>
            <w:vAlign w:val="center"/>
          </w:tcPr>
          <w:p w14:paraId="07A7E10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社会贡献相关风险与机遇的识别</w:t>
            </w:r>
          </w:p>
        </w:tc>
        <w:tc>
          <w:tcPr>
            <w:tcW w:w="2645" w:type="pct"/>
            <w:tcBorders>
              <w:top w:val="single" w:sz="4" w:space="0" w:color="000000"/>
              <w:left w:val="single" w:sz="4" w:space="0" w:color="000000"/>
              <w:bottom w:val="single" w:sz="4" w:space="0" w:color="000000"/>
              <w:right w:val="single" w:sz="4" w:space="0" w:color="000000"/>
            </w:tcBorders>
            <w:vAlign w:val="center"/>
          </w:tcPr>
          <w:p w14:paraId="4E70C27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是否识别社会贡献相关的风险和机遇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6E1A29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D7C3BB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88100A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80341D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0001A50F"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noWrap/>
            <w:vAlign w:val="center"/>
          </w:tcPr>
          <w:p w14:paraId="5A25DCA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98EF95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是否说明社区贡献对公司财务的影响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CFF696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C77C507"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20B891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1F97E8D7"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21CC48A3"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350B687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社会贡献相关风险与机遇的应对战略</w:t>
            </w:r>
          </w:p>
        </w:tc>
        <w:tc>
          <w:tcPr>
            <w:tcW w:w="2645" w:type="pct"/>
            <w:tcBorders>
              <w:top w:val="single" w:sz="4" w:space="0" w:color="000000"/>
              <w:left w:val="single" w:sz="4" w:space="0" w:color="000000"/>
              <w:bottom w:val="single" w:sz="4" w:space="0" w:color="000000"/>
              <w:right w:val="single" w:sz="4" w:space="0" w:color="000000"/>
            </w:tcBorders>
            <w:vAlign w:val="center"/>
          </w:tcPr>
          <w:p w14:paraId="11B3492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是否制定社会公益规划和行动计划</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609AE7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EA937C6" w14:textId="77777777">
        <w:trPr>
          <w:trHeight w:val="651"/>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9CE92A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4DD0D34"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2F50332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影响、风险和机遇管理</w:t>
            </w:r>
          </w:p>
        </w:tc>
        <w:tc>
          <w:tcPr>
            <w:tcW w:w="703" w:type="pct"/>
            <w:tcBorders>
              <w:top w:val="single" w:sz="4" w:space="0" w:color="000000"/>
              <w:left w:val="single" w:sz="4" w:space="0" w:color="000000"/>
              <w:bottom w:val="single" w:sz="4" w:space="0" w:color="000000"/>
              <w:right w:val="single" w:sz="4" w:space="0" w:color="000000"/>
            </w:tcBorders>
            <w:vAlign w:val="center"/>
          </w:tcPr>
          <w:p w14:paraId="32C7EA1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社区协商关系构建</w:t>
            </w:r>
          </w:p>
        </w:tc>
        <w:tc>
          <w:tcPr>
            <w:tcW w:w="2645" w:type="pct"/>
            <w:tcBorders>
              <w:top w:val="single" w:sz="4" w:space="0" w:color="000000"/>
              <w:left w:val="single" w:sz="4" w:space="0" w:color="000000"/>
              <w:bottom w:val="single" w:sz="4" w:space="0" w:color="000000"/>
              <w:right w:val="single" w:sz="4" w:space="0" w:color="000000"/>
            </w:tcBorders>
            <w:vAlign w:val="center"/>
          </w:tcPr>
          <w:p w14:paraId="3A6B41C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是否建立社区沟通与利益相关方参与机制，针对生产基地、运营所在地社区，识别受影响的群体并开展常态化沟通</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FC8351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A69AA0E" w14:textId="77777777">
        <w:trPr>
          <w:trHeight w:val="480"/>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CCD9C4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6F0C7ED"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4E32A62A"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081D75A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社区参与机制建设</w:t>
            </w:r>
          </w:p>
        </w:tc>
        <w:tc>
          <w:tcPr>
            <w:tcW w:w="2645" w:type="pct"/>
            <w:tcBorders>
              <w:top w:val="single" w:sz="4" w:space="0" w:color="000000"/>
              <w:left w:val="single" w:sz="4" w:space="0" w:color="000000"/>
              <w:bottom w:val="single" w:sz="4" w:space="0" w:color="000000"/>
              <w:right w:val="single" w:sz="4" w:space="0" w:color="000000"/>
            </w:tcBorders>
            <w:vAlign w:val="center"/>
          </w:tcPr>
          <w:p w14:paraId="6D37135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是否开展助力社区发展的实践，包括环境保护、交通安全意识提升、扶弱救困等</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4EE70C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E2CBD5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2ADCF9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21020BC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668BB4E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18A7DE4F"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B082EB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是否开展助力乡村振兴的实践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3F6627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827129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569408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21DC2C51" w14:textId="77777777" w:rsidR="00CA5006" w:rsidRDefault="00CA5006">
            <w:pPr>
              <w:jc w:val="center"/>
              <w:rPr>
                <w:rFonts w:ascii="宋体" w:hAnsi="宋体" w:cs="宋体" w:hint="eastAsia"/>
                <w:color w:val="000000"/>
              </w:rPr>
            </w:pPr>
          </w:p>
        </w:tc>
        <w:tc>
          <w:tcPr>
            <w:tcW w:w="519" w:type="pct"/>
            <w:tcBorders>
              <w:top w:val="single" w:sz="4" w:space="0" w:color="000000"/>
              <w:left w:val="single" w:sz="4" w:space="0" w:color="000000"/>
              <w:bottom w:val="single" w:sz="4" w:space="0" w:color="000000"/>
              <w:right w:val="single" w:sz="4" w:space="0" w:color="000000"/>
            </w:tcBorders>
            <w:noWrap/>
            <w:vAlign w:val="center"/>
          </w:tcPr>
          <w:p w14:paraId="169CF3A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指标与目标</w:t>
            </w:r>
          </w:p>
        </w:tc>
        <w:tc>
          <w:tcPr>
            <w:tcW w:w="703" w:type="pct"/>
            <w:tcBorders>
              <w:top w:val="single" w:sz="4" w:space="0" w:color="000000"/>
              <w:left w:val="single" w:sz="4" w:space="0" w:color="000000"/>
              <w:bottom w:val="single" w:sz="4" w:space="0" w:color="000000"/>
              <w:right w:val="single" w:sz="4" w:space="0" w:color="000000"/>
            </w:tcBorders>
            <w:noWrap/>
            <w:vAlign w:val="center"/>
          </w:tcPr>
          <w:p w14:paraId="1E3BE11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社区贡献投入</w:t>
            </w:r>
          </w:p>
        </w:tc>
        <w:tc>
          <w:tcPr>
            <w:tcW w:w="2645" w:type="pct"/>
            <w:tcBorders>
              <w:top w:val="single" w:sz="4" w:space="0" w:color="000000"/>
              <w:left w:val="single" w:sz="4" w:space="0" w:color="000000"/>
              <w:bottom w:val="single" w:sz="4" w:space="0" w:color="000000"/>
              <w:right w:val="single" w:sz="4" w:space="0" w:color="000000"/>
            </w:tcBorders>
            <w:vAlign w:val="center"/>
          </w:tcPr>
          <w:p w14:paraId="7A36717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是否量化社区投入统计</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5ABBAB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11D60B7"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E01EED9" w14:textId="77777777" w:rsidR="00CA5006" w:rsidRDefault="00CA5006">
            <w:pPr>
              <w:jc w:val="center"/>
              <w:rPr>
                <w:rFonts w:ascii="宋体" w:hAnsi="宋体" w:cs="宋体" w:hint="eastAsia"/>
                <w:color w:val="000000"/>
              </w:rPr>
            </w:pPr>
          </w:p>
        </w:tc>
        <w:tc>
          <w:tcPr>
            <w:tcW w:w="385" w:type="pct"/>
            <w:vMerge w:val="restart"/>
            <w:tcBorders>
              <w:top w:val="single" w:sz="4" w:space="0" w:color="000000"/>
              <w:left w:val="single" w:sz="4" w:space="0" w:color="000000"/>
              <w:bottom w:val="single" w:sz="4" w:space="0" w:color="000000"/>
              <w:right w:val="single" w:sz="4" w:space="0" w:color="000000"/>
            </w:tcBorders>
            <w:vAlign w:val="center"/>
          </w:tcPr>
          <w:p w14:paraId="7B34BE30"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可持续供应链管理</w:t>
            </w: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317142F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治理</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61226CD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可持续供应链管理组织架构</w:t>
            </w:r>
          </w:p>
        </w:tc>
        <w:tc>
          <w:tcPr>
            <w:tcW w:w="2645" w:type="pct"/>
            <w:tcBorders>
              <w:top w:val="single" w:sz="4" w:space="0" w:color="000000"/>
              <w:left w:val="single" w:sz="4" w:space="0" w:color="000000"/>
              <w:bottom w:val="single" w:sz="4" w:space="0" w:color="000000"/>
              <w:right w:val="single" w:sz="4" w:space="0" w:color="000000"/>
            </w:tcBorders>
            <w:vAlign w:val="center"/>
          </w:tcPr>
          <w:p w14:paraId="00B785E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是否由高级管理层负责可持续供应链管理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B97943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5E2B63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F1418F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10DD08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4A0657CF"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70638EF1"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66F9F3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是否建立可持续供应链管理信息报告、监督机制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33C284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2FD35B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57618B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5E9E835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022255B0"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7A3DFEA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可持续供应链管理制度</w:t>
            </w:r>
          </w:p>
        </w:tc>
        <w:tc>
          <w:tcPr>
            <w:tcW w:w="2645" w:type="pct"/>
            <w:tcBorders>
              <w:top w:val="single" w:sz="4" w:space="0" w:color="000000"/>
              <w:left w:val="single" w:sz="4" w:space="0" w:color="000000"/>
              <w:bottom w:val="single" w:sz="4" w:space="0" w:color="000000"/>
              <w:right w:val="single" w:sz="4" w:space="0" w:color="000000"/>
            </w:tcBorders>
            <w:vAlign w:val="center"/>
          </w:tcPr>
          <w:p w14:paraId="3760267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是否制定可持续供应链管理制度或政策</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EB0781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5DF5E16"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703BD3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57F0F92"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3685220A"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2C77B6D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7AE54D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是否将可持续供应链管理成效纳入管理层薪酬绩效考核</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5F868F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BF667BE"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5295F1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5F31BAD0"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11D8A60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战略</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3F65A2D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可持续供应链管理相关风险与机遇的识别情况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3926206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是否识别可持续供应链相关的风险和机遇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6B6C02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9F29B1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6F6BA1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24EDF6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06DE19DD"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1192EEC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CDF2AA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是否说明可持续供应链对公司财务的影响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874F54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C73A784" w14:textId="77777777">
        <w:trPr>
          <w:trHeight w:val="651"/>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B352D6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221AC286"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77A551D0"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1C408F2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可持续供应链管理相关风险与机遇的应对战略</w:t>
            </w:r>
          </w:p>
        </w:tc>
        <w:tc>
          <w:tcPr>
            <w:tcW w:w="2645" w:type="pct"/>
            <w:tcBorders>
              <w:top w:val="single" w:sz="4" w:space="0" w:color="000000"/>
              <w:left w:val="single" w:sz="4" w:space="0" w:color="000000"/>
              <w:bottom w:val="single" w:sz="4" w:space="0" w:color="000000"/>
              <w:right w:val="single" w:sz="4" w:space="0" w:color="000000"/>
            </w:tcBorders>
            <w:vAlign w:val="center"/>
          </w:tcPr>
          <w:p w14:paraId="73C1798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是否制定应对可持续供应链的风险和机遇的管理计划</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05F20A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4D2A4C3"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BEE436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E9D8996"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3CB402E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影响、风险和机遇管理</w:t>
            </w:r>
          </w:p>
        </w:tc>
        <w:tc>
          <w:tcPr>
            <w:tcW w:w="703" w:type="pct"/>
            <w:tcBorders>
              <w:top w:val="single" w:sz="4" w:space="0" w:color="000000"/>
              <w:left w:val="single" w:sz="4" w:space="0" w:color="000000"/>
              <w:bottom w:val="single" w:sz="4" w:space="0" w:color="000000"/>
              <w:right w:val="single" w:sz="4" w:space="0" w:color="000000"/>
            </w:tcBorders>
            <w:vAlign w:val="center"/>
          </w:tcPr>
          <w:p w14:paraId="60E12A3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供应链管理体系认证</w:t>
            </w:r>
          </w:p>
        </w:tc>
        <w:tc>
          <w:tcPr>
            <w:tcW w:w="2645" w:type="pct"/>
            <w:tcBorders>
              <w:top w:val="single" w:sz="4" w:space="0" w:color="000000"/>
              <w:left w:val="single" w:sz="4" w:space="0" w:color="000000"/>
              <w:bottom w:val="single" w:sz="4" w:space="0" w:color="000000"/>
              <w:right w:val="single" w:sz="4" w:space="0" w:color="000000"/>
            </w:tcBorders>
            <w:vAlign w:val="center"/>
          </w:tcPr>
          <w:p w14:paraId="391D844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是否开展供应链管理体系相关认证</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C6975A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61FC1C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007AFA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11EB235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04B88460"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35BB055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可持续采购</w:t>
            </w:r>
          </w:p>
        </w:tc>
        <w:tc>
          <w:tcPr>
            <w:tcW w:w="2645" w:type="pct"/>
            <w:tcBorders>
              <w:top w:val="single" w:sz="4" w:space="0" w:color="000000"/>
              <w:left w:val="single" w:sz="4" w:space="0" w:color="000000"/>
              <w:bottom w:val="single" w:sz="4" w:space="0" w:color="000000"/>
              <w:right w:val="single" w:sz="4" w:space="0" w:color="000000"/>
            </w:tcBorders>
            <w:vAlign w:val="center"/>
          </w:tcPr>
          <w:p w14:paraId="62C8590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是否优先采购和使用有利于环境保护的原材料、产品和服务</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B0C68D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0D16394"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B599A7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7871F97"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45D3E0C3"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6C626ACF"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6A87C7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是否对所采购的产品或原材料在仓储和物流运输等环节，推行节能减排措施</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8BB9F0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20AE15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BE604E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7256C71D"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0621A28B"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53655D7A"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2BFE6E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是否建立产品可追溯体系</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7097CF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316A586"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674DFB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CB74007"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2D203080"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46F15DD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供应商ESG评估</w:t>
            </w:r>
          </w:p>
        </w:tc>
        <w:tc>
          <w:tcPr>
            <w:tcW w:w="2645" w:type="pct"/>
            <w:tcBorders>
              <w:top w:val="single" w:sz="4" w:space="0" w:color="000000"/>
              <w:left w:val="single" w:sz="4" w:space="0" w:color="000000"/>
              <w:bottom w:val="single" w:sz="4" w:space="0" w:color="000000"/>
              <w:right w:val="single" w:sz="4" w:space="0" w:color="000000"/>
            </w:tcBorders>
            <w:vAlign w:val="center"/>
          </w:tcPr>
          <w:p w14:paraId="34A8E10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是否说明供应商ESG准入机制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DCED6E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71EDB1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6D8BE1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2401BCAB"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71AFC210"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7EB4C6C3"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83A16D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是否开展供应商ESG评价</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78BBEA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F1CA678"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5C734C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76409E37"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2802A1C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080574F7"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464CC2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是否建立和实施供应商ESG激励机制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9F88BE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DF849F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92AF2E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5FB47EC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2A7148E1"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5705A16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供应链尽职调查</w:t>
            </w:r>
          </w:p>
        </w:tc>
        <w:tc>
          <w:tcPr>
            <w:tcW w:w="2645" w:type="pct"/>
            <w:tcBorders>
              <w:top w:val="single" w:sz="4" w:space="0" w:color="000000"/>
              <w:left w:val="single" w:sz="4" w:space="0" w:color="000000"/>
              <w:bottom w:val="single" w:sz="4" w:space="0" w:color="000000"/>
              <w:right w:val="single" w:sz="4" w:space="0" w:color="000000"/>
            </w:tcBorders>
            <w:vAlign w:val="center"/>
          </w:tcPr>
          <w:p w14:paraId="0E0CBE3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是否通过供应链尽职调查识别并评估与企业运营、产品或服务相关的实际及潜在不利影响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9E9EB6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D27BF2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93BA05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7F83083D"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60DFF5E2"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0AE8C455"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EC0B39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是否采取措施终止、防范与减轻不利影响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1B58E7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A38C19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8DC228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025E1E6"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0857FF43"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32E8647D"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863DD4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是否监督和跟踪补救措施，以评估尽职调查的有效性</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A2C229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5C56CD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E68A96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037E0E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5ABC143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7C60B6C7"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550FBF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是否公开披露尽职调查相关信息，包括但不限于政策、流程、措施和结果等</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EDED60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F815F6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1EE151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55AC76D6"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5457DB43"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49838C4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6A9720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是否通过提供条件或合作开展补救，以消除不利影响</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D89835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CC8F7D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136ADD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29B8EC4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364C1B7C"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20C726EC"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32CF6D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是否建立供应链尽职调查申诉机制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F05638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4D8DBA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4D8778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F6E450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145A9587"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7227252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避免使用冲突矿产</w:t>
            </w:r>
          </w:p>
        </w:tc>
        <w:tc>
          <w:tcPr>
            <w:tcW w:w="2645" w:type="pct"/>
            <w:tcBorders>
              <w:top w:val="single" w:sz="4" w:space="0" w:color="000000"/>
              <w:left w:val="single" w:sz="4" w:space="0" w:color="000000"/>
              <w:bottom w:val="single" w:sz="4" w:space="0" w:color="000000"/>
              <w:right w:val="single" w:sz="4" w:space="0" w:color="000000"/>
            </w:tcBorders>
            <w:vAlign w:val="center"/>
          </w:tcPr>
          <w:p w14:paraId="62C9ED9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是否有关于避免使用冲突矿产的声明</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7AD77C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BD9C84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E7008F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B14970A"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6FF33405"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601F9867"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726998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冲突矿产管理制度是否遵循国际指南</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EDCE8B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0D18923"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CE4D39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195F72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7136C4CA"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5D2879BC"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4D30C8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是否对供应商开展外部第三方冲突矿产调查</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F94216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35724A7"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186EA1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7FCE6CA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2D2B6B1C"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75B8D13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扶持供应商成长</w:t>
            </w:r>
          </w:p>
        </w:tc>
        <w:tc>
          <w:tcPr>
            <w:tcW w:w="2645" w:type="pct"/>
            <w:tcBorders>
              <w:top w:val="single" w:sz="4" w:space="0" w:color="000000"/>
              <w:left w:val="single" w:sz="4" w:space="0" w:color="000000"/>
              <w:bottom w:val="single" w:sz="4" w:space="0" w:color="000000"/>
              <w:right w:val="single" w:sz="4" w:space="0" w:color="000000"/>
            </w:tcBorders>
            <w:vAlign w:val="center"/>
          </w:tcPr>
          <w:p w14:paraId="4E3FD04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是否开展供应商可持续发展能力建设，包括但不限于供应商质量协同、培训辅导等</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124FEF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5EEB6C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125CDF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25C7ED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117BF354"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5B32877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平等对待中小企业</w:t>
            </w:r>
          </w:p>
        </w:tc>
        <w:tc>
          <w:tcPr>
            <w:tcW w:w="2645" w:type="pct"/>
            <w:tcBorders>
              <w:top w:val="single" w:sz="4" w:space="0" w:color="000000"/>
              <w:left w:val="single" w:sz="4" w:space="0" w:color="000000"/>
              <w:bottom w:val="single" w:sz="4" w:space="0" w:color="000000"/>
              <w:right w:val="single" w:sz="4" w:space="0" w:color="000000"/>
            </w:tcBorders>
            <w:vAlign w:val="center"/>
          </w:tcPr>
          <w:p w14:paraId="3C84225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是否存在逾期未支付中小企业款项的情况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427623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A58B53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1E8083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D8F870A"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563C3D6F"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600DAB02"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76643D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如存在逾期未支付中小企业款项的情况，是否说明对逾期账款拟采取的解决方案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945805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D27C8C1"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82DAAEB"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B02D768"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470E890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指标与目标</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13AC6A2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可持续供应链管理目标及进展情况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5871170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是否建立可持续供应链管理目标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58C947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D9CE7F1"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A4D912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CC6FE9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49224E02"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44178A6D"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626606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是否量化说明可持续供应链管理目标完成情况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94DED7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D54B798"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77AFB5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74091CE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1CA7DEFC"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6F221B3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供应链审核评价情况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0A7B43F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经过ESG认证的供应商比例</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5EAD75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CAA379D"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6140D8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A579636"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1D2A68DD"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7F05B88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供应商培训情况</w:t>
            </w:r>
          </w:p>
        </w:tc>
        <w:tc>
          <w:tcPr>
            <w:tcW w:w="2645" w:type="pct"/>
            <w:tcBorders>
              <w:top w:val="single" w:sz="4" w:space="0" w:color="000000"/>
              <w:left w:val="single" w:sz="4" w:space="0" w:color="000000"/>
              <w:bottom w:val="single" w:sz="4" w:space="0" w:color="000000"/>
              <w:right w:val="single" w:sz="4" w:space="0" w:color="000000"/>
            </w:tcBorders>
            <w:noWrap/>
            <w:vAlign w:val="center"/>
          </w:tcPr>
          <w:p w14:paraId="19860A5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是否量化说明供应商培训覆盖情况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6483F1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F784023" w14:textId="77777777">
        <w:trPr>
          <w:trHeight w:val="326"/>
        </w:trPr>
        <w:tc>
          <w:tcPr>
            <w:tcW w:w="383" w:type="pct"/>
            <w:vMerge w:val="restart"/>
            <w:tcBorders>
              <w:top w:val="single" w:sz="4" w:space="0" w:color="000000"/>
              <w:left w:val="single" w:sz="4" w:space="0" w:color="000000"/>
              <w:bottom w:val="single" w:sz="4" w:space="0" w:color="000000"/>
              <w:right w:val="single" w:sz="4" w:space="0" w:color="000000"/>
            </w:tcBorders>
            <w:noWrap/>
            <w:vAlign w:val="center"/>
          </w:tcPr>
          <w:p w14:paraId="09247A73"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治理</w:t>
            </w:r>
          </w:p>
        </w:tc>
        <w:tc>
          <w:tcPr>
            <w:tcW w:w="385" w:type="pct"/>
            <w:vMerge w:val="restart"/>
            <w:tcBorders>
              <w:top w:val="single" w:sz="4" w:space="0" w:color="000000"/>
              <w:left w:val="single" w:sz="4" w:space="0" w:color="000000"/>
              <w:bottom w:val="single" w:sz="4" w:space="0" w:color="000000"/>
              <w:right w:val="single" w:sz="4" w:space="0" w:color="000000"/>
            </w:tcBorders>
            <w:vAlign w:val="center"/>
          </w:tcPr>
          <w:p w14:paraId="577A3D48"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ESG治理</w:t>
            </w: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078DD32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治理</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66E9D9B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ESG治理架构</w:t>
            </w:r>
          </w:p>
        </w:tc>
        <w:tc>
          <w:tcPr>
            <w:tcW w:w="2645" w:type="pct"/>
            <w:tcBorders>
              <w:top w:val="single" w:sz="4" w:space="0" w:color="000000"/>
              <w:left w:val="single" w:sz="4" w:space="0" w:color="000000"/>
              <w:bottom w:val="single" w:sz="4" w:space="0" w:color="000000"/>
              <w:right w:val="single" w:sz="4" w:space="0" w:color="000000"/>
            </w:tcBorders>
            <w:vAlign w:val="center"/>
          </w:tcPr>
          <w:p w14:paraId="3451AF2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是否由董事会负责ESG治理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CB8253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2A6FD39"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3416F6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05BC9D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1C5A1305"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4698743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1AF542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是否由高级管理层负责ESG治理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E3CEEE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3C3D0BA"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B4D489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5EE70E1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61137F03"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43FC71F4"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6AC6BA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是否由专门部门负责ESG治理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FAA4FC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72680B3"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A2B28F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54CF6AD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34419AA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53D70ADA"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BC835A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是否建立ESG信息披露制度，定期监督、审计和评估ESG信息披露</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ABEDCB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B8533FE"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B23FE3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EDB42E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6CA1FB4B"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1D325DC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ESG管理制度</w:t>
            </w:r>
          </w:p>
        </w:tc>
        <w:tc>
          <w:tcPr>
            <w:tcW w:w="2645" w:type="pct"/>
            <w:tcBorders>
              <w:top w:val="single" w:sz="4" w:space="0" w:color="000000"/>
              <w:left w:val="single" w:sz="4" w:space="0" w:color="000000"/>
              <w:bottom w:val="single" w:sz="4" w:space="0" w:color="000000"/>
              <w:right w:val="single" w:sz="4" w:space="0" w:color="000000"/>
            </w:tcBorders>
            <w:vAlign w:val="center"/>
          </w:tcPr>
          <w:p w14:paraId="3043E2E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是否制定ESG政策或制度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763677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3B4F66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028897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E2E6D2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061F341D"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761EEB36"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B327D0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是否将ESG实践绩效纳入管理层薪酬绩效考核</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AF3BD6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F9E0A6A"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05E7277"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25A01FE"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120B410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战略</w:t>
            </w:r>
          </w:p>
        </w:tc>
        <w:tc>
          <w:tcPr>
            <w:tcW w:w="703" w:type="pct"/>
            <w:tcBorders>
              <w:top w:val="single" w:sz="4" w:space="0" w:color="000000"/>
              <w:left w:val="single" w:sz="4" w:space="0" w:color="000000"/>
              <w:bottom w:val="single" w:sz="4" w:space="0" w:color="000000"/>
              <w:right w:val="single" w:sz="4" w:space="0" w:color="000000"/>
            </w:tcBorders>
            <w:vAlign w:val="center"/>
          </w:tcPr>
          <w:p w14:paraId="54CB2E1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ESG治理影响、风险和机遇分析</w:t>
            </w:r>
          </w:p>
        </w:tc>
        <w:tc>
          <w:tcPr>
            <w:tcW w:w="2645" w:type="pct"/>
            <w:tcBorders>
              <w:top w:val="single" w:sz="4" w:space="0" w:color="000000"/>
              <w:left w:val="single" w:sz="4" w:space="0" w:color="000000"/>
              <w:bottom w:val="single" w:sz="4" w:space="0" w:color="000000"/>
              <w:right w:val="single" w:sz="4" w:space="0" w:color="000000"/>
            </w:tcBorders>
            <w:vAlign w:val="center"/>
          </w:tcPr>
          <w:p w14:paraId="11B331A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是否说明ESG治理相关风险、机遇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28551C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85A775D"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D02724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1E6EBA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12EC3C8B"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0BDB5B2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ESG治理相关风险与机遇应对战略</w:t>
            </w:r>
          </w:p>
        </w:tc>
        <w:tc>
          <w:tcPr>
            <w:tcW w:w="2645" w:type="pct"/>
            <w:tcBorders>
              <w:top w:val="single" w:sz="4" w:space="0" w:color="000000"/>
              <w:left w:val="single" w:sz="4" w:space="0" w:color="000000"/>
              <w:bottom w:val="single" w:sz="4" w:space="0" w:color="000000"/>
              <w:right w:val="single" w:sz="4" w:space="0" w:color="000000"/>
            </w:tcBorders>
            <w:vAlign w:val="center"/>
          </w:tcPr>
          <w:p w14:paraId="794553B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是否制定ESG治理计划与战略</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3A97E2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4126DC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1A1FDBB"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E8FCBB2"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7D86408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影响、风险和机遇管理</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2267801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利益相关方管理</w:t>
            </w:r>
          </w:p>
        </w:tc>
        <w:tc>
          <w:tcPr>
            <w:tcW w:w="2645" w:type="pct"/>
            <w:tcBorders>
              <w:top w:val="single" w:sz="4" w:space="0" w:color="000000"/>
              <w:left w:val="single" w:sz="4" w:space="0" w:color="000000"/>
              <w:bottom w:val="single" w:sz="4" w:space="0" w:color="000000"/>
              <w:right w:val="single" w:sz="4" w:space="0" w:color="000000"/>
            </w:tcBorders>
            <w:vAlign w:val="center"/>
          </w:tcPr>
          <w:p w14:paraId="77A90F5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是否建立利益相关方识别、评估流程</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BBFB1B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AB5F8F7"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20B895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FA0EB9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2B7A7B3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14D5AD6C"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46AC3C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是否建立利益相关方参与方针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EE678D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D5DE3D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21CEC2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A9B8402"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7B240848"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305E9DE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8DC888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是否建立利益相关方沟通机制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F6F56B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ED877E7"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5F9E48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1EC1D967"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0DBE18A4"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50C40559"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B0E02E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是否建立实质性议题的识别、评估、优先排序与管理机制与流程</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391E3A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FB0A914"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17CD61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D2F512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5B4A3D75"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4A2492F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培训与能力建设</w:t>
            </w:r>
          </w:p>
        </w:tc>
        <w:tc>
          <w:tcPr>
            <w:tcW w:w="2645" w:type="pct"/>
            <w:tcBorders>
              <w:top w:val="single" w:sz="4" w:space="0" w:color="000000"/>
              <w:left w:val="single" w:sz="4" w:space="0" w:color="000000"/>
              <w:bottom w:val="single" w:sz="4" w:space="0" w:color="000000"/>
              <w:right w:val="single" w:sz="4" w:space="0" w:color="000000"/>
            </w:tcBorders>
            <w:vAlign w:val="center"/>
          </w:tcPr>
          <w:p w14:paraId="7827B37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是否开展ESG能力建设活动，包括但不限于开展ESG培训、参加ESG交流活动、开展ESG相关合作等</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61C1DD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3AA1D8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753290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2C5AA7D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2CE503CC"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68CF812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报告鉴证情况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7B9A790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ESG报告是否开展独立第三方鉴证</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022D74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1A8BE6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03CAB2D" w14:textId="77777777" w:rsidR="00CA5006" w:rsidRDefault="00CA5006">
            <w:pPr>
              <w:jc w:val="center"/>
              <w:rPr>
                <w:rFonts w:ascii="宋体" w:hAnsi="宋体" w:cs="宋体" w:hint="eastAsia"/>
                <w:color w:val="000000"/>
              </w:rPr>
            </w:pPr>
          </w:p>
        </w:tc>
        <w:tc>
          <w:tcPr>
            <w:tcW w:w="385" w:type="pct"/>
            <w:vMerge w:val="restart"/>
            <w:tcBorders>
              <w:top w:val="single" w:sz="4" w:space="0" w:color="000000"/>
              <w:left w:val="single" w:sz="4" w:space="0" w:color="000000"/>
              <w:bottom w:val="single" w:sz="4" w:space="0" w:color="000000"/>
              <w:right w:val="single" w:sz="4" w:space="0" w:color="000000"/>
            </w:tcBorders>
            <w:noWrap/>
            <w:vAlign w:val="center"/>
          </w:tcPr>
          <w:p w14:paraId="227FA7FA"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ESG合规管理</w:t>
            </w: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165BF85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治理</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6153D9C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ESG合规治理架构</w:t>
            </w:r>
          </w:p>
        </w:tc>
        <w:tc>
          <w:tcPr>
            <w:tcW w:w="2645" w:type="pct"/>
            <w:tcBorders>
              <w:top w:val="single" w:sz="4" w:space="0" w:color="000000"/>
              <w:left w:val="single" w:sz="4" w:space="0" w:color="000000"/>
              <w:bottom w:val="single" w:sz="4" w:space="0" w:color="000000"/>
              <w:right w:val="single" w:sz="4" w:space="0" w:color="000000"/>
            </w:tcBorders>
            <w:vAlign w:val="center"/>
          </w:tcPr>
          <w:p w14:paraId="68D5B66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是否由高级管理层负责ESG合规管理</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9C264F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A2633D1"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19E8C9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A83E4F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10F340A8"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5F04229A"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CB0694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是否建立ESG合规信息报告、监督机制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6C3A1E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4FDC254"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69EB52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198D6B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3F72D944"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3405DFE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ESG合规管理制度</w:t>
            </w:r>
          </w:p>
        </w:tc>
        <w:tc>
          <w:tcPr>
            <w:tcW w:w="2645" w:type="pct"/>
            <w:tcBorders>
              <w:top w:val="single" w:sz="4" w:space="0" w:color="000000"/>
              <w:left w:val="single" w:sz="4" w:space="0" w:color="000000"/>
              <w:bottom w:val="single" w:sz="4" w:space="0" w:color="000000"/>
              <w:right w:val="single" w:sz="4" w:space="0" w:color="000000"/>
            </w:tcBorders>
            <w:vAlign w:val="center"/>
          </w:tcPr>
          <w:p w14:paraId="606C088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是否制定ESG合规管理的政策或制度及行为准则</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B8FC17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8640907"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614F10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C6F4B3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54A58D9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6E35C992"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082DF9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是否将ESG合规管理成效纳入管理层薪酬绩效考核</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7C7D5D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13751B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0BB1C8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4542F9E1"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3579107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战略</w:t>
            </w:r>
          </w:p>
        </w:tc>
        <w:tc>
          <w:tcPr>
            <w:tcW w:w="703" w:type="pct"/>
            <w:tcBorders>
              <w:top w:val="single" w:sz="4" w:space="0" w:color="000000"/>
              <w:left w:val="single" w:sz="4" w:space="0" w:color="000000"/>
              <w:bottom w:val="single" w:sz="4" w:space="0" w:color="000000"/>
              <w:right w:val="single" w:sz="4" w:space="0" w:color="000000"/>
            </w:tcBorders>
            <w:vAlign w:val="center"/>
          </w:tcPr>
          <w:p w14:paraId="00799C5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ESG合规管理相关风险与机遇识别情况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547094A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是否说明ESG合规管理相关影响、风险和机遇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E03574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1DE1A0E"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24607E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3A94A5B"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40967C6B"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682FFC5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ESG合规管理相关风险与机遇应对战略</w:t>
            </w:r>
          </w:p>
        </w:tc>
        <w:tc>
          <w:tcPr>
            <w:tcW w:w="2645" w:type="pct"/>
            <w:tcBorders>
              <w:top w:val="single" w:sz="4" w:space="0" w:color="000000"/>
              <w:left w:val="single" w:sz="4" w:space="0" w:color="000000"/>
              <w:bottom w:val="single" w:sz="4" w:space="0" w:color="000000"/>
              <w:right w:val="single" w:sz="4" w:space="0" w:color="000000"/>
            </w:tcBorders>
            <w:vAlign w:val="center"/>
          </w:tcPr>
          <w:p w14:paraId="13F0B64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是否制定ESG合规管理计划与策略</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48C9FE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EC7A71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09A887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3712C8B"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57C6B41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影响、风险和机遇管理</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7CF7262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ESG合规义务管理</w:t>
            </w:r>
          </w:p>
        </w:tc>
        <w:tc>
          <w:tcPr>
            <w:tcW w:w="2645" w:type="pct"/>
            <w:tcBorders>
              <w:top w:val="single" w:sz="4" w:space="0" w:color="000000"/>
              <w:left w:val="single" w:sz="4" w:space="0" w:color="000000"/>
              <w:bottom w:val="single" w:sz="4" w:space="0" w:color="000000"/>
              <w:right w:val="single" w:sz="4" w:space="0" w:color="000000"/>
            </w:tcBorders>
            <w:vAlign w:val="center"/>
          </w:tcPr>
          <w:p w14:paraId="30806E0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是否持续监测并定期识别新增或变更的合规义务</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A0AE38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9FFE83D"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C619FD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83D61A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65D7409E"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0DD6D33B"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5722C2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是否建立变更合规影响评估机制，根据内外部变动动态调整 ESG 合规管理要求</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814334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0298AD7"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97D1D8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FE3058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135725EB"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11566C1C"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B7E297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是否确认产品或服务及商业活动相关的合规义务</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208A18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C3DF81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4C0290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AF1EF7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6E7C9BD8"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3D7391B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ESG合规风险评估</w:t>
            </w:r>
          </w:p>
        </w:tc>
        <w:tc>
          <w:tcPr>
            <w:tcW w:w="2645" w:type="pct"/>
            <w:tcBorders>
              <w:top w:val="single" w:sz="4" w:space="0" w:color="000000"/>
              <w:left w:val="single" w:sz="4" w:space="0" w:color="000000"/>
              <w:bottom w:val="single" w:sz="4" w:space="0" w:color="000000"/>
              <w:right w:val="single" w:sz="4" w:space="0" w:color="000000"/>
            </w:tcBorders>
            <w:vAlign w:val="center"/>
          </w:tcPr>
          <w:p w14:paraId="15AA418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是否确定ESG合规风险的风险源、发生可能性及产生的后果</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FA15B7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18F5487"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0641FE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C283FD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2F274A3F"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11580CA9"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79EA649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是否在发生重大变化时，启动ESG合规风险的再评估</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021F3B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1E90F6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2AA767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3090832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33039482"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2B64FAF2"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BFBE6D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是否针对重大风险编制专项风险应对计划或预案</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9D3802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2C7F3F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5016A3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255956D"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58526CAF"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6D20599A"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D1A559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是否对ESG合规风险采取了控制措施</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6526A6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E82DFF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BE8083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7F8F7DD1"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3EDAAD57"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6638CA8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ESG合规能力培训</w:t>
            </w:r>
          </w:p>
        </w:tc>
        <w:tc>
          <w:tcPr>
            <w:tcW w:w="2645" w:type="pct"/>
            <w:tcBorders>
              <w:top w:val="single" w:sz="4" w:space="0" w:color="000000"/>
              <w:left w:val="single" w:sz="4" w:space="0" w:color="000000"/>
              <w:bottom w:val="single" w:sz="4" w:space="0" w:color="000000"/>
              <w:right w:val="single" w:sz="4" w:space="0" w:color="000000"/>
            </w:tcBorders>
            <w:vAlign w:val="center"/>
          </w:tcPr>
          <w:p w14:paraId="2BBE9AC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是否开展面向员工、供应商及第三方的ESG合规培训</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A446FD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02E28C0"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DD62F2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5CDB44F4"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62F12C6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指标与目标</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5941CE4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ESG合规管理目标与进展情况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4C943A1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是否建立ESG合规管理目标</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D8631B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746014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5DE1D8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05206ED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4849B015"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4DF4FE61"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ACFA68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是否量化说明ESG合规管理进展</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B347A5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9051393"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3AC821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C07C97A"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01C949B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负面</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221D45F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ESG合规管理负面信息情况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581140A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是否发生不合规事件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8EA8BE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FEB3A79"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2CCCA4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noWrap/>
            <w:vAlign w:val="center"/>
          </w:tcPr>
          <w:p w14:paraId="657860B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5622B69A"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0CC40A4A"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7CB724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是否说明事件处置情况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2EBECE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E90F728"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E2EF96B" w14:textId="77777777" w:rsidR="00CA5006" w:rsidRDefault="00CA5006">
            <w:pPr>
              <w:jc w:val="center"/>
              <w:rPr>
                <w:rFonts w:ascii="宋体" w:hAnsi="宋体" w:cs="宋体" w:hint="eastAsia"/>
                <w:color w:val="000000"/>
              </w:rPr>
            </w:pPr>
          </w:p>
        </w:tc>
        <w:tc>
          <w:tcPr>
            <w:tcW w:w="385" w:type="pct"/>
            <w:vMerge w:val="restart"/>
            <w:tcBorders>
              <w:top w:val="single" w:sz="4" w:space="0" w:color="000000"/>
              <w:left w:val="single" w:sz="4" w:space="0" w:color="000000"/>
              <w:bottom w:val="single" w:sz="4" w:space="0" w:color="000000"/>
              <w:right w:val="single" w:sz="4" w:space="0" w:color="000000"/>
            </w:tcBorders>
            <w:vAlign w:val="center"/>
          </w:tcPr>
          <w:p w14:paraId="0B233FF6"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反商业贿赂及反贪污</w:t>
            </w: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62597BC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治理</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1DEEA96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反商业贿赂及反贪污治理架构</w:t>
            </w:r>
          </w:p>
        </w:tc>
        <w:tc>
          <w:tcPr>
            <w:tcW w:w="2645" w:type="pct"/>
            <w:tcBorders>
              <w:top w:val="single" w:sz="4" w:space="0" w:color="000000"/>
              <w:left w:val="single" w:sz="4" w:space="0" w:color="000000"/>
              <w:bottom w:val="single" w:sz="4" w:space="0" w:color="000000"/>
              <w:right w:val="single" w:sz="4" w:space="0" w:color="000000"/>
            </w:tcBorders>
            <w:vAlign w:val="center"/>
          </w:tcPr>
          <w:p w14:paraId="67E6D1E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是否由高级管理层负责反商业贿赂及反贪污</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D0E745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2B24533"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A66880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A7E68B6"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1E83EFFA"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469A05D6"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DDECF8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是否建立反商业贿赂及反贪污管理信息报告、监督机制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7CCB11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9A9F224"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C1595D0"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3210FB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26641647"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68B769E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反商业贿赂及反贪污管理制度</w:t>
            </w:r>
          </w:p>
        </w:tc>
        <w:tc>
          <w:tcPr>
            <w:tcW w:w="2645" w:type="pct"/>
            <w:tcBorders>
              <w:top w:val="single" w:sz="4" w:space="0" w:color="000000"/>
              <w:left w:val="single" w:sz="4" w:space="0" w:color="000000"/>
              <w:bottom w:val="single" w:sz="4" w:space="0" w:color="000000"/>
              <w:right w:val="single" w:sz="4" w:space="0" w:color="000000"/>
            </w:tcBorders>
            <w:vAlign w:val="center"/>
          </w:tcPr>
          <w:p w14:paraId="5F659D2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是否制定反商业贿赂及反贪污的政策或制度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84BA94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67F75A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7BB37C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2456B77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2DC812BD"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6F83A856"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8DDD69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是否将商业贿赂及贪污事件零发生纳入管理层薪酬绩效考核</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17F2A1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6A5252E"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2D1365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F1ED463"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0CC6D4E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战略</w:t>
            </w:r>
          </w:p>
        </w:tc>
        <w:tc>
          <w:tcPr>
            <w:tcW w:w="703" w:type="pct"/>
            <w:tcBorders>
              <w:top w:val="single" w:sz="4" w:space="0" w:color="000000"/>
              <w:left w:val="single" w:sz="4" w:space="0" w:color="000000"/>
              <w:bottom w:val="single" w:sz="4" w:space="0" w:color="000000"/>
              <w:right w:val="single" w:sz="4" w:space="0" w:color="000000"/>
            </w:tcBorders>
            <w:vAlign w:val="center"/>
          </w:tcPr>
          <w:p w14:paraId="42E33E6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反商业贿赂及反贪污相关风险识别情况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22DE832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是否说明商业贿赂及贪污风险</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D5A922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34D593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8900EB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991FE8A"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30DECF79"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6ECA188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反商业贿赂及反贪污相关风险应对战略</w:t>
            </w:r>
          </w:p>
        </w:tc>
        <w:tc>
          <w:tcPr>
            <w:tcW w:w="2645" w:type="pct"/>
            <w:tcBorders>
              <w:top w:val="single" w:sz="4" w:space="0" w:color="000000"/>
              <w:left w:val="single" w:sz="4" w:space="0" w:color="000000"/>
              <w:bottom w:val="single" w:sz="4" w:space="0" w:color="000000"/>
              <w:right w:val="single" w:sz="4" w:space="0" w:color="000000"/>
            </w:tcBorders>
            <w:vAlign w:val="center"/>
          </w:tcPr>
          <w:p w14:paraId="5A1C603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是否制定反商业贿赂及反贪污管理计划与策略</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DA30D9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2E6C37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965248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837C8DC"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5F2143A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影响、风险和机遇管理</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1A2D9CE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举报与调查机制</w:t>
            </w:r>
          </w:p>
        </w:tc>
        <w:tc>
          <w:tcPr>
            <w:tcW w:w="2645" w:type="pct"/>
            <w:tcBorders>
              <w:top w:val="single" w:sz="4" w:space="0" w:color="000000"/>
              <w:left w:val="single" w:sz="4" w:space="0" w:color="000000"/>
              <w:bottom w:val="single" w:sz="4" w:space="0" w:color="000000"/>
              <w:right w:val="single" w:sz="4" w:space="0" w:color="000000"/>
            </w:tcBorders>
            <w:vAlign w:val="center"/>
          </w:tcPr>
          <w:p w14:paraId="62E878E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是否设立举报渠道</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B73C20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670DE78"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9E6301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2ECF6CC6"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668CA4EB"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3C9FC607"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87CE1A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是否建立举报者保护政策或制度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9E94E6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C5EC6F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313656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1A26090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4034CE2D"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44D65828"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6E00DF2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是否具体说明如何保护举报者</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27CE4B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D2AA7D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B051D45"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E40CAFD"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46B82D77"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22B51B41"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8E34B1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是否具体说明处理举报与投诉的流程</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2C5110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B95B1C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87681D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5608DB7"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4429998B"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0AF4513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风险管控举措</w:t>
            </w:r>
          </w:p>
        </w:tc>
        <w:tc>
          <w:tcPr>
            <w:tcW w:w="2645" w:type="pct"/>
            <w:tcBorders>
              <w:top w:val="single" w:sz="4" w:space="0" w:color="000000"/>
              <w:left w:val="single" w:sz="4" w:space="0" w:color="000000"/>
              <w:bottom w:val="single" w:sz="4" w:space="0" w:color="000000"/>
              <w:right w:val="single" w:sz="4" w:space="0" w:color="000000"/>
            </w:tcBorders>
            <w:vAlign w:val="center"/>
          </w:tcPr>
          <w:p w14:paraId="59DBD3F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是否说明反商业贿赂及反贪污风险内部控制措施</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1606F2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FE8DD3E"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8D2852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F4BCD5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2A105838"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5015343C"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881BE1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是否设立内部审核机制以定期进行内部审核，包括审核频率、内部审核方案、审核流程或程序等</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467099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9DC59D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37C947A"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7D58D70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543DDEB0"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6494FA26"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24D797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反商业贿赂及反贪污政策或制度是否覆盖供应商及商业伙伴</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3138C4A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72BC1D2"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570330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7C63434D"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0719C90D"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0342B6BE"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3169414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是否定期审计供应商反商业贿赂及反贪污政策的遵守情况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DFA521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60D7680"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4B79F7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736D233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3CEDF643"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100D422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培训与能力建设</w:t>
            </w:r>
          </w:p>
        </w:tc>
        <w:tc>
          <w:tcPr>
            <w:tcW w:w="2645" w:type="pct"/>
            <w:tcBorders>
              <w:top w:val="single" w:sz="4" w:space="0" w:color="000000"/>
              <w:left w:val="single" w:sz="4" w:space="0" w:color="000000"/>
              <w:bottom w:val="single" w:sz="4" w:space="0" w:color="000000"/>
              <w:right w:val="single" w:sz="4" w:space="0" w:color="000000"/>
            </w:tcBorders>
            <w:vAlign w:val="center"/>
          </w:tcPr>
          <w:p w14:paraId="67B0B06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是否在公司内部开展反商业贿赂及反贪污培训</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06B78F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A531663"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3D87D84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1F800D0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0E81AAF4"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1F881674"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2D2226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是否对商业伙伴开展反商业贿赂及反贪污培训</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27DAC99"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72C5563"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08EC5A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040A075" w14:textId="77777777" w:rsidR="00CA5006" w:rsidRDefault="00CA5006">
            <w:pPr>
              <w:jc w:val="center"/>
              <w:rPr>
                <w:rFonts w:ascii="宋体" w:hAnsi="宋体" w:cs="宋体" w:hint="eastAsia"/>
                <w:color w:val="000000"/>
              </w:rPr>
            </w:pPr>
          </w:p>
        </w:tc>
        <w:tc>
          <w:tcPr>
            <w:tcW w:w="519" w:type="pct"/>
            <w:tcBorders>
              <w:top w:val="single" w:sz="4" w:space="0" w:color="000000"/>
              <w:left w:val="single" w:sz="4" w:space="0" w:color="000000"/>
              <w:bottom w:val="single" w:sz="4" w:space="0" w:color="000000"/>
              <w:right w:val="single" w:sz="4" w:space="0" w:color="000000"/>
            </w:tcBorders>
            <w:vAlign w:val="center"/>
          </w:tcPr>
          <w:p w14:paraId="2A5882B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指标与目标</w:t>
            </w:r>
          </w:p>
        </w:tc>
        <w:tc>
          <w:tcPr>
            <w:tcW w:w="703" w:type="pct"/>
            <w:tcBorders>
              <w:top w:val="single" w:sz="4" w:space="0" w:color="000000"/>
              <w:left w:val="single" w:sz="4" w:space="0" w:color="000000"/>
              <w:bottom w:val="single" w:sz="4" w:space="0" w:color="000000"/>
              <w:right w:val="single" w:sz="4" w:space="0" w:color="000000"/>
            </w:tcBorders>
            <w:vAlign w:val="center"/>
          </w:tcPr>
          <w:p w14:paraId="209B9AF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反商业贿赂及反贪污培训情况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0C95ED6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接受反商业贿赂及反贪污培训的董事、管理层、员工总数和百分比</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EC2185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9DE87A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AD48F01"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777F039C"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5EBA676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负面</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301D3A9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反商业贿赂及反贪污负面信息</w:t>
            </w:r>
          </w:p>
        </w:tc>
        <w:tc>
          <w:tcPr>
            <w:tcW w:w="2645" w:type="pct"/>
            <w:tcBorders>
              <w:top w:val="single" w:sz="4" w:space="0" w:color="000000"/>
              <w:left w:val="single" w:sz="4" w:space="0" w:color="000000"/>
              <w:bottom w:val="single" w:sz="4" w:space="0" w:color="000000"/>
              <w:right w:val="single" w:sz="4" w:space="0" w:color="000000"/>
            </w:tcBorders>
            <w:vAlign w:val="center"/>
          </w:tcPr>
          <w:p w14:paraId="6C5CEBA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是否发生商业贿赂及贪污事件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43CA104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BB654C0"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907A73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25A647F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7722980D"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05303113"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4D74D3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是否说明事件处置情况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2BB04D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58809AEA"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CDE01B8" w14:textId="77777777" w:rsidR="00CA5006" w:rsidRDefault="00CA5006">
            <w:pPr>
              <w:jc w:val="center"/>
              <w:rPr>
                <w:rFonts w:ascii="宋体" w:hAnsi="宋体" w:cs="宋体" w:hint="eastAsia"/>
                <w:color w:val="000000"/>
              </w:rPr>
            </w:pPr>
          </w:p>
        </w:tc>
        <w:tc>
          <w:tcPr>
            <w:tcW w:w="385" w:type="pct"/>
            <w:vMerge w:val="restart"/>
            <w:tcBorders>
              <w:top w:val="single" w:sz="4" w:space="0" w:color="000000"/>
              <w:left w:val="single" w:sz="4" w:space="0" w:color="000000"/>
              <w:bottom w:val="single" w:sz="4" w:space="0" w:color="000000"/>
              <w:right w:val="single" w:sz="4" w:space="0" w:color="000000"/>
            </w:tcBorders>
            <w:vAlign w:val="center"/>
          </w:tcPr>
          <w:p w14:paraId="1BF4E3FC" w14:textId="77777777" w:rsidR="00CA5006" w:rsidRDefault="00000000">
            <w:pPr>
              <w:widowControl/>
              <w:jc w:val="center"/>
              <w:textAlignment w:val="center"/>
              <w:rPr>
                <w:rFonts w:ascii="宋体" w:hAnsi="宋体" w:cs="宋体" w:hint="eastAsia"/>
                <w:color w:val="000000"/>
              </w:rPr>
            </w:pPr>
            <w:r>
              <w:rPr>
                <w:rFonts w:ascii="宋体" w:hAnsi="宋体" w:cs="宋体" w:hint="eastAsia"/>
                <w:color w:val="000000"/>
                <w:kern w:val="0"/>
                <w:lang w:bidi="ar"/>
              </w:rPr>
              <w:t>反不正当竞争</w:t>
            </w: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1CDB030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治理</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190F09A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反不正当竞争治理架构</w:t>
            </w:r>
          </w:p>
        </w:tc>
        <w:tc>
          <w:tcPr>
            <w:tcW w:w="2645" w:type="pct"/>
            <w:tcBorders>
              <w:top w:val="single" w:sz="4" w:space="0" w:color="000000"/>
              <w:left w:val="single" w:sz="4" w:space="0" w:color="000000"/>
              <w:bottom w:val="single" w:sz="4" w:space="0" w:color="000000"/>
              <w:right w:val="single" w:sz="4" w:space="0" w:color="000000"/>
            </w:tcBorders>
            <w:vAlign w:val="center"/>
          </w:tcPr>
          <w:p w14:paraId="70F1AEF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是否由高级管理层负责反不正当竞争</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2D24A7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85AC989"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8C3E65D"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E69691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5CF128AA"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2AB1DA1A"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408D0D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是否建立反不正当竞争管理信息报告、监督机制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140A73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829F3A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DF2523B"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74496384"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3E7BC719"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2D91E59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反不正当竞争管理制度</w:t>
            </w:r>
          </w:p>
        </w:tc>
        <w:tc>
          <w:tcPr>
            <w:tcW w:w="2645" w:type="pct"/>
            <w:tcBorders>
              <w:top w:val="single" w:sz="4" w:space="0" w:color="000000"/>
              <w:left w:val="single" w:sz="4" w:space="0" w:color="000000"/>
              <w:bottom w:val="single" w:sz="4" w:space="0" w:color="000000"/>
              <w:right w:val="single" w:sz="4" w:space="0" w:color="000000"/>
            </w:tcBorders>
            <w:vAlign w:val="center"/>
          </w:tcPr>
          <w:p w14:paraId="5120E38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是否制定反不正当竞争的政策或制度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5C6D6C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585F113"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C75D8A4"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004C62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1233617A"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582F307A"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563AA23"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是否将不正当竞争事件零发生纳入管理层薪酬绩效考核</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B82D72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3DC62F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E7E5F5C"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11D371F"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48D86CE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战略</w:t>
            </w:r>
          </w:p>
        </w:tc>
        <w:tc>
          <w:tcPr>
            <w:tcW w:w="703" w:type="pct"/>
            <w:tcBorders>
              <w:top w:val="single" w:sz="4" w:space="0" w:color="000000"/>
              <w:left w:val="single" w:sz="4" w:space="0" w:color="000000"/>
              <w:bottom w:val="single" w:sz="4" w:space="0" w:color="000000"/>
              <w:right w:val="single" w:sz="4" w:space="0" w:color="000000"/>
            </w:tcBorders>
            <w:vAlign w:val="center"/>
          </w:tcPr>
          <w:p w14:paraId="31D71FE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反不正当竞争相关风险识别情况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24EED08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是否说明不正当竞争相关风险</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8C2CA6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5079F6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8CE179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56CD979"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2BDFBEF7"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41ADD29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反不正当竞争相关风险应对战略</w:t>
            </w:r>
          </w:p>
        </w:tc>
        <w:tc>
          <w:tcPr>
            <w:tcW w:w="2645" w:type="pct"/>
            <w:tcBorders>
              <w:top w:val="single" w:sz="4" w:space="0" w:color="000000"/>
              <w:left w:val="single" w:sz="4" w:space="0" w:color="000000"/>
              <w:bottom w:val="single" w:sz="4" w:space="0" w:color="000000"/>
              <w:right w:val="single" w:sz="4" w:space="0" w:color="000000"/>
            </w:tcBorders>
            <w:vAlign w:val="center"/>
          </w:tcPr>
          <w:p w14:paraId="4473A71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是否制定反不正当竞争管理计划与策略</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3DD1F54"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CBA02B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07BDE2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B058768"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4E287E7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影响、风险和机遇管理</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028790F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举报与调查机制</w:t>
            </w:r>
          </w:p>
        </w:tc>
        <w:tc>
          <w:tcPr>
            <w:tcW w:w="2645" w:type="pct"/>
            <w:tcBorders>
              <w:top w:val="single" w:sz="4" w:space="0" w:color="000000"/>
              <w:left w:val="single" w:sz="4" w:space="0" w:color="000000"/>
              <w:bottom w:val="single" w:sz="4" w:space="0" w:color="000000"/>
              <w:right w:val="single" w:sz="4" w:space="0" w:color="000000"/>
            </w:tcBorders>
            <w:vAlign w:val="center"/>
          </w:tcPr>
          <w:p w14:paraId="25D20EE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是否设立举报渠道</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0691A6D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3A984E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707B97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E62FBE5"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66666F15"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02C0723E"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BEB606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是否建立举报者保护政策或制度</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FDF46B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36F9903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95D177F"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535B1ABC"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691D6F98"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294EF722"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56B8FD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是否具体说明如何保护举报者</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A79352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8D0E33E"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1F1E161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041A20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50F2D40B"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0EBD857D"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7B6B79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是否具体说明处理举报与投诉的流程</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57AD277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BFC25BE"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0AA8C8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59DDEA10"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31694B8B" w14:textId="77777777" w:rsidR="00CA5006" w:rsidRDefault="00CA5006">
            <w:pPr>
              <w:jc w:val="left"/>
              <w:rPr>
                <w:rFonts w:ascii="宋体" w:hAnsi="宋体" w:cs="宋体" w:hint="eastAsia"/>
                <w:color w:val="000000"/>
              </w:rPr>
            </w:pP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2F83E445"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风险管控举措</w:t>
            </w:r>
          </w:p>
        </w:tc>
        <w:tc>
          <w:tcPr>
            <w:tcW w:w="2645" w:type="pct"/>
            <w:tcBorders>
              <w:top w:val="single" w:sz="4" w:space="0" w:color="000000"/>
              <w:left w:val="single" w:sz="4" w:space="0" w:color="000000"/>
              <w:bottom w:val="single" w:sz="4" w:space="0" w:color="000000"/>
              <w:right w:val="single" w:sz="4" w:space="0" w:color="000000"/>
            </w:tcBorders>
            <w:vAlign w:val="center"/>
          </w:tcPr>
          <w:p w14:paraId="71D8FD8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是否建立公平竞争合规审查机制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C8456A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029FB92F"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340E04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2AE8361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297002B3"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4924478C"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0FD99A6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是否建立市场推广材料、宣传材料和公开声明预先审核机制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A0450E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2111279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48FF3B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6184F9A3"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4569CA5D"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06853E0F"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40AA8AF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是否建立商业秘密管理机制，在招聘有竞争关系经营者的人员时加强背景调查</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9A2AE9A"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408F6AC1"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2A294119"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BB3231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7256F0DD"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0C634C9E"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587F067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是否明确有奖销售具体信息，包括但不限于奖项种类、兑奖条件、奖品及金额等，确保奖品价格的合理性</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C27DE7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FDED2FB"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58FF45EE"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542A90CE"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00020469"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686FCDE4"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243A81F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是否制定不正当竞争行为合规清单</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397C148"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50B9105"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4250A958"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2B7D7DB8"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084CD324" w14:textId="77777777" w:rsidR="00CA5006" w:rsidRDefault="00CA5006">
            <w:pPr>
              <w:jc w:val="left"/>
              <w:rPr>
                <w:rFonts w:ascii="宋体" w:hAnsi="宋体" w:cs="宋体" w:hint="eastAsia"/>
                <w:color w:val="000000"/>
              </w:rPr>
            </w:pPr>
          </w:p>
        </w:tc>
        <w:tc>
          <w:tcPr>
            <w:tcW w:w="703" w:type="pct"/>
            <w:tcBorders>
              <w:top w:val="single" w:sz="4" w:space="0" w:color="000000"/>
              <w:left w:val="single" w:sz="4" w:space="0" w:color="000000"/>
              <w:bottom w:val="single" w:sz="4" w:space="0" w:color="000000"/>
              <w:right w:val="single" w:sz="4" w:space="0" w:color="000000"/>
            </w:tcBorders>
            <w:vAlign w:val="center"/>
          </w:tcPr>
          <w:p w14:paraId="064CB0A6"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培训与能力建设</w:t>
            </w:r>
          </w:p>
        </w:tc>
        <w:tc>
          <w:tcPr>
            <w:tcW w:w="2645" w:type="pct"/>
            <w:tcBorders>
              <w:top w:val="single" w:sz="4" w:space="0" w:color="000000"/>
              <w:left w:val="single" w:sz="4" w:space="0" w:color="000000"/>
              <w:bottom w:val="single" w:sz="4" w:space="0" w:color="000000"/>
              <w:right w:val="single" w:sz="4" w:space="0" w:color="000000"/>
            </w:tcBorders>
            <w:vAlign w:val="center"/>
          </w:tcPr>
          <w:p w14:paraId="472175FE"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是否组织开展反不正当竞争的宣导、培训活动</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69B8791F"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115775DC"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07C76933"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081B9116" w14:textId="77777777" w:rsidR="00CA5006" w:rsidRDefault="00CA5006">
            <w:pPr>
              <w:jc w:val="center"/>
              <w:rPr>
                <w:rFonts w:ascii="宋体" w:hAnsi="宋体" w:cs="宋体" w:hint="eastAsia"/>
                <w:color w:val="000000"/>
              </w:rPr>
            </w:pPr>
          </w:p>
        </w:tc>
        <w:tc>
          <w:tcPr>
            <w:tcW w:w="519" w:type="pct"/>
            <w:tcBorders>
              <w:top w:val="single" w:sz="4" w:space="0" w:color="000000"/>
              <w:left w:val="single" w:sz="4" w:space="0" w:color="000000"/>
              <w:bottom w:val="single" w:sz="4" w:space="0" w:color="000000"/>
              <w:right w:val="single" w:sz="4" w:space="0" w:color="000000"/>
            </w:tcBorders>
            <w:vAlign w:val="center"/>
          </w:tcPr>
          <w:p w14:paraId="2499BE61"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指标与目标</w:t>
            </w:r>
          </w:p>
        </w:tc>
        <w:tc>
          <w:tcPr>
            <w:tcW w:w="703" w:type="pct"/>
            <w:tcBorders>
              <w:top w:val="single" w:sz="4" w:space="0" w:color="000000"/>
              <w:left w:val="single" w:sz="4" w:space="0" w:color="000000"/>
              <w:bottom w:val="single" w:sz="4" w:space="0" w:color="000000"/>
              <w:right w:val="single" w:sz="4" w:space="0" w:color="000000"/>
            </w:tcBorders>
            <w:vAlign w:val="center"/>
          </w:tcPr>
          <w:p w14:paraId="39294A5C"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反不正当竞争培训情况</w:t>
            </w:r>
          </w:p>
        </w:tc>
        <w:tc>
          <w:tcPr>
            <w:tcW w:w="2645" w:type="pct"/>
            <w:tcBorders>
              <w:top w:val="single" w:sz="4" w:space="0" w:color="000000"/>
              <w:left w:val="single" w:sz="4" w:space="0" w:color="000000"/>
              <w:bottom w:val="single" w:sz="4" w:space="0" w:color="000000"/>
              <w:right w:val="single" w:sz="4" w:space="0" w:color="000000"/>
            </w:tcBorders>
            <w:vAlign w:val="center"/>
          </w:tcPr>
          <w:p w14:paraId="00166AF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接受反不正当竞争培训的董事、管理层、员工总数和百分比</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77123A67"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7BEAEFF0"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63514486"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3FBEAD15" w14:textId="77777777" w:rsidR="00CA5006" w:rsidRDefault="00CA5006">
            <w:pPr>
              <w:jc w:val="center"/>
              <w:rPr>
                <w:rFonts w:ascii="宋体" w:hAnsi="宋体" w:cs="宋体" w:hint="eastAsia"/>
                <w:color w:val="000000"/>
              </w:rPr>
            </w:pPr>
          </w:p>
        </w:tc>
        <w:tc>
          <w:tcPr>
            <w:tcW w:w="519" w:type="pct"/>
            <w:vMerge w:val="restart"/>
            <w:tcBorders>
              <w:top w:val="single" w:sz="4" w:space="0" w:color="000000"/>
              <w:left w:val="single" w:sz="4" w:space="0" w:color="000000"/>
              <w:bottom w:val="single" w:sz="4" w:space="0" w:color="000000"/>
              <w:right w:val="single" w:sz="4" w:space="0" w:color="000000"/>
            </w:tcBorders>
            <w:vAlign w:val="center"/>
          </w:tcPr>
          <w:p w14:paraId="1102E7C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负面</w:t>
            </w:r>
          </w:p>
        </w:tc>
        <w:tc>
          <w:tcPr>
            <w:tcW w:w="703" w:type="pct"/>
            <w:vMerge w:val="restart"/>
            <w:tcBorders>
              <w:top w:val="single" w:sz="4" w:space="0" w:color="000000"/>
              <w:left w:val="single" w:sz="4" w:space="0" w:color="000000"/>
              <w:bottom w:val="single" w:sz="4" w:space="0" w:color="000000"/>
              <w:right w:val="single" w:sz="4" w:space="0" w:color="000000"/>
            </w:tcBorders>
            <w:vAlign w:val="center"/>
          </w:tcPr>
          <w:p w14:paraId="3781AAE2"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反不正当竞争负面信息</w:t>
            </w:r>
          </w:p>
        </w:tc>
        <w:tc>
          <w:tcPr>
            <w:tcW w:w="2645" w:type="pct"/>
            <w:tcBorders>
              <w:top w:val="single" w:sz="4" w:space="0" w:color="000000"/>
              <w:left w:val="single" w:sz="4" w:space="0" w:color="000000"/>
              <w:bottom w:val="single" w:sz="4" w:space="0" w:color="000000"/>
              <w:right w:val="single" w:sz="4" w:space="0" w:color="000000"/>
            </w:tcBorders>
            <w:vAlign w:val="center"/>
          </w:tcPr>
          <w:p w14:paraId="04857CCB"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是否发生不正当竞争事件</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10111F5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r w:rsidR="00CA5006" w14:paraId="68DAAE99" w14:textId="77777777">
        <w:trPr>
          <w:trHeight w:val="326"/>
        </w:trPr>
        <w:tc>
          <w:tcPr>
            <w:tcW w:w="383" w:type="pct"/>
            <w:vMerge/>
            <w:tcBorders>
              <w:top w:val="single" w:sz="4" w:space="0" w:color="000000"/>
              <w:left w:val="single" w:sz="4" w:space="0" w:color="000000"/>
              <w:bottom w:val="single" w:sz="4" w:space="0" w:color="000000"/>
              <w:right w:val="single" w:sz="4" w:space="0" w:color="000000"/>
            </w:tcBorders>
            <w:noWrap/>
            <w:vAlign w:val="center"/>
          </w:tcPr>
          <w:p w14:paraId="7F03CD02" w14:textId="77777777" w:rsidR="00CA5006" w:rsidRDefault="00CA5006">
            <w:pPr>
              <w:jc w:val="center"/>
              <w:rPr>
                <w:rFonts w:ascii="宋体" w:hAnsi="宋体" w:cs="宋体" w:hint="eastAsia"/>
                <w:color w:val="000000"/>
              </w:rPr>
            </w:pPr>
          </w:p>
        </w:tc>
        <w:tc>
          <w:tcPr>
            <w:tcW w:w="385" w:type="pct"/>
            <w:vMerge/>
            <w:tcBorders>
              <w:top w:val="single" w:sz="4" w:space="0" w:color="000000"/>
              <w:left w:val="single" w:sz="4" w:space="0" w:color="000000"/>
              <w:bottom w:val="single" w:sz="4" w:space="0" w:color="000000"/>
              <w:right w:val="single" w:sz="4" w:space="0" w:color="000000"/>
            </w:tcBorders>
            <w:vAlign w:val="center"/>
          </w:tcPr>
          <w:p w14:paraId="4FDCCB9F" w14:textId="77777777" w:rsidR="00CA5006" w:rsidRDefault="00CA5006">
            <w:pPr>
              <w:jc w:val="center"/>
              <w:rPr>
                <w:rFonts w:ascii="宋体" w:hAnsi="宋体" w:cs="宋体" w:hint="eastAsia"/>
                <w:color w:val="000000"/>
              </w:rPr>
            </w:pPr>
          </w:p>
        </w:tc>
        <w:tc>
          <w:tcPr>
            <w:tcW w:w="519" w:type="pct"/>
            <w:vMerge/>
            <w:tcBorders>
              <w:top w:val="single" w:sz="4" w:space="0" w:color="000000"/>
              <w:left w:val="single" w:sz="4" w:space="0" w:color="000000"/>
              <w:bottom w:val="single" w:sz="4" w:space="0" w:color="000000"/>
              <w:right w:val="single" w:sz="4" w:space="0" w:color="000000"/>
            </w:tcBorders>
            <w:vAlign w:val="center"/>
          </w:tcPr>
          <w:p w14:paraId="647C8361" w14:textId="77777777" w:rsidR="00CA5006" w:rsidRDefault="00CA5006">
            <w:pPr>
              <w:jc w:val="left"/>
              <w:rPr>
                <w:rFonts w:ascii="宋体" w:hAnsi="宋体" w:cs="宋体" w:hint="eastAsia"/>
                <w:color w:val="000000"/>
              </w:rPr>
            </w:pPr>
          </w:p>
        </w:tc>
        <w:tc>
          <w:tcPr>
            <w:tcW w:w="703" w:type="pct"/>
            <w:vMerge/>
            <w:tcBorders>
              <w:top w:val="single" w:sz="4" w:space="0" w:color="000000"/>
              <w:left w:val="single" w:sz="4" w:space="0" w:color="000000"/>
              <w:bottom w:val="single" w:sz="4" w:space="0" w:color="000000"/>
              <w:right w:val="single" w:sz="4" w:space="0" w:color="000000"/>
            </w:tcBorders>
            <w:vAlign w:val="center"/>
          </w:tcPr>
          <w:p w14:paraId="17C8FA4E" w14:textId="77777777" w:rsidR="00CA5006" w:rsidRDefault="00CA5006">
            <w:pPr>
              <w:jc w:val="left"/>
              <w:rPr>
                <w:rFonts w:ascii="宋体" w:hAnsi="宋体" w:cs="宋体" w:hint="eastAsia"/>
                <w:color w:val="000000"/>
              </w:rPr>
            </w:pPr>
          </w:p>
        </w:tc>
        <w:tc>
          <w:tcPr>
            <w:tcW w:w="2645" w:type="pct"/>
            <w:tcBorders>
              <w:top w:val="single" w:sz="4" w:space="0" w:color="000000"/>
              <w:left w:val="single" w:sz="4" w:space="0" w:color="000000"/>
              <w:bottom w:val="single" w:sz="4" w:space="0" w:color="000000"/>
              <w:right w:val="single" w:sz="4" w:space="0" w:color="000000"/>
            </w:tcBorders>
            <w:vAlign w:val="center"/>
          </w:tcPr>
          <w:p w14:paraId="1437428D"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是否说明事件处置情况</w:t>
            </w:r>
          </w:p>
        </w:tc>
        <w:tc>
          <w:tcPr>
            <w:tcW w:w="362" w:type="pct"/>
            <w:tcBorders>
              <w:top w:val="single" w:sz="4" w:space="0" w:color="000000"/>
              <w:left w:val="single" w:sz="4" w:space="0" w:color="000000"/>
              <w:bottom w:val="single" w:sz="4" w:space="0" w:color="000000"/>
              <w:right w:val="single" w:sz="4" w:space="0" w:color="000000"/>
            </w:tcBorders>
            <w:noWrap/>
            <w:vAlign w:val="center"/>
          </w:tcPr>
          <w:p w14:paraId="2700E840" w14:textId="77777777" w:rsidR="00CA5006" w:rsidRDefault="00000000">
            <w:pPr>
              <w:widowControl/>
              <w:jc w:val="left"/>
              <w:textAlignment w:val="center"/>
              <w:rPr>
                <w:rFonts w:ascii="宋体" w:hAnsi="宋体" w:cs="宋体" w:hint="eastAsia"/>
                <w:color w:val="000000"/>
              </w:rPr>
            </w:pPr>
            <w:r>
              <w:rPr>
                <w:rFonts w:ascii="宋体" w:hAnsi="宋体" w:cs="宋体" w:hint="eastAsia"/>
                <w:color w:val="000000"/>
                <w:kern w:val="0"/>
                <w:lang w:bidi="ar"/>
              </w:rPr>
              <w:t>通用</w:t>
            </w:r>
          </w:p>
        </w:tc>
      </w:tr>
    </w:tbl>
    <w:p w14:paraId="28690B22" w14:textId="77777777" w:rsidR="00CA5006" w:rsidRDefault="00CA5006"/>
    <w:p w14:paraId="60DCF23D" w14:textId="77777777" w:rsidR="00CA5006" w:rsidRDefault="00CA5006">
      <w:pPr>
        <w:widowControl/>
        <w:autoSpaceDE w:val="0"/>
        <w:autoSpaceDN w:val="0"/>
        <w:adjustRightInd/>
        <w:spacing w:line="240" w:lineRule="auto"/>
        <w:ind w:firstLineChars="200" w:firstLine="420"/>
        <w:jc w:val="center"/>
        <w:rPr>
          <w:rFonts w:ascii="宋体" w:hAnsi="Times New Roman"/>
          <w:kern w:val="0"/>
          <w:szCs w:val="20"/>
        </w:rPr>
      </w:pPr>
    </w:p>
    <w:p w14:paraId="1745F4AA" w14:textId="77777777" w:rsidR="00CA5006" w:rsidRDefault="00CA5006">
      <w:pPr>
        <w:sectPr w:rsidR="00CA5006">
          <w:pgSz w:w="16838" w:h="11906" w:orient="landscape"/>
          <w:pgMar w:top="1134" w:right="2410" w:bottom="1134" w:left="1134" w:header="1418" w:footer="1134" w:gutter="284"/>
          <w:cols w:space="425"/>
          <w:formProt w:val="0"/>
          <w:docGrid w:linePitch="312"/>
        </w:sectPr>
      </w:pPr>
    </w:p>
    <w:p w14:paraId="71C7E3D0" w14:textId="77777777" w:rsidR="00CA5006" w:rsidRDefault="00CA5006">
      <w:pPr>
        <w:pStyle w:val="af4"/>
        <w:rPr>
          <w:rFonts w:hint="eastAsia"/>
        </w:rPr>
      </w:pPr>
    </w:p>
    <w:p w14:paraId="1C7B9C66" w14:textId="77777777" w:rsidR="00CA5006" w:rsidRDefault="00CA5006">
      <w:pPr>
        <w:pStyle w:val="afa"/>
      </w:pPr>
    </w:p>
    <w:p w14:paraId="4D2BB604" w14:textId="77777777" w:rsidR="00CA5006" w:rsidRDefault="00000000">
      <w:pPr>
        <w:pStyle w:val="afffffff2"/>
        <w:spacing w:before="60" w:after="120"/>
      </w:pPr>
      <w:bookmarkStart w:id="58" w:name="_Toc11257"/>
      <w:r>
        <w:rPr>
          <w:rFonts w:hint="eastAsia"/>
        </w:rPr>
        <w:t>附录B</w:t>
      </w:r>
      <w:r>
        <w:br/>
      </w:r>
      <w:r>
        <w:rPr>
          <w:rFonts w:hint="eastAsia"/>
        </w:rPr>
        <w:t>（规范性）</w:t>
      </w:r>
      <w:r>
        <w:br/>
      </w:r>
      <w:r>
        <w:rPr>
          <w:rFonts w:hint="eastAsia"/>
        </w:rPr>
        <w:t>中国汽车行业ESG评价指标计算方法与权重系数设定方法</w:t>
      </w:r>
      <w:bookmarkEnd w:id="58"/>
    </w:p>
    <w:p w14:paraId="20F2A3CD" w14:textId="77777777" w:rsidR="00CA5006" w:rsidRDefault="00000000">
      <w:pPr>
        <w:widowControl/>
        <w:autoSpaceDE w:val="0"/>
        <w:autoSpaceDN w:val="0"/>
        <w:adjustRightInd/>
        <w:spacing w:line="240" w:lineRule="auto"/>
        <w:ind w:firstLineChars="200" w:firstLine="422"/>
        <w:rPr>
          <w:rFonts w:ascii="宋体" w:hAnsi="Times New Roman"/>
          <w:b/>
          <w:bCs/>
          <w:kern w:val="0"/>
          <w:szCs w:val="20"/>
        </w:rPr>
      </w:pPr>
      <w:r>
        <w:rPr>
          <w:rFonts w:ascii="宋体" w:hAnsi="Times New Roman" w:hint="eastAsia"/>
          <w:b/>
          <w:bCs/>
          <w:kern w:val="0"/>
          <w:szCs w:val="20"/>
        </w:rPr>
        <w:t>B.1指标体系结构</w:t>
      </w:r>
    </w:p>
    <w:p w14:paraId="1782BBFA" w14:textId="77777777" w:rsidR="00CA5006" w:rsidRDefault="00000000">
      <w:pPr>
        <w:widowControl/>
        <w:overflowPunct w:val="0"/>
        <w:adjustRightInd/>
        <w:snapToGrid w:val="0"/>
        <w:spacing w:line="360" w:lineRule="auto"/>
        <w:ind w:right="57" w:firstLineChars="200" w:firstLine="420"/>
        <w:textAlignment w:val="baseline"/>
        <w:rPr>
          <w:rFonts w:ascii="宋体" w:hAnsi="Times New Roman"/>
          <w:kern w:val="0"/>
          <w:szCs w:val="20"/>
        </w:rPr>
      </w:pPr>
      <w:r>
        <w:rPr>
          <w:rFonts w:ascii="宋体" w:hAnsi="Times New Roman" w:hint="eastAsia"/>
          <w:kern w:val="0"/>
          <w:szCs w:val="20"/>
        </w:rPr>
        <w:t>汽车行业ESG评价指标体系按“维度—议题—支柱—指标—数据点”五级结构构建：</w:t>
      </w:r>
    </w:p>
    <w:p w14:paraId="0D722AC2" w14:textId="77777777" w:rsidR="00CA5006" w:rsidRDefault="00000000">
      <w:pPr>
        <w:widowControl/>
        <w:overflowPunct w:val="0"/>
        <w:adjustRightInd/>
        <w:snapToGrid w:val="0"/>
        <w:spacing w:line="360" w:lineRule="auto"/>
        <w:ind w:right="57" w:firstLineChars="200" w:firstLine="420"/>
        <w:textAlignment w:val="baseline"/>
        <w:rPr>
          <w:rFonts w:ascii="宋体" w:hAnsi="Times New Roman"/>
          <w:kern w:val="0"/>
          <w:szCs w:val="20"/>
        </w:rPr>
      </w:pPr>
      <w:r>
        <w:rPr>
          <w:rFonts w:ascii="宋体" w:hAnsi="Times New Roman" w:hint="eastAsia"/>
          <w:kern w:val="0"/>
          <w:szCs w:val="20"/>
        </w:rPr>
        <w:t>维度（一级）：环境（E）、社会（S）、治理（G）三个维度；</w:t>
      </w:r>
    </w:p>
    <w:p w14:paraId="6FDF0C25" w14:textId="77777777" w:rsidR="00CA5006" w:rsidRDefault="00000000">
      <w:pPr>
        <w:widowControl/>
        <w:overflowPunct w:val="0"/>
        <w:adjustRightInd/>
        <w:snapToGrid w:val="0"/>
        <w:spacing w:line="360" w:lineRule="auto"/>
        <w:ind w:right="57" w:firstLineChars="200" w:firstLine="420"/>
        <w:textAlignment w:val="baseline"/>
        <w:rPr>
          <w:rFonts w:ascii="宋体" w:hAnsi="Times New Roman"/>
          <w:kern w:val="0"/>
          <w:szCs w:val="20"/>
        </w:rPr>
      </w:pPr>
      <w:r>
        <w:rPr>
          <w:rFonts w:ascii="宋体" w:hAnsi="Times New Roman" w:hint="eastAsia"/>
          <w:kern w:val="0"/>
          <w:szCs w:val="20"/>
        </w:rPr>
        <w:t>议题（二级）：每个维度</w:t>
      </w:r>
      <w:r>
        <w:rPr>
          <w:rFonts w:ascii="宋体" w:hAnsi="宋体" w:cs="宋体"/>
          <w:snapToGrid w:val="0"/>
          <w:color w:val="000000"/>
          <w:kern w:val="0"/>
        </w:rPr>
        <w:t>下设</w:t>
      </w:r>
      <w:r>
        <w:rPr>
          <w:rFonts w:ascii="宋体" w:hAnsi="Times New Roman" w:hint="eastAsia"/>
          <w:kern w:val="0"/>
          <w:szCs w:val="20"/>
        </w:rPr>
        <w:t>若干议题，共18个；</w:t>
      </w:r>
    </w:p>
    <w:p w14:paraId="5AE1E612" w14:textId="77777777" w:rsidR="00CA5006" w:rsidRDefault="00000000">
      <w:pPr>
        <w:widowControl/>
        <w:overflowPunct w:val="0"/>
        <w:adjustRightInd/>
        <w:snapToGrid w:val="0"/>
        <w:spacing w:line="360" w:lineRule="auto"/>
        <w:ind w:right="57" w:firstLineChars="200" w:firstLine="420"/>
        <w:textAlignment w:val="baseline"/>
        <w:rPr>
          <w:rFonts w:ascii="宋体" w:hAnsi="Times New Roman"/>
          <w:kern w:val="0"/>
          <w:szCs w:val="20"/>
        </w:rPr>
      </w:pPr>
      <w:r>
        <w:rPr>
          <w:rFonts w:ascii="宋体" w:hAnsi="Times New Roman" w:hint="eastAsia"/>
          <w:kern w:val="0"/>
          <w:szCs w:val="20"/>
        </w:rPr>
        <w:t>支柱（三级）：每个议题按</w:t>
      </w:r>
      <w:r>
        <w:rPr>
          <w:rFonts w:ascii="宋体" w:hAnsi="宋体" w:cs="宋体"/>
          <w:snapToGrid w:val="0"/>
          <w:color w:val="000000"/>
          <w:kern w:val="0"/>
        </w:rPr>
        <w:t>治理</w:t>
      </w:r>
      <w:r>
        <w:rPr>
          <w:rFonts w:ascii="宋体" w:hAnsi="Times New Roman" w:hint="eastAsia"/>
          <w:kern w:val="0"/>
          <w:szCs w:val="20"/>
        </w:rPr>
        <w:t>、战略、影响、风险和机遇管理、指标与目标四个支柱组织，另设负面信息；</w:t>
      </w:r>
    </w:p>
    <w:p w14:paraId="2744197B" w14:textId="77777777" w:rsidR="00CA5006" w:rsidRDefault="00000000">
      <w:pPr>
        <w:widowControl/>
        <w:overflowPunct w:val="0"/>
        <w:adjustRightInd/>
        <w:snapToGrid w:val="0"/>
        <w:spacing w:line="360" w:lineRule="auto"/>
        <w:ind w:right="57" w:firstLineChars="200" w:firstLine="420"/>
        <w:textAlignment w:val="baseline"/>
        <w:rPr>
          <w:rFonts w:ascii="宋体" w:hAnsi="Times New Roman"/>
          <w:kern w:val="0"/>
          <w:szCs w:val="20"/>
        </w:rPr>
      </w:pPr>
      <w:r>
        <w:rPr>
          <w:rFonts w:ascii="宋体" w:hAnsi="Times New Roman" w:hint="eastAsia"/>
          <w:kern w:val="0"/>
          <w:szCs w:val="20"/>
        </w:rPr>
        <w:t>指标（四级）：每个支柱下设若干指标；</w:t>
      </w:r>
    </w:p>
    <w:p w14:paraId="7A924E75" w14:textId="77777777" w:rsidR="00CA5006" w:rsidRDefault="00000000">
      <w:pPr>
        <w:widowControl/>
        <w:autoSpaceDE w:val="0"/>
        <w:autoSpaceDN w:val="0"/>
        <w:adjustRightInd/>
        <w:spacing w:line="240" w:lineRule="auto"/>
        <w:ind w:firstLineChars="200" w:firstLine="420"/>
        <w:rPr>
          <w:rFonts w:ascii="宋体" w:hAnsi="Times New Roman"/>
          <w:kern w:val="0"/>
          <w:szCs w:val="20"/>
        </w:rPr>
      </w:pPr>
      <w:r>
        <w:rPr>
          <w:rFonts w:ascii="宋体" w:hAnsi="Times New Roman" w:hint="eastAsia"/>
          <w:kern w:val="0"/>
          <w:szCs w:val="20"/>
        </w:rPr>
        <w:t>数据点（五级）：每个指标下设若干二值评价数据点。</w:t>
      </w:r>
    </w:p>
    <w:p w14:paraId="59D8E958" w14:textId="77777777" w:rsidR="00CA5006" w:rsidRDefault="00000000">
      <w:pPr>
        <w:widowControl/>
        <w:autoSpaceDE w:val="0"/>
        <w:autoSpaceDN w:val="0"/>
        <w:adjustRightInd/>
        <w:spacing w:line="240" w:lineRule="auto"/>
        <w:ind w:firstLineChars="200" w:firstLine="422"/>
        <w:rPr>
          <w:rFonts w:ascii="宋体" w:hAnsi="Times New Roman"/>
          <w:b/>
          <w:bCs/>
          <w:kern w:val="0"/>
          <w:szCs w:val="20"/>
        </w:rPr>
      </w:pPr>
      <w:r>
        <w:rPr>
          <w:rFonts w:ascii="宋体" w:hAnsi="Times New Roman" w:hint="eastAsia"/>
          <w:b/>
          <w:bCs/>
          <w:kern w:val="0"/>
          <w:szCs w:val="20"/>
        </w:rPr>
        <w:t>B.2计算方法</w:t>
      </w:r>
    </w:p>
    <w:p w14:paraId="717CC522" w14:textId="77777777" w:rsidR="00CA5006" w:rsidRDefault="00000000">
      <w:pPr>
        <w:widowControl/>
        <w:overflowPunct w:val="0"/>
        <w:adjustRightInd/>
        <w:snapToGrid w:val="0"/>
        <w:spacing w:line="360" w:lineRule="auto"/>
        <w:ind w:right="57" w:firstLineChars="200" w:firstLine="420"/>
        <w:textAlignment w:val="baseline"/>
        <w:rPr>
          <w:rFonts w:ascii="宋体" w:hAnsi="Times New Roman"/>
          <w:kern w:val="0"/>
          <w:szCs w:val="20"/>
        </w:rPr>
      </w:pPr>
      <w:r>
        <w:rPr>
          <w:rFonts w:ascii="宋体" w:hAnsi="Times New Roman" w:hint="eastAsia"/>
          <w:kern w:val="0"/>
          <w:szCs w:val="20"/>
        </w:rPr>
        <w:t>数据点得分：数据点采用二值计分</w:t>
      </w:r>
      <w:r>
        <w:rPr>
          <w:rFonts w:ascii="宋体" w:hAnsi="宋体" w:cs="宋体"/>
          <w:snapToGrid w:val="0"/>
          <w:color w:val="000000"/>
          <w:kern w:val="0"/>
        </w:rPr>
        <w:t>规则</w:t>
      </w:r>
      <w:r>
        <w:rPr>
          <w:rFonts w:ascii="宋体" w:hAnsi="Times New Roman" w:hint="eastAsia"/>
          <w:kern w:val="0"/>
          <w:szCs w:val="20"/>
        </w:rPr>
        <w:t>，满足要求计1分，不满足计0分。</w:t>
      </w:r>
    </w:p>
    <w:p w14:paraId="5AA3A655" w14:textId="77777777" w:rsidR="00CA5006" w:rsidRDefault="00000000">
      <w:pPr>
        <w:widowControl/>
        <w:overflowPunct w:val="0"/>
        <w:adjustRightInd/>
        <w:snapToGrid w:val="0"/>
        <w:spacing w:line="360" w:lineRule="auto"/>
        <w:ind w:right="57" w:firstLineChars="200" w:firstLine="420"/>
        <w:textAlignment w:val="baseline"/>
        <w:rPr>
          <w:rFonts w:ascii="宋体" w:hAnsi="Times New Roman"/>
          <w:kern w:val="0"/>
          <w:szCs w:val="20"/>
        </w:rPr>
      </w:pPr>
      <w:r>
        <w:rPr>
          <w:rFonts w:ascii="宋体" w:hAnsi="Times New Roman" w:hint="eastAsia"/>
          <w:kern w:val="0"/>
          <w:szCs w:val="20"/>
        </w:rPr>
        <w:t>指标（四级）得分=</w:t>
      </w:r>
      <m:oMath>
        <m:f>
          <m:fPr>
            <m:ctrlPr>
              <w:rPr>
                <w:rFonts w:ascii="Cambria Math" w:hAnsi="Cambria Math"/>
                <w:i/>
                <w:kern w:val="0"/>
                <w:szCs w:val="20"/>
              </w:rPr>
            </m:ctrlPr>
          </m:fPr>
          <m:num>
            <m:r>
              <w:rPr>
                <w:rFonts w:ascii="Cambria Math" w:hAnsi="Cambria Math"/>
                <w:kern w:val="0"/>
                <w:szCs w:val="20"/>
              </w:rPr>
              <m:t>1</m:t>
            </m:r>
          </m:num>
          <m:den>
            <m:r>
              <w:rPr>
                <w:rFonts w:ascii="Cambria Math" w:hAnsi="Cambria Math"/>
                <w:kern w:val="0"/>
                <w:szCs w:val="20"/>
              </w:rPr>
              <m:t>n</m:t>
            </m:r>
          </m:den>
        </m:f>
        <m:nary>
          <m:naryPr>
            <m:chr m:val="∑"/>
            <m:limLoc m:val="undOvr"/>
            <m:grow m:val="1"/>
            <m:ctrlPr>
              <w:rPr>
                <w:rFonts w:ascii="Cambria Math" w:hAnsi="Cambria Math"/>
                <w:i/>
                <w:kern w:val="0"/>
                <w:szCs w:val="20"/>
              </w:rPr>
            </m:ctrlPr>
          </m:naryPr>
          <m:sub>
            <m:r>
              <w:rPr>
                <w:rFonts w:ascii="Cambria Math" w:hAnsi="Cambria Math"/>
                <w:kern w:val="0"/>
                <w:szCs w:val="20"/>
              </w:rPr>
              <m:t>i=1</m:t>
            </m:r>
          </m:sub>
          <m:sup>
            <m:r>
              <w:rPr>
                <w:rFonts w:ascii="Cambria Math" w:hAnsi="Cambria Math"/>
                <w:kern w:val="0"/>
                <w:szCs w:val="20"/>
              </w:rPr>
              <m:t>n</m:t>
            </m:r>
          </m:sup>
          <m:e>
            <m:sSub>
              <m:sSubPr>
                <m:ctrlPr>
                  <w:rPr>
                    <w:rFonts w:ascii="Cambria Math" w:hAnsi="Cambria Math"/>
                    <w:i/>
                    <w:kern w:val="0"/>
                    <w:szCs w:val="20"/>
                  </w:rPr>
                </m:ctrlPr>
              </m:sSubPr>
              <m:e>
                <m:r>
                  <w:rPr>
                    <w:rFonts w:ascii="Cambria Math" w:hAnsi="Cambria Math"/>
                    <w:kern w:val="0"/>
                    <w:szCs w:val="20"/>
                  </w:rPr>
                  <m:t>s</m:t>
                </m:r>
              </m:e>
              <m:sub>
                <m:r>
                  <w:rPr>
                    <w:rFonts w:ascii="Cambria Math" w:hAnsi="Cambria Math"/>
                    <w:kern w:val="0"/>
                    <w:szCs w:val="20"/>
                  </w:rPr>
                  <m:t>i</m:t>
                </m:r>
              </m:sub>
            </m:sSub>
          </m:e>
        </m:nary>
      </m:oMath>
      <w:r>
        <w:rPr>
          <w:rFonts w:ascii="宋体" w:hAnsi="Times New Roman" w:hint="eastAsia"/>
          <w:kern w:val="0"/>
          <w:szCs w:val="20"/>
        </w:rPr>
        <w:t>，</w:t>
      </w:r>
      <m:oMath>
        <m:sSub>
          <m:sSubPr>
            <m:ctrlPr>
              <w:rPr>
                <w:rFonts w:ascii="Cambria Math" w:hAnsi="Cambria Math"/>
                <w:i/>
                <w:kern w:val="0"/>
                <w:szCs w:val="20"/>
              </w:rPr>
            </m:ctrlPr>
          </m:sSubPr>
          <m:e>
            <m:r>
              <w:rPr>
                <w:rFonts w:ascii="Cambria Math" w:hAnsi="Cambria Math"/>
                <w:kern w:val="0"/>
                <w:szCs w:val="20"/>
              </w:rPr>
              <m:t>s</m:t>
            </m:r>
          </m:e>
          <m:sub>
            <m:r>
              <w:rPr>
                <w:rFonts w:ascii="Cambria Math" w:hAnsi="Cambria Math"/>
                <w:kern w:val="0"/>
                <w:szCs w:val="20"/>
              </w:rPr>
              <m:t>i</m:t>
            </m:r>
          </m:sub>
        </m:sSub>
      </m:oMath>
      <w:r>
        <w:rPr>
          <w:rFonts w:hAnsi="Cambria Math" w:hint="eastAsia"/>
          <w:kern w:val="0"/>
          <w:szCs w:val="20"/>
        </w:rPr>
        <w:t>为该四级指标下第</w:t>
      </w:r>
      <w:r>
        <w:rPr>
          <w:rFonts w:hAnsi="Cambria Math" w:hint="eastAsia"/>
          <w:kern w:val="0"/>
          <w:szCs w:val="20"/>
        </w:rPr>
        <w:t>i</w:t>
      </w:r>
      <w:r>
        <w:rPr>
          <w:rFonts w:hAnsi="Cambria Math" w:hint="eastAsia"/>
          <w:kern w:val="0"/>
          <w:szCs w:val="20"/>
        </w:rPr>
        <w:t>个适用底层数据点的二值得分（</w:t>
      </w:r>
      <w:r>
        <w:rPr>
          <w:rFonts w:hAnsi="Cambria Math" w:hint="eastAsia"/>
          <w:kern w:val="0"/>
          <w:szCs w:val="20"/>
        </w:rPr>
        <w:t>0</w:t>
      </w:r>
      <w:r>
        <w:rPr>
          <w:rFonts w:hAnsi="Cambria Math" w:hint="eastAsia"/>
          <w:kern w:val="0"/>
          <w:szCs w:val="20"/>
        </w:rPr>
        <w:t>或</w:t>
      </w:r>
      <w:r>
        <w:rPr>
          <w:rFonts w:hAnsi="Cambria Math" w:hint="eastAsia"/>
          <w:kern w:val="0"/>
          <w:szCs w:val="20"/>
        </w:rPr>
        <w:t>1</w:t>
      </w:r>
      <w:r>
        <w:rPr>
          <w:rFonts w:hAnsi="Cambria Math" w:hint="eastAsia"/>
          <w:kern w:val="0"/>
          <w:szCs w:val="20"/>
        </w:rPr>
        <w:t>），</w:t>
      </w:r>
      <w:r>
        <w:rPr>
          <w:rFonts w:ascii="Cambria Math" w:hAnsi="Cambria Math"/>
          <w:i/>
          <w:kern w:val="0"/>
          <w:szCs w:val="20"/>
        </w:rPr>
        <w:t>n</w:t>
      </w:r>
      <w:r>
        <w:rPr>
          <w:rFonts w:hAnsi="Cambria Math" w:hint="eastAsia"/>
          <w:kern w:val="0"/>
          <w:szCs w:val="20"/>
        </w:rPr>
        <w:t>为该四级指标下适用数据点的总数。</w:t>
      </w:r>
    </w:p>
    <w:p w14:paraId="5330E3D1" w14:textId="77777777" w:rsidR="00CA5006" w:rsidRDefault="00000000">
      <w:pPr>
        <w:widowControl/>
        <w:overflowPunct w:val="0"/>
        <w:adjustRightInd/>
        <w:snapToGrid w:val="0"/>
        <w:spacing w:line="360" w:lineRule="auto"/>
        <w:ind w:right="57" w:firstLineChars="200" w:firstLine="420"/>
        <w:textAlignment w:val="baseline"/>
        <w:rPr>
          <w:rFonts w:ascii="宋体" w:hAnsi="Times New Roman"/>
          <w:kern w:val="0"/>
          <w:szCs w:val="20"/>
        </w:rPr>
      </w:pPr>
      <w:r>
        <w:rPr>
          <w:rFonts w:ascii="宋体" w:hAnsi="Times New Roman" w:hint="eastAsia"/>
          <w:kern w:val="0"/>
          <w:szCs w:val="20"/>
        </w:rPr>
        <w:t>支柱（三级）得分=</w:t>
      </w:r>
      <m:oMath>
        <m:nary>
          <m:naryPr>
            <m:chr m:val="∑"/>
            <m:limLoc m:val="undOvr"/>
            <m:grow m:val="1"/>
            <m:ctrlPr>
              <w:rPr>
                <w:rFonts w:ascii="Cambria Math" w:hAnsi="Cambria Math"/>
                <w:i/>
                <w:kern w:val="0"/>
                <w:szCs w:val="20"/>
              </w:rPr>
            </m:ctrlPr>
          </m:naryPr>
          <m:sub>
            <m:r>
              <w:rPr>
                <w:rFonts w:ascii="Cambria Math" w:hAnsi="Cambria Math"/>
                <w:kern w:val="0"/>
                <w:szCs w:val="20"/>
              </w:rPr>
              <m:t>j=1</m:t>
            </m:r>
          </m:sub>
          <m:sup>
            <m:r>
              <w:rPr>
                <w:rFonts w:ascii="Cambria Math" w:hAnsi="Cambria Math"/>
                <w:kern w:val="0"/>
                <w:szCs w:val="20"/>
              </w:rPr>
              <m:t>m</m:t>
            </m:r>
          </m:sup>
          <m:e>
            <m:sSub>
              <m:sSubPr>
                <m:ctrlPr>
                  <w:rPr>
                    <w:rFonts w:ascii="Cambria Math" w:hAnsi="Cambria Math"/>
                    <w:i/>
                    <w:kern w:val="0"/>
                    <w:szCs w:val="20"/>
                  </w:rPr>
                </m:ctrlPr>
              </m:sSubPr>
              <m:e>
                <m:r>
                  <w:rPr>
                    <w:rFonts w:ascii="Cambria Math" w:hAnsi="Cambria Math"/>
                    <w:kern w:val="0"/>
                    <w:szCs w:val="20"/>
                  </w:rPr>
                  <m:t>q</m:t>
                </m:r>
              </m:e>
              <m:sub>
                <m:r>
                  <w:rPr>
                    <w:rFonts w:ascii="Cambria Math" w:hAnsi="Cambria Math"/>
                    <w:kern w:val="0"/>
                    <w:szCs w:val="20"/>
                  </w:rPr>
                  <m:t>j</m:t>
                </m:r>
              </m:sub>
            </m:sSub>
          </m:e>
        </m:nary>
      </m:oMath>
      <w:r>
        <w:rPr>
          <w:rFonts w:ascii="宋体" w:hAnsi="Times New Roman" w:hint="eastAsia"/>
          <w:kern w:val="0"/>
          <w:szCs w:val="20"/>
        </w:rPr>
        <w:t>，其中</w:t>
      </w:r>
      <m:oMath>
        <m:sSub>
          <m:sSubPr>
            <m:ctrlPr>
              <w:rPr>
                <w:rFonts w:ascii="Cambria Math" w:hAnsi="Cambria Math"/>
                <w:i/>
                <w:kern w:val="0"/>
                <w:szCs w:val="20"/>
              </w:rPr>
            </m:ctrlPr>
          </m:sSubPr>
          <m:e>
            <m:r>
              <w:rPr>
                <w:rFonts w:ascii="Cambria Math" w:hAnsi="Cambria Math"/>
                <w:kern w:val="0"/>
                <w:szCs w:val="20"/>
              </w:rPr>
              <m:t>q</m:t>
            </m:r>
          </m:e>
          <m:sub>
            <m:r>
              <w:rPr>
                <w:rFonts w:ascii="Cambria Math" w:hAnsi="Cambria Math"/>
                <w:kern w:val="0"/>
                <w:szCs w:val="20"/>
              </w:rPr>
              <m:t>j</m:t>
            </m:r>
          </m:sub>
        </m:sSub>
      </m:oMath>
      <w:r>
        <w:rPr>
          <w:rFonts w:hAnsi="Cambria Math" w:hint="eastAsia"/>
          <w:kern w:val="0"/>
          <w:szCs w:val="20"/>
        </w:rPr>
        <w:t>为该支柱下第</w:t>
      </w:r>
      <w:r>
        <w:rPr>
          <w:rFonts w:ascii="Cambria Math" w:hAnsi="Cambria Math"/>
          <w:i/>
          <w:kern w:val="0"/>
          <w:szCs w:val="20"/>
        </w:rPr>
        <w:t>J</w:t>
      </w:r>
      <w:r>
        <w:rPr>
          <w:rFonts w:hAnsi="Cambria Math" w:hint="eastAsia"/>
          <w:kern w:val="0"/>
          <w:szCs w:val="20"/>
        </w:rPr>
        <w:t>个四级指标得分，</w:t>
      </w:r>
      <w:r>
        <w:rPr>
          <w:rFonts w:ascii="Cambria Math" w:hAnsi="Cambria Math"/>
          <w:i/>
          <w:kern w:val="0"/>
          <w:szCs w:val="20"/>
        </w:rPr>
        <w:t>m</w:t>
      </w:r>
      <w:r>
        <w:rPr>
          <w:rFonts w:hAnsi="Cambria Math" w:hint="eastAsia"/>
          <w:kern w:val="0"/>
          <w:szCs w:val="20"/>
        </w:rPr>
        <w:t>为该支柱下适用指标的总数。</w:t>
      </w:r>
    </w:p>
    <w:p w14:paraId="15A0BA12" w14:textId="77777777" w:rsidR="00CA5006" w:rsidRDefault="00CA5006">
      <w:pPr>
        <w:widowControl/>
        <w:autoSpaceDE w:val="0"/>
        <w:autoSpaceDN w:val="0"/>
        <w:adjustRightInd/>
        <w:spacing w:line="240" w:lineRule="auto"/>
        <w:ind w:firstLineChars="200" w:firstLine="420"/>
        <w:rPr>
          <w:rFonts w:ascii="宋体" w:hAnsi="Times New Roman"/>
          <w:kern w:val="0"/>
          <w:szCs w:val="20"/>
        </w:rPr>
      </w:pPr>
    </w:p>
    <w:p w14:paraId="520F02A7" w14:textId="77777777" w:rsidR="00CA5006" w:rsidRDefault="00000000">
      <w:pPr>
        <w:widowControl/>
        <w:overflowPunct w:val="0"/>
        <w:adjustRightInd/>
        <w:snapToGrid w:val="0"/>
        <w:spacing w:line="360" w:lineRule="auto"/>
        <w:ind w:right="57" w:firstLineChars="200" w:firstLine="420"/>
        <w:textAlignment w:val="baseline"/>
        <w:rPr>
          <w:rFonts w:ascii="Cambria Math" w:hAnsi="Cambria Math"/>
          <w:i/>
          <w:kern w:val="0"/>
          <w:szCs w:val="20"/>
        </w:rPr>
      </w:pPr>
      <w:r>
        <w:rPr>
          <w:rFonts w:ascii="宋体" w:hAnsi="Times New Roman" w:hint="eastAsia"/>
          <w:kern w:val="0"/>
          <w:szCs w:val="20"/>
        </w:rPr>
        <w:t>议题（二级）得分=</w:t>
      </w:r>
      <m:oMath>
        <m:nary>
          <m:naryPr>
            <m:chr m:val="∑"/>
            <m:limLoc m:val="undOvr"/>
            <m:grow m:val="1"/>
            <m:ctrlPr>
              <w:rPr>
                <w:rFonts w:ascii="Cambria Math" w:hAnsi="Cambria Math"/>
                <w:i/>
                <w:kern w:val="0"/>
                <w:szCs w:val="20"/>
              </w:rPr>
            </m:ctrlPr>
          </m:naryPr>
          <m:sub>
            <m:r>
              <w:rPr>
                <w:rFonts w:ascii="Cambria Math" w:hAnsi="Cambria Math"/>
                <w:kern w:val="0"/>
                <w:szCs w:val="20"/>
              </w:rPr>
              <m:t>t=1</m:t>
            </m:r>
          </m:sub>
          <m:sup>
            <m:r>
              <w:rPr>
                <w:rFonts w:ascii="Cambria Math" w:hAnsi="Cambria Math"/>
                <w:kern w:val="0"/>
                <w:szCs w:val="20"/>
              </w:rPr>
              <m:t>p</m:t>
            </m:r>
          </m:sup>
          <m:e>
            <m:sSub>
              <m:sSubPr>
                <m:ctrlPr>
                  <w:rPr>
                    <w:rFonts w:ascii="Cambria Math" w:hAnsi="Cambria Math"/>
                    <w:i/>
                    <w:kern w:val="0"/>
                    <w:szCs w:val="20"/>
                  </w:rPr>
                </m:ctrlPr>
              </m:sSubPr>
              <m:e>
                <m:r>
                  <w:rPr>
                    <w:rFonts w:ascii="Cambria Math" w:hAnsi="Cambria Math"/>
                    <w:kern w:val="0"/>
                    <w:szCs w:val="20"/>
                  </w:rPr>
                  <m:t>x</m:t>
                </m:r>
              </m:e>
              <m:sub>
                <m:r>
                  <w:rPr>
                    <w:rFonts w:ascii="Cambria Math" w:hAnsi="Cambria Math"/>
                    <w:kern w:val="0"/>
                    <w:szCs w:val="20"/>
                  </w:rPr>
                  <m:t>t</m:t>
                </m:r>
              </m:sub>
            </m:sSub>
          </m:e>
        </m:nary>
      </m:oMath>
      <w:r>
        <w:rPr>
          <w:rFonts w:ascii="宋体" w:hAnsi="Times New Roman" w:hint="eastAsia"/>
          <w:kern w:val="0"/>
          <w:szCs w:val="20"/>
        </w:rPr>
        <w:t>，其中</w:t>
      </w:r>
      <m:oMath>
        <m:sSub>
          <m:sSubPr>
            <m:ctrlPr>
              <w:rPr>
                <w:rFonts w:ascii="Cambria Math" w:hAnsi="Cambria Math"/>
                <w:i/>
                <w:kern w:val="0"/>
                <w:szCs w:val="20"/>
              </w:rPr>
            </m:ctrlPr>
          </m:sSubPr>
          <m:e>
            <m:r>
              <w:rPr>
                <w:rFonts w:ascii="Cambria Math" w:hAnsi="Cambria Math"/>
                <w:kern w:val="0"/>
                <w:szCs w:val="20"/>
              </w:rPr>
              <m:t>x</m:t>
            </m:r>
          </m:e>
          <m:sub>
            <m:r>
              <w:rPr>
                <w:rFonts w:ascii="Cambria Math" w:hAnsi="Cambria Math"/>
                <w:kern w:val="0"/>
                <w:szCs w:val="20"/>
              </w:rPr>
              <m:t>t</m:t>
            </m:r>
          </m:sub>
        </m:sSub>
      </m:oMath>
      <w:r>
        <w:rPr>
          <w:rFonts w:hAnsi="Cambria Math" w:hint="eastAsia"/>
          <w:kern w:val="0"/>
          <w:szCs w:val="20"/>
        </w:rPr>
        <w:t>为该二级</w:t>
      </w:r>
      <w:r>
        <w:rPr>
          <w:rFonts w:ascii="宋体" w:hAnsi="宋体" w:cs="宋体"/>
          <w:snapToGrid w:val="0"/>
          <w:color w:val="000000"/>
          <w:kern w:val="0"/>
        </w:rPr>
        <w:t>指标</w:t>
      </w:r>
      <w:r>
        <w:rPr>
          <w:rFonts w:hAnsi="Cambria Math" w:hint="eastAsia"/>
          <w:kern w:val="0"/>
          <w:szCs w:val="20"/>
        </w:rPr>
        <w:t>下的三级指标的得分，</w:t>
      </w:r>
      <w:r>
        <w:rPr>
          <w:rFonts w:ascii="Cambria Math" w:hAnsi="Cambria Math" w:hint="eastAsia"/>
          <w:i/>
          <w:kern w:val="0"/>
          <w:szCs w:val="20"/>
        </w:rPr>
        <w:t>p</w:t>
      </w:r>
      <w:r>
        <w:rPr>
          <w:rFonts w:hAnsi="Cambria Math" w:hint="eastAsia"/>
          <w:kern w:val="0"/>
          <w:szCs w:val="20"/>
        </w:rPr>
        <w:t>为该二级指标下三级指标的总数，负面信息不纳入支柱等权划分，作为独立扣分项。</w:t>
      </w:r>
    </w:p>
    <w:p w14:paraId="24E5B0C3" w14:textId="77777777" w:rsidR="00CA5006" w:rsidRDefault="00CA5006">
      <w:pPr>
        <w:widowControl/>
        <w:autoSpaceDE w:val="0"/>
        <w:autoSpaceDN w:val="0"/>
        <w:adjustRightInd/>
        <w:spacing w:line="240" w:lineRule="auto"/>
        <w:ind w:firstLineChars="200" w:firstLine="420"/>
        <w:rPr>
          <w:rFonts w:ascii="Cambria Math" w:hAnsi="Cambria Math"/>
          <w:i/>
          <w:kern w:val="0"/>
          <w:szCs w:val="20"/>
        </w:rPr>
      </w:pPr>
    </w:p>
    <w:p w14:paraId="1ABAF87E" w14:textId="77777777" w:rsidR="00CA5006" w:rsidRDefault="00000000">
      <w:pPr>
        <w:widowControl/>
        <w:overflowPunct w:val="0"/>
        <w:adjustRightInd/>
        <w:snapToGrid w:val="0"/>
        <w:spacing w:line="360" w:lineRule="auto"/>
        <w:ind w:right="57" w:firstLineChars="200" w:firstLine="420"/>
        <w:textAlignment w:val="baseline"/>
        <w:rPr>
          <w:rFonts w:ascii="宋体" w:hAnsi="Times New Roman"/>
          <w:kern w:val="0"/>
          <w:szCs w:val="20"/>
        </w:rPr>
      </w:pPr>
      <w:r>
        <w:rPr>
          <w:rFonts w:ascii="宋体" w:hAnsi="Times New Roman" w:hint="eastAsia"/>
          <w:kern w:val="0"/>
          <w:szCs w:val="20"/>
        </w:rPr>
        <w:t>维度（一级）得分=</w:t>
      </w:r>
      <m:oMath>
        <m:nary>
          <m:naryPr>
            <m:chr m:val="∑"/>
            <m:limLoc m:val="undOvr"/>
            <m:grow m:val="1"/>
            <m:ctrlPr>
              <w:rPr>
                <w:rFonts w:ascii="Cambria Math" w:hAnsi="Cambria Math"/>
                <w:i/>
                <w:kern w:val="0"/>
                <w:szCs w:val="20"/>
              </w:rPr>
            </m:ctrlPr>
          </m:naryPr>
          <m:sub>
            <m:r>
              <w:rPr>
                <w:rFonts w:ascii="Cambria Math" w:hAnsi="Cambria Math"/>
                <w:kern w:val="0"/>
                <w:szCs w:val="20"/>
              </w:rPr>
              <m:t>k=1</m:t>
            </m:r>
          </m:sub>
          <m:sup>
            <m:r>
              <w:rPr>
                <w:rFonts w:ascii="Cambria Math" w:hAnsi="Cambria Math"/>
                <w:kern w:val="0"/>
                <w:szCs w:val="20"/>
              </w:rPr>
              <m:t>r</m:t>
            </m:r>
          </m:sup>
          <m:e>
            <m:r>
              <w:rPr>
                <w:rFonts w:ascii="Cambria Math" w:hAnsi="Cambria Math"/>
                <w:kern w:val="0"/>
                <w:szCs w:val="20"/>
              </w:rPr>
              <m:t>(</m:t>
            </m:r>
            <m:sSub>
              <m:sSubPr>
                <m:ctrlPr>
                  <w:rPr>
                    <w:rFonts w:ascii="Cambria Math" w:hAnsi="Cambria Math"/>
                    <w:i/>
                    <w:kern w:val="0"/>
                    <w:szCs w:val="20"/>
                  </w:rPr>
                </m:ctrlPr>
              </m:sSubPr>
              <m:e>
                <m:r>
                  <w:rPr>
                    <w:rFonts w:ascii="Cambria Math" w:hAnsi="Cambria Math" w:hint="eastAsia"/>
                    <w:kern w:val="0"/>
                    <w:szCs w:val="20"/>
                  </w:rPr>
                  <m:t>议题得分</m:t>
                </m:r>
              </m:e>
              <m:sub>
                <m:r>
                  <w:rPr>
                    <w:rFonts w:ascii="Cambria Math" w:hAnsi="Cambria Math"/>
                    <w:kern w:val="0"/>
                    <w:szCs w:val="20"/>
                  </w:rPr>
                  <m:t>k</m:t>
                </m:r>
              </m:sub>
            </m:sSub>
            <m:r>
              <w:rPr>
                <w:rFonts w:ascii="Cambria Math" w:hAnsi="Cambria Math"/>
                <w:kern w:val="0"/>
                <w:szCs w:val="20"/>
              </w:rPr>
              <m:t>*</m:t>
            </m:r>
            <m:sSub>
              <m:sSubPr>
                <m:ctrlPr>
                  <w:rPr>
                    <w:rFonts w:ascii="Cambria Math" w:hAnsi="Cambria Math"/>
                    <w:i/>
                    <w:kern w:val="0"/>
                    <w:szCs w:val="20"/>
                  </w:rPr>
                </m:ctrlPr>
              </m:sSubPr>
              <m:e>
                <m:r>
                  <w:rPr>
                    <w:rFonts w:ascii="Cambria Math" w:hAnsi="Cambria Math" w:hint="eastAsia"/>
                    <w:kern w:val="0"/>
                    <w:szCs w:val="20"/>
                  </w:rPr>
                  <m:t>议题权重</m:t>
                </m:r>
              </m:e>
              <m:sub>
                <m:r>
                  <w:rPr>
                    <w:rFonts w:ascii="Cambria Math" w:hAnsi="Cambria Math"/>
                    <w:kern w:val="0"/>
                    <w:szCs w:val="20"/>
                  </w:rPr>
                  <m:t>k</m:t>
                </m:r>
              </m:sub>
            </m:sSub>
            <m:r>
              <w:rPr>
                <w:rFonts w:ascii="Cambria Math" w:hAnsi="Cambria Math"/>
                <w:kern w:val="0"/>
                <w:szCs w:val="20"/>
              </w:rPr>
              <m:t>)</m:t>
            </m:r>
          </m:e>
        </m:nary>
      </m:oMath>
      <w:r>
        <w:rPr>
          <w:rFonts w:hAnsi="Cambria Math" w:hint="eastAsia"/>
          <w:kern w:val="0"/>
          <w:szCs w:val="20"/>
        </w:rPr>
        <w:t>，</w:t>
      </w:r>
      <w:r>
        <w:rPr>
          <w:rFonts w:hAnsi="Cambria Math" w:hint="eastAsia"/>
          <w:kern w:val="0"/>
          <w:szCs w:val="20"/>
        </w:rPr>
        <w:t>k=1</w:t>
      </w:r>
      <w:r>
        <w:rPr>
          <w:rFonts w:hAnsi="Cambria Math" w:hint="eastAsia"/>
          <w:kern w:val="0"/>
          <w:szCs w:val="20"/>
        </w:rPr>
        <w:t>……</w:t>
      </w:r>
      <w:r>
        <w:rPr>
          <w:rFonts w:ascii="Cambria Math" w:hAnsi="Cambria Math"/>
          <w:i/>
          <w:kern w:val="0"/>
          <w:szCs w:val="20"/>
        </w:rPr>
        <w:t>r</w:t>
      </w:r>
      <w:r>
        <w:rPr>
          <w:rFonts w:hAnsi="Cambria Math" w:hint="eastAsia"/>
          <w:kern w:val="0"/>
          <w:szCs w:val="20"/>
        </w:rPr>
        <w:t>,</w:t>
      </w:r>
      <w:r>
        <w:rPr>
          <w:rFonts w:hAnsi="Cambria Math" w:hint="eastAsia"/>
          <w:kern w:val="0"/>
          <w:szCs w:val="20"/>
        </w:rPr>
        <w:t>其中</w:t>
      </w:r>
      <w:r>
        <w:rPr>
          <w:rFonts w:ascii="Cambria Math" w:hAnsi="Cambria Math"/>
          <w:i/>
          <w:kern w:val="0"/>
          <w:szCs w:val="20"/>
        </w:rPr>
        <w:t>r</w:t>
      </w:r>
      <w:r>
        <w:rPr>
          <w:rFonts w:hAnsi="Cambria Math" w:hint="eastAsia"/>
          <w:kern w:val="0"/>
          <w:szCs w:val="20"/>
        </w:rPr>
        <w:t>为该一级指标下议题总数。</w:t>
      </w:r>
    </w:p>
    <w:p w14:paraId="11DBB079" w14:textId="77777777" w:rsidR="00CA5006" w:rsidRDefault="00000000">
      <w:pPr>
        <w:widowControl/>
        <w:overflowPunct w:val="0"/>
        <w:adjustRightInd/>
        <w:snapToGrid w:val="0"/>
        <w:spacing w:line="360" w:lineRule="auto"/>
        <w:ind w:right="57" w:firstLineChars="200" w:firstLine="420"/>
        <w:textAlignment w:val="baseline"/>
        <w:rPr>
          <w:rFonts w:ascii="宋体" w:hAnsi="Times New Roman"/>
          <w:kern w:val="0"/>
          <w:szCs w:val="20"/>
        </w:rPr>
      </w:pPr>
      <w:r>
        <w:rPr>
          <w:rFonts w:ascii="宋体" w:hAnsi="Times New Roman"/>
          <w:kern w:val="0"/>
          <w:szCs w:val="20"/>
        </w:rPr>
        <w:t>企业</w:t>
      </w:r>
      <w:r>
        <w:rPr>
          <w:rFonts w:ascii="宋体" w:hAnsi="Times New Roman" w:hint="eastAsia"/>
          <w:kern w:val="0"/>
          <w:szCs w:val="20"/>
        </w:rPr>
        <w:t>ESG最终</w:t>
      </w:r>
      <w:r>
        <w:rPr>
          <w:rFonts w:ascii="宋体" w:hAnsi="Times New Roman"/>
          <w:kern w:val="0"/>
          <w:szCs w:val="20"/>
        </w:rPr>
        <w:t>得分（</w:t>
      </w:r>
      <w:r>
        <w:rPr>
          <w:rFonts w:ascii="宋体" w:hAnsi="Times New Roman" w:hint="eastAsia"/>
          <w:kern w:val="0"/>
          <w:szCs w:val="20"/>
        </w:rPr>
        <w:t>满分</w:t>
      </w:r>
      <w:r>
        <w:rPr>
          <w:rFonts w:ascii="宋体" w:hAnsi="Times New Roman"/>
          <w:kern w:val="0"/>
          <w:szCs w:val="20"/>
        </w:rPr>
        <w:t>1</w:t>
      </w:r>
      <w:r>
        <w:rPr>
          <w:rFonts w:ascii="宋体" w:hAnsi="Times New Roman" w:hint="eastAsia"/>
          <w:kern w:val="0"/>
          <w:szCs w:val="20"/>
        </w:rPr>
        <w:t>分</w:t>
      </w:r>
      <w:r>
        <w:rPr>
          <w:rFonts w:ascii="宋体" w:hAnsi="Times New Roman"/>
          <w:kern w:val="0"/>
          <w:szCs w:val="20"/>
        </w:rPr>
        <w:t>）=</w:t>
      </w:r>
      <m:oMath>
        <m:f>
          <m:fPr>
            <m:ctrlPr>
              <w:rPr>
                <w:rFonts w:ascii="Cambria Math" w:hAnsi="Cambria Math"/>
                <w:i/>
                <w:kern w:val="0"/>
                <w:szCs w:val="20"/>
              </w:rPr>
            </m:ctrlPr>
          </m:fPr>
          <m:num>
            <m:r>
              <w:rPr>
                <w:rFonts w:ascii="Cambria Math" w:hAnsi="Cambria Math"/>
                <w:kern w:val="0"/>
                <w:szCs w:val="20"/>
              </w:rPr>
              <m:t>1</m:t>
            </m:r>
          </m:num>
          <m:den>
            <m:r>
              <w:rPr>
                <w:rFonts w:ascii="Cambria Math" w:hAnsi="Cambria Math"/>
                <w:kern w:val="0"/>
                <w:szCs w:val="20"/>
              </w:rPr>
              <m:t>M</m:t>
            </m:r>
          </m:den>
        </m:f>
        <m:nary>
          <m:naryPr>
            <m:chr m:val="∑"/>
            <m:limLoc m:val="undOvr"/>
            <m:grow m:val="1"/>
            <m:ctrlPr>
              <w:rPr>
                <w:rFonts w:ascii="Cambria Math" w:hAnsi="Cambria Math"/>
                <w:i/>
                <w:kern w:val="0"/>
                <w:szCs w:val="20"/>
              </w:rPr>
            </m:ctrlPr>
          </m:naryPr>
          <m:sub>
            <m:r>
              <w:rPr>
                <w:rFonts w:ascii="Cambria Math" w:hAnsi="Cambria Math"/>
                <w:kern w:val="0"/>
                <w:szCs w:val="20"/>
              </w:rPr>
              <m:t>d=0</m:t>
            </m:r>
          </m:sub>
          <m:sup>
            <m:r>
              <w:rPr>
                <w:rFonts w:ascii="Cambria Math" w:hAnsi="Cambria Math"/>
                <w:kern w:val="0"/>
                <w:szCs w:val="20"/>
              </w:rPr>
              <m:t>D</m:t>
            </m:r>
          </m:sup>
          <m:e>
            <m:sSub>
              <m:sSubPr>
                <m:ctrlPr>
                  <w:rPr>
                    <w:rFonts w:ascii="Cambria Math" w:hAnsi="Cambria Math"/>
                    <w:i/>
                    <w:kern w:val="0"/>
                    <w:szCs w:val="20"/>
                  </w:rPr>
                </m:ctrlPr>
              </m:sSubPr>
              <m:e>
                <m:r>
                  <w:rPr>
                    <w:rFonts w:ascii="Cambria Math" w:hAnsi="Cambria Math"/>
                    <w:kern w:val="0"/>
                    <w:szCs w:val="20"/>
                  </w:rPr>
                  <m:t>（</m:t>
                </m:r>
                <m:r>
                  <w:rPr>
                    <w:rFonts w:ascii="Cambria Math" w:hAnsi="Cambria Math" w:hint="eastAsia"/>
                    <w:kern w:val="0"/>
                    <w:szCs w:val="20"/>
                  </w:rPr>
                  <m:t>维度得分</m:t>
                </m:r>
              </m:e>
              <m:sub>
                <m:r>
                  <w:rPr>
                    <w:rFonts w:ascii="Cambria Math" w:hAnsi="Cambria Math"/>
                    <w:kern w:val="0"/>
                    <w:szCs w:val="20"/>
                  </w:rPr>
                  <m:t>i</m:t>
                </m:r>
              </m:sub>
            </m:sSub>
            <m:r>
              <w:rPr>
                <w:rFonts w:ascii="Cambria Math" w:hAnsi="Cambria Math"/>
                <w:kern w:val="0"/>
                <w:szCs w:val="20"/>
              </w:rPr>
              <m:t>*</m:t>
            </m:r>
            <m:sSub>
              <m:sSubPr>
                <m:ctrlPr>
                  <w:rPr>
                    <w:rFonts w:ascii="Cambria Math" w:hAnsi="Cambria Math"/>
                    <w:i/>
                    <w:kern w:val="0"/>
                    <w:szCs w:val="20"/>
                  </w:rPr>
                </m:ctrlPr>
              </m:sSubPr>
              <m:e>
                <m:r>
                  <w:rPr>
                    <w:rFonts w:ascii="Cambria Math" w:hAnsi="Cambria Math" w:hint="eastAsia"/>
                    <w:kern w:val="0"/>
                    <w:szCs w:val="20"/>
                  </w:rPr>
                  <m:t>维度权重</m:t>
                </m:r>
              </m:e>
              <m:sub>
                <m:r>
                  <w:rPr>
                    <w:rFonts w:ascii="Cambria Math" w:hAnsi="Cambria Math"/>
                    <w:kern w:val="0"/>
                    <w:szCs w:val="20"/>
                  </w:rPr>
                  <m:t>i</m:t>
                </m:r>
              </m:sub>
            </m:sSub>
            <m:r>
              <w:rPr>
                <w:rFonts w:ascii="Cambria Math" w:hAnsi="Cambria Math"/>
                <w:kern w:val="0"/>
                <w:szCs w:val="20"/>
              </w:rPr>
              <m:t>)</m:t>
            </m:r>
          </m:e>
        </m:nary>
      </m:oMath>
      <w:r>
        <w:rPr>
          <w:rFonts w:hAnsi="Cambria Math" w:hint="eastAsia"/>
          <w:kern w:val="0"/>
          <w:szCs w:val="20"/>
        </w:rPr>
        <w:t>，其中</w:t>
      </w:r>
      <w:r>
        <w:rPr>
          <w:rFonts w:ascii="Cambria Math" w:hAnsi="Cambria Math" w:hint="eastAsia"/>
          <w:i/>
          <w:kern w:val="0"/>
          <w:szCs w:val="20"/>
        </w:rPr>
        <w:t>M</w:t>
      </w:r>
      <w:r>
        <w:rPr>
          <w:rFonts w:hAnsi="Cambria Math" w:hint="eastAsia"/>
          <w:kern w:val="0"/>
          <w:szCs w:val="20"/>
        </w:rPr>
        <w:t>=</w:t>
      </w:r>
      <w:r>
        <w:rPr>
          <w:rFonts w:hAnsi="Cambria Math" w:hint="eastAsia"/>
          <w:kern w:val="0"/>
          <w:szCs w:val="20"/>
        </w:rPr>
        <w:t>所有适用四级指标的总个数（剔除不适用项后），</w:t>
      </w:r>
      <w:r>
        <w:rPr>
          <w:rFonts w:ascii="Cambria Math" w:hAnsi="Cambria Math" w:hint="eastAsia"/>
          <w:i/>
          <w:kern w:val="0"/>
          <w:szCs w:val="20"/>
        </w:rPr>
        <w:t>D</w:t>
      </w:r>
      <w:r>
        <w:rPr>
          <w:rFonts w:hAnsi="Cambria Math" w:hint="eastAsia"/>
          <w:kern w:val="0"/>
          <w:szCs w:val="20"/>
        </w:rPr>
        <w:t>为维度总数。</w:t>
      </w:r>
    </w:p>
    <w:p w14:paraId="340DDC5D" w14:textId="77777777" w:rsidR="00CA5006" w:rsidRDefault="00000000">
      <w:pPr>
        <w:widowControl/>
        <w:overflowPunct w:val="0"/>
        <w:adjustRightInd/>
        <w:snapToGrid w:val="0"/>
        <w:spacing w:line="360" w:lineRule="auto"/>
        <w:ind w:right="57" w:firstLineChars="200" w:firstLine="420"/>
        <w:textAlignment w:val="baseline"/>
        <w:rPr>
          <w:rFonts w:ascii="宋体" w:hAnsi="Times New Roman"/>
          <w:kern w:val="0"/>
          <w:szCs w:val="20"/>
        </w:rPr>
      </w:pPr>
      <w:r>
        <w:rPr>
          <w:rFonts w:ascii="宋体" w:hAnsi="Times New Roman" w:hint="eastAsia"/>
          <w:kern w:val="0"/>
          <w:szCs w:val="20"/>
        </w:rPr>
        <w:t>若某层级下所有子项均不适用，则该层级整体剔除，其权重重新</w:t>
      </w:r>
      <w:r>
        <w:rPr>
          <w:rFonts w:ascii="宋体" w:hAnsi="宋体" w:cs="宋体"/>
          <w:snapToGrid w:val="0"/>
          <w:color w:val="000000"/>
          <w:kern w:val="0"/>
        </w:rPr>
        <w:t>分配</w:t>
      </w:r>
      <w:r>
        <w:rPr>
          <w:rFonts w:ascii="宋体" w:hAnsi="Times New Roman" w:hint="eastAsia"/>
          <w:kern w:val="0"/>
          <w:szCs w:val="20"/>
        </w:rPr>
        <w:t>给同层级的其他子项。</w:t>
      </w:r>
    </w:p>
    <w:p w14:paraId="12CB9D6D" w14:textId="77777777" w:rsidR="00CA5006" w:rsidRDefault="00000000">
      <w:pPr>
        <w:ind w:firstLineChars="200" w:firstLine="422"/>
      </w:pPr>
      <w:r>
        <w:rPr>
          <w:rFonts w:hint="eastAsia"/>
          <w:b/>
          <w:bCs/>
        </w:rPr>
        <w:lastRenderedPageBreak/>
        <w:t>B.3</w:t>
      </w:r>
      <w:r>
        <w:rPr>
          <w:rFonts w:hint="eastAsia"/>
        </w:rPr>
        <w:t>权重系数设定方法</w:t>
      </w:r>
    </w:p>
    <w:p w14:paraId="28631692" w14:textId="77777777" w:rsidR="00CA5006" w:rsidRDefault="00000000">
      <w:pPr>
        <w:widowControl/>
        <w:overflowPunct w:val="0"/>
        <w:snapToGrid w:val="0"/>
        <w:spacing w:line="360" w:lineRule="auto"/>
        <w:ind w:right="57" w:firstLineChars="200" w:firstLine="420"/>
        <w:textAlignment w:val="baseline"/>
        <w:rPr>
          <w:rFonts w:ascii="宋体" w:hAnsi="Times New Roman"/>
          <w:kern w:val="0"/>
          <w:szCs w:val="20"/>
        </w:rPr>
      </w:pPr>
      <w:r>
        <w:rPr>
          <w:rFonts w:ascii="宋体" w:hAnsi="Times New Roman" w:hint="eastAsia"/>
          <w:kern w:val="0"/>
          <w:szCs w:val="20"/>
        </w:rPr>
        <w:t>依托长期积累的数据优势，全方位</w:t>
      </w:r>
      <w:r>
        <w:rPr>
          <w:rFonts w:ascii="宋体" w:hAnsi="宋体" w:cs="宋体"/>
          <w:snapToGrid w:val="0"/>
          <w:color w:val="000000"/>
          <w:kern w:val="0"/>
        </w:rPr>
        <w:t>解析</w:t>
      </w:r>
      <w:r>
        <w:rPr>
          <w:rFonts w:ascii="宋体" w:hAnsi="Times New Roman" w:hint="eastAsia"/>
          <w:kern w:val="0"/>
          <w:szCs w:val="20"/>
        </w:rPr>
        <w:t>监管趋势、市场热点及企业管理实践，组织行业专家，对三个一级指标（E环境、S社会、G治理）及二级指标（议题层）实施差异化权重配置，确保评估结果的科学性与针对性。</w:t>
      </w:r>
    </w:p>
    <w:p w14:paraId="7C65ACD0" w14:textId="77777777" w:rsidR="00CA5006" w:rsidRDefault="00CA5006">
      <w:pPr>
        <w:pStyle w:val="af4"/>
        <w:rPr>
          <w:rFonts w:hint="eastAsia"/>
        </w:rPr>
      </w:pPr>
    </w:p>
    <w:p w14:paraId="63A3963B" w14:textId="77777777" w:rsidR="00CA5006" w:rsidRDefault="00CA5006">
      <w:pPr>
        <w:pStyle w:val="afa"/>
      </w:pPr>
    </w:p>
    <w:p w14:paraId="15C73A37" w14:textId="77777777" w:rsidR="00CA5006" w:rsidRDefault="00000000">
      <w:r>
        <w:rPr>
          <w:rFonts w:hint="eastAsia"/>
        </w:rPr>
        <w:br w:type="page"/>
      </w:r>
    </w:p>
    <w:p w14:paraId="17110F39" w14:textId="77777777" w:rsidR="00CA5006" w:rsidRDefault="00000000">
      <w:pPr>
        <w:pStyle w:val="afffffff2"/>
        <w:spacing w:before="60" w:after="120"/>
      </w:pPr>
      <w:bookmarkStart w:id="59" w:name="_Toc9148"/>
      <w:r>
        <w:rPr>
          <w:rFonts w:hint="eastAsia"/>
        </w:rPr>
        <w:lastRenderedPageBreak/>
        <w:t>附录C</w:t>
      </w:r>
      <w:r>
        <w:br/>
      </w:r>
      <w:r>
        <w:rPr>
          <w:rFonts w:hint="eastAsia"/>
        </w:rPr>
        <w:t>（规范性）</w:t>
      </w:r>
      <w:r>
        <w:br/>
      </w:r>
      <w:r>
        <w:rPr>
          <w:rFonts w:hint="eastAsia"/>
        </w:rPr>
        <w:t>中国汽车行业ESG评价分级方法</w:t>
      </w:r>
      <w:bookmarkEnd w:id="59"/>
    </w:p>
    <w:p w14:paraId="0481BCE0" w14:textId="77777777" w:rsidR="00CA5006" w:rsidRDefault="00000000">
      <w:pPr>
        <w:widowControl/>
        <w:overflowPunct w:val="0"/>
        <w:adjustRightInd/>
        <w:snapToGrid w:val="0"/>
        <w:spacing w:line="360" w:lineRule="auto"/>
        <w:ind w:right="57" w:firstLineChars="200" w:firstLine="420"/>
        <w:textAlignment w:val="baseline"/>
        <w:rPr>
          <w:rFonts w:ascii="宋体" w:hAnsi="宋体" w:hint="eastAsia"/>
          <w:kern w:val="0"/>
        </w:rPr>
      </w:pPr>
      <w:r>
        <w:rPr>
          <w:rFonts w:ascii="宋体" w:hAnsi="宋体" w:hint="eastAsia"/>
          <w:kern w:val="0"/>
        </w:rPr>
        <w:t>对某一评价对象进行逐一指标评价时，若一个评价项目所采纳的评分体系的总评分满分为1，且在该评分体系下某评价对象的ESG综合评分为P，则对该评价对象的评级可按下表确定。若评价项目所采纳的评分体系的总</w:t>
      </w:r>
      <w:r>
        <w:rPr>
          <w:rFonts w:ascii="宋体" w:hAnsi="宋体" w:cs="宋体"/>
          <w:snapToGrid w:val="0"/>
          <w:color w:val="000000"/>
          <w:kern w:val="0"/>
        </w:rPr>
        <w:t>评分</w:t>
      </w:r>
      <w:r>
        <w:rPr>
          <w:rFonts w:ascii="宋体" w:hAnsi="宋体" w:hint="eastAsia"/>
          <w:kern w:val="0"/>
        </w:rPr>
        <w:t>满分为其他数值，应先将评分结果标准化为0-1分，再依据下表进行分级。</w:t>
      </w:r>
    </w:p>
    <w:p w14:paraId="00379593" w14:textId="77777777" w:rsidR="00CA5006" w:rsidRDefault="00000000">
      <w:pPr>
        <w:widowControl/>
        <w:overflowPunct w:val="0"/>
        <w:adjustRightInd/>
        <w:snapToGrid w:val="0"/>
        <w:spacing w:line="360" w:lineRule="auto"/>
        <w:ind w:right="57" w:firstLineChars="200" w:firstLine="420"/>
        <w:textAlignment w:val="baseline"/>
        <w:rPr>
          <w:rFonts w:ascii="宋体" w:hAnsi="宋体" w:hint="eastAsia"/>
          <w:kern w:val="0"/>
        </w:rPr>
      </w:pPr>
      <w:r>
        <w:rPr>
          <w:rFonts w:ascii="宋体" w:hAnsi="宋体" w:hint="eastAsia"/>
          <w:kern w:val="0"/>
        </w:rPr>
        <w:t xml:space="preserve">汽车行业ESG评价的结果一般为评价对象的可持续发展能力（正面）或/与ESG风险程度（负面）。评价结果可包括如下形式的一种或几种： </w:t>
      </w:r>
    </w:p>
    <w:p w14:paraId="6F71E4B8" w14:textId="77777777" w:rsidR="00CA5006" w:rsidRDefault="00000000">
      <w:pPr>
        <w:widowControl/>
        <w:overflowPunct w:val="0"/>
        <w:adjustRightInd/>
        <w:snapToGrid w:val="0"/>
        <w:spacing w:line="360" w:lineRule="auto"/>
        <w:ind w:right="57" w:firstLineChars="200" w:firstLine="420"/>
        <w:textAlignment w:val="baseline"/>
        <w:rPr>
          <w:rFonts w:ascii="宋体" w:hAnsi="宋体" w:hint="eastAsia"/>
          <w:kern w:val="0"/>
        </w:rPr>
      </w:pPr>
      <w:r>
        <w:rPr>
          <w:rFonts w:ascii="宋体" w:hAnsi="宋体" w:hint="eastAsia"/>
          <w:kern w:val="0"/>
        </w:rPr>
        <w:t>——评分：建议采用[0,1]分值。作为风险程度标定时，宜以低分表示高</w:t>
      </w:r>
      <w:r>
        <w:rPr>
          <w:rFonts w:ascii="宋体" w:hAnsi="宋体" w:cs="宋体"/>
          <w:snapToGrid w:val="0"/>
          <w:color w:val="000000"/>
          <w:kern w:val="0"/>
        </w:rPr>
        <w:t>ESG</w:t>
      </w:r>
      <w:r>
        <w:rPr>
          <w:rFonts w:ascii="宋体" w:hAnsi="宋体" w:hint="eastAsia"/>
          <w:kern w:val="0"/>
        </w:rPr>
        <w:t xml:space="preserve">风险水平； </w:t>
      </w:r>
    </w:p>
    <w:p w14:paraId="7F604926" w14:textId="77777777" w:rsidR="00CA5006" w:rsidRDefault="00000000">
      <w:pPr>
        <w:widowControl/>
        <w:overflowPunct w:val="0"/>
        <w:adjustRightInd/>
        <w:snapToGrid w:val="0"/>
        <w:spacing w:line="360" w:lineRule="auto"/>
        <w:ind w:right="57" w:firstLineChars="200" w:firstLine="420"/>
        <w:textAlignment w:val="baseline"/>
        <w:rPr>
          <w:rFonts w:ascii="宋体" w:hAnsi="宋体" w:hint="eastAsia"/>
          <w:kern w:val="0"/>
        </w:rPr>
      </w:pPr>
      <w:r>
        <w:rPr>
          <w:rFonts w:ascii="宋体" w:hAnsi="宋体" w:hint="eastAsia"/>
          <w:kern w:val="0"/>
        </w:rPr>
        <w:t>——评级：按照AAAAA、AAAA、AAA、AA、A、BBB、BB、B、CCC、CC十个</w:t>
      </w:r>
      <w:r>
        <w:rPr>
          <w:rFonts w:ascii="宋体" w:hAnsi="宋体" w:cs="宋体"/>
          <w:snapToGrid w:val="0"/>
          <w:color w:val="000000"/>
          <w:kern w:val="0"/>
        </w:rPr>
        <w:t>级别</w:t>
      </w:r>
      <w:r>
        <w:rPr>
          <w:rFonts w:ascii="宋体" w:hAnsi="宋体" w:hint="eastAsia"/>
          <w:kern w:val="0"/>
        </w:rPr>
        <w:t>评价，以AAAAA表征最高可持续发展能力。</w:t>
      </w:r>
    </w:p>
    <w:tbl>
      <w:tblPr>
        <w:tblStyle w:val="afffff0"/>
        <w:tblW w:w="0" w:type="auto"/>
        <w:jc w:val="center"/>
        <w:tblLook w:val="04A0" w:firstRow="1" w:lastRow="0" w:firstColumn="1" w:lastColumn="0" w:noHBand="0" w:noVBand="1"/>
      </w:tblPr>
      <w:tblGrid>
        <w:gridCol w:w="1116"/>
        <w:gridCol w:w="1272"/>
        <w:gridCol w:w="1543"/>
        <w:gridCol w:w="8307"/>
      </w:tblGrid>
      <w:tr w:rsidR="00CA5006" w14:paraId="4FFBBA7E" w14:textId="77777777">
        <w:trPr>
          <w:trHeight w:val="292"/>
          <w:jc w:val="center"/>
        </w:trPr>
        <w:tc>
          <w:tcPr>
            <w:tcW w:w="1116" w:type="dxa"/>
          </w:tcPr>
          <w:p w14:paraId="2BE32B05" w14:textId="77777777" w:rsidR="00CA5006" w:rsidRDefault="00000000">
            <w:pPr>
              <w:spacing w:line="240" w:lineRule="auto"/>
              <w:jc w:val="center"/>
              <w:rPr>
                <w:b/>
                <w:bCs/>
              </w:rPr>
            </w:pPr>
            <w:r>
              <w:rPr>
                <w:rFonts w:hint="eastAsia"/>
                <w:b/>
                <w:bCs/>
              </w:rPr>
              <w:t>阶段</w:t>
            </w:r>
          </w:p>
        </w:tc>
        <w:tc>
          <w:tcPr>
            <w:tcW w:w="1272" w:type="dxa"/>
          </w:tcPr>
          <w:p w14:paraId="44F62E2A" w14:textId="77777777" w:rsidR="00CA5006" w:rsidRDefault="00000000">
            <w:pPr>
              <w:spacing w:line="240" w:lineRule="auto"/>
              <w:jc w:val="center"/>
              <w:rPr>
                <w:b/>
                <w:bCs/>
              </w:rPr>
            </w:pPr>
            <w:r>
              <w:rPr>
                <w:rFonts w:hint="eastAsia"/>
                <w:b/>
                <w:bCs/>
              </w:rPr>
              <w:t>等级</w:t>
            </w:r>
          </w:p>
        </w:tc>
        <w:tc>
          <w:tcPr>
            <w:tcW w:w="1543" w:type="dxa"/>
          </w:tcPr>
          <w:p w14:paraId="3355E8CF" w14:textId="77777777" w:rsidR="00CA5006" w:rsidRDefault="00000000">
            <w:pPr>
              <w:spacing w:line="240" w:lineRule="auto"/>
              <w:jc w:val="center"/>
              <w:rPr>
                <w:b/>
                <w:bCs/>
              </w:rPr>
            </w:pPr>
            <w:r>
              <w:rPr>
                <w:rFonts w:hint="eastAsia"/>
                <w:b/>
                <w:bCs/>
              </w:rPr>
              <w:t>分数区间</w:t>
            </w:r>
          </w:p>
        </w:tc>
        <w:tc>
          <w:tcPr>
            <w:tcW w:w="8307" w:type="dxa"/>
          </w:tcPr>
          <w:p w14:paraId="01D12817" w14:textId="77777777" w:rsidR="00CA5006" w:rsidRDefault="00000000">
            <w:pPr>
              <w:spacing w:line="240" w:lineRule="auto"/>
              <w:jc w:val="center"/>
              <w:rPr>
                <w:b/>
                <w:bCs/>
              </w:rPr>
            </w:pPr>
            <w:r>
              <w:rPr>
                <w:rFonts w:hint="eastAsia"/>
                <w:b/>
                <w:bCs/>
              </w:rPr>
              <w:t>描述</w:t>
            </w:r>
          </w:p>
        </w:tc>
      </w:tr>
      <w:tr w:rsidR="00CA5006" w14:paraId="38D0A8B6" w14:textId="77777777">
        <w:trPr>
          <w:trHeight w:val="269"/>
          <w:jc w:val="center"/>
        </w:trPr>
        <w:tc>
          <w:tcPr>
            <w:tcW w:w="1116" w:type="dxa"/>
            <w:vMerge w:val="restart"/>
            <w:vAlign w:val="center"/>
          </w:tcPr>
          <w:p w14:paraId="072E6033" w14:textId="77777777" w:rsidR="00CA5006" w:rsidRDefault="00000000">
            <w:pPr>
              <w:spacing w:line="240" w:lineRule="auto"/>
              <w:jc w:val="center"/>
            </w:pPr>
            <w:r>
              <w:rPr>
                <w:rFonts w:hint="eastAsia"/>
              </w:rPr>
              <w:t>卓越</w:t>
            </w:r>
          </w:p>
        </w:tc>
        <w:tc>
          <w:tcPr>
            <w:tcW w:w="1272" w:type="dxa"/>
          </w:tcPr>
          <w:p w14:paraId="192D48A4" w14:textId="77777777" w:rsidR="00CA5006" w:rsidRDefault="00000000">
            <w:pPr>
              <w:spacing w:line="240" w:lineRule="auto"/>
            </w:pPr>
            <w:r>
              <w:rPr>
                <w:rFonts w:hint="eastAsia"/>
              </w:rPr>
              <w:t>AAAAA</w:t>
            </w:r>
          </w:p>
        </w:tc>
        <w:tc>
          <w:tcPr>
            <w:tcW w:w="1543" w:type="dxa"/>
          </w:tcPr>
          <w:p w14:paraId="79487352" w14:textId="77777777" w:rsidR="00CA5006" w:rsidRDefault="00000000">
            <w:pPr>
              <w:spacing w:line="240" w:lineRule="auto"/>
              <w:jc w:val="center"/>
            </w:pPr>
            <w:r>
              <w:rPr>
                <w:rFonts w:hint="eastAsia"/>
              </w:rPr>
              <w:t>[0.9</w:t>
            </w:r>
            <w:r>
              <w:rPr>
                <w:rFonts w:hint="eastAsia"/>
              </w:rPr>
              <w:t>，</w:t>
            </w:r>
            <w:r>
              <w:rPr>
                <w:rFonts w:hint="eastAsia"/>
              </w:rPr>
              <w:t>1]</w:t>
            </w:r>
          </w:p>
        </w:tc>
        <w:tc>
          <w:tcPr>
            <w:tcW w:w="8307" w:type="dxa"/>
            <w:vMerge w:val="restart"/>
          </w:tcPr>
          <w:p w14:paraId="6B7D1662" w14:textId="77777777" w:rsidR="00CA5006" w:rsidRDefault="00000000">
            <w:pPr>
              <w:spacing w:line="240" w:lineRule="auto"/>
            </w:pPr>
            <w:r>
              <w:rPr>
                <w:rFonts w:hint="eastAsia"/>
              </w:rPr>
              <w:t>卓越阶段代表企业管理活动对经济、社会和环境产生的重要影响，及管理可持续风险和机遇对企业财务影响的能力处于行业最佳水平。</w:t>
            </w:r>
          </w:p>
        </w:tc>
      </w:tr>
      <w:tr w:rsidR="00CA5006" w14:paraId="71AB3672" w14:textId="77777777">
        <w:trPr>
          <w:trHeight w:val="269"/>
          <w:jc w:val="center"/>
        </w:trPr>
        <w:tc>
          <w:tcPr>
            <w:tcW w:w="1116" w:type="dxa"/>
            <w:vMerge/>
            <w:vAlign w:val="center"/>
          </w:tcPr>
          <w:p w14:paraId="37E51261" w14:textId="77777777" w:rsidR="00CA5006" w:rsidRDefault="00CA5006">
            <w:pPr>
              <w:spacing w:line="240" w:lineRule="auto"/>
              <w:jc w:val="center"/>
            </w:pPr>
          </w:p>
        </w:tc>
        <w:tc>
          <w:tcPr>
            <w:tcW w:w="1272" w:type="dxa"/>
          </w:tcPr>
          <w:p w14:paraId="69FED8EB" w14:textId="77777777" w:rsidR="00CA5006" w:rsidRDefault="00000000">
            <w:pPr>
              <w:spacing w:line="240" w:lineRule="auto"/>
            </w:pPr>
            <w:r>
              <w:rPr>
                <w:rFonts w:hint="eastAsia"/>
              </w:rPr>
              <w:t>AAAA</w:t>
            </w:r>
          </w:p>
        </w:tc>
        <w:tc>
          <w:tcPr>
            <w:tcW w:w="1543" w:type="dxa"/>
          </w:tcPr>
          <w:p w14:paraId="70D4ACB9" w14:textId="77777777" w:rsidR="00CA5006" w:rsidRDefault="00000000">
            <w:pPr>
              <w:spacing w:line="240" w:lineRule="auto"/>
              <w:jc w:val="center"/>
            </w:pPr>
            <w:r>
              <w:rPr>
                <w:rFonts w:hint="eastAsia"/>
              </w:rPr>
              <w:t>[0.8</w:t>
            </w:r>
            <w:r>
              <w:rPr>
                <w:rFonts w:hint="eastAsia"/>
              </w:rPr>
              <w:t>，</w:t>
            </w:r>
            <w:r>
              <w:rPr>
                <w:rFonts w:hint="eastAsia"/>
              </w:rPr>
              <w:t>0.9)</w:t>
            </w:r>
          </w:p>
        </w:tc>
        <w:tc>
          <w:tcPr>
            <w:tcW w:w="8307" w:type="dxa"/>
            <w:vMerge/>
          </w:tcPr>
          <w:p w14:paraId="29F330FE" w14:textId="77777777" w:rsidR="00CA5006" w:rsidRDefault="00CA5006">
            <w:pPr>
              <w:spacing w:line="240" w:lineRule="auto"/>
            </w:pPr>
          </w:p>
        </w:tc>
      </w:tr>
      <w:tr w:rsidR="00CA5006" w14:paraId="7455E6DD" w14:textId="77777777">
        <w:trPr>
          <w:trHeight w:val="269"/>
          <w:jc w:val="center"/>
        </w:trPr>
        <w:tc>
          <w:tcPr>
            <w:tcW w:w="1116" w:type="dxa"/>
            <w:vMerge w:val="restart"/>
            <w:vAlign w:val="center"/>
          </w:tcPr>
          <w:p w14:paraId="505499C4" w14:textId="77777777" w:rsidR="00CA5006" w:rsidRDefault="00000000">
            <w:pPr>
              <w:spacing w:line="240" w:lineRule="auto"/>
              <w:jc w:val="center"/>
            </w:pPr>
            <w:r>
              <w:rPr>
                <w:rFonts w:hint="eastAsia"/>
              </w:rPr>
              <w:t>优秀</w:t>
            </w:r>
          </w:p>
        </w:tc>
        <w:tc>
          <w:tcPr>
            <w:tcW w:w="1272" w:type="dxa"/>
          </w:tcPr>
          <w:p w14:paraId="589BD2D6" w14:textId="77777777" w:rsidR="00CA5006" w:rsidRDefault="00000000">
            <w:pPr>
              <w:spacing w:line="240" w:lineRule="auto"/>
            </w:pPr>
            <w:r>
              <w:rPr>
                <w:rFonts w:hint="eastAsia"/>
              </w:rPr>
              <w:t>AAA</w:t>
            </w:r>
          </w:p>
        </w:tc>
        <w:tc>
          <w:tcPr>
            <w:tcW w:w="1543" w:type="dxa"/>
          </w:tcPr>
          <w:p w14:paraId="6CF44563" w14:textId="77777777" w:rsidR="00CA5006" w:rsidRDefault="00000000">
            <w:pPr>
              <w:spacing w:line="240" w:lineRule="auto"/>
              <w:jc w:val="center"/>
            </w:pPr>
            <w:r>
              <w:rPr>
                <w:rFonts w:hint="eastAsia"/>
              </w:rPr>
              <w:t>[0.7</w:t>
            </w:r>
            <w:r>
              <w:rPr>
                <w:rFonts w:hint="eastAsia"/>
              </w:rPr>
              <w:t>，</w:t>
            </w:r>
            <w:r>
              <w:rPr>
                <w:rFonts w:hint="eastAsia"/>
              </w:rPr>
              <w:t>0.8)</w:t>
            </w:r>
          </w:p>
        </w:tc>
        <w:tc>
          <w:tcPr>
            <w:tcW w:w="8307" w:type="dxa"/>
            <w:vMerge w:val="restart"/>
          </w:tcPr>
          <w:p w14:paraId="7216EB83" w14:textId="77777777" w:rsidR="00CA5006" w:rsidRDefault="00000000">
            <w:pPr>
              <w:spacing w:line="240" w:lineRule="auto"/>
            </w:pPr>
            <w:r>
              <w:rPr>
                <w:rFonts w:hint="eastAsia"/>
              </w:rPr>
              <w:t>优秀阶段代表企业管理活动对经济、社会和环境产生的重要影响，及管理可持续风险和机遇对企业财务影响的能力处于行业较高水平。</w:t>
            </w:r>
          </w:p>
        </w:tc>
      </w:tr>
      <w:tr w:rsidR="00CA5006" w14:paraId="7E407EF4" w14:textId="77777777">
        <w:trPr>
          <w:trHeight w:val="269"/>
          <w:jc w:val="center"/>
        </w:trPr>
        <w:tc>
          <w:tcPr>
            <w:tcW w:w="1116" w:type="dxa"/>
            <w:vMerge/>
            <w:vAlign w:val="center"/>
          </w:tcPr>
          <w:p w14:paraId="1E86AA3E" w14:textId="77777777" w:rsidR="00CA5006" w:rsidRDefault="00CA5006">
            <w:pPr>
              <w:spacing w:line="240" w:lineRule="auto"/>
              <w:jc w:val="center"/>
            </w:pPr>
          </w:p>
        </w:tc>
        <w:tc>
          <w:tcPr>
            <w:tcW w:w="1272" w:type="dxa"/>
          </w:tcPr>
          <w:p w14:paraId="2F3DCD0A" w14:textId="77777777" w:rsidR="00CA5006" w:rsidRDefault="00000000">
            <w:pPr>
              <w:spacing w:line="240" w:lineRule="auto"/>
            </w:pPr>
            <w:r>
              <w:rPr>
                <w:rFonts w:hint="eastAsia"/>
              </w:rPr>
              <w:t>AA</w:t>
            </w:r>
          </w:p>
        </w:tc>
        <w:tc>
          <w:tcPr>
            <w:tcW w:w="1543" w:type="dxa"/>
          </w:tcPr>
          <w:p w14:paraId="70EFBB2B" w14:textId="77777777" w:rsidR="00CA5006" w:rsidRDefault="00000000">
            <w:pPr>
              <w:spacing w:line="240" w:lineRule="auto"/>
              <w:jc w:val="center"/>
            </w:pPr>
            <w:r>
              <w:rPr>
                <w:rFonts w:hint="eastAsia"/>
              </w:rPr>
              <w:t>[0.6</w:t>
            </w:r>
            <w:r>
              <w:rPr>
                <w:rFonts w:hint="eastAsia"/>
              </w:rPr>
              <w:t>，</w:t>
            </w:r>
            <w:r>
              <w:rPr>
                <w:rFonts w:hint="eastAsia"/>
              </w:rPr>
              <w:t>0.7)</w:t>
            </w:r>
          </w:p>
        </w:tc>
        <w:tc>
          <w:tcPr>
            <w:tcW w:w="8307" w:type="dxa"/>
            <w:vMerge/>
          </w:tcPr>
          <w:p w14:paraId="37EC45DA" w14:textId="77777777" w:rsidR="00CA5006" w:rsidRDefault="00CA5006">
            <w:pPr>
              <w:spacing w:line="240" w:lineRule="auto"/>
            </w:pPr>
          </w:p>
        </w:tc>
      </w:tr>
      <w:tr w:rsidR="00CA5006" w14:paraId="5C03988F" w14:textId="77777777">
        <w:trPr>
          <w:trHeight w:val="279"/>
          <w:jc w:val="center"/>
        </w:trPr>
        <w:tc>
          <w:tcPr>
            <w:tcW w:w="1116" w:type="dxa"/>
            <w:vMerge w:val="restart"/>
            <w:vAlign w:val="center"/>
          </w:tcPr>
          <w:p w14:paraId="0B5350C7" w14:textId="77777777" w:rsidR="00CA5006" w:rsidRDefault="00000000">
            <w:pPr>
              <w:spacing w:line="240" w:lineRule="auto"/>
              <w:jc w:val="center"/>
            </w:pPr>
            <w:r>
              <w:rPr>
                <w:rFonts w:hint="eastAsia"/>
              </w:rPr>
              <w:t>进取</w:t>
            </w:r>
          </w:p>
        </w:tc>
        <w:tc>
          <w:tcPr>
            <w:tcW w:w="1272" w:type="dxa"/>
          </w:tcPr>
          <w:p w14:paraId="164E98C5" w14:textId="77777777" w:rsidR="00CA5006" w:rsidRDefault="00000000">
            <w:pPr>
              <w:spacing w:line="240" w:lineRule="auto"/>
            </w:pPr>
            <w:r>
              <w:rPr>
                <w:rFonts w:hint="eastAsia"/>
              </w:rPr>
              <w:t>A</w:t>
            </w:r>
          </w:p>
        </w:tc>
        <w:tc>
          <w:tcPr>
            <w:tcW w:w="1543" w:type="dxa"/>
          </w:tcPr>
          <w:p w14:paraId="60477310" w14:textId="77777777" w:rsidR="00CA5006" w:rsidRDefault="00000000">
            <w:pPr>
              <w:spacing w:line="240" w:lineRule="auto"/>
              <w:jc w:val="center"/>
            </w:pPr>
            <w:r>
              <w:rPr>
                <w:rFonts w:hint="eastAsia"/>
              </w:rPr>
              <w:t>[0.5</w:t>
            </w:r>
            <w:r>
              <w:rPr>
                <w:rFonts w:hint="eastAsia"/>
              </w:rPr>
              <w:t>，</w:t>
            </w:r>
            <w:r>
              <w:rPr>
                <w:rFonts w:hint="eastAsia"/>
              </w:rPr>
              <w:t>0.6)</w:t>
            </w:r>
          </w:p>
        </w:tc>
        <w:tc>
          <w:tcPr>
            <w:tcW w:w="8307" w:type="dxa"/>
            <w:vMerge w:val="restart"/>
          </w:tcPr>
          <w:p w14:paraId="3016212D" w14:textId="77777777" w:rsidR="00CA5006" w:rsidRDefault="00000000">
            <w:pPr>
              <w:spacing w:line="240" w:lineRule="auto"/>
            </w:pPr>
            <w:r>
              <w:rPr>
                <w:rFonts w:hint="eastAsia"/>
              </w:rPr>
              <w:t>进取阶段代表企业管理活动对经济、社会和环境产生的重要影响，及管理可持续风险和机遇对企业财务影响的能力处于行业平均水平。</w:t>
            </w:r>
          </w:p>
        </w:tc>
      </w:tr>
      <w:tr w:rsidR="00CA5006" w14:paraId="7ED6153A" w14:textId="77777777">
        <w:trPr>
          <w:trHeight w:val="279"/>
          <w:jc w:val="center"/>
        </w:trPr>
        <w:tc>
          <w:tcPr>
            <w:tcW w:w="1116" w:type="dxa"/>
            <w:vMerge/>
            <w:vAlign w:val="center"/>
          </w:tcPr>
          <w:p w14:paraId="11007E4B" w14:textId="77777777" w:rsidR="00CA5006" w:rsidRDefault="00CA5006">
            <w:pPr>
              <w:spacing w:line="240" w:lineRule="auto"/>
              <w:jc w:val="center"/>
            </w:pPr>
          </w:p>
        </w:tc>
        <w:tc>
          <w:tcPr>
            <w:tcW w:w="1272" w:type="dxa"/>
          </w:tcPr>
          <w:p w14:paraId="5AF9BCA4" w14:textId="77777777" w:rsidR="00CA5006" w:rsidRDefault="00000000">
            <w:pPr>
              <w:spacing w:line="240" w:lineRule="auto"/>
            </w:pPr>
            <w:r>
              <w:rPr>
                <w:rFonts w:hint="eastAsia"/>
              </w:rPr>
              <w:t>BBB</w:t>
            </w:r>
          </w:p>
        </w:tc>
        <w:tc>
          <w:tcPr>
            <w:tcW w:w="1543" w:type="dxa"/>
          </w:tcPr>
          <w:p w14:paraId="39C6BEAA" w14:textId="77777777" w:rsidR="00CA5006" w:rsidRDefault="00000000">
            <w:pPr>
              <w:spacing w:line="240" w:lineRule="auto"/>
              <w:jc w:val="center"/>
            </w:pPr>
            <w:r>
              <w:rPr>
                <w:rFonts w:hint="eastAsia"/>
              </w:rPr>
              <w:t>[0.4</w:t>
            </w:r>
            <w:r>
              <w:rPr>
                <w:rFonts w:hint="eastAsia"/>
              </w:rPr>
              <w:t>，</w:t>
            </w:r>
            <w:r>
              <w:rPr>
                <w:rFonts w:hint="eastAsia"/>
              </w:rPr>
              <w:t>0.5)</w:t>
            </w:r>
          </w:p>
        </w:tc>
        <w:tc>
          <w:tcPr>
            <w:tcW w:w="8307" w:type="dxa"/>
            <w:vMerge/>
          </w:tcPr>
          <w:p w14:paraId="188D467E" w14:textId="77777777" w:rsidR="00CA5006" w:rsidRDefault="00CA5006">
            <w:pPr>
              <w:spacing w:line="240" w:lineRule="auto"/>
            </w:pPr>
          </w:p>
        </w:tc>
      </w:tr>
      <w:tr w:rsidR="00CA5006" w14:paraId="3E209AF8" w14:textId="77777777">
        <w:trPr>
          <w:trHeight w:val="279"/>
          <w:jc w:val="center"/>
        </w:trPr>
        <w:tc>
          <w:tcPr>
            <w:tcW w:w="1116" w:type="dxa"/>
            <w:vMerge w:val="restart"/>
            <w:vAlign w:val="center"/>
          </w:tcPr>
          <w:p w14:paraId="75F960E1" w14:textId="77777777" w:rsidR="00CA5006" w:rsidRDefault="00000000">
            <w:pPr>
              <w:spacing w:line="240" w:lineRule="auto"/>
              <w:jc w:val="center"/>
            </w:pPr>
            <w:r>
              <w:rPr>
                <w:rFonts w:hint="eastAsia"/>
              </w:rPr>
              <w:t>发展</w:t>
            </w:r>
          </w:p>
        </w:tc>
        <w:tc>
          <w:tcPr>
            <w:tcW w:w="1272" w:type="dxa"/>
          </w:tcPr>
          <w:p w14:paraId="7B06A008" w14:textId="77777777" w:rsidR="00CA5006" w:rsidRDefault="00000000">
            <w:pPr>
              <w:spacing w:line="240" w:lineRule="auto"/>
            </w:pPr>
            <w:r>
              <w:rPr>
                <w:rFonts w:hint="eastAsia"/>
              </w:rPr>
              <w:t>BB</w:t>
            </w:r>
          </w:p>
        </w:tc>
        <w:tc>
          <w:tcPr>
            <w:tcW w:w="1543" w:type="dxa"/>
          </w:tcPr>
          <w:p w14:paraId="48363C55" w14:textId="77777777" w:rsidR="00CA5006" w:rsidRDefault="00000000">
            <w:pPr>
              <w:spacing w:line="240" w:lineRule="auto"/>
              <w:jc w:val="center"/>
            </w:pPr>
            <w:r>
              <w:rPr>
                <w:rFonts w:hint="eastAsia"/>
              </w:rPr>
              <w:t>[0.3</w:t>
            </w:r>
            <w:r>
              <w:rPr>
                <w:rFonts w:hint="eastAsia"/>
              </w:rPr>
              <w:t>，</w:t>
            </w:r>
            <w:r>
              <w:rPr>
                <w:rFonts w:hint="eastAsia"/>
              </w:rPr>
              <w:t>0.4)</w:t>
            </w:r>
          </w:p>
        </w:tc>
        <w:tc>
          <w:tcPr>
            <w:tcW w:w="8307" w:type="dxa"/>
            <w:vMerge w:val="restart"/>
          </w:tcPr>
          <w:p w14:paraId="63B5523B" w14:textId="77777777" w:rsidR="00CA5006" w:rsidRDefault="00000000">
            <w:pPr>
              <w:spacing w:line="240" w:lineRule="auto"/>
            </w:pPr>
            <w:r>
              <w:rPr>
                <w:rFonts w:hint="eastAsia"/>
              </w:rPr>
              <w:t>发展阶段代表企业管理活动对经济、社会和环境产生的重要影响，及管理可持续风险和机遇对企业财务影响的能力处于行业一般水平。</w:t>
            </w:r>
          </w:p>
        </w:tc>
      </w:tr>
      <w:tr w:rsidR="00CA5006" w14:paraId="6C820A3B" w14:textId="77777777">
        <w:trPr>
          <w:trHeight w:val="279"/>
          <w:jc w:val="center"/>
        </w:trPr>
        <w:tc>
          <w:tcPr>
            <w:tcW w:w="1116" w:type="dxa"/>
            <w:vMerge/>
            <w:vAlign w:val="center"/>
          </w:tcPr>
          <w:p w14:paraId="03E5E767" w14:textId="77777777" w:rsidR="00CA5006" w:rsidRDefault="00CA5006">
            <w:pPr>
              <w:spacing w:line="240" w:lineRule="auto"/>
              <w:jc w:val="center"/>
            </w:pPr>
          </w:p>
        </w:tc>
        <w:tc>
          <w:tcPr>
            <w:tcW w:w="1272" w:type="dxa"/>
          </w:tcPr>
          <w:p w14:paraId="25EAFC96" w14:textId="77777777" w:rsidR="00CA5006" w:rsidRDefault="00000000">
            <w:pPr>
              <w:spacing w:line="240" w:lineRule="auto"/>
            </w:pPr>
            <w:r>
              <w:rPr>
                <w:rFonts w:hint="eastAsia"/>
              </w:rPr>
              <w:t>B</w:t>
            </w:r>
          </w:p>
        </w:tc>
        <w:tc>
          <w:tcPr>
            <w:tcW w:w="1543" w:type="dxa"/>
          </w:tcPr>
          <w:p w14:paraId="42E8D9BD" w14:textId="77777777" w:rsidR="00CA5006" w:rsidRDefault="00000000">
            <w:pPr>
              <w:spacing w:line="240" w:lineRule="auto"/>
              <w:jc w:val="center"/>
            </w:pPr>
            <w:r>
              <w:rPr>
                <w:rFonts w:hint="eastAsia"/>
              </w:rPr>
              <w:t>[0.2</w:t>
            </w:r>
            <w:r>
              <w:rPr>
                <w:rFonts w:hint="eastAsia"/>
              </w:rPr>
              <w:t>，</w:t>
            </w:r>
            <w:r>
              <w:rPr>
                <w:rFonts w:hint="eastAsia"/>
              </w:rPr>
              <w:t>0.3)</w:t>
            </w:r>
          </w:p>
        </w:tc>
        <w:tc>
          <w:tcPr>
            <w:tcW w:w="8307" w:type="dxa"/>
            <w:vMerge/>
          </w:tcPr>
          <w:p w14:paraId="79F5F9EE" w14:textId="77777777" w:rsidR="00CA5006" w:rsidRDefault="00CA5006">
            <w:pPr>
              <w:spacing w:line="240" w:lineRule="auto"/>
            </w:pPr>
          </w:p>
        </w:tc>
      </w:tr>
      <w:tr w:rsidR="00CA5006" w14:paraId="384E85CB" w14:textId="77777777">
        <w:trPr>
          <w:trHeight w:val="279"/>
          <w:jc w:val="center"/>
        </w:trPr>
        <w:tc>
          <w:tcPr>
            <w:tcW w:w="1116" w:type="dxa"/>
            <w:vMerge w:val="restart"/>
            <w:vAlign w:val="center"/>
          </w:tcPr>
          <w:p w14:paraId="53CF737E" w14:textId="77777777" w:rsidR="00CA5006" w:rsidRDefault="00000000">
            <w:pPr>
              <w:spacing w:line="240" w:lineRule="auto"/>
              <w:jc w:val="center"/>
            </w:pPr>
            <w:r>
              <w:rPr>
                <w:rFonts w:hint="eastAsia"/>
              </w:rPr>
              <w:t>起步</w:t>
            </w:r>
          </w:p>
        </w:tc>
        <w:tc>
          <w:tcPr>
            <w:tcW w:w="1272" w:type="dxa"/>
          </w:tcPr>
          <w:p w14:paraId="588E7E91" w14:textId="77777777" w:rsidR="00CA5006" w:rsidRDefault="00000000">
            <w:pPr>
              <w:spacing w:line="240" w:lineRule="auto"/>
            </w:pPr>
            <w:r>
              <w:rPr>
                <w:rFonts w:hint="eastAsia"/>
              </w:rPr>
              <w:t>CCC</w:t>
            </w:r>
          </w:p>
        </w:tc>
        <w:tc>
          <w:tcPr>
            <w:tcW w:w="1543" w:type="dxa"/>
          </w:tcPr>
          <w:p w14:paraId="6D9A59B0" w14:textId="77777777" w:rsidR="00CA5006" w:rsidRDefault="00000000">
            <w:pPr>
              <w:spacing w:line="240" w:lineRule="auto"/>
              <w:jc w:val="center"/>
            </w:pPr>
            <w:r>
              <w:rPr>
                <w:rFonts w:hint="eastAsia"/>
              </w:rPr>
              <w:t>[0.1</w:t>
            </w:r>
            <w:r>
              <w:rPr>
                <w:rFonts w:hint="eastAsia"/>
              </w:rPr>
              <w:t>，</w:t>
            </w:r>
            <w:r>
              <w:rPr>
                <w:rFonts w:hint="eastAsia"/>
              </w:rPr>
              <w:t>0.2)</w:t>
            </w:r>
          </w:p>
        </w:tc>
        <w:tc>
          <w:tcPr>
            <w:tcW w:w="8307" w:type="dxa"/>
            <w:vMerge w:val="restart"/>
          </w:tcPr>
          <w:p w14:paraId="556FAD0C" w14:textId="77777777" w:rsidR="00CA5006" w:rsidRDefault="00000000">
            <w:pPr>
              <w:spacing w:line="240" w:lineRule="auto"/>
            </w:pPr>
            <w:r>
              <w:rPr>
                <w:rFonts w:hint="eastAsia"/>
              </w:rPr>
              <w:t>起步阶段代表企业管理活动对经济、社会和环境产生的重要影响，及管理可持续风险和机遇对企业财务影响的能力处于行业较低水平。</w:t>
            </w:r>
          </w:p>
        </w:tc>
      </w:tr>
      <w:tr w:rsidR="00CA5006" w14:paraId="6E422AFC" w14:textId="77777777">
        <w:trPr>
          <w:trHeight w:val="279"/>
          <w:jc w:val="center"/>
        </w:trPr>
        <w:tc>
          <w:tcPr>
            <w:tcW w:w="1116" w:type="dxa"/>
            <w:vMerge/>
          </w:tcPr>
          <w:p w14:paraId="376F8DD2" w14:textId="77777777" w:rsidR="00CA5006" w:rsidRDefault="00CA5006">
            <w:pPr>
              <w:spacing w:line="240" w:lineRule="auto"/>
            </w:pPr>
          </w:p>
        </w:tc>
        <w:tc>
          <w:tcPr>
            <w:tcW w:w="1272" w:type="dxa"/>
          </w:tcPr>
          <w:p w14:paraId="4DA0794B" w14:textId="77777777" w:rsidR="00CA5006" w:rsidRDefault="00000000">
            <w:pPr>
              <w:spacing w:line="240" w:lineRule="auto"/>
            </w:pPr>
            <w:r>
              <w:rPr>
                <w:rFonts w:hint="eastAsia"/>
              </w:rPr>
              <w:t>CC</w:t>
            </w:r>
          </w:p>
        </w:tc>
        <w:tc>
          <w:tcPr>
            <w:tcW w:w="1543" w:type="dxa"/>
          </w:tcPr>
          <w:p w14:paraId="205A2171" w14:textId="77777777" w:rsidR="00CA5006" w:rsidRDefault="00000000">
            <w:pPr>
              <w:spacing w:line="240" w:lineRule="auto"/>
              <w:jc w:val="center"/>
            </w:pPr>
            <w:r>
              <w:rPr>
                <w:rFonts w:hint="eastAsia"/>
              </w:rPr>
              <w:t>[0</w:t>
            </w:r>
            <w:r>
              <w:rPr>
                <w:rFonts w:hint="eastAsia"/>
              </w:rPr>
              <w:t>，</w:t>
            </w:r>
            <w:r>
              <w:rPr>
                <w:rFonts w:hint="eastAsia"/>
              </w:rPr>
              <w:t>0.1)</w:t>
            </w:r>
          </w:p>
        </w:tc>
        <w:tc>
          <w:tcPr>
            <w:tcW w:w="8307" w:type="dxa"/>
            <w:vMerge/>
          </w:tcPr>
          <w:p w14:paraId="3CC1B4CF" w14:textId="77777777" w:rsidR="00CA5006" w:rsidRDefault="00CA5006">
            <w:pPr>
              <w:spacing w:line="240" w:lineRule="auto"/>
            </w:pPr>
          </w:p>
        </w:tc>
      </w:tr>
    </w:tbl>
    <w:p w14:paraId="7B77F1D1" w14:textId="77777777" w:rsidR="00CA5006" w:rsidRDefault="00CA5006">
      <w:pPr>
        <w:widowControl/>
        <w:autoSpaceDE w:val="0"/>
        <w:autoSpaceDN w:val="0"/>
        <w:adjustRightInd/>
        <w:spacing w:line="240" w:lineRule="auto"/>
        <w:ind w:firstLineChars="200" w:firstLine="420"/>
        <w:rPr>
          <w:rFonts w:ascii="宋体" w:hAnsi="宋体" w:hint="eastAsia"/>
          <w:kern w:val="0"/>
        </w:rPr>
      </w:pPr>
    </w:p>
    <w:p w14:paraId="4384CAE6" w14:textId="77777777" w:rsidR="00CA5006" w:rsidRDefault="00CA5006">
      <w:pPr>
        <w:pStyle w:val="affffff1"/>
        <w:ind w:firstLine="420"/>
      </w:pPr>
    </w:p>
    <w:p w14:paraId="5868A9A7" w14:textId="77777777" w:rsidR="00CA5006" w:rsidRDefault="00CA5006">
      <w:pPr>
        <w:sectPr w:rsidR="00CA5006">
          <w:pgSz w:w="16838" w:h="11906" w:orient="landscape"/>
          <w:pgMar w:top="1134" w:right="2410" w:bottom="1134" w:left="1134" w:header="1418" w:footer="1134" w:gutter="284"/>
          <w:cols w:space="425"/>
          <w:formProt w:val="0"/>
          <w:docGrid w:linePitch="312"/>
        </w:sectPr>
      </w:pPr>
    </w:p>
    <w:p w14:paraId="42414C2D" w14:textId="77777777" w:rsidR="00CA5006" w:rsidRDefault="00000000">
      <w:pPr>
        <w:pStyle w:val="aff9"/>
        <w:numPr>
          <w:ilvl w:val="1"/>
          <w:numId w:val="0"/>
        </w:numPr>
        <w:spacing w:before="240" w:after="240"/>
        <w:jc w:val="center"/>
        <w:rPr>
          <w:rFonts w:ascii="Times New Roman" w:hAnsi="宋体" w:hint="eastAsia"/>
        </w:rPr>
      </w:pPr>
      <w:bookmarkStart w:id="60" w:name="_Toc20255"/>
      <w:bookmarkStart w:id="61" w:name="_Toc30258"/>
      <w:bookmarkStart w:id="62" w:name="_Toc148449271"/>
      <w:bookmarkStart w:id="63" w:name="_Toc155283322"/>
      <w:bookmarkStart w:id="64" w:name="_Toc12959"/>
      <w:bookmarkStart w:id="65" w:name="_Toc155276551"/>
      <w:bookmarkEnd w:id="53"/>
      <w:r>
        <w:rPr>
          <w:rFonts w:ascii="Times New Roman" w:hAnsi="宋体" w:hint="eastAsia"/>
        </w:rPr>
        <w:lastRenderedPageBreak/>
        <w:t>参</w:t>
      </w:r>
      <w:r>
        <w:rPr>
          <w:rFonts w:ascii="Times New Roman" w:hAnsi="宋体" w:hint="eastAsia"/>
        </w:rPr>
        <w:t xml:space="preserve"> </w:t>
      </w:r>
      <w:r>
        <w:rPr>
          <w:rFonts w:ascii="Times New Roman" w:hAnsi="宋体" w:hint="eastAsia"/>
        </w:rPr>
        <w:t>考</w:t>
      </w:r>
      <w:r>
        <w:rPr>
          <w:rFonts w:ascii="Times New Roman" w:hAnsi="宋体" w:hint="eastAsia"/>
        </w:rPr>
        <w:t xml:space="preserve"> </w:t>
      </w:r>
      <w:r>
        <w:rPr>
          <w:rFonts w:ascii="Times New Roman" w:hAnsi="宋体" w:hint="eastAsia"/>
        </w:rPr>
        <w:t>文</w:t>
      </w:r>
      <w:r>
        <w:rPr>
          <w:rFonts w:ascii="Times New Roman" w:hAnsi="宋体" w:hint="eastAsia"/>
        </w:rPr>
        <w:t xml:space="preserve"> </w:t>
      </w:r>
      <w:r>
        <w:rPr>
          <w:rFonts w:ascii="Times New Roman" w:hAnsi="宋体" w:hint="eastAsia"/>
        </w:rPr>
        <w:t>献</w:t>
      </w:r>
      <w:bookmarkEnd w:id="60"/>
      <w:bookmarkEnd w:id="61"/>
      <w:bookmarkEnd w:id="62"/>
      <w:bookmarkEnd w:id="63"/>
      <w:bookmarkEnd w:id="64"/>
      <w:bookmarkEnd w:id="65"/>
    </w:p>
    <w:p w14:paraId="5E143263" w14:textId="77777777" w:rsidR="00CA5006" w:rsidRDefault="00000000">
      <w:pPr>
        <w:numPr>
          <w:ilvl w:val="0"/>
          <w:numId w:val="33"/>
        </w:numPr>
        <w:overflowPunct w:val="0"/>
        <w:snapToGrid w:val="0"/>
        <w:spacing w:line="360" w:lineRule="auto"/>
        <w:ind w:right="57" w:firstLineChars="200" w:firstLine="420"/>
        <w:textAlignment w:val="baseline"/>
        <w:rPr>
          <w:rFonts w:ascii="宋体" w:hAnsi="宋体" w:cs="宋体" w:hint="eastAsia"/>
          <w:snapToGrid w:val="0"/>
          <w:color w:val="000000"/>
          <w:kern w:val="0"/>
        </w:rPr>
      </w:pPr>
      <w:bookmarkStart w:id="66" w:name="_Hlk153532993"/>
      <w:r>
        <w:rPr>
          <w:rFonts w:ascii="宋体" w:hAnsi="宋体" w:cs="宋体"/>
          <w:snapToGrid w:val="0"/>
          <w:color w:val="000000"/>
          <w:kern w:val="0"/>
        </w:rPr>
        <w:t>GB/T 1.1-2020 标准化工作导则-第一部分：标准化文件的结构和起草规则</w:t>
      </w:r>
    </w:p>
    <w:p w14:paraId="47DDEA37" w14:textId="77777777" w:rsidR="00CA5006" w:rsidRDefault="00000000">
      <w:pPr>
        <w:numPr>
          <w:ilvl w:val="0"/>
          <w:numId w:val="33"/>
        </w:numPr>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snapToGrid w:val="0"/>
          <w:color w:val="000000"/>
          <w:kern w:val="0"/>
        </w:rPr>
        <w:t>GB/T 4754-2017 国民经济行业分类</w:t>
      </w:r>
    </w:p>
    <w:p w14:paraId="276F0930" w14:textId="77777777" w:rsidR="00CA5006" w:rsidRDefault="00000000">
      <w:pPr>
        <w:numPr>
          <w:ilvl w:val="0"/>
          <w:numId w:val="33"/>
        </w:numPr>
        <w:overflowPunct w:val="0"/>
        <w:snapToGrid w:val="0"/>
        <w:spacing w:line="360" w:lineRule="auto"/>
        <w:ind w:right="57" w:firstLineChars="200" w:firstLine="420"/>
        <w:textAlignment w:val="baseline"/>
        <w:rPr>
          <w:rFonts w:ascii="宋体" w:hAnsi="宋体" w:cs="宋体" w:hint="eastAsia"/>
          <w:snapToGrid w:val="0"/>
          <w:color w:val="000000"/>
          <w:kern w:val="0"/>
          <w:lang w:eastAsia="en-US"/>
        </w:rPr>
      </w:pPr>
      <w:r>
        <w:rPr>
          <w:rFonts w:ascii="宋体" w:hAnsi="宋体" w:cs="宋体" w:hint="eastAsia"/>
          <w:snapToGrid w:val="0"/>
          <w:color w:val="000000"/>
          <w:kern w:val="0"/>
        </w:rPr>
        <w:t>GB/T 19001-2016 质量管理体系 要求</w:t>
      </w:r>
    </w:p>
    <w:p w14:paraId="69C03BAB" w14:textId="77777777" w:rsidR="00CA5006" w:rsidRDefault="00000000">
      <w:pPr>
        <w:numPr>
          <w:ilvl w:val="0"/>
          <w:numId w:val="33"/>
        </w:numPr>
        <w:overflowPunct w:val="0"/>
        <w:snapToGrid w:val="0"/>
        <w:spacing w:line="360" w:lineRule="auto"/>
        <w:ind w:right="57" w:firstLineChars="200" w:firstLine="420"/>
        <w:textAlignment w:val="baseline"/>
        <w:rPr>
          <w:rFonts w:ascii="宋体" w:hAnsi="宋体" w:cs="宋体" w:hint="eastAsia"/>
          <w:snapToGrid w:val="0"/>
          <w:color w:val="000000"/>
          <w:kern w:val="0"/>
          <w:lang w:eastAsia="en-US"/>
        </w:rPr>
      </w:pPr>
      <w:r>
        <w:rPr>
          <w:rFonts w:ascii="宋体" w:hAnsi="宋体" w:cs="宋体" w:hint="eastAsia"/>
          <w:snapToGrid w:val="0"/>
          <w:color w:val="000000"/>
          <w:kern w:val="0"/>
        </w:rPr>
        <w:t>GB/T 23331-2020 能源管理体系 要求及使用指南</w:t>
      </w:r>
    </w:p>
    <w:p w14:paraId="0EBE0908" w14:textId="77777777" w:rsidR="00CA5006" w:rsidRDefault="00000000">
      <w:pPr>
        <w:numPr>
          <w:ilvl w:val="0"/>
          <w:numId w:val="33"/>
        </w:numPr>
        <w:overflowPunct w:val="0"/>
        <w:snapToGrid w:val="0"/>
        <w:spacing w:line="360" w:lineRule="auto"/>
        <w:ind w:right="57" w:firstLineChars="200" w:firstLine="420"/>
        <w:textAlignment w:val="baseline"/>
        <w:rPr>
          <w:rFonts w:ascii="宋体" w:hAnsi="宋体" w:cs="宋体" w:hint="eastAsia"/>
          <w:snapToGrid w:val="0"/>
          <w:color w:val="000000"/>
          <w:kern w:val="0"/>
          <w:lang w:eastAsia="en-US"/>
        </w:rPr>
      </w:pPr>
      <w:r>
        <w:rPr>
          <w:rFonts w:ascii="宋体" w:hAnsi="宋体" w:cs="宋体" w:hint="eastAsia"/>
          <w:snapToGrid w:val="0"/>
          <w:color w:val="000000"/>
          <w:kern w:val="0"/>
        </w:rPr>
        <w:t>GB/T 24001-2016 环境管理体系 要求及使用指南</w:t>
      </w:r>
    </w:p>
    <w:p w14:paraId="2B6D3FB0" w14:textId="77777777" w:rsidR="00CA5006" w:rsidRDefault="00000000">
      <w:pPr>
        <w:numPr>
          <w:ilvl w:val="0"/>
          <w:numId w:val="33"/>
        </w:numPr>
        <w:overflowPunct w:val="0"/>
        <w:snapToGrid w:val="0"/>
        <w:spacing w:line="360" w:lineRule="auto"/>
        <w:ind w:right="57" w:firstLineChars="200" w:firstLine="420"/>
        <w:textAlignment w:val="baseline"/>
        <w:rPr>
          <w:rFonts w:ascii="宋体" w:hAnsi="宋体" w:cs="宋体" w:hint="eastAsia"/>
          <w:snapToGrid w:val="0"/>
          <w:color w:val="000000"/>
          <w:kern w:val="0"/>
          <w:lang w:eastAsia="en-US"/>
        </w:rPr>
      </w:pPr>
      <w:r>
        <w:rPr>
          <w:rFonts w:ascii="宋体" w:hAnsi="宋体" w:cs="宋体" w:hint="eastAsia"/>
          <w:snapToGrid w:val="0"/>
          <w:color w:val="000000"/>
          <w:kern w:val="0"/>
        </w:rPr>
        <w:t>GB/T 24353-2022 风险管理指南</w:t>
      </w:r>
    </w:p>
    <w:p w14:paraId="19311D3B" w14:textId="77777777" w:rsidR="00CA5006" w:rsidRDefault="00000000">
      <w:pPr>
        <w:numPr>
          <w:ilvl w:val="0"/>
          <w:numId w:val="33"/>
        </w:numPr>
        <w:overflowPunct w:val="0"/>
        <w:snapToGrid w:val="0"/>
        <w:spacing w:line="360" w:lineRule="auto"/>
        <w:ind w:right="57" w:firstLineChars="200" w:firstLine="420"/>
        <w:textAlignment w:val="baseline"/>
        <w:rPr>
          <w:rFonts w:ascii="宋体" w:hAnsi="宋体" w:cs="宋体" w:hint="eastAsia"/>
          <w:snapToGrid w:val="0"/>
          <w:color w:val="000000"/>
          <w:kern w:val="0"/>
          <w:lang w:eastAsia="en-US"/>
        </w:rPr>
      </w:pPr>
      <w:r>
        <w:rPr>
          <w:rFonts w:ascii="宋体" w:hAnsi="宋体" w:cs="宋体" w:hint="eastAsia"/>
          <w:snapToGrid w:val="0"/>
          <w:color w:val="000000"/>
          <w:kern w:val="0"/>
        </w:rPr>
        <w:t>GB/T 39001-2019 道路交通安全管理体系 要求及使用指南</w:t>
      </w:r>
    </w:p>
    <w:p w14:paraId="0C3B0F31" w14:textId="77777777" w:rsidR="00CA5006" w:rsidRDefault="00000000">
      <w:pPr>
        <w:numPr>
          <w:ilvl w:val="0"/>
          <w:numId w:val="33"/>
        </w:numPr>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hint="eastAsia"/>
          <w:snapToGrid w:val="0"/>
          <w:color w:val="000000"/>
          <w:kern w:val="0"/>
        </w:rPr>
        <w:t>GB/T 45001-2020 职业健康安全管理体系 要求及使用指南</w:t>
      </w:r>
    </w:p>
    <w:p w14:paraId="50C28B77" w14:textId="77777777" w:rsidR="00CA5006" w:rsidRDefault="00000000">
      <w:pPr>
        <w:numPr>
          <w:ilvl w:val="0"/>
          <w:numId w:val="33"/>
        </w:numPr>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hint="eastAsia"/>
          <w:snapToGrid w:val="0"/>
          <w:color w:val="000000"/>
          <w:kern w:val="0"/>
        </w:rPr>
        <w:t>中华人民共和国个人信息保护法</w:t>
      </w:r>
    </w:p>
    <w:p w14:paraId="526D24B4" w14:textId="77777777" w:rsidR="00CA5006" w:rsidRDefault="00000000">
      <w:pPr>
        <w:numPr>
          <w:ilvl w:val="0"/>
          <w:numId w:val="33"/>
        </w:numPr>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hint="eastAsia"/>
          <w:snapToGrid w:val="0"/>
          <w:color w:val="000000"/>
          <w:kern w:val="0"/>
        </w:rPr>
        <w:t xml:space="preserve">缺陷汽车产品召回管理条例 </w:t>
      </w:r>
    </w:p>
    <w:p w14:paraId="4025EA60" w14:textId="77777777" w:rsidR="00CA5006" w:rsidRDefault="00000000">
      <w:pPr>
        <w:numPr>
          <w:ilvl w:val="0"/>
          <w:numId w:val="33"/>
        </w:numPr>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hint="eastAsia"/>
          <w:snapToGrid w:val="0"/>
          <w:color w:val="000000"/>
          <w:kern w:val="0"/>
        </w:rPr>
        <w:t>新能源汽车废旧动力蓄电池综合利用行业规范条件</w:t>
      </w:r>
    </w:p>
    <w:p w14:paraId="099D4EAD" w14:textId="77777777" w:rsidR="00CA5006" w:rsidRDefault="00000000">
      <w:pPr>
        <w:numPr>
          <w:ilvl w:val="0"/>
          <w:numId w:val="33"/>
        </w:numPr>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hint="eastAsia"/>
          <w:snapToGrid w:val="0"/>
          <w:color w:val="000000"/>
          <w:kern w:val="0"/>
        </w:rPr>
        <w:t xml:space="preserve">汽车零部件再制造规范管理暂行办法 </w:t>
      </w:r>
    </w:p>
    <w:p w14:paraId="72E0089A" w14:textId="77777777" w:rsidR="00CA5006" w:rsidRDefault="00000000">
      <w:pPr>
        <w:numPr>
          <w:ilvl w:val="0"/>
          <w:numId w:val="33"/>
        </w:numPr>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hint="eastAsia"/>
          <w:snapToGrid w:val="0"/>
          <w:color w:val="000000"/>
          <w:kern w:val="0"/>
        </w:rPr>
        <w:t>可持续行业分类系统</w:t>
      </w:r>
    </w:p>
    <w:p w14:paraId="17B70045" w14:textId="77777777" w:rsidR="00CA5006" w:rsidRDefault="00000000">
      <w:pPr>
        <w:numPr>
          <w:ilvl w:val="0"/>
          <w:numId w:val="33"/>
        </w:numPr>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hint="eastAsia"/>
          <w:snapToGrid w:val="0"/>
          <w:color w:val="000000"/>
          <w:kern w:val="0"/>
        </w:rPr>
        <w:t>全球行业分类标准</w:t>
      </w:r>
    </w:p>
    <w:p w14:paraId="62922883" w14:textId="77777777" w:rsidR="00CA5006" w:rsidRDefault="00000000">
      <w:pPr>
        <w:numPr>
          <w:ilvl w:val="0"/>
          <w:numId w:val="33"/>
        </w:numPr>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hint="eastAsia"/>
          <w:snapToGrid w:val="0"/>
          <w:color w:val="000000"/>
          <w:kern w:val="0"/>
        </w:rPr>
        <w:t>经济合作与发展组织 经合组织负责任商业行为尽责管理指南</w:t>
      </w:r>
    </w:p>
    <w:p w14:paraId="1C291471" w14:textId="77777777" w:rsidR="00CA5006" w:rsidRDefault="00000000">
      <w:pPr>
        <w:numPr>
          <w:ilvl w:val="0"/>
          <w:numId w:val="33"/>
        </w:numPr>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hint="eastAsia"/>
          <w:snapToGrid w:val="0"/>
          <w:color w:val="000000"/>
          <w:kern w:val="0"/>
        </w:rPr>
        <w:t>国际可持续准则理事会 国际财务报告可持续披露准则第2号——气候相关披露、国际财务报告可持续披露准则第1号——可持续相关财务信息披露一般要求</w:t>
      </w:r>
    </w:p>
    <w:p w14:paraId="6F01E746" w14:textId="77777777" w:rsidR="00CA5006" w:rsidRDefault="00000000">
      <w:pPr>
        <w:numPr>
          <w:ilvl w:val="0"/>
          <w:numId w:val="33"/>
        </w:numPr>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hint="eastAsia"/>
          <w:snapToGrid w:val="0"/>
          <w:color w:val="000000"/>
          <w:kern w:val="0"/>
        </w:rPr>
        <w:t>上海证券交易所 上市公司自律监管指引第14号——可持续发展报告（试行）</w:t>
      </w:r>
    </w:p>
    <w:p w14:paraId="3712596C" w14:textId="77777777" w:rsidR="00CA5006" w:rsidRDefault="00000000">
      <w:pPr>
        <w:numPr>
          <w:ilvl w:val="0"/>
          <w:numId w:val="33"/>
        </w:numPr>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hint="eastAsia"/>
          <w:snapToGrid w:val="0"/>
          <w:color w:val="000000"/>
          <w:kern w:val="0"/>
        </w:rPr>
        <w:t>中国上市公司协会 上市公司可持续发展报告工作指南</w:t>
      </w:r>
    </w:p>
    <w:p w14:paraId="55FD5AC7" w14:textId="77777777" w:rsidR="00CA5006" w:rsidRDefault="00000000">
      <w:pPr>
        <w:numPr>
          <w:ilvl w:val="0"/>
          <w:numId w:val="33"/>
        </w:numPr>
        <w:overflowPunct w:val="0"/>
        <w:snapToGrid w:val="0"/>
        <w:spacing w:line="360" w:lineRule="auto"/>
        <w:ind w:right="57" w:firstLineChars="200" w:firstLine="420"/>
        <w:textAlignment w:val="baseline"/>
        <w:rPr>
          <w:rFonts w:ascii="宋体" w:hAnsi="宋体" w:cs="宋体" w:hint="eastAsia"/>
          <w:snapToGrid w:val="0"/>
          <w:color w:val="000000"/>
          <w:kern w:val="0"/>
        </w:rPr>
      </w:pPr>
      <w:r>
        <w:rPr>
          <w:rFonts w:ascii="宋体" w:hAnsi="宋体" w:cs="宋体" w:hint="eastAsia"/>
          <w:snapToGrid w:val="0"/>
          <w:color w:val="000000"/>
          <w:kern w:val="0"/>
        </w:rPr>
        <w:t>香港联合交易所主板上市规则 附录C2 环境、社会及管治报告守则</w:t>
      </w:r>
    </w:p>
    <w:p w14:paraId="73905643" w14:textId="77777777" w:rsidR="00CA5006" w:rsidRDefault="00000000">
      <w:pPr>
        <w:numPr>
          <w:ilvl w:val="0"/>
          <w:numId w:val="33"/>
        </w:numPr>
        <w:overflowPunct w:val="0"/>
        <w:spacing w:line="360" w:lineRule="auto"/>
        <w:ind w:right="57" w:firstLineChars="200" w:firstLine="420"/>
        <w:textAlignment w:val="baseline"/>
        <w:rPr>
          <w:rFonts w:ascii="宋体" w:hAnsi="宋体" w:cs="宋体" w:hint="eastAsia"/>
          <w:snapToGrid w:val="0"/>
          <w:color w:val="000000"/>
          <w:kern w:val="0"/>
          <w:lang w:eastAsia="en-US"/>
        </w:rPr>
      </w:pPr>
      <w:r>
        <w:rPr>
          <w:rFonts w:ascii="宋体" w:hAnsi="宋体" w:cs="宋体" w:hint="eastAsia"/>
          <w:snapToGrid w:val="0"/>
          <w:color w:val="000000"/>
          <w:kern w:val="0"/>
        </w:rPr>
        <w:t>全球报告倡议组织可持续发展报告标准（GRI Standards）</w:t>
      </w:r>
      <w:bookmarkEnd w:id="66"/>
    </w:p>
    <w:sectPr w:rsidR="00CA5006">
      <w:pgSz w:w="11906" w:h="16838"/>
      <w:pgMar w:top="1134" w:right="1134" w:bottom="2410" w:left="1134" w:header="1418" w:footer="1134" w:gutter="284"/>
      <w:cols w:space="425"/>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5CDCA" w14:textId="77777777" w:rsidR="00581C83" w:rsidRDefault="00581C83">
      <w:pPr>
        <w:spacing w:line="240" w:lineRule="auto"/>
      </w:pPr>
      <w:r>
        <w:separator/>
      </w:r>
    </w:p>
  </w:endnote>
  <w:endnote w:type="continuationSeparator" w:id="0">
    <w:p w14:paraId="6158963C" w14:textId="77777777" w:rsidR="00581C83" w:rsidRDefault="00581C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default"/>
    <w:sig w:usb0="00000000" w:usb1="00000000" w:usb2="08000012" w:usb3="00000000" w:csb0="0002009F" w:csb1="00000000"/>
  </w:font>
  <w:font w:name="Courier New">
    <w:panose1 w:val="02070309020205020404"/>
    <w:charset w:val="01"/>
    <w:family w:val="modern"/>
    <w:pitch w:val="default"/>
    <w:sig w:usb0="E0002EFF" w:usb1="C0007843" w:usb2="00000009" w:usb3="00000000" w:csb0="400001FF" w:csb1="FFFF0000"/>
  </w:font>
  <w:font w:name="Century Schoolbook">
    <w:panose1 w:val="02040604050505020304"/>
    <w:charset w:val="00"/>
    <w:family w:val="roman"/>
    <w:pitch w:val="default"/>
    <w:sig w:usb0="00000287" w:usb1="000000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9F28" w14:textId="77777777" w:rsidR="00CA5006" w:rsidRDefault="00CA5006">
    <w:pPr>
      <w:pStyle w:val="afffff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BDFC6" w14:textId="77777777" w:rsidR="00CA5006" w:rsidRDefault="00000000">
    <w:pPr>
      <w:pStyle w:val="afffffe"/>
    </w:pPr>
    <w:r>
      <w:rPr>
        <w:noProof/>
      </w:rPr>
      <mc:AlternateContent>
        <mc:Choice Requires="wps">
          <w:drawing>
            <wp:anchor distT="0" distB="0" distL="114300" distR="114300" simplePos="0" relativeHeight="251659264" behindDoc="0" locked="0" layoutInCell="1" allowOverlap="1" wp14:anchorId="728260A8" wp14:editId="0EC2F63C">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432F86" w14:textId="77777777" w:rsidR="00CA5006" w:rsidRDefault="00000000">
                          <w:pPr>
                            <w:pStyle w:val="afffffe"/>
                          </w:pPr>
                          <w:r>
                            <w:fldChar w:fldCharType="begin"/>
                          </w:r>
                          <w:r>
                            <w:instrText>PAGE   \* MERGEFORMAT</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28260A8" id="_x0000_t202" coordsize="21600,21600" o:spt="202" path="m,l,21600r21600,l21600,xe">
              <v:stroke joinstyle="miter"/>
              <v:path gradientshapeok="t" o:connecttype="rect"/>
            </v:shapetype>
            <v:shape id="文本框 6"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6432F86" w14:textId="77777777" w:rsidR="00CA5006" w:rsidRDefault="00000000">
                    <w:pPr>
                      <w:pStyle w:val="afffffe"/>
                    </w:pPr>
                    <w:r>
                      <w:fldChar w:fldCharType="begin"/>
                    </w:r>
                    <w:r>
                      <w:instrText>PAGE   \* MERGEFORMAT</w:instrText>
                    </w:r>
                    <w:r>
                      <w:fldChar w:fldCharType="separate"/>
                    </w:r>
                    <w:r>
                      <w:rPr>
                        <w:lang w:val="zh-CN"/>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52BAA" w14:textId="77777777" w:rsidR="00581C83" w:rsidRDefault="00581C83">
      <w:pPr>
        <w:spacing w:line="240" w:lineRule="auto"/>
      </w:pPr>
      <w:r>
        <w:separator/>
      </w:r>
    </w:p>
  </w:footnote>
  <w:footnote w:type="continuationSeparator" w:id="0">
    <w:p w14:paraId="10F41F5F" w14:textId="77777777" w:rsidR="00581C83" w:rsidRDefault="00581C8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09D62" w14:textId="77777777" w:rsidR="00CA5006" w:rsidRDefault="00000000">
    <w:pPr>
      <w:pStyle w:val="affffff6"/>
      <w:rPr>
        <w:rFonts w:hint="eastAsia"/>
      </w:rPr>
    </w:pPr>
    <w:r>
      <w:rPr>
        <w:rFonts w:hint="eastAsia"/>
      </w:rPr>
      <w:t>T/XXXXXXX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37933"/>
    <w:multiLevelType w:val="multilevel"/>
    <w:tmpl w:val="02837933"/>
    <w:lvl w:ilvl="0">
      <w:start w:val="1"/>
      <w:numFmt w:val="decimal"/>
      <w:pStyle w:val="a"/>
      <w:lvlText w:val="[%1]"/>
      <w:lvlJc w:val="left"/>
      <w:pPr>
        <w:tabs>
          <w:tab w:val="left" w:pos="1646"/>
        </w:tabs>
        <w:ind w:left="1646" w:hanging="648"/>
      </w:pPr>
    </w:lvl>
    <w:lvl w:ilvl="1">
      <w:start w:val="1"/>
      <w:numFmt w:val="lowerLetter"/>
      <w:lvlText w:val="%2)"/>
      <w:lvlJc w:val="left"/>
      <w:pPr>
        <w:tabs>
          <w:tab w:val="left" w:pos="1838"/>
        </w:tabs>
        <w:ind w:left="1838" w:hanging="420"/>
      </w:pPr>
    </w:lvl>
    <w:lvl w:ilvl="2">
      <w:start w:val="1"/>
      <w:numFmt w:val="lowerRoman"/>
      <w:lvlText w:val="%3."/>
      <w:lvlJc w:val="right"/>
      <w:pPr>
        <w:tabs>
          <w:tab w:val="left" w:pos="2258"/>
        </w:tabs>
        <w:ind w:left="2258" w:hanging="420"/>
      </w:pPr>
    </w:lvl>
    <w:lvl w:ilvl="3">
      <w:start w:val="1"/>
      <w:numFmt w:val="decimal"/>
      <w:lvlText w:val="%4."/>
      <w:lvlJc w:val="left"/>
      <w:pPr>
        <w:tabs>
          <w:tab w:val="left" w:pos="2678"/>
        </w:tabs>
        <w:ind w:left="2678" w:hanging="420"/>
      </w:pPr>
    </w:lvl>
    <w:lvl w:ilvl="4">
      <w:start w:val="1"/>
      <w:numFmt w:val="lowerLetter"/>
      <w:pStyle w:val="a0"/>
      <w:lvlText w:val="%5)"/>
      <w:lvlJc w:val="left"/>
      <w:pPr>
        <w:tabs>
          <w:tab w:val="left" w:pos="3098"/>
        </w:tabs>
        <w:ind w:left="3098" w:hanging="420"/>
      </w:pPr>
    </w:lvl>
    <w:lvl w:ilvl="5">
      <w:start w:val="1"/>
      <w:numFmt w:val="lowerRoman"/>
      <w:pStyle w:val="a1"/>
      <w:lvlText w:val="%6."/>
      <w:lvlJc w:val="right"/>
      <w:pPr>
        <w:tabs>
          <w:tab w:val="left" w:pos="3518"/>
        </w:tabs>
        <w:ind w:left="3518" w:hanging="420"/>
      </w:pPr>
    </w:lvl>
    <w:lvl w:ilvl="6">
      <w:start w:val="1"/>
      <w:numFmt w:val="decimal"/>
      <w:lvlText w:val="%7."/>
      <w:lvlJc w:val="left"/>
      <w:pPr>
        <w:tabs>
          <w:tab w:val="left" w:pos="3938"/>
        </w:tabs>
        <w:ind w:left="3938" w:hanging="420"/>
      </w:pPr>
    </w:lvl>
    <w:lvl w:ilvl="7">
      <w:start w:val="1"/>
      <w:numFmt w:val="lowerLetter"/>
      <w:lvlText w:val="%8)"/>
      <w:lvlJc w:val="left"/>
      <w:pPr>
        <w:tabs>
          <w:tab w:val="left" w:pos="4358"/>
        </w:tabs>
        <w:ind w:left="4358" w:hanging="420"/>
      </w:pPr>
    </w:lvl>
    <w:lvl w:ilvl="8">
      <w:start w:val="1"/>
      <w:numFmt w:val="lowerRoman"/>
      <w:lvlText w:val="%9."/>
      <w:lvlJc w:val="right"/>
      <w:pPr>
        <w:tabs>
          <w:tab w:val="left" w:pos="4778"/>
        </w:tabs>
        <w:ind w:left="4778" w:hanging="420"/>
      </w:pPr>
    </w:lvl>
  </w:abstractNum>
  <w:abstractNum w:abstractNumId="1" w15:restartNumberingAfterBreak="0">
    <w:nsid w:val="040A15CD"/>
    <w:multiLevelType w:val="multilevel"/>
    <w:tmpl w:val="040A15CD"/>
    <w:lvl w:ilvl="0">
      <w:start w:val="1"/>
      <w:numFmt w:val="none"/>
      <w:suff w:val="nothing"/>
      <w:lvlText w:val="　"/>
      <w:lvlJc w:val="left"/>
      <w:pPr>
        <w:ind w:left="0" w:firstLine="0"/>
      </w:pPr>
    </w:lvl>
    <w:lvl w:ilvl="1">
      <w:start w:val="1"/>
      <w:numFmt w:val="decimal"/>
      <w:isLgl/>
      <w:suff w:val="nothing"/>
      <w:lvlText w:val="%2　"/>
      <w:lvlJc w:val="left"/>
      <w:pPr>
        <w:ind w:left="0" w:firstLine="0"/>
      </w:pPr>
    </w:lvl>
    <w:lvl w:ilvl="2">
      <w:start w:val="1"/>
      <w:numFmt w:val="decimal"/>
      <w:pStyle w:val="a2"/>
      <w:suff w:val="nothing"/>
      <w:lvlText w:val="%1%2.%3　"/>
      <w:lvlJc w:val="left"/>
      <w:pPr>
        <w:ind w:left="0" w:firstLine="0"/>
      </w:pPr>
    </w:lvl>
    <w:lvl w:ilvl="3">
      <w:start w:val="1"/>
      <w:numFmt w:val="decimal"/>
      <w:pStyle w:val="a3"/>
      <w:suff w:val="nothing"/>
      <w:lvlText w:val="%1%2.%3.%4　"/>
      <w:lvlJc w:val="left"/>
      <w:pPr>
        <w:ind w:left="0" w:firstLine="0"/>
      </w:pPr>
    </w:lvl>
    <w:lvl w:ilvl="4">
      <w:start w:val="1"/>
      <w:numFmt w:val="decimal"/>
      <w:suff w:val="nothing"/>
      <w:lvlText w:val="%1%2.%3.%4.%5　"/>
      <w:lvlJc w:val="left"/>
      <w:pPr>
        <w:ind w:left="0" w:firstLine="0"/>
      </w:pPr>
    </w:lvl>
    <w:lvl w:ilvl="5">
      <w:start w:val="1"/>
      <w:numFmt w:val="decimal"/>
      <w:pStyle w:val="a4"/>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 w15:restartNumberingAfterBreak="0">
    <w:nsid w:val="079102AD"/>
    <w:multiLevelType w:val="multilevel"/>
    <w:tmpl w:val="079102AD"/>
    <w:lvl w:ilvl="0">
      <w:start w:val="1"/>
      <w:numFmt w:val="decimal"/>
      <w:pStyle w:val="a5"/>
      <w:suff w:val="nothing"/>
      <w:lvlText w:val="注%1："/>
      <w:lvlJc w:val="left"/>
      <w:pPr>
        <w:ind w:left="811" w:hanging="448"/>
      </w:pPr>
      <w:rPr>
        <w:rFonts w:ascii="黑体" w:eastAsia="黑体" w:hint="eastAsia"/>
        <w:b w:val="0"/>
        <w:i w:val="0"/>
        <w:sz w:val="18"/>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3" w15:restartNumberingAfterBreak="0">
    <w:nsid w:val="07ED3FEA"/>
    <w:multiLevelType w:val="multilevel"/>
    <w:tmpl w:val="07ED3FEA"/>
    <w:lvl w:ilvl="0">
      <w:start w:val="1"/>
      <w:numFmt w:val="none"/>
      <w:pStyle w:val="a6"/>
      <w:lvlText w:val="%1"/>
      <w:lvlJc w:val="left"/>
      <w:pPr>
        <w:ind w:left="425" w:hanging="425"/>
      </w:pPr>
      <w:rPr>
        <w:rFonts w:hint="eastAsia"/>
      </w:rPr>
    </w:lvl>
    <w:lvl w:ilvl="1">
      <w:start w:val="1"/>
      <w:numFmt w:val="decimal"/>
      <w:suff w:val="nothing"/>
      <w:lvlText w:val="%10.%2 "/>
      <w:lvlJc w:val="left"/>
      <w:pPr>
        <w:ind w:left="0" w:firstLine="0"/>
      </w:pPr>
      <w:rPr>
        <w:rFonts w:ascii="黑体" w:eastAsia="黑体" w:hAnsiTheme="minorHAnsi" w:hint="eastAsia"/>
        <w:b w:val="0"/>
        <w:i w:val="0"/>
        <w:sz w:val="21"/>
      </w:rPr>
    </w:lvl>
    <w:lvl w:ilvl="2">
      <w:start w:val="1"/>
      <w:numFmt w:val="decimal"/>
      <w:suff w:val="nothing"/>
      <w:lvlText w:val="%10.%2.%3 "/>
      <w:lvlJc w:val="left"/>
      <w:pPr>
        <w:ind w:left="0" w:firstLine="0"/>
      </w:pPr>
      <w:rPr>
        <w:rFonts w:ascii="黑体" w:eastAsia="黑体" w:hAnsiTheme="minorHAnsi" w:hint="eastAsia"/>
        <w:b w:val="0"/>
        <w:i w:val="0"/>
        <w:sz w:val="21"/>
      </w:rPr>
    </w:lvl>
    <w:lvl w:ilvl="3">
      <w:start w:val="1"/>
      <w:numFmt w:val="decimal"/>
      <w:suff w:val="nothing"/>
      <w:lvlText w:val="%10.%2.%3.%4 "/>
      <w:lvlJc w:val="left"/>
      <w:pPr>
        <w:ind w:left="0" w:firstLine="0"/>
      </w:pPr>
      <w:rPr>
        <w:rFonts w:ascii="黑体" w:eastAsia="黑体" w:hAnsiTheme="minorHAnsi" w:hint="eastAsia"/>
        <w:b w:val="0"/>
        <w:i w:val="0"/>
        <w:sz w:val="21"/>
      </w:rPr>
    </w:lvl>
    <w:lvl w:ilvl="4">
      <w:start w:val="1"/>
      <w:numFmt w:val="decimal"/>
      <w:pStyle w:val="a7"/>
      <w:suff w:val="nothing"/>
      <w:lvlText w:val="%10.%2.%3.%4.%5 "/>
      <w:lvlJc w:val="left"/>
      <w:pPr>
        <w:ind w:left="0" w:firstLine="0"/>
      </w:pPr>
      <w:rPr>
        <w:rFonts w:ascii="黑体" w:eastAsia="黑体" w:hAnsiTheme="minorHAnsi" w:hint="eastAsia"/>
        <w:b w:val="0"/>
        <w:i w:val="0"/>
        <w:sz w:val="21"/>
      </w:rPr>
    </w:lvl>
    <w:lvl w:ilvl="5">
      <w:start w:val="1"/>
      <w:numFmt w:val="decimal"/>
      <w:pStyle w:val="a8"/>
      <w:suff w:val="nothing"/>
      <w:lvlText w:val="%10.%2.%3.%4.%5.%6 "/>
      <w:lvlJc w:val="left"/>
      <w:pPr>
        <w:ind w:left="0" w:firstLine="0"/>
      </w:pPr>
      <w:rPr>
        <w:rFonts w:ascii="黑体" w:eastAsia="黑体" w:hAnsiTheme="minorHAnsi" w:hint="eastAsia"/>
        <w:b w:val="0"/>
        <w:i w:val="0"/>
        <w:sz w:val="21"/>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 w15:restartNumberingAfterBreak="0">
    <w:nsid w:val="0AE367E9"/>
    <w:multiLevelType w:val="multilevel"/>
    <w:tmpl w:val="0AE367E9"/>
    <w:lvl w:ilvl="0">
      <w:start w:val="1"/>
      <w:numFmt w:val="none"/>
      <w:pStyle w:val="a9"/>
      <w:suff w:val="nothing"/>
      <w:lvlText w:val="%1示例："/>
      <w:lvlJc w:val="left"/>
      <w:pPr>
        <w:ind w:left="0" w:firstLine="363"/>
      </w:pPr>
      <w:rPr>
        <w:rFonts w:ascii="黑体" w:eastAsia="黑体" w:hint="eastAsia"/>
        <w:b w:val="0"/>
        <w:i w:val="0"/>
        <w:sz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5" w15:restartNumberingAfterBreak="0">
    <w:nsid w:val="0BDC1670"/>
    <w:multiLevelType w:val="multilevel"/>
    <w:tmpl w:val="0BDC1670"/>
    <w:lvl w:ilvl="0">
      <w:start w:val="1"/>
      <w:numFmt w:val="decimal"/>
      <w:pStyle w:val="aa"/>
      <w:lvlText w:val="[%1]"/>
      <w:lvlJc w:val="left"/>
      <w:pPr>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0D051F45"/>
    <w:multiLevelType w:val="multilevel"/>
    <w:tmpl w:val="0D051F45"/>
    <w:lvl w:ilvl="0">
      <w:start w:val="1"/>
      <w:numFmt w:val="lowerRoman"/>
      <w:pStyle w:val="ab"/>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543"/>
        </w:tabs>
        <w:ind w:left="1543" w:hanging="420"/>
      </w:pPr>
      <w:rPr>
        <w:rFonts w:hint="eastAsia"/>
      </w:rPr>
    </w:lvl>
    <w:lvl w:ilvl="2">
      <w:start w:val="1"/>
      <w:numFmt w:val="lowerRoman"/>
      <w:lvlText w:val="%3."/>
      <w:lvlJc w:val="right"/>
      <w:pPr>
        <w:tabs>
          <w:tab w:val="left" w:pos="1963"/>
        </w:tabs>
        <w:ind w:left="1963" w:hanging="420"/>
      </w:pPr>
      <w:rPr>
        <w:rFonts w:hint="eastAsia"/>
      </w:rPr>
    </w:lvl>
    <w:lvl w:ilvl="3">
      <w:start w:val="1"/>
      <w:numFmt w:val="decimal"/>
      <w:lvlText w:val="%4."/>
      <w:lvlJc w:val="left"/>
      <w:pPr>
        <w:tabs>
          <w:tab w:val="left" w:pos="2383"/>
        </w:tabs>
        <w:ind w:left="2383" w:hanging="420"/>
      </w:pPr>
      <w:rPr>
        <w:rFonts w:hint="eastAsia"/>
      </w:rPr>
    </w:lvl>
    <w:lvl w:ilvl="4">
      <w:start w:val="1"/>
      <w:numFmt w:val="lowerLetter"/>
      <w:lvlText w:val="%5)"/>
      <w:lvlJc w:val="left"/>
      <w:pPr>
        <w:tabs>
          <w:tab w:val="left" w:pos="2803"/>
        </w:tabs>
        <w:ind w:left="2803" w:hanging="420"/>
      </w:pPr>
      <w:rPr>
        <w:rFonts w:hint="eastAsia"/>
      </w:rPr>
    </w:lvl>
    <w:lvl w:ilvl="5">
      <w:start w:val="1"/>
      <w:numFmt w:val="lowerRoman"/>
      <w:lvlText w:val="%6."/>
      <w:lvlJc w:val="right"/>
      <w:pPr>
        <w:tabs>
          <w:tab w:val="left" w:pos="3223"/>
        </w:tabs>
        <w:ind w:left="3223" w:hanging="420"/>
      </w:pPr>
      <w:rPr>
        <w:rFonts w:hint="eastAsia"/>
      </w:rPr>
    </w:lvl>
    <w:lvl w:ilvl="6">
      <w:start w:val="1"/>
      <w:numFmt w:val="decimal"/>
      <w:lvlText w:val="%7."/>
      <w:lvlJc w:val="left"/>
      <w:pPr>
        <w:tabs>
          <w:tab w:val="left" w:pos="3643"/>
        </w:tabs>
        <w:ind w:left="3643" w:hanging="420"/>
      </w:pPr>
      <w:rPr>
        <w:rFonts w:hint="eastAsia"/>
      </w:rPr>
    </w:lvl>
    <w:lvl w:ilvl="7">
      <w:start w:val="1"/>
      <w:numFmt w:val="lowerLetter"/>
      <w:lvlText w:val="%8)"/>
      <w:lvlJc w:val="left"/>
      <w:pPr>
        <w:tabs>
          <w:tab w:val="left" w:pos="4063"/>
        </w:tabs>
        <w:ind w:left="4063" w:hanging="420"/>
      </w:pPr>
      <w:rPr>
        <w:rFonts w:hint="eastAsia"/>
      </w:rPr>
    </w:lvl>
    <w:lvl w:ilvl="8">
      <w:start w:val="1"/>
      <w:numFmt w:val="lowerRoman"/>
      <w:lvlText w:val="%9."/>
      <w:lvlJc w:val="right"/>
      <w:pPr>
        <w:tabs>
          <w:tab w:val="left" w:pos="4483"/>
        </w:tabs>
        <w:ind w:left="4483" w:hanging="420"/>
      </w:pPr>
      <w:rPr>
        <w:rFonts w:hint="eastAsia"/>
      </w:rPr>
    </w:lvl>
  </w:abstractNum>
  <w:abstractNum w:abstractNumId="7" w15:restartNumberingAfterBreak="0">
    <w:nsid w:val="1AD20F90"/>
    <w:multiLevelType w:val="multilevel"/>
    <w:tmpl w:val="1AD20F90"/>
    <w:lvl w:ilvl="0">
      <w:start w:val="1"/>
      <w:numFmt w:val="none"/>
      <w:pStyle w:val="ac"/>
      <w:lvlText w:val="%1注："/>
      <w:lvlJc w:val="left"/>
      <w:pPr>
        <w:tabs>
          <w:tab w:val="left" w:pos="845"/>
        </w:tabs>
        <w:ind w:left="-102" w:firstLine="419"/>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1AF15012"/>
    <w:multiLevelType w:val="multilevel"/>
    <w:tmpl w:val="1AF15012"/>
    <w:lvl w:ilvl="0">
      <w:start w:val="1"/>
      <w:numFmt w:val="upperLetter"/>
      <w:pStyle w:val="ad"/>
      <w:suff w:val="nothing"/>
      <w:lvlText w:val="附 录(Annex) %1"/>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9" w15:restartNumberingAfterBreak="0">
    <w:nsid w:val="1EAA1992"/>
    <w:multiLevelType w:val="multilevel"/>
    <w:tmpl w:val="1EAA1992"/>
    <w:lvl w:ilvl="0">
      <w:start w:val="1"/>
      <w:numFmt w:val="none"/>
      <w:pStyle w:val="ae"/>
      <w:suff w:val="nothing"/>
      <w:lvlText w:val="——"/>
      <w:lvlJc w:val="left"/>
      <w:pPr>
        <w:ind w:left="794" w:hanging="397"/>
      </w:pPr>
    </w:lvl>
    <w:lvl w:ilvl="1">
      <w:start w:val="1"/>
      <w:numFmt w:val="decimal"/>
      <w:suff w:val="nothing"/>
      <w:lvlText w:val="%1.%2　"/>
      <w:lvlJc w:val="left"/>
      <w:pPr>
        <w:ind w:left="397" w:firstLine="0"/>
      </w:pPr>
    </w:lvl>
    <w:lvl w:ilvl="2">
      <w:start w:val="1"/>
      <w:numFmt w:val="decimal"/>
      <w:suff w:val="nothing"/>
      <w:lvlText w:val="%1.%2.%3　"/>
      <w:lvlJc w:val="left"/>
      <w:pPr>
        <w:ind w:left="397" w:firstLine="0"/>
      </w:pPr>
    </w:lvl>
    <w:lvl w:ilvl="3">
      <w:start w:val="1"/>
      <w:numFmt w:val="decimal"/>
      <w:suff w:val="nothing"/>
      <w:lvlText w:val="%1.%2.%3.%4　"/>
      <w:lvlJc w:val="left"/>
      <w:pPr>
        <w:ind w:left="397" w:firstLine="0"/>
      </w:pPr>
    </w:lvl>
    <w:lvl w:ilvl="4">
      <w:start w:val="1"/>
      <w:numFmt w:val="decimal"/>
      <w:suff w:val="nothing"/>
      <w:lvlText w:val="%1.%2.%3.%4.%5　"/>
      <w:lvlJc w:val="left"/>
      <w:pPr>
        <w:ind w:left="397" w:firstLine="0"/>
      </w:pPr>
    </w:lvl>
    <w:lvl w:ilvl="5">
      <w:start w:val="1"/>
      <w:numFmt w:val="decimal"/>
      <w:suff w:val="nothing"/>
      <w:lvlText w:val="%1.%2.%3.%4.%5.%6　"/>
      <w:lvlJc w:val="left"/>
      <w:pPr>
        <w:ind w:left="397" w:firstLine="0"/>
      </w:pPr>
    </w:lvl>
    <w:lvl w:ilvl="6">
      <w:start w:val="1"/>
      <w:numFmt w:val="decimal"/>
      <w:suff w:val="nothing"/>
      <w:lvlText w:val="%1.%2.%3.%4.%5.%6.%7　"/>
      <w:lvlJc w:val="left"/>
      <w:pPr>
        <w:ind w:left="397" w:firstLine="0"/>
      </w:pPr>
    </w:lvl>
    <w:lvl w:ilvl="7">
      <w:start w:val="1"/>
      <w:numFmt w:val="decimal"/>
      <w:lvlText w:val="%1.%2.%3.%4.%5.%6.%7.%8"/>
      <w:lvlJc w:val="left"/>
      <w:pPr>
        <w:tabs>
          <w:tab w:val="left" w:pos="4791"/>
        </w:tabs>
        <w:ind w:left="4791" w:hanging="1418"/>
      </w:pPr>
    </w:lvl>
    <w:lvl w:ilvl="8">
      <w:start w:val="1"/>
      <w:numFmt w:val="decimal"/>
      <w:lvlText w:val="%1.%2.%3.%4.%5.%6.%7.%8.%9"/>
      <w:lvlJc w:val="left"/>
      <w:pPr>
        <w:tabs>
          <w:tab w:val="left" w:pos="5499"/>
        </w:tabs>
        <w:ind w:left="5499" w:hanging="1700"/>
      </w:pPr>
    </w:lvl>
  </w:abstractNum>
  <w:abstractNum w:abstractNumId="10" w15:restartNumberingAfterBreak="0">
    <w:nsid w:val="22827D5B"/>
    <w:multiLevelType w:val="multilevel"/>
    <w:tmpl w:val="22827D5B"/>
    <w:lvl w:ilvl="0">
      <w:start w:val="1"/>
      <w:numFmt w:val="none"/>
      <w:pStyle w:val="af"/>
      <w:suff w:val="nothing"/>
      <w:lvlText w:val="%1注："/>
      <w:lvlJc w:val="left"/>
      <w:pPr>
        <w:ind w:left="726" w:hanging="363"/>
      </w:pPr>
      <w:rPr>
        <w:rFonts w:ascii="黑体" w:eastAsia="黑体" w:hAnsi="Times New Roman" w:hint="eastAsia"/>
        <w:b w:val="0"/>
        <w:i w:val="0"/>
        <w:sz w:val="18"/>
      </w:rPr>
    </w:lvl>
    <w:lvl w:ilvl="1">
      <w:start w:val="1"/>
      <w:numFmt w:val="lowerLetter"/>
      <w:pStyle w:val="af0"/>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11" w15:restartNumberingAfterBreak="0">
    <w:nsid w:val="2795693A"/>
    <w:multiLevelType w:val="singleLevel"/>
    <w:tmpl w:val="2795693A"/>
    <w:lvl w:ilvl="0">
      <w:start w:val="1"/>
      <w:numFmt w:val="decimal"/>
      <w:suff w:val="nothing"/>
      <w:lvlText w:val="[%1]"/>
      <w:lvlJc w:val="left"/>
    </w:lvl>
  </w:abstractNum>
  <w:abstractNum w:abstractNumId="12" w15:restartNumberingAfterBreak="0">
    <w:nsid w:val="2C5917C3"/>
    <w:multiLevelType w:val="multilevel"/>
    <w:tmpl w:val="2C5917C3"/>
    <w:lvl w:ilvl="0">
      <w:start w:val="1"/>
      <w:numFmt w:val="none"/>
      <w:pStyle w:val="af1"/>
      <w:lvlText w:val="%1——"/>
      <w:lvlJc w:val="left"/>
      <w:pPr>
        <w:tabs>
          <w:tab w:val="left" w:pos="851"/>
        </w:tabs>
        <w:ind w:left="851" w:hanging="426"/>
      </w:pPr>
      <w:rPr>
        <w:rFonts w:ascii="宋体" w:eastAsia="宋体" w:hAnsi="Times New Roman" w:hint="eastAsia"/>
        <w:b w:val="0"/>
        <w:i w:val="0"/>
        <w:sz w:val="21"/>
      </w:rPr>
    </w:lvl>
    <w:lvl w:ilvl="1">
      <w:start w:val="1"/>
      <w:numFmt w:val="none"/>
      <w:pStyle w:val="2"/>
      <w:lvlText w:val=""/>
      <w:lvlJc w:val="left"/>
      <w:pPr>
        <w:ind w:left="851" w:hanging="431"/>
      </w:pPr>
      <w:rPr>
        <w:rFonts w:ascii="Symbol" w:hAnsi="Symbol" w:hint="default"/>
        <w:sz w:val="21"/>
      </w:rPr>
    </w:lvl>
    <w:lvl w:ilvl="2">
      <w:start w:val="1"/>
      <w:numFmt w:val="bullet"/>
      <w:pStyle w:val="af2"/>
      <w:lvlText w:val=""/>
      <w:lvlJc w:val="left"/>
      <w:pPr>
        <w:ind w:left="851" w:hanging="426"/>
      </w:pPr>
      <w:rPr>
        <w:rFonts w:ascii="Wingdings" w:hAnsi="Wingdings" w:hint="default"/>
        <w:sz w:val="21"/>
      </w:rPr>
    </w:lvl>
    <w:lvl w:ilvl="3">
      <w:start w:val="1"/>
      <w:numFmt w:val="decimal"/>
      <w:lvlText w:val="%4."/>
      <w:lvlJc w:val="left"/>
      <w:pPr>
        <w:tabs>
          <w:tab w:val="left" w:pos="2071"/>
        </w:tabs>
        <w:ind w:left="1884" w:hanging="528"/>
      </w:pPr>
      <w:rPr>
        <w:rFonts w:hint="eastAsia"/>
      </w:rPr>
    </w:lvl>
    <w:lvl w:ilvl="4">
      <w:start w:val="1"/>
      <w:numFmt w:val="lowerLetter"/>
      <w:lvlText w:val="%5)"/>
      <w:lvlJc w:val="left"/>
      <w:pPr>
        <w:tabs>
          <w:tab w:val="left" w:pos="2383"/>
        </w:tabs>
        <w:ind w:left="2196" w:hanging="528"/>
      </w:pPr>
      <w:rPr>
        <w:rFonts w:hint="eastAsia"/>
      </w:rPr>
    </w:lvl>
    <w:lvl w:ilvl="5">
      <w:start w:val="1"/>
      <w:numFmt w:val="lowerRoman"/>
      <w:lvlText w:val="%6."/>
      <w:lvlJc w:val="right"/>
      <w:pPr>
        <w:tabs>
          <w:tab w:val="left" w:pos="2695"/>
        </w:tabs>
        <w:ind w:left="2508" w:hanging="528"/>
      </w:pPr>
      <w:rPr>
        <w:rFonts w:hint="eastAsia"/>
      </w:rPr>
    </w:lvl>
    <w:lvl w:ilvl="6">
      <w:start w:val="1"/>
      <w:numFmt w:val="decimal"/>
      <w:lvlText w:val="%7."/>
      <w:lvlJc w:val="left"/>
      <w:pPr>
        <w:tabs>
          <w:tab w:val="left" w:pos="3007"/>
        </w:tabs>
        <w:ind w:left="2820" w:hanging="528"/>
      </w:pPr>
      <w:rPr>
        <w:rFonts w:hint="eastAsia"/>
      </w:rPr>
    </w:lvl>
    <w:lvl w:ilvl="7">
      <w:start w:val="1"/>
      <w:numFmt w:val="lowerLetter"/>
      <w:lvlText w:val="%8)"/>
      <w:lvlJc w:val="left"/>
      <w:pPr>
        <w:tabs>
          <w:tab w:val="left" w:pos="3319"/>
        </w:tabs>
        <w:ind w:left="3132" w:hanging="528"/>
      </w:pPr>
      <w:rPr>
        <w:rFonts w:hint="eastAsia"/>
      </w:rPr>
    </w:lvl>
    <w:lvl w:ilvl="8">
      <w:start w:val="1"/>
      <w:numFmt w:val="lowerRoman"/>
      <w:lvlText w:val="%9."/>
      <w:lvlJc w:val="right"/>
      <w:pPr>
        <w:tabs>
          <w:tab w:val="left" w:pos="3631"/>
        </w:tabs>
        <w:ind w:left="3444" w:hanging="528"/>
      </w:pPr>
      <w:rPr>
        <w:rFonts w:hint="eastAsia"/>
      </w:rPr>
    </w:lvl>
  </w:abstractNum>
  <w:abstractNum w:abstractNumId="13" w15:restartNumberingAfterBreak="0">
    <w:nsid w:val="32F04FB2"/>
    <w:multiLevelType w:val="multilevel"/>
    <w:tmpl w:val="32F04FB2"/>
    <w:lvl w:ilvl="0">
      <w:start w:val="1"/>
      <w:numFmt w:val="lowerLetter"/>
      <w:pStyle w:val="af3"/>
      <w:lvlText w:val="%1"/>
      <w:lvlJc w:val="left"/>
      <w:pPr>
        <w:tabs>
          <w:tab w:val="left" w:pos="539"/>
        </w:tabs>
        <w:ind w:left="539" w:hanging="119"/>
      </w:pPr>
      <w:rPr>
        <w:rFonts w:hint="eastAsia"/>
        <w:caps w:val="0"/>
        <w:strike w:val="0"/>
        <w:dstrike w:val="0"/>
        <w:vanish w:val="0"/>
        <w:vertAlign w:val="superscript"/>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14" w15:restartNumberingAfterBreak="0">
    <w:nsid w:val="48802D1C"/>
    <w:multiLevelType w:val="multilevel"/>
    <w:tmpl w:val="48802D1C"/>
    <w:lvl w:ilvl="0">
      <w:start w:val="1"/>
      <w:numFmt w:val="upperLetter"/>
      <w:pStyle w:val="af4"/>
      <w:lvlText w:val="%1"/>
      <w:lvlJc w:val="left"/>
      <w:pPr>
        <w:ind w:left="420" w:hanging="420"/>
      </w:pPr>
      <w:rPr>
        <w:rFonts w:hint="eastAsia"/>
      </w:rPr>
    </w:lvl>
    <w:lvl w:ilvl="1">
      <w:start w:val="1"/>
      <w:numFmt w:val="decimal"/>
      <w:pStyle w:val="af5"/>
      <w:suff w:val="space"/>
      <w:lvlText w:val="图%1.%2"/>
      <w:lvlJc w:val="center"/>
      <w:pPr>
        <w:ind w:left="0" w:firstLine="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15:restartNumberingAfterBreak="0">
    <w:nsid w:val="4B733A5F"/>
    <w:multiLevelType w:val="multilevel"/>
    <w:tmpl w:val="4B733A5F"/>
    <w:lvl w:ilvl="0">
      <w:start w:val="1"/>
      <w:numFmt w:val="decimal"/>
      <w:pStyle w:val="af6"/>
      <w:suff w:val="nothing"/>
      <w:lvlText w:val="示例%1："/>
      <w:lvlJc w:val="left"/>
      <w:pPr>
        <w:ind w:left="0" w:firstLine="363"/>
      </w:pPr>
      <w:rPr>
        <w:rFonts w:ascii="黑体" w:eastAsia="黑体" w:hint="eastAsia"/>
        <w:b w:val="0"/>
        <w:i w:val="0"/>
        <w:sz w:val="18"/>
      </w:rPr>
    </w:lvl>
    <w:lvl w:ilvl="1">
      <w:start w:val="1"/>
      <w:numFmt w:val="none"/>
      <w:suff w:val="space"/>
      <w:lvlText w:val=""/>
      <w:lvlJc w:val="left"/>
      <w:pPr>
        <w:ind w:left="0" w:firstLine="0"/>
      </w:pPr>
      <w:rPr>
        <w:rFonts w:hint="eastAsia"/>
      </w:rPr>
    </w:lvl>
    <w:lvl w:ilvl="2">
      <w:start w:val="1"/>
      <w:numFmt w:val="decimal"/>
      <w:suff w:val="space"/>
      <w:lvlText w:val="2.2.%3"/>
      <w:lvlJc w:val="left"/>
      <w:pPr>
        <w:ind w:left="0" w:firstLine="0"/>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6" w15:restartNumberingAfterBreak="0">
    <w:nsid w:val="4E5D0534"/>
    <w:multiLevelType w:val="multilevel"/>
    <w:tmpl w:val="4E5D0534"/>
    <w:lvl w:ilvl="0">
      <w:start w:val="1"/>
      <w:numFmt w:val="decimal"/>
      <w:pStyle w:val="af7"/>
      <w:suff w:val="nothing"/>
      <w:lvlText w:val="Figur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7" w15:restartNumberingAfterBreak="0">
    <w:nsid w:val="54632751"/>
    <w:multiLevelType w:val="multilevel"/>
    <w:tmpl w:val="54632751"/>
    <w:lvl w:ilvl="0">
      <w:start w:val="1"/>
      <w:numFmt w:val="none"/>
      <w:pStyle w:val="af8"/>
      <w:suff w:val="nothing"/>
      <w:lvlText w:val="——"/>
      <w:lvlJc w:val="left"/>
      <w:pPr>
        <w:ind w:left="1588" w:firstLine="0"/>
      </w:pPr>
    </w:lvl>
    <w:lvl w:ilvl="1">
      <w:start w:val="1"/>
      <w:numFmt w:val="decimal"/>
      <w:suff w:val="nothing"/>
      <w:lvlText w:val="%1.%2　"/>
      <w:lvlJc w:val="left"/>
      <w:pPr>
        <w:ind w:left="1588" w:firstLine="0"/>
      </w:pPr>
    </w:lvl>
    <w:lvl w:ilvl="2">
      <w:start w:val="1"/>
      <w:numFmt w:val="decimal"/>
      <w:suff w:val="nothing"/>
      <w:lvlText w:val="%1.%2.%3　"/>
      <w:lvlJc w:val="left"/>
      <w:pPr>
        <w:ind w:left="1588" w:firstLine="0"/>
      </w:pPr>
    </w:lvl>
    <w:lvl w:ilvl="3">
      <w:start w:val="1"/>
      <w:numFmt w:val="decimal"/>
      <w:suff w:val="nothing"/>
      <w:lvlText w:val="%1.%2.%3.%4　"/>
      <w:lvlJc w:val="left"/>
      <w:pPr>
        <w:ind w:left="1588" w:firstLine="0"/>
      </w:pPr>
    </w:lvl>
    <w:lvl w:ilvl="4">
      <w:start w:val="1"/>
      <w:numFmt w:val="decimal"/>
      <w:suff w:val="nothing"/>
      <w:lvlText w:val="%1.%2.%3.%4.%5　"/>
      <w:lvlJc w:val="left"/>
      <w:pPr>
        <w:ind w:left="1588" w:firstLine="0"/>
      </w:pPr>
    </w:lvl>
    <w:lvl w:ilvl="5">
      <w:start w:val="1"/>
      <w:numFmt w:val="decimal"/>
      <w:suff w:val="nothing"/>
      <w:lvlText w:val="%1.%2.%3.%4.%5.%6　"/>
      <w:lvlJc w:val="left"/>
      <w:pPr>
        <w:ind w:left="1588" w:firstLine="0"/>
      </w:pPr>
    </w:lvl>
    <w:lvl w:ilvl="6">
      <w:start w:val="1"/>
      <w:numFmt w:val="decimal"/>
      <w:suff w:val="nothing"/>
      <w:lvlText w:val="%1.%2.%3.%4.%5.%6.%7　"/>
      <w:lvlJc w:val="left"/>
      <w:pPr>
        <w:ind w:left="1588" w:firstLine="0"/>
      </w:pPr>
    </w:lvl>
    <w:lvl w:ilvl="7">
      <w:start w:val="1"/>
      <w:numFmt w:val="decimal"/>
      <w:lvlText w:val="%1.%2.%3.%4.%5.%6.%7.%8"/>
      <w:lvlJc w:val="left"/>
      <w:pPr>
        <w:tabs>
          <w:tab w:val="left" w:pos="5982"/>
        </w:tabs>
        <w:ind w:left="5982" w:hanging="1418"/>
      </w:pPr>
    </w:lvl>
    <w:lvl w:ilvl="8">
      <w:start w:val="1"/>
      <w:numFmt w:val="decimal"/>
      <w:lvlText w:val="%1.%2.%3.%4.%5.%6.%7.%8.%9"/>
      <w:lvlJc w:val="left"/>
      <w:pPr>
        <w:tabs>
          <w:tab w:val="left" w:pos="6690"/>
        </w:tabs>
        <w:ind w:left="6690" w:hanging="1700"/>
      </w:pPr>
    </w:lvl>
  </w:abstractNum>
  <w:abstractNum w:abstractNumId="18" w15:restartNumberingAfterBreak="0">
    <w:nsid w:val="557C2AF5"/>
    <w:multiLevelType w:val="multilevel"/>
    <w:tmpl w:val="557C2AF5"/>
    <w:lvl w:ilvl="0">
      <w:start w:val="1"/>
      <w:numFmt w:val="decimal"/>
      <w:pStyle w:val="af9"/>
      <w:suff w:val="nothing"/>
      <w:lvlText w:val="图%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19" w15:restartNumberingAfterBreak="0">
    <w:nsid w:val="5603797C"/>
    <w:multiLevelType w:val="multilevel"/>
    <w:tmpl w:val="5603797C"/>
    <w:lvl w:ilvl="0">
      <w:start w:val="1"/>
      <w:numFmt w:val="upperLetter"/>
      <w:pStyle w:val="afa"/>
      <w:suff w:val="space"/>
      <w:lvlText w:val="%1"/>
      <w:lvlJc w:val="left"/>
      <w:pPr>
        <w:ind w:left="425" w:hanging="425"/>
      </w:pPr>
      <w:rPr>
        <w:rFonts w:hint="eastAsia"/>
      </w:rPr>
    </w:lvl>
    <w:lvl w:ilvl="1">
      <w:start w:val="1"/>
      <w:numFmt w:val="decimal"/>
      <w:pStyle w:val="afb"/>
      <w:suff w:val="space"/>
      <w:lvlText w:val="表%1.%2"/>
      <w:lvlJc w:val="center"/>
      <w:pPr>
        <w:ind w:left="0" w:firstLine="0"/>
      </w:pPr>
      <w:rPr>
        <w:rFonts w:ascii="黑体" w:eastAsia="黑体" w:hint="eastAsia"/>
        <w:sz w:val="21"/>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0" w15:restartNumberingAfterBreak="0">
    <w:nsid w:val="564D2089"/>
    <w:multiLevelType w:val="multilevel"/>
    <w:tmpl w:val="564D2089"/>
    <w:lvl w:ilvl="0">
      <w:start w:val="1"/>
      <w:numFmt w:val="none"/>
      <w:pStyle w:val="afc"/>
      <w:lvlText w:val="%1注"/>
      <w:lvlJc w:val="left"/>
      <w:pPr>
        <w:tabs>
          <w:tab w:val="left" w:pos="760"/>
        </w:tabs>
        <w:ind w:left="760" w:hanging="284"/>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15:restartNumberingAfterBreak="0">
    <w:nsid w:val="5C86C5CE"/>
    <w:multiLevelType w:val="multilevel"/>
    <w:tmpl w:val="5C86C5CE"/>
    <w:lvl w:ilvl="0">
      <w:start w:val="1"/>
      <w:numFmt w:val="lowerLetter"/>
      <w:pStyle w:val="afd"/>
      <w:lvlText w:val="%1)"/>
      <w:lvlJc w:val="left"/>
      <w:pPr>
        <w:tabs>
          <w:tab w:val="left" w:pos="851"/>
        </w:tabs>
        <w:ind w:left="851" w:hanging="426"/>
      </w:pPr>
      <w:rPr>
        <w:rFonts w:ascii="宋体" w:eastAsia="宋体" w:hAnsi="Times New Roman" w:hint="eastAsia"/>
        <w:sz w:val="21"/>
      </w:rPr>
    </w:lvl>
    <w:lvl w:ilvl="1">
      <w:start w:val="1"/>
      <w:numFmt w:val="decimal"/>
      <w:pStyle w:val="afe"/>
      <w:lvlText w:val="%2)"/>
      <w:lvlJc w:val="left"/>
      <w:pPr>
        <w:tabs>
          <w:tab w:val="left" w:pos="1276"/>
        </w:tabs>
        <w:ind w:left="1276" w:hanging="425"/>
      </w:pPr>
      <w:rPr>
        <w:rFonts w:ascii="宋体" w:eastAsia="宋体" w:hAnsi="Times New Roman" w:hint="default"/>
        <w:sz w:val="21"/>
      </w:rPr>
    </w:lvl>
    <w:lvl w:ilvl="2">
      <w:start w:val="1"/>
      <w:numFmt w:val="decimal"/>
      <w:pStyle w:val="aff"/>
      <w:lvlText w:val="(%3)"/>
      <w:lvlJc w:val="left"/>
      <w:pPr>
        <w:ind w:left="1701" w:hanging="425"/>
      </w:pPr>
      <w:rPr>
        <w:rFonts w:ascii="宋体" w:eastAsia="宋体" w:hAnsi="Times New Roman" w:hint="eastAsia"/>
        <w:sz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22" w15:restartNumberingAfterBreak="0">
    <w:nsid w:val="644622F9"/>
    <w:multiLevelType w:val="multilevel"/>
    <w:tmpl w:val="644622F9"/>
    <w:lvl w:ilvl="0">
      <w:start w:val="1"/>
      <w:numFmt w:val="upperRoman"/>
      <w:pStyle w:val="aff0"/>
      <w:lvlText w:val="%1)"/>
      <w:lvlJc w:val="left"/>
      <w:pPr>
        <w:tabs>
          <w:tab w:val="left" w:pos="851"/>
        </w:tabs>
        <w:ind w:left="851" w:hanging="426"/>
      </w:pPr>
      <w:rPr>
        <w:rFonts w:ascii="宋体" w:eastAsia="宋体" w:hAnsi="Times New Roman" w:hint="eastAsia"/>
        <w:sz w:val="21"/>
      </w:rPr>
    </w:lvl>
    <w:lvl w:ilvl="1">
      <w:start w:val="1"/>
      <w:numFmt w:val="lowerLetter"/>
      <w:lvlText w:val="%2)"/>
      <w:lvlJc w:val="left"/>
      <w:pPr>
        <w:tabs>
          <w:tab w:val="left" w:pos="1310"/>
        </w:tabs>
        <w:ind w:left="1310" w:hanging="420"/>
      </w:pPr>
      <w:rPr>
        <w:rFonts w:hint="eastAsia"/>
      </w:rPr>
    </w:lvl>
    <w:lvl w:ilvl="2">
      <w:start w:val="1"/>
      <w:numFmt w:val="lowerRoman"/>
      <w:lvlText w:val="%3."/>
      <w:lvlJc w:val="right"/>
      <w:pPr>
        <w:tabs>
          <w:tab w:val="left" w:pos="1730"/>
        </w:tabs>
        <w:ind w:left="1730" w:hanging="420"/>
      </w:pPr>
      <w:rPr>
        <w:rFonts w:hint="eastAsia"/>
      </w:rPr>
    </w:lvl>
    <w:lvl w:ilvl="3">
      <w:start w:val="1"/>
      <w:numFmt w:val="decimal"/>
      <w:lvlText w:val="%4."/>
      <w:lvlJc w:val="left"/>
      <w:pPr>
        <w:tabs>
          <w:tab w:val="left" w:pos="2150"/>
        </w:tabs>
        <w:ind w:left="2150" w:hanging="420"/>
      </w:pPr>
      <w:rPr>
        <w:rFonts w:hint="eastAsia"/>
      </w:rPr>
    </w:lvl>
    <w:lvl w:ilvl="4">
      <w:start w:val="1"/>
      <w:numFmt w:val="lowerLetter"/>
      <w:lvlText w:val="%5)"/>
      <w:lvlJc w:val="left"/>
      <w:pPr>
        <w:tabs>
          <w:tab w:val="left" w:pos="2570"/>
        </w:tabs>
        <w:ind w:left="2570" w:hanging="420"/>
      </w:pPr>
      <w:rPr>
        <w:rFonts w:hint="eastAsia"/>
      </w:rPr>
    </w:lvl>
    <w:lvl w:ilvl="5">
      <w:start w:val="1"/>
      <w:numFmt w:val="lowerRoman"/>
      <w:lvlText w:val="%6."/>
      <w:lvlJc w:val="right"/>
      <w:pPr>
        <w:tabs>
          <w:tab w:val="left" w:pos="2990"/>
        </w:tabs>
        <w:ind w:left="2990" w:hanging="420"/>
      </w:pPr>
      <w:rPr>
        <w:rFonts w:hint="eastAsia"/>
      </w:rPr>
    </w:lvl>
    <w:lvl w:ilvl="6">
      <w:start w:val="1"/>
      <w:numFmt w:val="decimal"/>
      <w:lvlText w:val="%7."/>
      <w:lvlJc w:val="left"/>
      <w:pPr>
        <w:tabs>
          <w:tab w:val="left" w:pos="3410"/>
        </w:tabs>
        <w:ind w:left="3410" w:hanging="420"/>
      </w:pPr>
      <w:rPr>
        <w:rFonts w:hint="eastAsia"/>
      </w:rPr>
    </w:lvl>
    <w:lvl w:ilvl="7">
      <w:start w:val="1"/>
      <w:numFmt w:val="lowerLetter"/>
      <w:lvlText w:val="%8)"/>
      <w:lvlJc w:val="left"/>
      <w:pPr>
        <w:tabs>
          <w:tab w:val="left" w:pos="3830"/>
        </w:tabs>
        <w:ind w:left="3830" w:hanging="420"/>
      </w:pPr>
      <w:rPr>
        <w:rFonts w:hint="eastAsia"/>
      </w:rPr>
    </w:lvl>
    <w:lvl w:ilvl="8">
      <w:start w:val="1"/>
      <w:numFmt w:val="lowerRoman"/>
      <w:lvlText w:val="%9."/>
      <w:lvlJc w:val="right"/>
      <w:pPr>
        <w:tabs>
          <w:tab w:val="left" w:pos="4250"/>
        </w:tabs>
        <w:ind w:left="4250" w:hanging="420"/>
      </w:pPr>
      <w:rPr>
        <w:rFonts w:hint="eastAsia"/>
      </w:rPr>
    </w:lvl>
  </w:abstractNum>
  <w:abstractNum w:abstractNumId="23" w15:restartNumberingAfterBreak="0">
    <w:nsid w:val="646260FA"/>
    <w:multiLevelType w:val="multilevel"/>
    <w:tmpl w:val="646260FA"/>
    <w:lvl w:ilvl="0">
      <w:start w:val="1"/>
      <w:numFmt w:val="decimal"/>
      <w:pStyle w:val="aff1"/>
      <w:suff w:val="nothing"/>
      <w:lvlText w:val="表%1　"/>
      <w:lvlJc w:val="left"/>
      <w:pPr>
        <w:ind w:left="0" w:firstLine="0"/>
      </w:pPr>
    </w:lvl>
    <w:lvl w:ilvl="1">
      <w:start w:val="1"/>
      <w:numFmt w:val="decimal"/>
      <w:lvlText w:val="%1.%2"/>
      <w:lvlJc w:val="left"/>
      <w:pPr>
        <w:tabs>
          <w:tab w:val="left" w:pos="992"/>
        </w:tabs>
        <w:ind w:left="992" w:hanging="567"/>
      </w:pPr>
    </w:lvl>
    <w:lvl w:ilvl="2">
      <w:start w:val="1"/>
      <w:numFmt w:val="decimal"/>
      <w:lvlText w:val="%1.%2.%3"/>
      <w:lvlJc w:val="left"/>
      <w:pPr>
        <w:tabs>
          <w:tab w:val="left" w:pos="1417"/>
        </w:tabs>
        <w:ind w:left="1417" w:hanging="567"/>
      </w:pPr>
    </w:lvl>
    <w:lvl w:ilvl="3">
      <w:start w:val="1"/>
      <w:numFmt w:val="decimal"/>
      <w:lvlText w:val="%1.%2.%3.%4"/>
      <w:lvlJc w:val="left"/>
      <w:pPr>
        <w:tabs>
          <w:tab w:val="left" w:pos="1984"/>
        </w:tabs>
        <w:ind w:left="1984" w:hanging="708"/>
      </w:pPr>
    </w:lvl>
    <w:lvl w:ilvl="4">
      <w:start w:val="1"/>
      <w:numFmt w:val="decimal"/>
      <w:lvlText w:val="%1.%2.%3.%4.%5"/>
      <w:lvlJc w:val="left"/>
      <w:pPr>
        <w:tabs>
          <w:tab w:val="left" w:pos="2551"/>
        </w:tabs>
        <w:ind w:left="2551" w:hanging="850"/>
      </w:pPr>
    </w:lvl>
    <w:lvl w:ilvl="5">
      <w:start w:val="1"/>
      <w:numFmt w:val="decimal"/>
      <w:lvlText w:val="%1.%2.%3.%4.%5.%6"/>
      <w:lvlJc w:val="left"/>
      <w:pPr>
        <w:tabs>
          <w:tab w:val="left" w:pos="3260"/>
        </w:tabs>
        <w:ind w:left="3260" w:hanging="1134"/>
      </w:pPr>
    </w:lvl>
    <w:lvl w:ilvl="6">
      <w:start w:val="1"/>
      <w:numFmt w:val="decimal"/>
      <w:lvlText w:val="%1.%2.%3.%4.%5.%6.%7"/>
      <w:lvlJc w:val="left"/>
      <w:pPr>
        <w:tabs>
          <w:tab w:val="left" w:pos="3827"/>
        </w:tabs>
        <w:ind w:left="3827" w:hanging="1276"/>
      </w:pPr>
    </w:lvl>
    <w:lvl w:ilvl="7">
      <w:start w:val="1"/>
      <w:numFmt w:val="decimal"/>
      <w:lvlText w:val="%1.%2.%3.%4.%5.%6.%7.%8"/>
      <w:lvlJc w:val="left"/>
      <w:pPr>
        <w:tabs>
          <w:tab w:val="left" w:pos="4394"/>
        </w:tabs>
        <w:ind w:left="4394" w:hanging="1418"/>
      </w:pPr>
    </w:lvl>
    <w:lvl w:ilvl="8">
      <w:start w:val="1"/>
      <w:numFmt w:val="decimal"/>
      <w:lvlText w:val="%1.%2.%3.%4.%5.%6.%7.%8.%9"/>
      <w:lvlJc w:val="left"/>
      <w:pPr>
        <w:tabs>
          <w:tab w:val="left" w:pos="5102"/>
        </w:tabs>
        <w:ind w:left="5102" w:hanging="1700"/>
      </w:pPr>
    </w:lvl>
  </w:abstractNum>
  <w:abstractNum w:abstractNumId="24" w15:restartNumberingAfterBreak="0">
    <w:nsid w:val="654A26C9"/>
    <w:multiLevelType w:val="multilevel"/>
    <w:tmpl w:val="654A26C9"/>
    <w:lvl w:ilvl="0">
      <w:start w:val="1"/>
      <w:numFmt w:val="none"/>
      <w:pStyle w:val="20"/>
      <w:lvlText w:val="──"/>
      <w:lvlJc w:val="left"/>
      <w:pPr>
        <w:ind w:left="851" w:firstLine="0"/>
      </w:pPr>
      <w:rPr>
        <w:rFonts w:ascii="宋体" w:eastAsia="宋体" w:hAnsiTheme="majorHAnsi" w:hint="eastAsia"/>
        <w:b w:val="0"/>
        <w:i w:val="0"/>
        <w:sz w:val="21"/>
      </w:rPr>
    </w:lvl>
    <w:lvl w:ilvl="1">
      <w:start w:val="1"/>
      <w:numFmt w:val="bullet"/>
      <w:lvlText w:val=""/>
      <w:lvlJc w:val="left"/>
      <w:pPr>
        <w:ind w:left="1276" w:hanging="425"/>
      </w:pPr>
      <w:rPr>
        <w:rFonts w:ascii="Wingdings" w:hAnsi="Wingdings" w:hint="default"/>
      </w:rPr>
    </w:lvl>
    <w:lvl w:ilvl="2">
      <w:start w:val="1"/>
      <w:numFmt w:val="bullet"/>
      <w:lvlText w:val=""/>
      <w:lvlJc w:val="left"/>
      <w:pPr>
        <w:ind w:left="1276" w:hanging="236"/>
      </w:pPr>
      <w:rPr>
        <w:rFonts w:ascii="Wingdings" w:hAnsi="Wingdings" w:hint="default"/>
      </w:rPr>
    </w:lvl>
    <w:lvl w:ilvl="3">
      <w:start w:val="1"/>
      <w:numFmt w:val="bullet"/>
      <w:lvlText w:val=""/>
      <w:lvlJc w:val="left"/>
      <w:pPr>
        <w:ind w:left="1880" w:hanging="420"/>
      </w:pPr>
      <w:rPr>
        <w:rFonts w:ascii="Wingdings" w:hAnsi="Wingdings" w:hint="default"/>
      </w:rPr>
    </w:lvl>
    <w:lvl w:ilvl="4">
      <w:start w:val="1"/>
      <w:numFmt w:val="bullet"/>
      <w:lvlText w:val=""/>
      <w:lvlJc w:val="left"/>
      <w:pPr>
        <w:ind w:left="2300" w:hanging="420"/>
      </w:pPr>
      <w:rPr>
        <w:rFonts w:ascii="Wingdings" w:hAnsi="Wingdings" w:hint="default"/>
      </w:rPr>
    </w:lvl>
    <w:lvl w:ilvl="5">
      <w:start w:val="1"/>
      <w:numFmt w:val="bullet"/>
      <w:lvlText w:val=""/>
      <w:lvlJc w:val="left"/>
      <w:pPr>
        <w:ind w:left="2720" w:hanging="420"/>
      </w:pPr>
      <w:rPr>
        <w:rFonts w:ascii="Wingdings" w:hAnsi="Wingdings" w:hint="default"/>
      </w:rPr>
    </w:lvl>
    <w:lvl w:ilvl="6">
      <w:start w:val="1"/>
      <w:numFmt w:val="bullet"/>
      <w:lvlText w:val=""/>
      <w:lvlJc w:val="left"/>
      <w:pPr>
        <w:ind w:left="3140" w:hanging="420"/>
      </w:pPr>
      <w:rPr>
        <w:rFonts w:ascii="Wingdings" w:hAnsi="Wingdings" w:hint="default"/>
      </w:rPr>
    </w:lvl>
    <w:lvl w:ilvl="7">
      <w:start w:val="1"/>
      <w:numFmt w:val="bullet"/>
      <w:lvlText w:val=""/>
      <w:lvlJc w:val="left"/>
      <w:pPr>
        <w:ind w:left="3560" w:hanging="420"/>
      </w:pPr>
      <w:rPr>
        <w:rFonts w:ascii="Wingdings" w:hAnsi="Wingdings" w:hint="default"/>
      </w:rPr>
    </w:lvl>
    <w:lvl w:ilvl="8">
      <w:start w:val="1"/>
      <w:numFmt w:val="bullet"/>
      <w:lvlText w:val=""/>
      <w:lvlJc w:val="left"/>
      <w:pPr>
        <w:ind w:left="3980" w:hanging="420"/>
      </w:pPr>
      <w:rPr>
        <w:rFonts w:ascii="Wingdings" w:hAnsi="Wingdings" w:hint="default"/>
      </w:rPr>
    </w:lvl>
  </w:abstractNum>
  <w:abstractNum w:abstractNumId="25" w15:restartNumberingAfterBreak="0">
    <w:nsid w:val="657D3FBC"/>
    <w:multiLevelType w:val="multilevel"/>
    <w:tmpl w:val="657D3FBC"/>
    <w:lvl w:ilvl="0">
      <w:start w:val="1"/>
      <w:numFmt w:val="upperLetter"/>
      <w:pStyle w:val="aff2"/>
      <w:suff w:val="nothing"/>
      <w:lvlText w:val="附录%1"/>
      <w:lvlJc w:val="left"/>
      <w:pPr>
        <w:ind w:left="0" w:firstLine="0"/>
      </w:pPr>
      <w:rPr>
        <w:rFonts w:hint="eastAsia"/>
        <w:spacing w:val="100"/>
      </w:rPr>
    </w:lvl>
    <w:lvl w:ilvl="1">
      <w:start w:val="1"/>
      <w:numFmt w:val="decimal"/>
      <w:pStyle w:val="aff3"/>
      <w:suff w:val="nothing"/>
      <w:lvlText w:val="%1.%2　"/>
      <w:lvlJc w:val="left"/>
      <w:pPr>
        <w:ind w:left="0" w:firstLine="0"/>
      </w:pPr>
      <w:rPr>
        <w:rFonts w:ascii="黑体" w:eastAsia="黑体" w:hint="eastAsia"/>
        <w:b w:val="0"/>
        <w:i w:val="0"/>
        <w:sz w:val="21"/>
      </w:rPr>
    </w:lvl>
    <w:lvl w:ilvl="2">
      <w:start w:val="1"/>
      <w:numFmt w:val="decimal"/>
      <w:suff w:val="nothing"/>
      <w:lvlText w:val="%1.%2.%3　"/>
      <w:lvlJc w:val="left"/>
      <w:pPr>
        <w:ind w:left="0" w:firstLine="0"/>
      </w:pPr>
      <w:rPr>
        <w:rFonts w:ascii="黑体" w:eastAsia="黑体" w:hint="eastAsia"/>
        <w:b w:val="0"/>
        <w:i w:val="0"/>
        <w:sz w:val="21"/>
      </w:rPr>
    </w:lvl>
    <w:lvl w:ilvl="3">
      <w:start w:val="1"/>
      <w:numFmt w:val="decimal"/>
      <w:pStyle w:val="aff4"/>
      <w:suff w:val="nothing"/>
      <w:lvlText w:val="%1.%2.%3.%4　"/>
      <w:lvlJc w:val="left"/>
      <w:pPr>
        <w:ind w:left="0" w:firstLine="0"/>
      </w:pPr>
      <w:rPr>
        <w:rFonts w:ascii="黑体" w:eastAsia="黑体" w:hint="eastAsia"/>
        <w:b w:val="0"/>
        <w:i w:val="0"/>
        <w:sz w:val="21"/>
      </w:rPr>
    </w:lvl>
    <w:lvl w:ilvl="4">
      <w:start w:val="1"/>
      <w:numFmt w:val="decimal"/>
      <w:suff w:val="nothing"/>
      <w:lvlText w:val="%1.%2.%3.%4.%5　"/>
      <w:lvlJc w:val="left"/>
      <w:pPr>
        <w:ind w:left="0" w:firstLine="0"/>
      </w:pPr>
      <w:rPr>
        <w:rFonts w:ascii="黑体" w:eastAsia="黑体" w:hint="eastAsia"/>
        <w:b w:val="0"/>
        <w:i w:val="0"/>
        <w:sz w:val="21"/>
      </w:rPr>
    </w:lvl>
    <w:lvl w:ilvl="5">
      <w:start w:val="1"/>
      <w:numFmt w:val="decimal"/>
      <w:pStyle w:val="aff5"/>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6" w15:restartNumberingAfterBreak="0">
    <w:nsid w:val="69506ABF"/>
    <w:multiLevelType w:val="multilevel"/>
    <w:tmpl w:val="69506ABF"/>
    <w:lvl w:ilvl="0">
      <w:start w:val="1"/>
      <w:numFmt w:val="bullet"/>
      <w:pStyle w:val="21"/>
      <w:lvlText w:val=""/>
      <w:lvlJc w:val="left"/>
      <w:pPr>
        <w:ind w:left="851" w:firstLine="0"/>
      </w:pPr>
      <w:rPr>
        <w:rFonts w:ascii="Wingdings" w:hAnsi="Wingdings" w:hint="default"/>
        <w:color w:val="auto"/>
      </w:rPr>
    </w:lvl>
    <w:lvl w:ilvl="1">
      <w:start w:val="1"/>
      <w:numFmt w:val="lowerLetter"/>
      <w:lvlText w:val="%2)"/>
      <w:lvlJc w:val="left"/>
      <w:pPr>
        <w:ind w:left="1040" w:hanging="420"/>
      </w:pPr>
      <w:rPr>
        <w:rFonts w:hint="eastAsia"/>
      </w:rPr>
    </w:lvl>
    <w:lvl w:ilvl="2">
      <w:start w:val="1"/>
      <w:numFmt w:val="lowerRoman"/>
      <w:lvlText w:val="%3."/>
      <w:lvlJc w:val="right"/>
      <w:pPr>
        <w:ind w:left="1460" w:hanging="420"/>
      </w:pPr>
      <w:rPr>
        <w:rFonts w:hint="eastAsia"/>
      </w:rPr>
    </w:lvl>
    <w:lvl w:ilvl="3">
      <w:start w:val="1"/>
      <w:numFmt w:val="decimal"/>
      <w:lvlText w:val="%4."/>
      <w:lvlJc w:val="left"/>
      <w:pPr>
        <w:ind w:left="1880" w:hanging="420"/>
      </w:pPr>
      <w:rPr>
        <w:rFonts w:hint="eastAsia"/>
      </w:rPr>
    </w:lvl>
    <w:lvl w:ilvl="4">
      <w:start w:val="1"/>
      <w:numFmt w:val="lowerLetter"/>
      <w:lvlText w:val="%5)"/>
      <w:lvlJc w:val="left"/>
      <w:pPr>
        <w:ind w:left="2300" w:hanging="420"/>
      </w:pPr>
      <w:rPr>
        <w:rFonts w:hint="eastAsia"/>
      </w:rPr>
    </w:lvl>
    <w:lvl w:ilvl="5">
      <w:start w:val="1"/>
      <w:numFmt w:val="lowerRoman"/>
      <w:lvlText w:val="%6."/>
      <w:lvlJc w:val="right"/>
      <w:pPr>
        <w:ind w:left="2720" w:hanging="420"/>
      </w:pPr>
      <w:rPr>
        <w:rFonts w:hint="eastAsia"/>
      </w:rPr>
    </w:lvl>
    <w:lvl w:ilvl="6">
      <w:start w:val="1"/>
      <w:numFmt w:val="decimal"/>
      <w:lvlText w:val="%7."/>
      <w:lvlJc w:val="left"/>
      <w:pPr>
        <w:ind w:left="3140" w:hanging="420"/>
      </w:pPr>
      <w:rPr>
        <w:rFonts w:hint="eastAsia"/>
      </w:rPr>
    </w:lvl>
    <w:lvl w:ilvl="7">
      <w:start w:val="1"/>
      <w:numFmt w:val="lowerLetter"/>
      <w:lvlText w:val="%8)"/>
      <w:lvlJc w:val="left"/>
      <w:pPr>
        <w:ind w:left="3560" w:hanging="420"/>
      </w:pPr>
      <w:rPr>
        <w:rFonts w:hint="eastAsia"/>
      </w:rPr>
    </w:lvl>
    <w:lvl w:ilvl="8">
      <w:start w:val="1"/>
      <w:numFmt w:val="lowerRoman"/>
      <w:lvlText w:val="%9."/>
      <w:lvlJc w:val="right"/>
      <w:pPr>
        <w:ind w:left="3980" w:hanging="420"/>
      </w:pPr>
      <w:rPr>
        <w:rFonts w:hint="eastAsia"/>
      </w:rPr>
    </w:lvl>
  </w:abstractNum>
  <w:abstractNum w:abstractNumId="27" w15:restartNumberingAfterBreak="0">
    <w:nsid w:val="6CA41985"/>
    <w:multiLevelType w:val="multilevel"/>
    <w:tmpl w:val="6CA41985"/>
    <w:lvl w:ilvl="0">
      <w:start w:val="1"/>
      <w:numFmt w:val="decimal"/>
      <w:pStyle w:val="aff6"/>
      <w:lvlText w:val="%1)"/>
      <w:lvlJc w:val="left"/>
      <w:pPr>
        <w:tabs>
          <w:tab w:val="left" w:pos="823"/>
        </w:tabs>
        <w:ind w:left="823"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8" w15:restartNumberingAfterBreak="0">
    <w:nsid w:val="6CE42AC1"/>
    <w:multiLevelType w:val="multilevel"/>
    <w:tmpl w:val="6CE42AC1"/>
    <w:lvl w:ilvl="0">
      <w:start w:val="1"/>
      <w:numFmt w:val="lowerLetter"/>
      <w:pStyle w:val="aff7"/>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6CEA2025"/>
    <w:multiLevelType w:val="multilevel"/>
    <w:tmpl w:val="6CEA2025"/>
    <w:lvl w:ilvl="0">
      <w:start w:val="1"/>
      <w:numFmt w:val="none"/>
      <w:pStyle w:val="aff8"/>
      <w:suff w:val="nothing"/>
      <w:lvlText w:val="%1"/>
      <w:lvlJc w:val="left"/>
      <w:pPr>
        <w:ind w:left="0" w:firstLine="0"/>
      </w:pPr>
      <w:rPr>
        <w:rFonts w:hint="eastAsia"/>
      </w:rPr>
    </w:lvl>
    <w:lvl w:ilvl="1">
      <w:start w:val="1"/>
      <w:numFmt w:val="decimal"/>
      <w:pStyle w:val="aff9"/>
      <w:suff w:val="nothing"/>
      <w:lvlText w:val="%1%2　"/>
      <w:lvlJc w:val="left"/>
      <w:pPr>
        <w:ind w:left="0" w:firstLine="0"/>
      </w:pPr>
      <w:rPr>
        <w:rFonts w:ascii="黑体" w:eastAsia="黑体" w:hint="eastAsia"/>
        <w:b w:val="0"/>
        <w:i w:val="0"/>
        <w:sz w:val="21"/>
      </w:rPr>
    </w:lvl>
    <w:lvl w:ilvl="2">
      <w:start w:val="1"/>
      <w:numFmt w:val="decimal"/>
      <w:pStyle w:val="affa"/>
      <w:suff w:val="nothing"/>
      <w:lvlText w:val="%1%2.%3　"/>
      <w:lvlJc w:val="left"/>
      <w:pPr>
        <w:ind w:left="0" w:firstLine="0"/>
      </w:pPr>
      <w:rPr>
        <w:rFonts w:ascii="黑体" w:eastAsia="黑体" w:hAnsi="Times New Roman" w:cs="Times New Roman" w:hint="eastAsia"/>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pStyle w:val="affb"/>
      <w:suff w:val="nothing"/>
      <w:lvlText w:val="%1%2.%3.%4　"/>
      <w:lvlJc w:val="left"/>
      <w:pPr>
        <w:ind w:left="0" w:firstLine="0"/>
      </w:pPr>
      <w:rPr>
        <w:rFonts w:ascii="黑体" w:eastAsia="黑体" w:hint="eastAsia"/>
        <w:b w:val="0"/>
        <w:i w:val="0"/>
        <w:sz w:val="21"/>
      </w:rPr>
    </w:lvl>
    <w:lvl w:ilvl="4">
      <w:start w:val="1"/>
      <w:numFmt w:val="decimal"/>
      <w:pStyle w:val="affc"/>
      <w:suff w:val="nothing"/>
      <w:lvlText w:val="%1%2.%3.%4.%5　"/>
      <w:lvlJc w:val="left"/>
      <w:pPr>
        <w:ind w:left="0" w:firstLine="0"/>
      </w:pPr>
      <w:rPr>
        <w:rFonts w:ascii="黑体" w:eastAsia="黑体" w:hint="eastAsia"/>
        <w:b w:val="0"/>
        <w:i w:val="0"/>
        <w:sz w:val="21"/>
      </w:rPr>
    </w:lvl>
    <w:lvl w:ilvl="5">
      <w:start w:val="1"/>
      <w:numFmt w:val="decimal"/>
      <w:pStyle w:val="affd"/>
      <w:suff w:val="nothing"/>
      <w:lvlText w:val="%1%2.%3.%4.%5.%6　"/>
      <w:lvlJc w:val="left"/>
      <w:pPr>
        <w:ind w:left="0" w:firstLine="0"/>
      </w:pPr>
      <w:rPr>
        <w:rFonts w:ascii="黑体" w:eastAsia="黑体" w:hint="eastAsia"/>
        <w:b w:val="0"/>
        <w:i w:val="0"/>
        <w:sz w:val="21"/>
      </w:rPr>
    </w:lvl>
    <w:lvl w:ilvl="6">
      <w:start w:val="1"/>
      <w:numFmt w:val="decimal"/>
      <w:suff w:val="nothing"/>
      <w:lvlText w:val="%1%2.%3.%4.%5.%6.%7　"/>
      <w:lvlJc w:val="left"/>
      <w:pPr>
        <w:ind w:left="0" w:firstLine="0"/>
      </w:pPr>
      <w:rPr>
        <w:rFonts w:ascii="黑体" w:eastAsia="黑体"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30" w15:restartNumberingAfterBreak="0">
    <w:nsid w:val="6DBF04F4"/>
    <w:multiLevelType w:val="multilevel"/>
    <w:tmpl w:val="6DBF04F4"/>
    <w:lvl w:ilvl="0">
      <w:start w:val="1"/>
      <w:numFmt w:val="none"/>
      <w:pStyle w:val="affe"/>
      <w:lvlText w:val="%1注："/>
      <w:lvlJc w:val="left"/>
      <w:pPr>
        <w:ind w:left="737" w:hanging="374"/>
      </w:pPr>
      <w:rPr>
        <w:rFonts w:ascii="黑体" w:eastAsia="黑体" w:hint="eastAsia"/>
        <w:b w:val="0"/>
        <w:i w:val="0"/>
        <w:sz w:val="18"/>
        <w:lang w:val="en-US"/>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31" w15:restartNumberingAfterBreak="0">
    <w:nsid w:val="6DF35F19"/>
    <w:multiLevelType w:val="multilevel"/>
    <w:tmpl w:val="6DF35F19"/>
    <w:lvl w:ilvl="0">
      <w:start w:val="1"/>
      <w:numFmt w:val="decimal"/>
      <w:pStyle w:val="afff"/>
      <w:suff w:val="nothing"/>
      <w:lvlText w:val="Table %1　"/>
      <w:lvlJc w:val="left"/>
      <w:pPr>
        <w:ind w:left="0" w:firstLine="0"/>
      </w:pPr>
    </w:lvl>
    <w:lvl w:ilvl="1">
      <w:start w:val="1"/>
      <w:numFmt w:val="decimal"/>
      <w:suff w:val="nothing"/>
      <w:lvlText w:val="%1%2　"/>
      <w:lvlJc w:val="left"/>
      <w:pPr>
        <w:ind w:left="0" w:firstLine="0"/>
      </w:pPr>
    </w:lvl>
    <w:lvl w:ilvl="2">
      <w:start w:val="1"/>
      <w:numFmt w:val="decimal"/>
      <w:suff w:val="nothing"/>
      <w:lvlText w:val="%1%2.%3　"/>
      <w:lvlJc w:val="left"/>
      <w:pPr>
        <w:ind w:left="0" w:firstLine="0"/>
      </w:pPr>
    </w:lvl>
    <w:lvl w:ilvl="3">
      <w:start w:val="1"/>
      <w:numFmt w:val="decimal"/>
      <w:suff w:val="nothing"/>
      <w:lvlText w:val="%1%2.%3.%4　"/>
      <w:lvlJc w:val="left"/>
      <w:pPr>
        <w:ind w:left="0" w:firstLine="0"/>
      </w:pPr>
    </w:lvl>
    <w:lvl w:ilvl="4">
      <w:start w:val="1"/>
      <w:numFmt w:val="decimal"/>
      <w:suff w:val="nothing"/>
      <w:lvlText w:val="%1%2.%3.%4.%5　"/>
      <w:lvlJc w:val="left"/>
      <w:pPr>
        <w:ind w:left="0" w:firstLine="0"/>
      </w:pPr>
    </w:lvl>
    <w:lvl w:ilvl="5">
      <w:start w:val="1"/>
      <w:numFmt w:val="decimal"/>
      <w:suff w:val="nothing"/>
      <w:lvlText w:val="%1%2.%3.%4.%5.%6　"/>
      <w:lvlJc w:val="left"/>
      <w:pPr>
        <w:ind w:left="0" w:firstLine="0"/>
      </w:pPr>
    </w:lvl>
    <w:lvl w:ilvl="6">
      <w:start w:val="1"/>
      <w:numFmt w:val="decimal"/>
      <w:suff w:val="nothing"/>
      <w:lvlText w:val="%1%2.%3.%4.%5.%6.%7　"/>
      <w:lvlJc w:val="left"/>
      <w:pPr>
        <w:ind w:left="0" w:firstLine="0"/>
      </w:pPr>
    </w:lvl>
    <w:lvl w:ilvl="7">
      <w:start w:val="1"/>
      <w:numFmt w:val="decimal"/>
      <w:lvlText w:val="%1.%2.%3.%4.%5.%6.%7.%8"/>
      <w:lvlJc w:val="left"/>
      <w:pPr>
        <w:tabs>
          <w:tab w:val="left" w:pos="4348"/>
        </w:tabs>
        <w:ind w:left="3969" w:hanging="1418"/>
      </w:pPr>
    </w:lvl>
    <w:lvl w:ilvl="8">
      <w:start w:val="1"/>
      <w:numFmt w:val="decimal"/>
      <w:lvlText w:val="%1.%2.%3.%4.%5.%6.%7.%8.%9"/>
      <w:lvlJc w:val="left"/>
      <w:pPr>
        <w:tabs>
          <w:tab w:val="left" w:pos="4774"/>
        </w:tabs>
        <w:ind w:left="4677" w:hanging="1701"/>
      </w:pPr>
    </w:lvl>
  </w:abstractNum>
  <w:abstractNum w:abstractNumId="32" w15:restartNumberingAfterBreak="0">
    <w:nsid w:val="76933334"/>
    <w:multiLevelType w:val="multilevel"/>
    <w:tmpl w:val="76933334"/>
    <w:lvl w:ilvl="0">
      <w:start w:val="1"/>
      <w:numFmt w:val="none"/>
      <w:pStyle w:val="afff0"/>
      <w:lvlText w:val="%1——"/>
      <w:lvlJc w:val="left"/>
      <w:pPr>
        <w:tabs>
          <w:tab w:val="left" w:pos="330"/>
        </w:tabs>
        <w:ind w:left="948"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16cid:durableId="1959870829">
    <w:abstractNumId w:val="0"/>
  </w:num>
  <w:num w:numId="2" w16cid:durableId="148401087">
    <w:abstractNumId w:val="29"/>
  </w:num>
  <w:num w:numId="3" w16cid:durableId="937104086">
    <w:abstractNumId w:val="5"/>
  </w:num>
  <w:num w:numId="4" w16cid:durableId="1084842478">
    <w:abstractNumId w:val="19"/>
  </w:num>
  <w:num w:numId="5" w16cid:durableId="23290749">
    <w:abstractNumId w:val="25"/>
  </w:num>
  <w:num w:numId="6" w16cid:durableId="1190139565">
    <w:abstractNumId w:val="14"/>
  </w:num>
  <w:num w:numId="7" w16cid:durableId="868179306">
    <w:abstractNumId w:val="8"/>
  </w:num>
  <w:num w:numId="8" w16cid:durableId="660475026">
    <w:abstractNumId w:val="3"/>
  </w:num>
  <w:num w:numId="9" w16cid:durableId="486435202">
    <w:abstractNumId w:val="9"/>
  </w:num>
  <w:num w:numId="10" w16cid:durableId="1754620459">
    <w:abstractNumId w:val="17"/>
  </w:num>
  <w:num w:numId="11" w16cid:durableId="1674994829">
    <w:abstractNumId w:val="27"/>
  </w:num>
  <w:num w:numId="12" w16cid:durableId="340745856">
    <w:abstractNumId w:val="13"/>
  </w:num>
  <w:num w:numId="13" w16cid:durableId="223955820">
    <w:abstractNumId w:val="21"/>
  </w:num>
  <w:num w:numId="14" w16cid:durableId="1631588719">
    <w:abstractNumId w:val="7"/>
  </w:num>
  <w:num w:numId="15" w16cid:durableId="129982924">
    <w:abstractNumId w:val="20"/>
  </w:num>
  <w:num w:numId="16" w16cid:durableId="34817065">
    <w:abstractNumId w:val="23"/>
  </w:num>
  <w:num w:numId="17" w16cid:durableId="961156665">
    <w:abstractNumId w:val="18"/>
  </w:num>
  <w:num w:numId="18" w16cid:durableId="293174501">
    <w:abstractNumId w:val="31"/>
  </w:num>
  <w:num w:numId="19" w16cid:durableId="29645150">
    <w:abstractNumId w:val="16"/>
  </w:num>
  <w:num w:numId="20" w16cid:durableId="941188051">
    <w:abstractNumId w:val="1"/>
  </w:num>
  <w:num w:numId="21" w16cid:durableId="1131631608">
    <w:abstractNumId w:val="12"/>
  </w:num>
  <w:num w:numId="22" w16cid:durableId="589628677">
    <w:abstractNumId w:val="32"/>
  </w:num>
  <w:num w:numId="23" w16cid:durableId="263463832">
    <w:abstractNumId w:val="22"/>
  </w:num>
  <w:num w:numId="24" w16cid:durableId="1694453881">
    <w:abstractNumId w:val="6"/>
  </w:num>
  <w:num w:numId="25" w16cid:durableId="1479415321">
    <w:abstractNumId w:val="28"/>
  </w:num>
  <w:num w:numId="26" w16cid:durableId="377054724">
    <w:abstractNumId w:val="30"/>
  </w:num>
  <w:num w:numId="27" w16cid:durableId="218636000">
    <w:abstractNumId w:val="2"/>
  </w:num>
  <w:num w:numId="28" w16cid:durableId="1704555278">
    <w:abstractNumId w:val="4"/>
  </w:num>
  <w:num w:numId="29" w16cid:durableId="12389388">
    <w:abstractNumId w:val="15"/>
  </w:num>
  <w:num w:numId="30" w16cid:durableId="1019894913">
    <w:abstractNumId w:val="26"/>
  </w:num>
  <w:num w:numId="31" w16cid:durableId="1293249280">
    <w:abstractNumId w:val="24"/>
  </w:num>
  <w:num w:numId="32" w16cid:durableId="384109244">
    <w:abstractNumId w:val="10"/>
  </w:num>
  <w:num w:numId="33" w16cid:durableId="10105660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ocumentProtection w:edit="forms" w:enforcement="0"/>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2Y2NGZmOGUwOGRmNzJhMDc3N2IxOGUyZjE3MzI5OTAifQ=="/>
  </w:docVars>
  <w:rsids>
    <w:rsidRoot w:val="00172A27"/>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5CA0"/>
    <w:rsid w:val="000365ED"/>
    <w:rsid w:val="0004249A"/>
    <w:rsid w:val="00043282"/>
    <w:rsid w:val="00044286"/>
    <w:rsid w:val="00047F28"/>
    <w:rsid w:val="000503AA"/>
    <w:rsid w:val="000506A1"/>
    <w:rsid w:val="000515DD"/>
    <w:rsid w:val="0005265A"/>
    <w:rsid w:val="000539DD"/>
    <w:rsid w:val="00053BD3"/>
    <w:rsid w:val="00053E3D"/>
    <w:rsid w:val="000556ED"/>
    <w:rsid w:val="00055FE2"/>
    <w:rsid w:val="0005616F"/>
    <w:rsid w:val="00060C2E"/>
    <w:rsid w:val="00061033"/>
    <w:rsid w:val="000619E9"/>
    <w:rsid w:val="000622D4"/>
    <w:rsid w:val="0006357D"/>
    <w:rsid w:val="00066CFC"/>
    <w:rsid w:val="00067F1E"/>
    <w:rsid w:val="00071CC0"/>
    <w:rsid w:val="00071CFC"/>
    <w:rsid w:val="00073C8C"/>
    <w:rsid w:val="000765B0"/>
    <w:rsid w:val="00077B64"/>
    <w:rsid w:val="00080A1C"/>
    <w:rsid w:val="00082317"/>
    <w:rsid w:val="00083D2C"/>
    <w:rsid w:val="00085D06"/>
    <w:rsid w:val="00086AA1"/>
    <w:rsid w:val="00087A77"/>
    <w:rsid w:val="00090CA6"/>
    <w:rsid w:val="00092B8A"/>
    <w:rsid w:val="00092FB0"/>
    <w:rsid w:val="000934C5"/>
    <w:rsid w:val="00093D25"/>
    <w:rsid w:val="00093DAB"/>
    <w:rsid w:val="0009435A"/>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050"/>
    <w:rsid w:val="000F4AEA"/>
    <w:rsid w:val="000F67E9"/>
    <w:rsid w:val="00104926"/>
    <w:rsid w:val="00113B1E"/>
    <w:rsid w:val="0011711C"/>
    <w:rsid w:val="00124E4F"/>
    <w:rsid w:val="001260B7"/>
    <w:rsid w:val="001265CB"/>
    <w:rsid w:val="001321C6"/>
    <w:rsid w:val="001325C4"/>
    <w:rsid w:val="00133010"/>
    <w:rsid w:val="001338EE"/>
    <w:rsid w:val="00133AAE"/>
    <w:rsid w:val="00135323"/>
    <w:rsid w:val="001356C4"/>
    <w:rsid w:val="00137565"/>
    <w:rsid w:val="00141114"/>
    <w:rsid w:val="00142969"/>
    <w:rsid w:val="001446C2"/>
    <w:rsid w:val="00145504"/>
    <w:rsid w:val="001457E7"/>
    <w:rsid w:val="00145D9D"/>
    <w:rsid w:val="00146388"/>
    <w:rsid w:val="001529E5"/>
    <w:rsid w:val="00152FB3"/>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2A27"/>
    <w:rsid w:val="0017340B"/>
    <w:rsid w:val="00173FB1"/>
    <w:rsid w:val="00176DFD"/>
    <w:rsid w:val="001852C9"/>
    <w:rsid w:val="00187A0B"/>
    <w:rsid w:val="00190087"/>
    <w:rsid w:val="001913C4"/>
    <w:rsid w:val="0019348F"/>
    <w:rsid w:val="00193A07"/>
    <w:rsid w:val="00194C95"/>
    <w:rsid w:val="00195C34"/>
    <w:rsid w:val="00196EF5"/>
    <w:rsid w:val="001A1A53"/>
    <w:rsid w:val="001A234A"/>
    <w:rsid w:val="001A4CF3"/>
    <w:rsid w:val="001A6696"/>
    <w:rsid w:val="001B06E8"/>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2EA"/>
    <w:rsid w:val="00215ADD"/>
    <w:rsid w:val="002204BB"/>
    <w:rsid w:val="00221B79"/>
    <w:rsid w:val="00221C6B"/>
    <w:rsid w:val="002253A1"/>
    <w:rsid w:val="00225C56"/>
    <w:rsid w:val="00225CF8"/>
    <w:rsid w:val="0022794E"/>
    <w:rsid w:val="00233D64"/>
    <w:rsid w:val="0023482A"/>
    <w:rsid w:val="002359CB"/>
    <w:rsid w:val="00242E1F"/>
    <w:rsid w:val="00243540"/>
    <w:rsid w:val="0024497B"/>
    <w:rsid w:val="0024515B"/>
    <w:rsid w:val="00246021"/>
    <w:rsid w:val="0024666E"/>
    <w:rsid w:val="00247F52"/>
    <w:rsid w:val="00250B25"/>
    <w:rsid w:val="00250BBE"/>
    <w:rsid w:val="002515C2"/>
    <w:rsid w:val="0025194F"/>
    <w:rsid w:val="002548F7"/>
    <w:rsid w:val="0026148A"/>
    <w:rsid w:val="00262696"/>
    <w:rsid w:val="00263D25"/>
    <w:rsid w:val="002643C3"/>
    <w:rsid w:val="00264A0C"/>
    <w:rsid w:val="00266EEB"/>
    <w:rsid w:val="00267046"/>
    <w:rsid w:val="00267EF4"/>
    <w:rsid w:val="00270CB8"/>
    <w:rsid w:val="00272B08"/>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7332"/>
    <w:rsid w:val="002B7F51"/>
    <w:rsid w:val="002C09E7"/>
    <w:rsid w:val="002C1E06"/>
    <w:rsid w:val="002C3F07"/>
    <w:rsid w:val="002C5278"/>
    <w:rsid w:val="002C7EBB"/>
    <w:rsid w:val="002D06C1"/>
    <w:rsid w:val="002D42B5"/>
    <w:rsid w:val="002D4F1A"/>
    <w:rsid w:val="002D6EC6"/>
    <w:rsid w:val="002D79AC"/>
    <w:rsid w:val="002E039D"/>
    <w:rsid w:val="002E4D5A"/>
    <w:rsid w:val="002E6326"/>
    <w:rsid w:val="002F2C5B"/>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EDD"/>
    <w:rsid w:val="003331E4"/>
    <w:rsid w:val="00336C64"/>
    <w:rsid w:val="00337162"/>
    <w:rsid w:val="0034194F"/>
    <w:rsid w:val="00344605"/>
    <w:rsid w:val="003474AA"/>
    <w:rsid w:val="00350D1D"/>
    <w:rsid w:val="00352C83"/>
    <w:rsid w:val="00352F1A"/>
    <w:rsid w:val="0036107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74E4"/>
    <w:rsid w:val="003974EB"/>
    <w:rsid w:val="00397CC5"/>
    <w:rsid w:val="003A1582"/>
    <w:rsid w:val="003A2AE9"/>
    <w:rsid w:val="003A3D9C"/>
    <w:rsid w:val="003A4077"/>
    <w:rsid w:val="003A4AA7"/>
    <w:rsid w:val="003B09AD"/>
    <w:rsid w:val="003B1F18"/>
    <w:rsid w:val="003B5BF0"/>
    <w:rsid w:val="003B60BF"/>
    <w:rsid w:val="003B6BE3"/>
    <w:rsid w:val="003C010C"/>
    <w:rsid w:val="003C0A6C"/>
    <w:rsid w:val="003C14F8"/>
    <w:rsid w:val="003C40C4"/>
    <w:rsid w:val="003C5A43"/>
    <w:rsid w:val="003D0519"/>
    <w:rsid w:val="003D0FF6"/>
    <w:rsid w:val="003D262C"/>
    <w:rsid w:val="003D6D61"/>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37D8"/>
    <w:rsid w:val="0041477A"/>
    <w:rsid w:val="004167A3"/>
    <w:rsid w:val="00432DAA"/>
    <w:rsid w:val="00434305"/>
    <w:rsid w:val="00435DF7"/>
    <w:rsid w:val="0044083F"/>
    <w:rsid w:val="00441AE7"/>
    <w:rsid w:val="00445574"/>
    <w:rsid w:val="004467FB"/>
    <w:rsid w:val="00446861"/>
    <w:rsid w:val="00446DED"/>
    <w:rsid w:val="00452D6B"/>
    <w:rsid w:val="00454484"/>
    <w:rsid w:val="0045517B"/>
    <w:rsid w:val="00463B77"/>
    <w:rsid w:val="00463C7B"/>
    <w:rsid w:val="004644A6"/>
    <w:rsid w:val="004659BD"/>
    <w:rsid w:val="00467E06"/>
    <w:rsid w:val="00470775"/>
    <w:rsid w:val="004746B1"/>
    <w:rsid w:val="0047583F"/>
    <w:rsid w:val="00475DE8"/>
    <w:rsid w:val="00481C44"/>
    <w:rsid w:val="00482631"/>
    <w:rsid w:val="00484936"/>
    <w:rsid w:val="00485C89"/>
    <w:rsid w:val="00486BE3"/>
    <w:rsid w:val="004905E4"/>
    <w:rsid w:val="00490A89"/>
    <w:rsid w:val="00490AB4"/>
    <w:rsid w:val="00492F02"/>
    <w:rsid w:val="004939AE"/>
    <w:rsid w:val="004954A2"/>
    <w:rsid w:val="004A12DF"/>
    <w:rsid w:val="004A1BA8"/>
    <w:rsid w:val="004A4B57"/>
    <w:rsid w:val="004A63FA"/>
    <w:rsid w:val="004A6A3D"/>
    <w:rsid w:val="004B0272"/>
    <w:rsid w:val="004B2701"/>
    <w:rsid w:val="004B2E1B"/>
    <w:rsid w:val="004B3AA8"/>
    <w:rsid w:val="004B3E93"/>
    <w:rsid w:val="004C1FBC"/>
    <w:rsid w:val="004C25A2"/>
    <w:rsid w:val="004C3F1D"/>
    <w:rsid w:val="004C458D"/>
    <w:rsid w:val="004C662B"/>
    <w:rsid w:val="004C7556"/>
    <w:rsid w:val="004C7E8B"/>
    <w:rsid w:val="004C7E9D"/>
    <w:rsid w:val="004C7F67"/>
    <w:rsid w:val="004D076D"/>
    <w:rsid w:val="004D0EF1"/>
    <w:rsid w:val="004D2253"/>
    <w:rsid w:val="004D329B"/>
    <w:rsid w:val="004D4406"/>
    <w:rsid w:val="004D7C42"/>
    <w:rsid w:val="004E0465"/>
    <w:rsid w:val="004E127B"/>
    <w:rsid w:val="004E1C0A"/>
    <w:rsid w:val="004E29BC"/>
    <w:rsid w:val="004E30C5"/>
    <w:rsid w:val="004E4AA5"/>
    <w:rsid w:val="004E4AEE"/>
    <w:rsid w:val="004E59E3"/>
    <w:rsid w:val="004E616D"/>
    <w:rsid w:val="004E67C0"/>
    <w:rsid w:val="004E7EE9"/>
    <w:rsid w:val="004F391A"/>
    <w:rsid w:val="004F3CFB"/>
    <w:rsid w:val="004F6456"/>
    <w:rsid w:val="004F696E"/>
    <w:rsid w:val="004F6C71"/>
    <w:rsid w:val="00501139"/>
    <w:rsid w:val="0050363E"/>
    <w:rsid w:val="005039BC"/>
    <w:rsid w:val="005043BB"/>
    <w:rsid w:val="00504A3D"/>
    <w:rsid w:val="00505767"/>
    <w:rsid w:val="00505C2F"/>
    <w:rsid w:val="005073F0"/>
    <w:rsid w:val="00510A7B"/>
    <w:rsid w:val="00512F6E"/>
    <w:rsid w:val="00513038"/>
    <w:rsid w:val="00514174"/>
    <w:rsid w:val="00516088"/>
    <w:rsid w:val="005165A4"/>
    <w:rsid w:val="00516B0B"/>
    <w:rsid w:val="005220EC"/>
    <w:rsid w:val="00523F95"/>
    <w:rsid w:val="00524D65"/>
    <w:rsid w:val="005255EE"/>
    <w:rsid w:val="00525B16"/>
    <w:rsid w:val="00533D04"/>
    <w:rsid w:val="00534804"/>
    <w:rsid w:val="00534BDF"/>
    <w:rsid w:val="005354EA"/>
    <w:rsid w:val="0053585F"/>
    <w:rsid w:val="00535EC4"/>
    <w:rsid w:val="00535ED9"/>
    <w:rsid w:val="0053692B"/>
    <w:rsid w:val="00541853"/>
    <w:rsid w:val="00543BDA"/>
    <w:rsid w:val="005441CC"/>
    <w:rsid w:val="005472AC"/>
    <w:rsid w:val="005479DA"/>
    <w:rsid w:val="00547BCC"/>
    <w:rsid w:val="0055013B"/>
    <w:rsid w:val="00551F6F"/>
    <w:rsid w:val="00555044"/>
    <w:rsid w:val="005600C9"/>
    <w:rsid w:val="00561475"/>
    <w:rsid w:val="00562308"/>
    <w:rsid w:val="0056487B"/>
    <w:rsid w:val="00564FB9"/>
    <w:rsid w:val="00572C98"/>
    <w:rsid w:val="00573D9E"/>
    <w:rsid w:val="005801E3"/>
    <w:rsid w:val="00581802"/>
    <w:rsid w:val="0058190E"/>
    <w:rsid w:val="00581C83"/>
    <w:rsid w:val="005836A8"/>
    <w:rsid w:val="0058409C"/>
    <w:rsid w:val="00584262"/>
    <w:rsid w:val="00586630"/>
    <w:rsid w:val="00587ADD"/>
    <w:rsid w:val="00593A49"/>
    <w:rsid w:val="00596160"/>
    <w:rsid w:val="005966E2"/>
    <w:rsid w:val="00597007"/>
    <w:rsid w:val="00597BC4"/>
    <w:rsid w:val="005A0966"/>
    <w:rsid w:val="005A11B7"/>
    <w:rsid w:val="005A260B"/>
    <w:rsid w:val="005A4A1B"/>
    <w:rsid w:val="005A7830"/>
    <w:rsid w:val="005A7FCE"/>
    <w:rsid w:val="005B0F3F"/>
    <w:rsid w:val="005B191C"/>
    <w:rsid w:val="005B4903"/>
    <w:rsid w:val="005B51CE"/>
    <w:rsid w:val="005B5885"/>
    <w:rsid w:val="005B5CD7"/>
    <w:rsid w:val="005B6CF6"/>
    <w:rsid w:val="005B7422"/>
    <w:rsid w:val="005C29B8"/>
    <w:rsid w:val="005C36B9"/>
    <w:rsid w:val="005C5F21"/>
    <w:rsid w:val="005C7156"/>
    <w:rsid w:val="005D0C75"/>
    <w:rsid w:val="005D4171"/>
    <w:rsid w:val="005D6A95"/>
    <w:rsid w:val="005D6B2C"/>
    <w:rsid w:val="005D6D9C"/>
    <w:rsid w:val="005E2335"/>
    <w:rsid w:val="005E34CA"/>
    <w:rsid w:val="005E3C18"/>
    <w:rsid w:val="005E4250"/>
    <w:rsid w:val="005E499F"/>
    <w:rsid w:val="005E6812"/>
    <w:rsid w:val="005E7881"/>
    <w:rsid w:val="005E78E0"/>
    <w:rsid w:val="005F0D9C"/>
    <w:rsid w:val="005F284E"/>
    <w:rsid w:val="006015CE"/>
    <w:rsid w:val="00604784"/>
    <w:rsid w:val="00606419"/>
    <w:rsid w:val="00607D29"/>
    <w:rsid w:val="00612952"/>
    <w:rsid w:val="00614CC1"/>
    <w:rsid w:val="00615A9D"/>
    <w:rsid w:val="00617387"/>
    <w:rsid w:val="006205D6"/>
    <w:rsid w:val="00621A3A"/>
    <w:rsid w:val="00621F52"/>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2C6B"/>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16C4"/>
    <w:rsid w:val="006D3E96"/>
    <w:rsid w:val="006D4515"/>
    <w:rsid w:val="006D4BB1"/>
    <w:rsid w:val="006D6593"/>
    <w:rsid w:val="006E6297"/>
    <w:rsid w:val="006F03A8"/>
    <w:rsid w:val="006F2ACA"/>
    <w:rsid w:val="006F2ADC"/>
    <w:rsid w:val="006F2BFE"/>
    <w:rsid w:val="006F31E9"/>
    <w:rsid w:val="006F6284"/>
    <w:rsid w:val="006F78D4"/>
    <w:rsid w:val="007002C5"/>
    <w:rsid w:val="00704387"/>
    <w:rsid w:val="00707669"/>
    <w:rsid w:val="00711CBA"/>
    <w:rsid w:val="00711FB5"/>
    <w:rsid w:val="00712A01"/>
    <w:rsid w:val="00714F58"/>
    <w:rsid w:val="00722FBF"/>
    <w:rsid w:val="00722FC2"/>
    <w:rsid w:val="00724E1B"/>
    <w:rsid w:val="00725949"/>
    <w:rsid w:val="00727BA5"/>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032"/>
    <w:rsid w:val="007B68EA"/>
    <w:rsid w:val="007B7453"/>
    <w:rsid w:val="007C2D89"/>
    <w:rsid w:val="007C4593"/>
    <w:rsid w:val="007C5309"/>
    <w:rsid w:val="007C6069"/>
    <w:rsid w:val="007D06C4"/>
    <w:rsid w:val="007D1352"/>
    <w:rsid w:val="007D2508"/>
    <w:rsid w:val="007D346A"/>
    <w:rsid w:val="007D6518"/>
    <w:rsid w:val="007D76BD"/>
    <w:rsid w:val="007E0BF1"/>
    <w:rsid w:val="007E18B6"/>
    <w:rsid w:val="007F0ED8"/>
    <w:rsid w:val="007F0F63"/>
    <w:rsid w:val="007F75CE"/>
    <w:rsid w:val="008013A4"/>
    <w:rsid w:val="008027CE"/>
    <w:rsid w:val="00802F42"/>
    <w:rsid w:val="00804383"/>
    <w:rsid w:val="00804BB7"/>
    <w:rsid w:val="00804D41"/>
    <w:rsid w:val="008054D8"/>
    <w:rsid w:val="00810257"/>
    <w:rsid w:val="008104F5"/>
    <w:rsid w:val="00811072"/>
    <w:rsid w:val="00811369"/>
    <w:rsid w:val="00815419"/>
    <w:rsid w:val="00815850"/>
    <w:rsid w:val="008163C8"/>
    <w:rsid w:val="008164A1"/>
    <w:rsid w:val="00817325"/>
    <w:rsid w:val="008202A0"/>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5173A"/>
    <w:rsid w:val="008603CE"/>
    <w:rsid w:val="008620FC"/>
    <w:rsid w:val="008627A5"/>
    <w:rsid w:val="00863E05"/>
    <w:rsid w:val="00865ACA"/>
    <w:rsid w:val="00865D28"/>
    <w:rsid w:val="00865F85"/>
    <w:rsid w:val="00867C10"/>
    <w:rsid w:val="00870439"/>
    <w:rsid w:val="00870DA1"/>
    <w:rsid w:val="00873BC8"/>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73B"/>
    <w:rsid w:val="008A1893"/>
    <w:rsid w:val="008A57E6"/>
    <w:rsid w:val="008A6F81"/>
    <w:rsid w:val="008A769A"/>
    <w:rsid w:val="008B0C9C"/>
    <w:rsid w:val="008B166D"/>
    <w:rsid w:val="008B17F4"/>
    <w:rsid w:val="008B3615"/>
    <w:rsid w:val="008B4AC4"/>
    <w:rsid w:val="008B50C8"/>
    <w:rsid w:val="008B5281"/>
    <w:rsid w:val="008B7E05"/>
    <w:rsid w:val="008C1797"/>
    <w:rsid w:val="008C1F2E"/>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35EF"/>
    <w:rsid w:val="008E4BB6"/>
    <w:rsid w:val="008E5518"/>
    <w:rsid w:val="008E6A84"/>
    <w:rsid w:val="008F0CDC"/>
    <w:rsid w:val="008F17A3"/>
    <w:rsid w:val="008F1ED3"/>
    <w:rsid w:val="008F4C29"/>
    <w:rsid w:val="008F70BD"/>
    <w:rsid w:val="008F788F"/>
    <w:rsid w:val="008F7EA2"/>
    <w:rsid w:val="009007C7"/>
    <w:rsid w:val="00902722"/>
    <w:rsid w:val="009027BC"/>
    <w:rsid w:val="009062E6"/>
    <w:rsid w:val="00911BE5"/>
    <w:rsid w:val="00912C00"/>
    <w:rsid w:val="009138A3"/>
    <w:rsid w:val="00913CA9"/>
    <w:rsid w:val="009145AE"/>
    <w:rsid w:val="009146CE"/>
    <w:rsid w:val="00914CA7"/>
    <w:rsid w:val="00915C3E"/>
    <w:rsid w:val="009161A8"/>
    <w:rsid w:val="009245AE"/>
    <w:rsid w:val="009245F5"/>
    <w:rsid w:val="009249EC"/>
    <w:rsid w:val="009273B3"/>
    <w:rsid w:val="009305B5"/>
    <w:rsid w:val="009378DD"/>
    <w:rsid w:val="00940C3E"/>
    <w:rsid w:val="009429D5"/>
    <w:rsid w:val="00942BF1"/>
    <w:rsid w:val="00945180"/>
    <w:rsid w:val="00945428"/>
    <w:rsid w:val="0094607B"/>
    <w:rsid w:val="00953604"/>
    <w:rsid w:val="0095496B"/>
    <w:rsid w:val="0096055A"/>
    <w:rsid w:val="00960F1E"/>
    <w:rsid w:val="009610DC"/>
    <w:rsid w:val="00961490"/>
    <w:rsid w:val="0096381A"/>
    <w:rsid w:val="00965E04"/>
    <w:rsid w:val="009674AD"/>
    <w:rsid w:val="00970CDC"/>
    <w:rsid w:val="00971520"/>
    <w:rsid w:val="00975727"/>
    <w:rsid w:val="00976EC5"/>
    <w:rsid w:val="00977010"/>
    <w:rsid w:val="00977D02"/>
    <w:rsid w:val="00977FF9"/>
    <w:rsid w:val="009809BB"/>
    <w:rsid w:val="0098364B"/>
    <w:rsid w:val="009908A3"/>
    <w:rsid w:val="009911AF"/>
    <w:rsid w:val="00991875"/>
    <w:rsid w:val="00991F92"/>
    <w:rsid w:val="00992985"/>
    <w:rsid w:val="00993889"/>
    <w:rsid w:val="0099551B"/>
    <w:rsid w:val="00996BD2"/>
    <w:rsid w:val="00997BF1"/>
    <w:rsid w:val="009A089C"/>
    <w:rsid w:val="009A118E"/>
    <w:rsid w:val="009A21CD"/>
    <w:rsid w:val="009A278C"/>
    <w:rsid w:val="009A2BC2"/>
    <w:rsid w:val="009A42C1"/>
    <w:rsid w:val="009A5429"/>
    <w:rsid w:val="009A72AD"/>
    <w:rsid w:val="009B09E0"/>
    <w:rsid w:val="009B0BC5"/>
    <w:rsid w:val="009B1247"/>
    <w:rsid w:val="009B6029"/>
    <w:rsid w:val="009B6971"/>
    <w:rsid w:val="009C27F1"/>
    <w:rsid w:val="009C3152"/>
    <w:rsid w:val="009C3257"/>
    <w:rsid w:val="009C4CFA"/>
    <w:rsid w:val="009C5070"/>
    <w:rsid w:val="009C7D0C"/>
    <w:rsid w:val="009D112C"/>
    <w:rsid w:val="009D1385"/>
    <w:rsid w:val="009D47FA"/>
    <w:rsid w:val="009D4C5B"/>
    <w:rsid w:val="009D50D2"/>
    <w:rsid w:val="009D5A17"/>
    <w:rsid w:val="009D6BCA"/>
    <w:rsid w:val="009E0F62"/>
    <w:rsid w:val="009E4A58"/>
    <w:rsid w:val="009E5A2D"/>
    <w:rsid w:val="009E5AB2"/>
    <w:rsid w:val="009E5F71"/>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2DA"/>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2912"/>
    <w:rsid w:val="00A55BD6"/>
    <w:rsid w:val="00A55D50"/>
    <w:rsid w:val="00A57142"/>
    <w:rsid w:val="00A62A39"/>
    <w:rsid w:val="00A648CD"/>
    <w:rsid w:val="00A6537A"/>
    <w:rsid w:val="00A67866"/>
    <w:rsid w:val="00A70B07"/>
    <w:rsid w:val="00A723F8"/>
    <w:rsid w:val="00A77CCB"/>
    <w:rsid w:val="00A83D8D"/>
    <w:rsid w:val="00A8446B"/>
    <w:rsid w:val="00A8473F"/>
    <w:rsid w:val="00A862D6"/>
    <w:rsid w:val="00A8715E"/>
    <w:rsid w:val="00A9295B"/>
    <w:rsid w:val="00A93B09"/>
    <w:rsid w:val="00A952D7"/>
    <w:rsid w:val="00A963F7"/>
    <w:rsid w:val="00A96AD8"/>
    <w:rsid w:val="00A97FE3"/>
    <w:rsid w:val="00AA052C"/>
    <w:rsid w:val="00AA1E45"/>
    <w:rsid w:val="00AA1F1B"/>
    <w:rsid w:val="00AA4286"/>
    <w:rsid w:val="00AA456B"/>
    <w:rsid w:val="00AA57F5"/>
    <w:rsid w:val="00AA672E"/>
    <w:rsid w:val="00AA6EC9"/>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2A69"/>
    <w:rsid w:val="00AE37E5"/>
    <w:rsid w:val="00AE5EB4"/>
    <w:rsid w:val="00AE6F46"/>
    <w:rsid w:val="00AF0C18"/>
    <w:rsid w:val="00AF1CE0"/>
    <w:rsid w:val="00AF47C5"/>
    <w:rsid w:val="00AF5398"/>
    <w:rsid w:val="00B049AF"/>
    <w:rsid w:val="00B0650B"/>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6FBE"/>
    <w:rsid w:val="00B60ACF"/>
    <w:rsid w:val="00B62B58"/>
    <w:rsid w:val="00B65149"/>
    <w:rsid w:val="00B66567"/>
    <w:rsid w:val="00B66F52"/>
    <w:rsid w:val="00B66FE5"/>
    <w:rsid w:val="00B72880"/>
    <w:rsid w:val="00B73A10"/>
    <w:rsid w:val="00B758BF"/>
    <w:rsid w:val="00B77EC8"/>
    <w:rsid w:val="00B827A6"/>
    <w:rsid w:val="00B831CE"/>
    <w:rsid w:val="00B86677"/>
    <w:rsid w:val="00B87131"/>
    <w:rsid w:val="00B90584"/>
    <w:rsid w:val="00B939B1"/>
    <w:rsid w:val="00B96D40"/>
    <w:rsid w:val="00B97386"/>
    <w:rsid w:val="00BA263B"/>
    <w:rsid w:val="00BA42B2"/>
    <w:rsid w:val="00BA58D4"/>
    <w:rsid w:val="00BA5B9E"/>
    <w:rsid w:val="00BA7C9A"/>
    <w:rsid w:val="00BB5F8F"/>
    <w:rsid w:val="00BB657A"/>
    <w:rsid w:val="00BC1A4E"/>
    <w:rsid w:val="00BC5DC7"/>
    <w:rsid w:val="00BC6B8B"/>
    <w:rsid w:val="00BC73D8"/>
    <w:rsid w:val="00BD52D7"/>
    <w:rsid w:val="00BD5AD2"/>
    <w:rsid w:val="00BE0B24"/>
    <w:rsid w:val="00BE22F3"/>
    <w:rsid w:val="00BE5B52"/>
    <w:rsid w:val="00BE7B8D"/>
    <w:rsid w:val="00BF0993"/>
    <w:rsid w:val="00BF10A9"/>
    <w:rsid w:val="00BF1703"/>
    <w:rsid w:val="00BF231C"/>
    <w:rsid w:val="00BF51E5"/>
    <w:rsid w:val="00BF74A6"/>
    <w:rsid w:val="00C013AD"/>
    <w:rsid w:val="00C04904"/>
    <w:rsid w:val="00C056B3"/>
    <w:rsid w:val="00C103E5"/>
    <w:rsid w:val="00C13319"/>
    <w:rsid w:val="00C13EE9"/>
    <w:rsid w:val="00C21540"/>
    <w:rsid w:val="00C21906"/>
    <w:rsid w:val="00C21BFA"/>
    <w:rsid w:val="00C24C8D"/>
    <w:rsid w:val="00C25FE2"/>
    <w:rsid w:val="00C26B53"/>
    <w:rsid w:val="00C279B2"/>
    <w:rsid w:val="00C33E50"/>
    <w:rsid w:val="00C34C20"/>
    <w:rsid w:val="00C35A3E"/>
    <w:rsid w:val="00C42130"/>
    <w:rsid w:val="00C423A4"/>
    <w:rsid w:val="00C423E3"/>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7587C"/>
    <w:rsid w:val="00C80CB8"/>
    <w:rsid w:val="00C819F8"/>
    <w:rsid w:val="00C8248C"/>
    <w:rsid w:val="00C84E33"/>
    <w:rsid w:val="00C86D6F"/>
    <w:rsid w:val="00C905FC"/>
    <w:rsid w:val="00C92D03"/>
    <w:rsid w:val="00C9319C"/>
    <w:rsid w:val="00C9435D"/>
    <w:rsid w:val="00C94DF2"/>
    <w:rsid w:val="00C96741"/>
    <w:rsid w:val="00CA2D1B"/>
    <w:rsid w:val="00CA375D"/>
    <w:rsid w:val="00CA5006"/>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E0C4F"/>
    <w:rsid w:val="00CE30EA"/>
    <w:rsid w:val="00CF048A"/>
    <w:rsid w:val="00CF155A"/>
    <w:rsid w:val="00CF2947"/>
    <w:rsid w:val="00CF686F"/>
    <w:rsid w:val="00CF6E60"/>
    <w:rsid w:val="00CF7BCA"/>
    <w:rsid w:val="00D008FD"/>
    <w:rsid w:val="00D02856"/>
    <w:rsid w:val="00D0321C"/>
    <w:rsid w:val="00D035EC"/>
    <w:rsid w:val="00D06AB1"/>
    <w:rsid w:val="00D06FC1"/>
    <w:rsid w:val="00D072ED"/>
    <w:rsid w:val="00D07A16"/>
    <w:rsid w:val="00D1067E"/>
    <w:rsid w:val="00D10F50"/>
    <w:rsid w:val="00D11272"/>
    <w:rsid w:val="00D11594"/>
    <w:rsid w:val="00D126F5"/>
    <w:rsid w:val="00D1489E"/>
    <w:rsid w:val="00D20737"/>
    <w:rsid w:val="00D21E81"/>
    <w:rsid w:val="00D223DE"/>
    <w:rsid w:val="00D2427C"/>
    <w:rsid w:val="00D25E37"/>
    <w:rsid w:val="00D2661A"/>
    <w:rsid w:val="00D27582"/>
    <w:rsid w:val="00D27EC4"/>
    <w:rsid w:val="00D32719"/>
    <w:rsid w:val="00D33333"/>
    <w:rsid w:val="00D352A2"/>
    <w:rsid w:val="00D4162B"/>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87BF5"/>
    <w:rsid w:val="00D90721"/>
    <w:rsid w:val="00D926D0"/>
    <w:rsid w:val="00D93030"/>
    <w:rsid w:val="00D950E1"/>
    <w:rsid w:val="00D952A6"/>
    <w:rsid w:val="00D97F99"/>
    <w:rsid w:val="00DA1E08"/>
    <w:rsid w:val="00DA24F8"/>
    <w:rsid w:val="00DA28E8"/>
    <w:rsid w:val="00DA38D3"/>
    <w:rsid w:val="00DA3932"/>
    <w:rsid w:val="00DA3AFC"/>
    <w:rsid w:val="00DA64F8"/>
    <w:rsid w:val="00DA6C15"/>
    <w:rsid w:val="00DB0258"/>
    <w:rsid w:val="00DB38EE"/>
    <w:rsid w:val="00DB498B"/>
    <w:rsid w:val="00DB66CA"/>
    <w:rsid w:val="00DB6BCA"/>
    <w:rsid w:val="00DB6F54"/>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6551"/>
    <w:rsid w:val="00E01138"/>
    <w:rsid w:val="00E02DFB"/>
    <w:rsid w:val="00E030F9"/>
    <w:rsid w:val="00E0311A"/>
    <w:rsid w:val="00E03138"/>
    <w:rsid w:val="00E06404"/>
    <w:rsid w:val="00E11A85"/>
    <w:rsid w:val="00E12495"/>
    <w:rsid w:val="00E15CCD"/>
    <w:rsid w:val="00E202EF"/>
    <w:rsid w:val="00E210B5"/>
    <w:rsid w:val="00E2552F"/>
    <w:rsid w:val="00E3137A"/>
    <w:rsid w:val="00E32CCF"/>
    <w:rsid w:val="00E34A98"/>
    <w:rsid w:val="00E35D1E"/>
    <w:rsid w:val="00E364F9"/>
    <w:rsid w:val="00E365FA"/>
    <w:rsid w:val="00E36789"/>
    <w:rsid w:val="00E36A9A"/>
    <w:rsid w:val="00E44A83"/>
    <w:rsid w:val="00E502C1"/>
    <w:rsid w:val="00E502DD"/>
    <w:rsid w:val="00E50D3A"/>
    <w:rsid w:val="00E51387"/>
    <w:rsid w:val="00E51E68"/>
    <w:rsid w:val="00E52EFD"/>
    <w:rsid w:val="00E5408A"/>
    <w:rsid w:val="00E54CB7"/>
    <w:rsid w:val="00E56800"/>
    <w:rsid w:val="00E60C63"/>
    <w:rsid w:val="00E62FF9"/>
    <w:rsid w:val="00E635D6"/>
    <w:rsid w:val="00E639BC"/>
    <w:rsid w:val="00E664CC"/>
    <w:rsid w:val="00E70388"/>
    <w:rsid w:val="00E70F92"/>
    <w:rsid w:val="00E74313"/>
    <w:rsid w:val="00E74C54"/>
    <w:rsid w:val="00E77A03"/>
    <w:rsid w:val="00E822E8"/>
    <w:rsid w:val="00E82554"/>
    <w:rsid w:val="00E82606"/>
    <w:rsid w:val="00E831C1"/>
    <w:rsid w:val="00E8340D"/>
    <w:rsid w:val="00E846C8"/>
    <w:rsid w:val="00E84957"/>
    <w:rsid w:val="00E84A55"/>
    <w:rsid w:val="00E85BFF"/>
    <w:rsid w:val="00E90391"/>
    <w:rsid w:val="00E906C2"/>
    <w:rsid w:val="00E917E2"/>
    <w:rsid w:val="00E9311F"/>
    <w:rsid w:val="00E934D1"/>
    <w:rsid w:val="00E94AF0"/>
    <w:rsid w:val="00E95D13"/>
    <w:rsid w:val="00E95DD3"/>
    <w:rsid w:val="00E969D5"/>
    <w:rsid w:val="00E970E8"/>
    <w:rsid w:val="00EA58D1"/>
    <w:rsid w:val="00EA61BC"/>
    <w:rsid w:val="00EA681A"/>
    <w:rsid w:val="00EA735B"/>
    <w:rsid w:val="00EB1E69"/>
    <w:rsid w:val="00EB2086"/>
    <w:rsid w:val="00EB31ED"/>
    <w:rsid w:val="00EB55BF"/>
    <w:rsid w:val="00EB5EDF"/>
    <w:rsid w:val="00EB60FE"/>
    <w:rsid w:val="00EB74DB"/>
    <w:rsid w:val="00EC5359"/>
    <w:rsid w:val="00EC562A"/>
    <w:rsid w:val="00ED067A"/>
    <w:rsid w:val="00ED2B50"/>
    <w:rsid w:val="00EE0350"/>
    <w:rsid w:val="00EE0719"/>
    <w:rsid w:val="00EE0E80"/>
    <w:rsid w:val="00EE613F"/>
    <w:rsid w:val="00EE7295"/>
    <w:rsid w:val="00EE7869"/>
    <w:rsid w:val="00EF054A"/>
    <w:rsid w:val="00EF0D81"/>
    <w:rsid w:val="00EF3235"/>
    <w:rsid w:val="00EF7E72"/>
    <w:rsid w:val="00F06D37"/>
    <w:rsid w:val="00F07B9D"/>
    <w:rsid w:val="00F11586"/>
    <w:rsid w:val="00F1183B"/>
    <w:rsid w:val="00F11C9F"/>
    <w:rsid w:val="00F12263"/>
    <w:rsid w:val="00F1409D"/>
    <w:rsid w:val="00F14214"/>
    <w:rsid w:val="00F157A9"/>
    <w:rsid w:val="00F16F00"/>
    <w:rsid w:val="00F25BB6"/>
    <w:rsid w:val="00F26B7E"/>
    <w:rsid w:val="00F27A3B"/>
    <w:rsid w:val="00F3374F"/>
    <w:rsid w:val="00F33817"/>
    <w:rsid w:val="00F420D5"/>
    <w:rsid w:val="00F43428"/>
    <w:rsid w:val="00F451EA"/>
    <w:rsid w:val="00F45447"/>
    <w:rsid w:val="00F456C6"/>
    <w:rsid w:val="00F4577B"/>
    <w:rsid w:val="00F46496"/>
    <w:rsid w:val="00F474D0"/>
    <w:rsid w:val="00F50179"/>
    <w:rsid w:val="00F505B7"/>
    <w:rsid w:val="00F515EE"/>
    <w:rsid w:val="00F56511"/>
    <w:rsid w:val="00F6194E"/>
    <w:rsid w:val="00F623AC"/>
    <w:rsid w:val="00F6412A"/>
    <w:rsid w:val="00F65893"/>
    <w:rsid w:val="00F66A4A"/>
    <w:rsid w:val="00F71E22"/>
    <w:rsid w:val="00F72142"/>
    <w:rsid w:val="00F72AE7"/>
    <w:rsid w:val="00F82055"/>
    <w:rsid w:val="00F833BA"/>
    <w:rsid w:val="00F84FD0"/>
    <w:rsid w:val="00F859A8"/>
    <w:rsid w:val="00F86D87"/>
    <w:rsid w:val="00F9108B"/>
    <w:rsid w:val="00F91349"/>
    <w:rsid w:val="00F93A8A"/>
    <w:rsid w:val="00F95248"/>
    <w:rsid w:val="00F956A9"/>
    <w:rsid w:val="00F963ED"/>
    <w:rsid w:val="00F966A8"/>
    <w:rsid w:val="00F966CF"/>
    <w:rsid w:val="00F96CAE"/>
    <w:rsid w:val="00F97C99"/>
    <w:rsid w:val="00FA662D"/>
    <w:rsid w:val="00FA73B1"/>
    <w:rsid w:val="00FB0CB9"/>
    <w:rsid w:val="00FB231D"/>
    <w:rsid w:val="00FB42D2"/>
    <w:rsid w:val="00FB45F1"/>
    <w:rsid w:val="00FB4A72"/>
    <w:rsid w:val="00FB54E8"/>
    <w:rsid w:val="00FB7054"/>
    <w:rsid w:val="00FC17B7"/>
    <w:rsid w:val="00FC2CB7"/>
    <w:rsid w:val="00FC4090"/>
    <w:rsid w:val="00FC55B4"/>
    <w:rsid w:val="00FD00E6"/>
    <w:rsid w:val="00FD09A1"/>
    <w:rsid w:val="00FD2A7C"/>
    <w:rsid w:val="00FD59EB"/>
    <w:rsid w:val="00FD7299"/>
    <w:rsid w:val="00FD7BCC"/>
    <w:rsid w:val="00FE1FBE"/>
    <w:rsid w:val="00FE3901"/>
    <w:rsid w:val="00FE39D3"/>
    <w:rsid w:val="00FE4BCE"/>
    <w:rsid w:val="00FE54AE"/>
    <w:rsid w:val="00FE576A"/>
    <w:rsid w:val="00FE7E79"/>
    <w:rsid w:val="00FF3E7D"/>
    <w:rsid w:val="00FF5B99"/>
    <w:rsid w:val="00FF730C"/>
    <w:rsid w:val="00FF73F4"/>
    <w:rsid w:val="00FF7CE4"/>
    <w:rsid w:val="00FF7E39"/>
    <w:rsid w:val="017569C0"/>
    <w:rsid w:val="01FD7E4B"/>
    <w:rsid w:val="027F2F56"/>
    <w:rsid w:val="0377104C"/>
    <w:rsid w:val="05557F9E"/>
    <w:rsid w:val="067970FB"/>
    <w:rsid w:val="092812C3"/>
    <w:rsid w:val="09293C1C"/>
    <w:rsid w:val="0B6B4585"/>
    <w:rsid w:val="0B91551C"/>
    <w:rsid w:val="0BE04094"/>
    <w:rsid w:val="0CAD2796"/>
    <w:rsid w:val="0DCC7E73"/>
    <w:rsid w:val="0E75631A"/>
    <w:rsid w:val="0ECE7B66"/>
    <w:rsid w:val="10F168B8"/>
    <w:rsid w:val="11A24D7A"/>
    <w:rsid w:val="11F979BE"/>
    <w:rsid w:val="12641821"/>
    <w:rsid w:val="12AF61EA"/>
    <w:rsid w:val="16250BEE"/>
    <w:rsid w:val="16595920"/>
    <w:rsid w:val="16610551"/>
    <w:rsid w:val="1BBD091F"/>
    <w:rsid w:val="1DA867CF"/>
    <w:rsid w:val="1E8C45D9"/>
    <w:rsid w:val="1F2520E5"/>
    <w:rsid w:val="1F30765A"/>
    <w:rsid w:val="2040345B"/>
    <w:rsid w:val="20C230DD"/>
    <w:rsid w:val="21747CD2"/>
    <w:rsid w:val="22511DC1"/>
    <w:rsid w:val="229E3F63"/>
    <w:rsid w:val="25431859"/>
    <w:rsid w:val="280478D6"/>
    <w:rsid w:val="285919D0"/>
    <w:rsid w:val="28B5297E"/>
    <w:rsid w:val="291E74EA"/>
    <w:rsid w:val="2A567820"/>
    <w:rsid w:val="2ABC1DA2"/>
    <w:rsid w:val="2F323C7D"/>
    <w:rsid w:val="2F681DE8"/>
    <w:rsid w:val="2FAA2D7F"/>
    <w:rsid w:val="2FF65D56"/>
    <w:rsid w:val="316E7B6E"/>
    <w:rsid w:val="332B2000"/>
    <w:rsid w:val="340F388A"/>
    <w:rsid w:val="34C71A6F"/>
    <w:rsid w:val="35131158"/>
    <w:rsid w:val="37F27D0C"/>
    <w:rsid w:val="37FE47B9"/>
    <w:rsid w:val="38FC1D29"/>
    <w:rsid w:val="397C72CD"/>
    <w:rsid w:val="3A920D71"/>
    <w:rsid w:val="3AD2761D"/>
    <w:rsid w:val="3BAA59FA"/>
    <w:rsid w:val="3BE20513"/>
    <w:rsid w:val="3C3E1881"/>
    <w:rsid w:val="3CB61A62"/>
    <w:rsid w:val="3D4520CB"/>
    <w:rsid w:val="40BF2194"/>
    <w:rsid w:val="410E7A6F"/>
    <w:rsid w:val="412D35A2"/>
    <w:rsid w:val="420338A2"/>
    <w:rsid w:val="42A40B3B"/>
    <w:rsid w:val="43A62A1E"/>
    <w:rsid w:val="44B64B15"/>
    <w:rsid w:val="49511A3A"/>
    <w:rsid w:val="49686D61"/>
    <w:rsid w:val="49E8275C"/>
    <w:rsid w:val="4A3C1FD9"/>
    <w:rsid w:val="4AEE2A22"/>
    <w:rsid w:val="4BF4712C"/>
    <w:rsid w:val="4F1E4409"/>
    <w:rsid w:val="4F6C18D7"/>
    <w:rsid w:val="4F756840"/>
    <w:rsid w:val="4F7C5E20"/>
    <w:rsid w:val="52BB6C5F"/>
    <w:rsid w:val="53562E2F"/>
    <w:rsid w:val="54330A77"/>
    <w:rsid w:val="568B6949"/>
    <w:rsid w:val="56F51F3A"/>
    <w:rsid w:val="58E6255C"/>
    <w:rsid w:val="59401C6C"/>
    <w:rsid w:val="5A6D09E1"/>
    <w:rsid w:val="5B78539F"/>
    <w:rsid w:val="5C13779B"/>
    <w:rsid w:val="5C401EBC"/>
    <w:rsid w:val="5D9B1B67"/>
    <w:rsid w:val="5E083E79"/>
    <w:rsid w:val="5E2F5B3D"/>
    <w:rsid w:val="5EE70DDC"/>
    <w:rsid w:val="60196D73"/>
    <w:rsid w:val="61A44D62"/>
    <w:rsid w:val="62476607"/>
    <w:rsid w:val="66BC48FC"/>
    <w:rsid w:val="66D6776C"/>
    <w:rsid w:val="67981E4E"/>
    <w:rsid w:val="67AF0FF8"/>
    <w:rsid w:val="67D01056"/>
    <w:rsid w:val="6B9D6AAA"/>
    <w:rsid w:val="6CB47861"/>
    <w:rsid w:val="6D250610"/>
    <w:rsid w:val="6D392803"/>
    <w:rsid w:val="6E1E68B9"/>
    <w:rsid w:val="6E3A2CD6"/>
    <w:rsid w:val="6E980679"/>
    <w:rsid w:val="71CB33D1"/>
    <w:rsid w:val="739B4217"/>
    <w:rsid w:val="74076689"/>
    <w:rsid w:val="74CE0C8A"/>
    <w:rsid w:val="74E03EAC"/>
    <w:rsid w:val="77316C41"/>
    <w:rsid w:val="7746449A"/>
    <w:rsid w:val="77EB41CA"/>
    <w:rsid w:val="78254E38"/>
    <w:rsid w:val="79815C5D"/>
    <w:rsid w:val="7997237A"/>
    <w:rsid w:val="7A1E34AC"/>
    <w:rsid w:val="7C0A2C05"/>
    <w:rsid w:val="7C51648A"/>
    <w:rsid w:val="7C5C650E"/>
    <w:rsid w:val="7CED360A"/>
    <w:rsid w:val="7D7333D9"/>
    <w:rsid w:val="7EB42631"/>
    <w:rsid w:val="7EF47ED5"/>
    <w:rsid w:val="7F9A68CC"/>
    <w:rsid w:val="7FA75C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73967EF"/>
  <w15:docId w15:val="{C7340100-A72C-45B7-9995-77E2478BE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qFormat="1"/>
    <w:lsdException w:name="toc 9" w:uiPriority="39" w:qFormat="1"/>
    <w:lsdException w:name="Normal Indent" w:uiPriority="0" w:qFormat="1"/>
    <w:lsdException w:name="footnote text" w:uiPriority="0" w:qFormat="1"/>
    <w:lsdException w:name="annotation text" w:unhideWhenUsed="1" w:qFormat="1"/>
    <w:lsdException w:name="header" w:qFormat="1"/>
    <w:lsdException w:name="footer" w:qFormat="1"/>
    <w:lsdException w:name="index heading" w:semiHidden="1" w:unhideWhenUsed="1"/>
    <w:lsdException w:name="caption" w:uiPriority="0" w:qFormat="1"/>
    <w:lsdException w:name="table of figures" w:uiPriority="0" w:qFormat="1"/>
    <w:lsdException w:name="envelope address" w:semiHidden="1" w:unhideWhenUsed="1"/>
    <w:lsdException w:name="envelope return" w:semiHidden="1" w:unhideWhenUsed="1"/>
    <w:lsdException w:name="footnote reference" w:uiPriority="0" w:qFormat="1"/>
    <w:lsdException w:name="annotation reference" w:unhideWhenUsed="1" w:qFormat="1"/>
    <w:lsdException w:name="line number" w:uiPriority="0" w:qFormat="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qFormat="1"/>
    <w:lsdException w:name="List Continue 2" w:qFormat="1"/>
    <w:lsdException w:name="List Continue 3" w:qFormat="1"/>
    <w:lsdException w:name="List Continue 4" w:qFormat="1"/>
    <w:lsdException w:name="List Continue 5" w:semiHidden="1" w:unhideWhenUsed="1"/>
    <w:lsdException w:name="Message Header" w:semiHidden="1" w:unhideWhenUsed="1"/>
    <w:lsdException w:name="Subtitle" w:uiPriority="11" w:qFormat="1"/>
    <w:lsdException w:name="Salutation" w:semiHidden="1" w:unhideWhenUsed="1"/>
    <w:lsdException w:name="Date"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uiPriority="0" w:qFormat="1"/>
    <w:lsdException w:name="HTML Address" w:uiPriority="0" w:qFormat="1"/>
    <w:lsdException w:name="HTML Cite" w:uiPriority="0" w:qFormat="1"/>
    <w:lsdException w:name="HTML Code" w:uiPriority="0" w:qFormat="1"/>
    <w:lsdException w:name="HTML Definition" w:uiPriority="0" w:qFormat="1"/>
    <w:lsdException w:name="HTML Keyboard" w:uiPriority="0" w:qFormat="1"/>
    <w:lsdException w:name="HTML Preformatted" w:uiPriority="0" w:qFormat="1"/>
    <w:lsdException w:name="HTML Sample" w:uiPriority="0" w:qFormat="1"/>
    <w:lsdException w:name="HTML Typewriter" w:uiPriority="0" w:qFormat="1"/>
    <w:lsdException w:name="HTML Variable" w:uiPriority="0" w:qFormat="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uiPriority="29" w:qFormat="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fff1">
    <w:name w:val="Normal"/>
    <w:qFormat/>
    <w:pPr>
      <w:widowControl w:val="0"/>
      <w:adjustRightInd w:val="0"/>
      <w:spacing w:line="400" w:lineRule="exact"/>
      <w:jc w:val="both"/>
    </w:pPr>
    <w:rPr>
      <w:rFonts w:ascii="Calibri" w:hAnsi="Calibri"/>
      <w:kern w:val="2"/>
      <w:sz w:val="21"/>
      <w:szCs w:val="21"/>
    </w:rPr>
  </w:style>
  <w:style w:type="paragraph" w:styleId="1">
    <w:name w:val="heading 1"/>
    <w:basedOn w:val="afff1"/>
    <w:next w:val="afff1"/>
    <w:link w:val="10"/>
    <w:qFormat/>
    <w:pPr>
      <w:keepNext/>
      <w:keepLines/>
      <w:spacing w:before="340" w:after="330" w:line="578" w:lineRule="auto"/>
      <w:outlineLvl w:val="0"/>
    </w:pPr>
    <w:rPr>
      <w:b/>
      <w:bCs/>
      <w:kern w:val="44"/>
      <w:sz w:val="44"/>
      <w:szCs w:val="44"/>
    </w:rPr>
  </w:style>
  <w:style w:type="paragraph" w:styleId="22">
    <w:name w:val="heading 2"/>
    <w:basedOn w:val="afff1"/>
    <w:next w:val="afff1"/>
    <w:link w:val="23"/>
    <w:qFormat/>
    <w:pPr>
      <w:keepNext/>
      <w:keepLines/>
      <w:spacing w:before="260" w:after="260" w:line="416" w:lineRule="auto"/>
      <w:outlineLvl w:val="1"/>
    </w:pPr>
    <w:rPr>
      <w:rFonts w:ascii="Arial" w:eastAsia="黑体" w:hAnsi="Arial"/>
      <w:b/>
      <w:bCs/>
      <w:sz w:val="32"/>
      <w:szCs w:val="32"/>
    </w:rPr>
  </w:style>
  <w:style w:type="paragraph" w:styleId="3">
    <w:name w:val="heading 3"/>
    <w:basedOn w:val="afff1"/>
    <w:next w:val="afff1"/>
    <w:link w:val="30"/>
    <w:qFormat/>
    <w:pPr>
      <w:keepNext/>
      <w:keepLines/>
      <w:spacing w:before="260" w:after="260" w:line="416" w:lineRule="auto"/>
      <w:outlineLvl w:val="2"/>
    </w:pPr>
    <w:rPr>
      <w:b/>
      <w:bCs/>
      <w:sz w:val="32"/>
      <w:szCs w:val="32"/>
    </w:rPr>
  </w:style>
  <w:style w:type="paragraph" w:styleId="4">
    <w:name w:val="heading 4"/>
    <w:basedOn w:val="afff1"/>
    <w:next w:val="afff1"/>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fff1"/>
    <w:next w:val="afff1"/>
    <w:link w:val="50"/>
    <w:qFormat/>
    <w:pPr>
      <w:keepNext/>
      <w:keepLines/>
      <w:adjustRightInd/>
      <w:spacing w:before="280" w:after="290" w:line="376" w:lineRule="auto"/>
      <w:outlineLvl w:val="4"/>
    </w:pPr>
    <w:rPr>
      <w:b/>
      <w:bCs/>
      <w:sz w:val="28"/>
      <w:szCs w:val="28"/>
    </w:rPr>
  </w:style>
  <w:style w:type="paragraph" w:styleId="6">
    <w:name w:val="heading 6"/>
    <w:basedOn w:val="afff1"/>
    <w:next w:val="afff1"/>
    <w:link w:val="60"/>
    <w:qFormat/>
    <w:pPr>
      <w:keepNext/>
      <w:keepLines/>
      <w:adjustRightInd/>
      <w:spacing w:before="240" w:after="64" w:line="320" w:lineRule="auto"/>
      <w:outlineLvl w:val="5"/>
    </w:pPr>
    <w:rPr>
      <w:rFonts w:ascii="Arial" w:eastAsia="黑体" w:hAnsi="Arial"/>
      <w:b/>
      <w:bCs/>
      <w:sz w:val="24"/>
      <w:szCs w:val="24"/>
    </w:rPr>
  </w:style>
  <w:style w:type="paragraph" w:styleId="7">
    <w:name w:val="heading 7"/>
    <w:basedOn w:val="afff1"/>
    <w:next w:val="afff1"/>
    <w:link w:val="70"/>
    <w:qFormat/>
    <w:pPr>
      <w:keepNext/>
      <w:keepLines/>
      <w:adjustRightInd/>
      <w:spacing w:before="240" w:after="64" w:line="320" w:lineRule="auto"/>
      <w:outlineLvl w:val="6"/>
    </w:pPr>
    <w:rPr>
      <w:b/>
      <w:bCs/>
      <w:sz w:val="24"/>
      <w:szCs w:val="24"/>
    </w:rPr>
  </w:style>
  <w:style w:type="paragraph" w:styleId="8">
    <w:name w:val="heading 8"/>
    <w:basedOn w:val="afff1"/>
    <w:next w:val="afff1"/>
    <w:link w:val="80"/>
    <w:qFormat/>
    <w:pPr>
      <w:keepNext/>
      <w:keepLines/>
      <w:adjustRightInd/>
      <w:spacing w:before="240" w:after="64" w:line="320" w:lineRule="auto"/>
      <w:outlineLvl w:val="7"/>
    </w:pPr>
    <w:rPr>
      <w:rFonts w:ascii="Arial" w:eastAsia="黑体" w:hAnsi="Arial"/>
      <w:sz w:val="24"/>
      <w:szCs w:val="24"/>
    </w:rPr>
  </w:style>
  <w:style w:type="paragraph" w:styleId="9">
    <w:name w:val="heading 9"/>
    <w:basedOn w:val="afff1"/>
    <w:next w:val="afff1"/>
    <w:link w:val="90"/>
    <w:qFormat/>
    <w:pPr>
      <w:keepNext/>
      <w:keepLines/>
      <w:adjustRightInd/>
      <w:spacing w:before="240" w:after="64" w:line="320" w:lineRule="auto"/>
      <w:outlineLvl w:val="8"/>
    </w:pPr>
    <w:rPr>
      <w:rFonts w:ascii="Arial" w:eastAsia="黑体" w:hAnsi="Arial"/>
    </w:rPr>
  </w:style>
  <w:style w:type="character" w:default="1" w:styleId="afff2">
    <w:name w:val="Default Paragraph Font"/>
    <w:uiPriority w:val="1"/>
    <w:semiHidden/>
    <w:unhideWhenUsed/>
  </w:style>
  <w:style w:type="table" w:default="1" w:styleId="afff3">
    <w:name w:val="Normal Table"/>
    <w:uiPriority w:val="99"/>
    <w:semiHidden/>
    <w:unhideWhenUsed/>
    <w:tblPr>
      <w:tblInd w:w="0" w:type="dxa"/>
      <w:tblCellMar>
        <w:top w:w="0" w:type="dxa"/>
        <w:left w:w="108" w:type="dxa"/>
        <w:bottom w:w="0" w:type="dxa"/>
        <w:right w:w="108" w:type="dxa"/>
      </w:tblCellMar>
    </w:tblPr>
  </w:style>
  <w:style w:type="numbering" w:default="1" w:styleId="afff4">
    <w:name w:val="No List"/>
    <w:uiPriority w:val="99"/>
    <w:semiHidden/>
    <w:unhideWhenUsed/>
  </w:style>
  <w:style w:type="paragraph" w:styleId="TOC7">
    <w:name w:val="toc 7"/>
    <w:basedOn w:val="afff1"/>
    <w:next w:val="afff1"/>
    <w:uiPriority w:val="39"/>
    <w:unhideWhenUsed/>
    <w:qFormat/>
    <w:pPr>
      <w:tabs>
        <w:tab w:val="right" w:leader="dot" w:pos="9344"/>
      </w:tabs>
      <w:spacing w:line="300" w:lineRule="exact"/>
      <w:ind w:left="1259"/>
    </w:pPr>
    <w:rPr>
      <w:rFonts w:ascii="宋体"/>
    </w:rPr>
  </w:style>
  <w:style w:type="paragraph" w:styleId="afff5">
    <w:name w:val="Normal Indent"/>
    <w:basedOn w:val="afff1"/>
    <w:qFormat/>
    <w:pPr>
      <w:ind w:firstLine="420"/>
    </w:pPr>
  </w:style>
  <w:style w:type="paragraph" w:styleId="afff6">
    <w:name w:val="caption"/>
    <w:basedOn w:val="afff1"/>
    <w:next w:val="afff1"/>
    <w:qFormat/>
    <w:pPr>
      <w:autoSpaceDE w:val="0"/>
      <w:autoSpaceDN w:val="0"/>
      <w:spacing w:line="240" w:lineRule="auto"/>
      <w:ind w:firstLineChars="200" w:firstLine="200"/>
      <w:jc w:val="left"/>
    </w:pPr>
    <w:rPr>
      <w:rFonts w:ascii="Arial" w:eastAsia="黑体" w:hAnsi="Arial"/>
      <w:kern w:val="0"/>
      <w:sz w:val="20"/>
      <w:szCs w:val="20"/>
    </w:rPr>
  </w:style>
  <w:style w:type="paragraph" w:styleId="afff7">
    <w:name w:val="Document Map"/>
    <w:basedOn w:val="afff1"/>
    <w:link w:val="afff8"/>
    <w:qFormat/>
    <w:pPr>
      <w:adjustRightInd/>
      <w:spacing w:line="240" w:lineRule="auto"/>
      <w:ind w:firstLineChars="200" w:firstLine="200"/>
    </w:pPr>
    <w:rPr>
      <w:rFonts w:ascii="宋体" w:hAnsi="Times New Roman"/>
      <w:sz w:val="18"/>
      <w:szCs w:val="18"/>
    </w:rPr>
  </w:style>
  <w:style w:type="paragraph" w:styleId="afff9">
    <w:name w:val="annotation text"/>
    <w:basedOn w:val="afff1"/>
    <w:link w:val="afffa"/>
    <w:uiPriority w:val="99"/>
    <w:unhideWhenUsed/>
    <w:qFormat/>
    <w:pPr>
      <w:jc w:val="left"/>
    </w:pPr>
  </w:style>
  <w:style w:type="paragraph" w:styleId="afffb">
    <w:name w:val="Body Text"/>
    <w:basedOn w:val="afff1"/>
    <w:link w:val="afffc"/>
    <w:qFormat/>
    <w:pPr>
      <w:spacing w:after="120"/>
    </w:pPr>
  </w:style>
  <w:style w:type="paragraph" w:styleId="afffd">
    <w:name w:val="Body Text Indent"/>
    <w:basedOn w:val="afff1"/>
    <w:link w:val="afffe"/>
    <w:qFormat/>
    <w:pPr>
      <w:spacing w:afterLines="100" w:after="240" w:line="360" w:lineRule="atLeast"/>
      <w:ind w:firstLineChars="200" w:firstLine="480"/>
      <w:jc w:val="left"/>
      <w:textAlignment w:val="baseline"/>
    </w:pPr>
    <w:rPr>
      <w:rFonts w:ascii="Times New Roman" w:hAnsi="Times New Roman"/>
      <w:kern w:val="0"/>
      <w:sz w:val="24"/>
      <w:szCs w:val="20"/>
    </w:rPr>
  </w:style>
  <w:style w:type="paragraph" w:styleId="affff">
    <w:name w:val="List Continue"/>
    <w:basedOn w:val="afff1"/>
    <w:uiPriority w:val="99"/>
    <w:qFormat/>
    <w:pPr>
      <w:widowControl/>
      <w:adjustRightInd/>
      <w:spacing w:after="240" w:line="230" w:lineRule="atLeast"/>
      <w:ind w:left="400" w:hanging="400"/>
    </w:pPr>
    <w:rPr>
      <w:rFonts w:ascii="Arial" w:eastAsia="MS Mincho" w:hAnsi="Arial"/>
      <w:kern w:val="0"/>
      <w:sz w:val="20"/>
      <w:szCs w:val="20"/>
      <w:lang w:val="en-GB" w:eastAsia="fr-FR"/>
    </w:rPr>
  </w:style>
  <w:style w:type="paragraph" w:styleId="HTML">
    <w:name w:val="HTML Address"/>
    <w:basedOn w:val="afff1"/>
    <w:link w:val="HTML0"/>
    <w:qFormat/>
    <w:pPr>
      <w:adjustRightInd/>
      <w:spacing w:line="240" w:lineRule="auto"/>
      <w:ind w:firstLineChars="200" w:firstLine="200"/>
    </w:pPr>
    <w:rPr>
      <w:rFonts w:ascii="Times New Roman" w:hAnsi="Times New Roman"/>
      <w:i/>
      <w:iCs/>
      <w:szCs w:val="24"/>
    </w:rPr>
  </w:style>
  <w:style w:type="paragraph" w:styleId="TOC5">
    <w:name w:val="toc 5"/>
    <w:basedOn w:val="afff1"/>
    <w:next w:val="afff1"/>
    <w:uiPriority w:val="39"/>
    <w:unhideWhenUsed/>
    <w:qFormat/>
    <w:pPr>
      <w:ind w:left="839"/>
    </w:pPr>
    <w:rPr>
      <w:rFonts w:ascii="宋体"/>
    </w:rPr>
  </w:style>
  <w:style w:type="paragraph" w:styleId="TOC3">
    <w:name w:val="toc 3"/>
    <w:basedOn w:val="afff1"/>
    <w:next w:val="afff1"/>
    <w:uiPriority w:val="39"/>
    <w:unhideWhenUsed/>
    <w:qFormat/>
    <w:pPr>
      <w:spacing w:line="300" w:lineRule="exact"/>
      <w:ind w:left="420"/>
    </w:pPr>
    <w:rPr>
      <w:rFonts w:ascii="宋体"/>
    </w:rPr>
  </w:style>
  <w:style w:type="paragraph" w:styleId="TOC8">
    <w:name w:val="toc 8"/>
    <w:basedOn w:val="TOC7"/>
    <w:next w:val="afff1"/>
    <w:uiPriority w:val="39"/>
    <w:qFormat/>
    <w:pPr>
      <w:widowControl/>
      <w:tabs>
        <w:tab w:val="clear" w:pos="9344"/>
      </w:tabs>
      <w:adjustRightInd/>
      <w:spacing w:line="240" w:lineRule="auto"/>
      <w:ind w:left="0"/>
    </w:pPr>
    <w:rPr>
      <w:rFonts w:hAnsi="Times New Roman"/>
      <w:kern w:val="0"/>
      <w:szCs w:val="20"/>
    </w:rPr>
  </w:style>
  <w:style w:type="paragraph" w:styleId="affff0">
    <w:name w:val="Date"/>
    <w:basedOn w:val="afff1"/>
    <w:next w:val="afff1"/>
    <w:link w:val="affff1"/>
    <w:uiPriority w:val="99"/>
    <w:unhideWhenUsed/>
    <w:qFormat/>
    <w:pPr>
      <w:adjustRightInd/>
      <w:spacing w:line="240" w:lineRule="auto"/>
      <w:ind w:leftChars="2500" w:left="100"/>
    </w:pPr>
    <w:rPr>
      <w:rFonts w:ascii="等线" w:eastAsia="等线" w:hAnsi="等线"/>
      <w:szCs w:val="22"/>
      <w:lang w:val="en-GB"/>
    </w:rPr>
  </w:style>
  <w:style w:type="paragraph" w:styleId="24">
    <w:name w:val="Body Text Indent 2"/>
    <w:basedOn w:val="afff1"/>
    <w:link w:val="25"/>
    <w:qFormat/>
    <w:pPr>
      <w:adjustRightInd/>
      <w:spacing w:after="120" w:line="480" w:lineRule="auto"/>
      <w:ind w:leftChars="200" w:left="420" w:firstLineChars="200" w:firstLine="200"/>
    </w:pPr>
    <w:rPr>
      <w:rFonts w:ascii="Times New Roman" w:hAnsi="Times New Roman"/>
      <w:szCs w:val="24"/>
    </w:rPr>
  </w:style>
  <w:style w:type="paragraph" w:styleId="affff2">
    <w:name w:val="Balloon Text"/>
    <w:basedOn w:val="afff1"/>
    <w:link w:val="affff3"/>
    <w:uiPriority w:val="99"/>
    <w:unhideWhenUsed/>
    <w:qFormat/>
    <w:rPr>
      <w:sz w:val="18"/>
      <w:szCs w:val="18"/>
    </w:rPr>
  </w:style>
  <w:style w:type="paragraph" w:styleId="affff4">
    <w:name w:val="footer"/>
    <w:basedOn w:val="afff1"/>
    <w:link w:val="affff5"/>
    <w:uiPriority w:val="99"/>
    <w:qFormat/>
    <w:pPr>
      <w:tabs>
        <w:tab w:val="center" w:pos="4153"/>
        <w:tab w:val="right" w:pos="8306"/>
      </w:tabs>
      <w:adjustRightInd/>
      <w:snapToGrid w:val="0"/>
      <w:spacing w:line="240" w:lineRule="auto"/>
      <w:jc w:val="right"/>
    </w:pPr>
    <w:rPr>
      <w:rFonts w:ascii="宋体"/>
      <w:sz w:val="18"/>
      <w:szCs w:val="18"/>
    </w:rPr>
  </w:style>
  <w:style w:type="paragraph" w:styleId="affff6">
    <w:name w:val="header"/>
    <w:basedOn w:val="afff1"/>
    <w:link w:val="affff7"/>
    <w:uiPriority w:val="99"/>
    <w:qFormat/>
    <w:pPr>
      <w:tabs>
        <w:tab w:val="center" w:pos="4153"/>
        <w:tab w:val="right" w:pos="8306"/>
      </w:tabs>
      <w:adjustRightInd/>
      <w:snapToGrid w:val="0"/>
      <w:jc w:val="center"/>
    </w:pPr>
    <w:rPr>
      <w:sz w:val="18"/>
      <w:szCs w:val="18"/>
    </w:rPr>
  </w:style>
  <w:style w:type="paragraph" w:styleId="TOC1">
    <w:name w:val="toc 1"/>
    <w:basedOn w:val="afff1"/>
    <w:next w:val="afff1"/>
    <w:uiPriority w:val="39"/>
    <w:unhideWhenUsed/>
    <w:qFormat/>
    <w:rPr>
      <w:rFonts w:ascii="宋体"/>
    </w:rPr>
  </w:style>
  <w:style w:type="paragraph" w:styleId="41">
    <w:name w:val="List Continue 4"/>
    <w:basedOn w:val="affff"/>
    <w:uiPriority w:val="99"/>
    <w:qFormat/>
    <w:pPr>
      <w:ind w:left="1600"/>
    </w:pPr>
  </w:style>
  <w:style w:type="paragraph" w:styleId="TOC4">
    <w:name w:val="toc 4"/>
    <w:basedOn w:val="afff1"/>
    <w:next w:val="afff1"/>
    <w:uiPriority w:val="39"/>
    <w:unhideWhenUsed/>
    <w:qFormat/>
    <w:pPr>
      <w:tabs>
        <w:tab w:val="right" w:leader="dot" w:pos="9344"/>
      </w:tabs>
      <w:spacing w:line="300" w:lineRule="exact"/>
      <w:ind w:left="629"/>
    </w:pPr>
    <w:rPr>
      <w:rFonts w:ascii="宋体"/>
    </w:rPr>
  </w:style>
  <w:style w:type="paragraph" w:styleId="affff8">
    <w:name w:val="footnote text"/>
    <w:basedOn w:val="afff1"/>
    <w:next w:val="afff1"/>
    <w:link w:val="affff9"/>
    <w:qFormat/>
    <w:pPr>
      <w:adjustRightInd/>
      <w:snapToGrid w:val="0"/>
      <w:spacing w:line="300" w:lineRule="exact"/>
      <w:ind w:leftChars="200" w:left="400" w:hangingChars="200" w:hanging="200"/>
      <w:jc w:val="left"/>
    </w:pPr>
    <w:rPr>
      <w:rFonts w:ascii="宋体"/>
      <w:sz w:val="18"/>
      <w:szCs w:val="18"/>
    </w:rPr>
  </w:style>
  <w:style w:type="paragraph" w:styleId="TOC6">
    <w:name w:val="toc 6"/>
    <w:basedOn w:val="afff1"/>
    <w:next w:val="afff1"/>
    <w:uiPriority w:val="39"/>
    <w:unhideWhenUsed/>
    <w:qFormat/>
    <w:pPr>
      <w:spacing w:line="300" w:lineRule="exact"/>
      <w:ind w:left="1049"/>
    </w:pPr>
    <w:rPr>
      <w:rFonts w:ascii="宋体"/>
    </w:rPr>
  </w:style>
  <w:style w:type="paragraph" w:styleId="31">
    <w:name w:val="Body Text Indent 3"/>
    <w:basedOn w:val="afff1"/>
    <w:link w:val="32"/>
    <w:qFormat/>
    <w:pPr>
      <w:adjustRightInd/>
      <w:spacing w:after="120" w:line="240" w:lineRule="auto"/>
      <w:ind w:leftChars="200" w:left="420" w:firstLineChars="200" w:firstLine="200"/>
    </w:pPr>
    <w:rPr>
      <w:rFonts w:ascii="Times New Roman" w:hAnsi="Times New Roman"/>
      <w:sz w:val="16"/>
      <w:szCs w:val="16"/>
    </w:rPr>
  </w:style>
  <w:style w:type="paragraph" w:styleId="affffa">
    <w:name w:val="table of figures"/>
    <w:basedOn w:val="afff1"/>
    <w:next w:val="afff1"/>
    <w:qFormat/>
    <w:pPr>
      <w:adjustRightInd/>
      <w:spacing w:line="240" w:lineRule="auto"/>
      <w:jc w:val="left"/>
    </w:pPr>
    <w:rPr>
      <w:szCs w:val="24"/>
    </w:rPr>
  </w:style>
  <w:style w:type="paragraph" w:styleId="TOC2">
    <w:name w:val="toc 2"/>
    <w:basedOn w:val="afff1"/>
    <w:next w:val="afff1"/>
    <w:uiPriority w:val="39"/>
    <w:unhideWhenUsed/>
    <w:qFormat/>
    <w:pPr>
      <w:tabs>
        <w:tab w:val="right" w:leader="dot" w:pos="9344"/>
      </w:tabs>
      <w:spacing w:line="300" w:lineRule="exact"/>
      <w:ind w:left="210"/>
    </w:pPr>
    <w:rPr>
      <w:rFonts w:ascii="宋体"/>
    </w:rPr>
  </w:style>
  <w:style w:type="paragraph" w:styleId="TOC9">
    <w:name w:val="toc 9"/>
    <w:basedOn w:val="TOC8"/>
    <w:next w:val="afff1"/>
    <w:uiPriority w:val="39"/>
    <w:qFormat/>
  </w:style>
  <w:style w:type="paragraph" w:styleId="26">
    <w:name w:val="List Continue 2"/>
    <w:basedOn w:val="affff"/>
    <w:uiPriority w:val="99"/>
    <w:qFormat/>
    <w:pPr>
      <w:ind w:left="800"/>
    </w:pPr>
  </w:style>
  <w:style w:type="paragraph" w:styleId="HTML1">
    <w:name w:val="HTML Preformatted"/>
    <w:basedOn w:val="afff1"/>
    <w:link w:val="HTML2"/>
    <w:qFormat/>
    <w:pPr>
      <w:adjustRightInd/>
      <w:spacing w:line="240" w:lineRule="auto"/>
      <w:ind w:firstLineChars="200" w:firstLine="200"/>
    </w:pPr>
    <w:rPr>
      <w:rFonts w:ascii="Courier New" w:hAnsi="Courier New" w:cs="Courier New"/>
      <w:sz w:val="20"/>
      <w:szCs w:val="20"/>
    </w:rPr>
  </w:style>
  <w:style w:type="paragraph" w:styleId="affffb">
    <w:name w:val="Normal (Web)"/>
    <w:basedOn w:val="afff1"/>
    <w:uiPriority w:val="99"/>
    <w:unhideWhenUsed/>
    <w:qFormat/>
    <w:pPr>
      <w:widowControl/>
      <w:spacing w:before="100" w:beforeAutospacing="1" w:after="100" w:afterAutospacing="1"/>
      <w:jc w:val="left"/>
    </w:pPr>
    <w:rPr>
      <w:rFonts w:ascii="宋体" w:hAnsi="宋体" w:cs="宋体"/>
      <w:kern w:val="0"/>
      <w:sz w:val="24"/>
    </w:rPr>
  </w:style>
  <w:style w:type="paragraph" w:styleId="33">
    <w:name w:val="List Continue 3"/>
    <w:basedOn w:val="affff"/>
    <w:uiPriority w:val="99"/>
    <w:qFormat/>
    <w:pPr>
      <w:ind w:left="1200"/>
    </w:pPr>
  </w:style>
  <w:style w:type="paragraph" w:styleId="affffc">
    <w:name w:val="Title"/>
    <w:basedOn w:val="afff1"/>
    <w:link w:val="affffd"/>
    <w:qFormat/>
    <w:pPr>
      <w:spacing w:before="240" w:after="60"/>
      <w:jc w:val="center"/>
      <w:outlineLvl w:val="0"/>
    </w:pPr>
    <w:rPr>
      <w:rFonts w:ascii="Arial" w:hAnsi="Arial" w:cs="Arial"/>
      <w:b/>
      <w:bCs/>
      <w:sz w:val="32"/>
      <w:szCs w:val="32"/>
    </w:rPr>
  </w:style>
  <w:style w:type="paragraph" w:styleId="affffe">
    <w:name w:val="annotation subject"/>
    <w:basedOn w:val="afff9"/>
    <w:next w:val="afff9"/>
    <w:link w:val="afffff"/>
    <w:uiPriority w:val="99"/>
    <w:unhideWhenUsed/>
    <w:qFormat/>
    <w:rPr>
      <w:b/>
      <w:bCs/>
    </w:rPr>
  </w:style>
  <w:style w:type="table" w:styleId="afffff0">
    <w:name w:val="Table Grid"/>
    <w:basedOn w:val="afff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1">
    <w:name w:val="Strong"/>
    <w:uiPriority w:val="22"/>
    <w:qFormat/>
    <w:rPr>
      <w:b/>
      <w:bCs/>
    </w:rPr>
  </w:style>
  <w:style w:type="character" w:styleId="afffff2">
    <w:name w:val="page number"/>
    <w:qFormat/>
    <w:rPr>
      <w:rFonts w:ascii="宋体" w:eastAsia="宋体" w:hAnsi="Times New Roman"/>
      <w:sz w:val="18"/>
    </w:rPr>
  </w:style>
  <w:style w:type="character" w:styleId="afffff3">
    <w:name w:val="FollowedHyperlink"/>
    <w:basedOn w:val="afff2"/>
    <w:uiPriority w:val="99"/>
    <w:semiHidden/>
    <w:unhideWhenUsed/>
    <w:qFormat/>
    <w:rPr>
      <w:color w:val="954F72" w:themeColor="followedHyperlink"/>
      <w:u w:val="single"/>
    </w:rPr>
  </w:style>
  <w:style w:type="character" w:styleId="afffff4">
    <w:name w:val="Emphasis"/>
    <w:uiPriority w:val="20"/>
    <w:qFormat/>
    <w:rPr>
      <w:i/>
      <w:iCs/>
    </w:rPr>
  </w:style>
  <w:style w:type="character" w:styleId="afffff5">
    <w:name w:val="line number"/>
    <w:basedOn w:val="afff2"/>
    <w:qFormat/>
  </w:style>
  <w:style w:type="character" w:styleId="HTML3">
    <w:name w:val="HTML Definition"/>
    <w:qFormat/>
    <w:rPr>
      <w:i/>
      <w:iCs/>
    </w:rPr>
  </w:style>
  <w:style w:type="character" w:styleId="HTML4">
    <w:name w:val="HTML Typewriter"/>
    <w:qFormat/>
    <w:rPr>
      <w:rFonts w:ascii="Courier New" w:hAnsi="Courier New"/>
      <w:sz w:val="20"/>
      <w:szCs w:val="20"/>
    </w:rPr>
  </w:style>
  <w:style w:type="character" w:styleId="HTML5">
    <w:name w:val="HTML Acronym"/>
    <w:basedOn w:val="afff2"/>
    <w:qFormat/>
  </w:style>
  <w:style w:type="character" w:styleId="HTML6">
    <w:name w:val="HTML Variable"/>
    <w:qFormat/>
    <w:rPr>
      <w:i/>
      <w:iCs/>
    </w:rPr>
  </w:style>
  <w:style w:type="character" w:styleId="afffff6">
    <w:name w:val="Hyperlink"/>
    <w:uiPriority w:val="99"/>
    <w:qFormat/>
    <w:rPr>
      <w:rFonts w:ascii="宋体" w:eastAsia="宋体" w:hAnsi="Times New Roman"/>
      <w:color w:val="auto"/>
      <w:spacing w:val="0"/>
      <w:w w:val="100"/>
      <w:position w:val="0"/>
      <w:sz w:val="21"/>
      <w:u w:val="none"/>
      <w:vertAlign w:val="baseline"/>
    </w:rPr>
  </w:style>
  <w:style w:type="character" w:styleId="HTML7">
    <w:name w:val="HTML Code"/>
    <w:qFormat/>
    <w:rPr>
      <w:rFonts w:ascii="Courier New" w:hAnsi="Courier New"/>
      <w:sz w:val="20"/>
      <w:szCs w:val="20"/>
    </w:rPr>
  </w:style>
  <w:style w:type="character" w:styleId="afffff7">
    <w:name w:val="annotation reference"/>
    <w:basedOn w:val="afff2"/>
    <w:uiPriority w:val="99"/>
    <w:unhideWhenUsed/>
    <w:qFormat/>
    <w:rPr>
      <w:sz w:val="21"/>
      <w:szCs w:val="21"/>
    </w:rPr>
  </w:style>
  <w:style w:type="character" w:styleId="HTML8">
    <w:name w:val="HTML Cite"/>
    <w:qFormat/>
    <w:rPr>
      <w:i/>
      <w:iCs/>
    </w:rPr>
  </w:style>
  <w:style w:type="character" w:styleId="afffff8">
    <w:name w:val="footnote reference"/>
    <w:qFormat/>
    <w:rPr>
      <w:rFonts w:ascii="宋体" w:eastAsia="宋体" w:hAnsi="宋体" w:cs="Times New Roman"/>
      <w:spacing w:val="0"/>
      <w:sz w:val="18"/>
      <w:vertAlign w:val="superscript"/>
    </w:rPr>
  </w:style>
  <w:style w:type="character" w:styleId="HTML9">
    <w:name w:val="HTML Keyboard"/>
    <w:qFormat/>
    <w:rPr>
      <w:rFonts w:ascii="Courier New" w:hAnsi="Courier New"/>
      <w:sz w:val="20"/>
      <w:szCs w:val="20"/>
    </w:rPr>
  </w:style>
  <w:style w:type="character" w:styleId="HTMLa">
    <w:name w:val="HTML Sample"/>
    <w:qFormat/>
    <w:rPr>
      <w:rFonts w:ascii="Courier New" w:hAnsi="Courier New"/>
    </w:rPr>
  </w:style>
  <w:style w:type="character" w:customStyle="1" w:styleId="30">
    <w:name w:val="标题 3 字符"/>
    <w:link w:val="3"/>
    <w:qFormat/>
    <w:rPr>
      <w:rFonts w:ascii="Times New Roman" w:eastAsia="宋体" w:hAnsi="Times New Roman" w:cs="Times New Roman"/>
      <w:b/>
      <w:bCs/>
      <w:sz w:val="32"/>
      <w:szCs w:val="32"/>
    </w:rPr>
  </w:style>
  <w:style w:type="character" w:customStyle="1" w:styleId="23">
    <w:name w:val="标题 2 字符"/>
    <w:link w:val="22"/>
    <w:qFormat/>
    <w:rPr>
      <w:rFonts w:ascii="Arial" w:eastAsia="黑体" w:hAnsi="Arial" w:cs="Times New Roman"/>
      <w:b/>
      <w:bCs/>
      <w:sz w:val="32"/>
      <w:szCs w:val="32"/>
    </w:rPr>
  </w:style>
  <w:style w:type="character" w:customStyle="1" w:styleId="10">
    <w:name w:val="标题 1 字符"/>
    <w:link w:val="1"/>
    <w:qFormat/>
    <w:rPr>
      <w:rFonts w:ascii="Times New Roman" w:eastAsia="宋体" w:hAnsi="Times New Roman" w:cs="Times New Roman"/>
      <w:b/>
      <w:bCs/>
      <w:kern w:val="44"/>
      <w:sz w:val="44"/>
      <w:szCs w:val="44"/>
    </w:rPr>
  </w:style>
  <w:style w:type="character" w:customStyle="1" w:styleId="40">
    <w:name w:val="标题 4 字符"/>
    <w:link w:val="4"/>
    <w:qFormat/>
    <w:rPr>
      <w:rFonts w:ascii="Arial" w:eastAsia="黑体" w:hAnsi="Arial" w:cs="Times New Roman"/>
      <w:b/>
      <w:bCs/>
      <w:sz w:val="28"/>
      <w:szCs w:val="28"/>
    </w:rPr>
  </w:style>
  <w:style w:type="character" w:customStyle="1" w:styleId="50">
    <w:name w:val="标题 5 字符"/>
    <w:link w:val="5"/>
    <w:qFormat/>
    <w:rPr>
      <w:rFonts w:ascii="Times New Roman" w:eastAsia="宋体" w:hAnsi="Times New Roman" w:cs="Times New Roman"/>
      <w:b/>
      <w:bCs/>
      <w:sz w:val="28"/>
      <w:szCs w:val="28"/>
    </w:rPr>
  </w:style>
  <w:style w:type="character" w:customStyle="1" w:styleId="60">
    <w:name w:val="标题 6 字符"/>
    <w:link w:val="6"/>
    <w:qFormat/>
    <w:rPr>
      <w:rFonts w:ascii="Arial" w:eastAsia="黑体" w:hAnsi="Arial" w:cs="Times New Roman"/>
      <w:b/>
      <w:bCs/>
      <w:sz w:val="24"/>
      <w:szCs w:val="24"/>
    </w:rPr>
  </w:style>
  <w:style w:type="character" w:customStyle="1" w:styleId="70">
    <w:name w:val="标题 7 字符"/>
    <w:link w:val="7"/>
    <w:qFormat/>
    <w:rPr>
      <w:rFonts w:ascii="Times New Roman" w:eastAsia="宋体" w:hAnsi="Times New Roman" w:cs="Times New Roman"/>
      <w:b/>
      <w:bCs/>
      <w:sz w:val="24"/>
      <w:szCs w:val="24"/>
    </w:rPr>
  </w:style>
  <w:style w:type="character" w:customStyle="1" w:styleId="80">
    <w:name w:val="标题 8 字符"/>
    <w:link w:val="8"/>
    <w:qFormat/>
    <w:rPr>
      <w:rFonts w:ascii="Arial" w:eastAsia="黑体" w:hAnsi="Arial" w:cs="Times New Roman"/>
      <w:sz w:val="24"/>
      <w:szCs w:val="24"/>
    </w:rPr>
  </w:style>
  <w:style w:type="character" w:customStyle="1" w:styleId="90">
    <w:name w:val="标题 9 字符"/>
    <w:link w:val="9"/>
    <w:qFormat/>
    <w:rPr>
      <w:rFonts w:ascii="Arial" w:eastAsia="黑体" w:hAnsi="Arial" w:cs="Times New Roman"/>
      <w:szCs w:val="21"/>
    </w:rPr>
  </w:style>
  <w:style w:type="character" w:customStyle="1" w:styleId="affff7">
    <w:name w:val="页眉 字符"/>
    <w:link w:val="affff6"/>
    <w:uiPriority w:val="99"/>
    <w:qFormat/>
    <w:rPr>
      <w:rFonts w:ascii="Times New Roman" w:eastAsia="宋体" w:hAnsi="Times New Roman" w:cs="Times New Roman"/>
      <w:sz w:val="18"/>
      <w:szCs w:val="18"/>
    </w:rPr>
  </w:style>
  <w:style w:type="character" w:customStyle="1" w:styleId="affff5">
    <w:name w:val="页脚 字符"/>
    <w:link w:val="affff4"/>
    <w:uiPriority w:val="99"/>
    <w:qFormat/>
    <w:rPr>
      <w:rFonts w:ascii="宋体" w:eastAsia="宋体" w:hAnsi="Times New Roman" w:cs="Times New Roman"/>
      <w:sz w:val="18"/>
      <w:szCs w:val="18"/>
    </w:rPr>
  </w:style>
  <w:style w:type="character" w:customStyle="1" w:styleId="affff3">
    <w:name w:val="批注框文本 字符"/>
    <w:link w:val="affff2"/>
    <w:uiPriority w:val="99"/>
    <w:qFormat/>
    <w:rPr>
      <w:sz w:val="18"/>
      <w:szCs w:val="18"/>
    </w:rPr>
  </w:style>
  <w:style w:type="paragraph" w:styleId="afffff9">
    <w:name w:val="Quote"/>
    <w:basedOn w:val="afff1"/>
    <w:next w:val="afff1"/>
    <w:link w:val="afffffa"/>
    <w:uiPriority w:val="29"/>
    <w:qFormat/>
    <w:rPr>
      <w:i/>
      <w:iCs/>
      <w:color w:val="000000"/>
    </w:rPr>
  </w:style>
  <w:style w:type="character" w:customStyle="1" w:styleId="afffffa">
    <w:name w:val="引用 字符"/>
    <w:link w:val="afffff9"/>
    <w:uiPriority w:val="29"/>
    <w:qFormat/>
    <w:rPr>
      <w:i/>
      <w:iCs/>
      <w:color w:val="000000"/>
    </w:rPr>
  </w:style>
  <w:style w:type="character" w:customStyle="1" w:styleId="affffd">
    <w:name w:val="标题 字符"/>
    <w:link w:val="affffc"/>
    <w:qFormat/>
    <w:rPr>
      <w:rFonts w:ascii="Arial" w:eastAsia="宋体" w:hAnsi="Arial" w:cs="Arial"/>
      <w:b/>
      <w:bCs/>
      <w:sz w:val="32"/>
      <w:szCs w:val="32"/>
    </w:rPr>
  </w:style>
  <w:style w:type="paragraph" w:customStyle="1" w:styleId="afffffb">
    <w:name w:val="标准标志"/>
    <w:next w:val="afff1"/>
    <w:qFormat/>
    <w:pPr>
      <w:framePr w:w="2268" w:h="1392" w:hRule="exact" w:wrap="around" w:hAnchor="margin" w:x="6748" w:y="171" w:anchorLock="1"/>
      <w:shd w:val="solid" w:color="FFFFFF" w:fill="FFFFFF"/>
      <w:spacing w:line="0" w:lineRule="atLeast"/>
      <w:jc w:val="right"/>
    </w:pPr>
    <w:rPr>
      <w:b/>
      <w:w w:val="130"/>
      <w:sz w:val="96"/>
    </w:rPr>
  </w:style>
  <w:style w:type="paragraph" w:customStyle="1" w:styleId="afffffc">
    <w:name w:val="标准称谓"/>
    <w:next w:val="afff1"/>
    <w:qFormat/>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b/>
      <w:bCs/>
      <w:w w:val="148"/>
      <w:sz w:val="52"/>
    </w:rPr>
  </w:style>
  <w:style w:type="paragraph" w:customStyle="1" w:styleId="afffffd">
    <w:name w:val="标准文件_页脚偶数页"/>
    <w:qFormat/>
    <w:pPr>
      <w:ind w:left="198"/>
    </w:pPr>
    <w:rPr>
      <w:rFonts w:ascii="宋体"/>
      <w:sz w:val="18"/>
    </w:rPr>
  </w:style>
  <w:style w:type="paragraph" w:customStyle="1" w:styleId="afffffe">
    <w:name w:val="标准文件_页脚奇数页"/>
    <w:qFormat/>
    <w:pPr>
      <w:ind w:right="227"/>
      <w:jc w:val="right"/>
    </w:pPr>
    <w:rPr>
      <w:rFonts w:ascii="宋体"/>
      <w:sz w:val="18"/>
    </w:rPr>
  </w:style>
  <w:style w:type="paragraph" w:customStyle="1" w:styleId="affffff">
    <w:name w:val="标准书眉一"/>
    <w:qFormat/>
    <w:pPr>
      <w:jc w:val="both"/>
    </w:pPr>
  </w:style>
  <w:style w:type="paragraph" w:customStyle="1" w:styleId="ICS">
    <w:name w:val="标准文件_ICS"/>
    <w:basedOn w:val="afff1"/>
    <w:qFormat/>
    <w:pPr>
      <w:spacing w:line="0" w:lineRule="atLeast"/>
    </w:pPr>
    <w:rPr>
      <w:rFonts w:ascii="黑体" w:eastAsia="黑体" w:hAnsi="宋体"/>
    </w:rPr>
  </w:style>
  <w:style w:type="paragraph" w:customStyle="1" w:styleId="affffff0">
    <w:name w:val="标准文件_标准正文"/>
    <w:basedOn w:val="afff1"/>
    <w:next w:val="affffff1"/>
    <w:qFormat/>
    <w:pPr>
      <w:snapToGrid w:val="0"/>
      <w:ind w:firstLineChars="200" w:firstLine="200"/>
    </w:pPr>
    <w:rPr>
      <w:kern w:val="0"/>
    </w:rPr>
  </w:style>
  <w:style w:type="paragraph" w:customStyle="1" w:styleId="affffff1">
    <w:name w:val="标准文件_段"/>
    <w:link w:val="Char"/>
    <w:qFormat/>
    <w:pPr>
      <w:autoSpaceDE w:val="0"/>
      <w:autoSpaceDN w:val="0"/>
      <w:ind w:firstLineChars="200" w:firstLine="200"/>
      <w:jc w:val="both"/>
    </w:pPr>
    <w:rPr>
      <w:rFonts w:ascii="宋体"/>
      <w:sz w:val="21"/>
    </w:rPr>
  </w:style>
  <w:style w:type="paragraph" w:customStyle="1" w:styleId="affffff2">
    <w:name w:val="标准文件_版本"/>
    <w:basedOn w:val="affffff0"/>
    <w:qFormat/>
    <w:pPr>
      <w:adjustRightInd/>
      <w:snapToGrid/>
      <w:ind w:firstLineChars="0" w:firstLine="0"/>
    </w:pPr>
    <w:rPr>
      <w:rFonts w:ascii="宋体" w:hAnsi="宋体"/>
      <w:kern w:val="2"/>
    </w:rPr>
  </w:style>
  <w:style w:type="paragraph" w:customStyle="1" w:styleId="affffff3">
    <w:name w:val="标准文件_标准部门"/>
    <w:basedOn w:val="afff1"/>
    <w:qFormat/>
    <w:pPr>
      <w:jc w:val="center"/>
    </w:pPr>
    <w:rPr>
      <w:rFonts w:ascii="黑体" w:eastAsia="黑体"/>
      <w:kern w:val="0"/>
      <w:sz w:val="44"/>
    </w:rPr>
  </w:style>
  <w:style w:type="paragraph" w:customStyle="1" w:styleId="affffff4">
    <w:name w:val="标准文件_标准代替"/>
    <w:basedOn w:val="afff1"/>
    <w:next w:val="afff1"/>
    <w:qFormat/>
    <w:pPr>
      <w:spacing w:line="310" w:lineRule="exact"/>
      <w:jc w:val="right"/>
    </w:pPr>
    <w:rPr>
      <w:rFonts w:ascii="宋体" w:hAnsi="宋体"/>
      <w:kern w:val="0"/>
    </w:rPr>
  </w:style>
  <w:style w:type="paragraph" w:customStyle="1" w:styleId="affffff5">
    <w:name w:val="标准文件_标准名称标题"/>
    <w:basedOn w:val="afff1"/>
    <w:next w:val="afff1"/>
    <w:qFormat/>
    <w:pPr>
      <w:widowControl/>
      <w:shd w:val="clear" w:color="FFFFFF" w:fill="FFFFFF"/>
      <w:adjustRightInd/>
      <w:spacing w:before="640" w:after="100"/>
      <w:jc w:val="center"/>
    </w:pPr>
    <w:rPr>
      <w:rFonts w:ascii="黑体" w:eastAsia="黑体"/>
      <w:kern w:val="0"/>
      <w:sz w:val="32"/>
    </w:rPr>
  </w:style>
  <w:style w:type="paragraph" w:customStyle="1" w:styleId="affffff6">
    <w:name w:val="标准文件_页眉奇数页"/>
    <w:next w:val="afff1"/>
    <w:qFormat/>
    <w:pPr>
      <w:tabs>
        <w:tab w:val="center" w:pos="4154"/>
        <w:tab w:val="right" w:pos="8306"/>
      </w:tabs>
      <w:spacing w:after="120"/>
      <w:jc w:val="right"/>
    </w:pPr>
    <w:rPr>
      <w:rFonts w:ascii="黑体" w:eastAsia="黑体" w:hAnsi="宋体"/>
      <w:sz w:val="21"/>
    </w:rPr>
  </w:style>
  <w:style w:type="paragraph" w:customStyle="1" w:styleId="affffff7">
    <w:name w:val="标准文件_页眉偶数页"/>
    <w:basedOn w:val="affffff6"/>
    <w:next w:val="afff1"/>
    <w:qFormat/>
    <w:pPr>
      <w:jc w:val="left"/>
    </w:pPr>
  </w:style>
  <w:style w:type="paragraph" w:customStyle="1" w:styleId="affffff8">
    <w:name w:val="标准文件_参考文献标题"/>
    <w:basedOn w:val="afff1"/>
    <w:next w:val="afff1"/>
    <w:qFormat/>
    <w:pPr>
      <w:widowControl/>
      <w:shd w:val="clear" w:color="FFFFFF" w:fill="FFFFFF"/>
      <w:adjustRightInd/>
      <w:spacing w:beforeLines="40" w:before="40" w:afterLines="50" w:after="50" w:line="240" w:lineRule="auto"/>
      <w:jc w:val="center"/>
      <w:outlineLvl w:val="0"/>
    </w:pPr>
    <w:rPr>
      <w:rFonts w:ascii="黑体" w:eastAsia="黑体"/>
      <w:kern w:val="0"/>
    </w:rPr>
  </w:style>
  <w:style w:type="paragraph" w:customStyle="1" w:styleId="a">
    <w:name w:val="标准文件_参考文献条目"/>
    <w:qFormat/>
    <w:pPr>
      <w:numPr>
        <w:numId w:val="1"/>
      </w:numPr>
    </w:pPr>
    <w:rPr>
      <w:rFonts w:ascii="宋体"/>
    </w:rPr>
  </w:style>
  <w:style w:type="paragraph" w:customStyle="1" w:styleId="affb">
    <w:name w:val="标准文件_二级条标题"/>
    <w:next w:val="affffff1"/>
    <w:qFormat/>
    <w:pPr>
      <w:widowControl w:val="0"/>
      <w:numPr>
        <w:ilvl w:val="3"/>
        <w:numId w:val="2"/>
      </w:numPr>
      <w:spacing w:beforeLines="50" w:before="50" w:afterLines="50" w:after="50"/>
      <w:jc w:val="both"/>
      <w:outlineLvl w:val="2"/>
    </w:pPr>
    <w:rPr>
      <w:rFonts w:ascii="黑体" w:eastAsia="黑体"/>
      <w:sz w:val="21"/>
    </w:rPr>
  </w:style>
  <w:style w:type="character" w:customStyle="1" w:styleId="affffff9">
    <w:name w:val="标准文件_发布"/>
    <w:qFormat/>
    <w:rPr>
      <w:rFonts w:ascii="黑体" w:eastAsia="黑体"/>
      <w:spacing w:val="0"/>
      <w:w w:val="100"/>
      <w:position w:val="3"/>
      <w:sz w:val="28"/>
    </w:rPr>
  </w:style>
  <w:style w:type="paragraph" w:customStyle="1" w:styleId="aa">
    <w:name w:val="标准文件_方框数字列项"/>
    <w:basedOn w:val="affffff1"/>
    <w:qFormat/>
    <w:pPr>
      <w:numPr>
        <w:numId w:val="3"/>
      </w:numPr>
      <w:ind w:firstLineChars="0" w:firstLine="0"/>
    </w:pPr>
  </w:style>
  <w:style w:type="paragraph" w:customStyle="1" w:styleId="affffffa">
    <w:name w:val="标准文件_封面标准编号"/>
    <w:basedOn w:val="afff1"/>
    <w:next w:val="affffff4"/>
    <w:qFormat/>
    <w:pPr>
      <w:spacing w:line="310" w:lineRule="exact"/>
      <w:jc w:val="right"/>
    </w:pPr>
    <w:rPr>
      <w:rFonts w:ascii="黑体" w:eastAsia="黑体"/>
      <w:kern w:val="0"/>
      <w:sz w:val="28"/>
    </w:rPr>
  </w:style>
  <w:style w:type="paragraph" w:customStyle="1" w:styleId="affffffb">
    <w:name w:val="标准文件_封面标准分类号"/>
    <w:basedOn w:val="afff1"/>
    <w:qFormat/>
    <w:rPr>
      <w:rFonts w:ascii="黑体" w:eastAsia="黑体"/>
      <w:b/>
      <w:kern w:val="0"/>
      <w:sz w:val="28"/>
    </w:rPr>
  </w:style>
  <w:style w:type="paragraph" w:customStyle="1" w:styleId="affffffc">
    <w:name w:val="标准文件_封面标准名称"/>
    <w:basedOn w:val="afff1"/>
    <w:qFormat/>
    <w:pPr>
      <w:spacing w:line="240" w:lineRule="auto"/>
      <w:jc w:val="center"/>
    </w:pPr>
    <w:rPr>
      <w:rFonts w:ascii="黑体" w:eastAsia="黑体"/>
      <w:kern w:val="0"/>
      <w:sz w:val="52"/>
    </w:rPr>
  </w:style>
  <w:style w:type="paragraph" w:customStyle="1" w:styleId="affffffd">
    <w:name w:val="标准文件_封面标准英文名称"/>
    <w:basedOn w:val="afff1"/>
    <w:qFormat/>
    <w:pPr>
      <w:spacing w:line="240" w:lineRule="auto"/>
      <w:jc w:val="center"/>
    </w:pPr>
    <w:rPr>
      <w:rFonts w:ascii="黑体" w:eastAsia="黑体"/>
      <w:b/>
      <w:sz w:val="28"/>
    </w:rPr>
  </w:style>
  <w:style w:type="paragraph" w:customStyle="1" w:styleId="affffffe">
    <w:name w:val="标准文件_封面发布日期"/>
    <w:basedOn w:val="afff1"/>
    <w:qFormat/>
    <w:pPr>
      <w:spacing w:line="310" w:lineRule="exact"/>
    </w:pPr>
    <w:rPr>
      <w:rFonts w:ascii="黑体" w:eastAsia="黑体"/>
      <w:kern w:val="0"/>
      <w:sz w:val="28"/>
    </w:rPr>
  </w:style>
  <w:style w:type="paragraph" w:customStyle="1" w:styleId="afffffff">
    <w:name w:val="标准文件_封面密级"/>
    <w:basedOn w:val="afff1"/>
    <w:qFormat/>
    <w:rPr>
      <w:rFonts w:eastAsia="黑体"/>
      <w:sz w:val="32"/>
    </w:rPr>
  </w:style>
  <w:style w:type="paragraph" w:customStyle="1" w:styleId="afffffff0">
    <w:name w:val="标准文件_封面实施日期"/>
    <w:basedOn w:val="afff1"/>
    <w:qFormat/>
    <w:pPr>
      <w:spacing w:line="310" w:lineRule="exact"/>
      <w:jc w:val="right"/>
    </w:pPr>
    <w:rPr>
      <w:rFonts w:ascii="黑体" w:eastAsia="黑体"/>
      <w:sz w:val="28"/>
    </w:rPr>
  </w:style>
  <w:style w:type="paragraph" w:customStyle="1" w:styleId="afffffff1">
    <w:name w:val="标准文件_封面抬头"/>
    <w:basedOn w:val="affffff1"/>
    <w:qFormat/>
    <w:pPr>
      <w:adjustRightInd w:val="0"/>
      <w:spacing w:line="800" w:lineRule="exact"/>
      <w:ind w:firstLineChars="0" w:firstLine="0"/>
      <w:jc w:val="distribute"/>
    </w:pPr>
    <w:rPr>
      <w:rFonts w:ascii="黑体" w:eastAsia="黑体"/>
      <w:b/>
      <w:sz w:val="64"/>
    </w:rPr>
  </w:style>
  <w:style w:type="paragraph" w:customStyle="1" w:styleId="afffffff2">
    <w:name w:val="标准文件_附录标识"/>
    <w:next w:val="affffff1"/>
    <w:qFormat/>
    <w:pPr>
      <w:shd w:val="clear" w:color="FFFFFF" w:fill="FFFFFF"/>
      <w:tabs>
        <w:tab w:val="left" w:pos="6406"/>
      </w:tabs>
      <w:spacing w:beforeLines="25" w:before="25" w:afterLines="50" w:after="50"/>
      <w:jc w:val="center"/>
      <w:outlineLvl w:val="0"/>
    </w:pPr>
    <w:rPr>
      <w:rFonts w:ascii="黑体" w:eastAsia="黑体"/>
      <w:sz w:val="21"/>
    </w:rPr>
  </w:style>
  <w:style w:type="paragraph" w:customStyle="1" w:styleId="afb">
    <w:name w:val="标准文件_附录表标题"/>
    <w:next w:val="affffff1"/>
    <w:qFormat/>
    <w:pPr>
      <w:numPr>
        <w:ilvl w:val="1"/>
        <w:numId w:val="4"/>
      </w:numPr>
      <w:adjustRightInd w:val="0"/>
      <w:snapToGrid w:val="0"/>
      <w:spacing w:beforeLines="50" w:before="50" w:afterLines="50" w:after="50"/>
      <w:ind w:firstLine="420"/>
      <w:jc w:val="center"/>
      <w:textAlignment w:val="baseline"/>
    </w:pPr>
    <w:rPr>
      <w:rFonts w:ascii="黑体" w:eastAsia="黑体"/>
      <w:kern w:val="21"/>
      <w:sz w:val="21"/>
    </w:rPr>
  </w:style>
  <w:style w:type="paragraph" w:customStyle="1" w:styleId="aff3">
    <w:name w:val="标准文件_附录一级条标题"/>
    <w:next w:val="affffff1"/>
    <w:qFormat/>
    <w:pPr>
      <w:widowControl w:val="0"/>
      <w:numPr>
        <w:ilvl w:val="1"/>
        <w:numId w:val="5"/>
      </w:numPr>
      <w:spacing w:beforeLines="50" w:before="50" w:afterLines="50" w:after="50"/>
      <w:jc w:val="both"/>
      <w:outlineLvl w:val="2"/>
    </w:pPr>
    <w:rPr>
      <w:rFonts w:ascii="黑体" w:eastAsia="黑体"/>
      <w:kern w:val="21"/>
      <w:sz w:val="21"/>
    </w:rPr>
  </w:style>
  <w:style w:type="paragraph" w:customStyle="1" w:styleId="afffffff3">
    <w:name w:val="标准文件_附录二级条标题"/>
    <w:basedOn w:val="aff3"/>
    <w:next w:val="affffff1"/>
    <w:qFormat/>
    <w:pPr>
      <w:widowControl/>
      <w:numPr>
        <w:ilvl w:val="0"/>
        <w:numId w:val="0"/>
      </w:numPr>
      <w:wordWrap w:val="0"/>
      <w:overflowPunct w:val="0"/>
      <w:autoSpaceDE w:val="0"/>
      <w:autoSpaceDN w:val="0"/>
      <w:textAlignment w:val="baseline"/>
      <w:outlineLvl w:val="3"/>
    </w:pPr>
  </w:style>
  <w:style w:type="paragraph" w:customStyle="1" w:styleId="afffffff4">
    <w:name w:val="标准文件_附录公式"/>
    <w:basedOn w:val="affffff0"/>
    <w:next w:val="affffff0"/>
    <w:qFormat/>
    <w:pPr>
      <w:tabs>
        <w:tab w:val="center" w:pos="4678"/>
        <w:tab w:val="right" w:leader="middleDot" w:pos="9356"/>
      </w:tabs>
      <w:spacing w:line="240" w:lineRule="auto"/>
      <w:ind w:right="-51" w:firstLineChars="0" w:firstLine="0"/>
    </w:pPr>
    <w:rPr>
      <w:rFonts w:ascii="宋体" w:hAnsi="宋体"/>
    </w:rPr>
  </w:style>
  <w:style w:type="paragraph" w:customStyle="1" w:styleId="aff4">
    <w:name w:val="标准文件_附录三级条标题"/>
    <w:next w:val="affffff1"/>
    <w:qFormat/>
    <w:pPr>
      <w:widowControl w:val="0"/>
      <w:numPr>
        <w:ilvl w:val="3"/>
        <w:numId w:val="5"/>
      </w:numPr>
      <w:spacing w:beforeLines="50" w:before="50" w:afterLines="50" w:after="50"/>
      <w:jc w:val="both"/>
      <w:outlineLvl w:val="4"/>
    </w:pPr>
    <w:rPr>
      <w:rFonts w:ascii="黑体" w:eastAsia="黑体"/>
      <w:kern w:val="21"/>
      <w:sz w:val="21"/>
    </w:rPr>
  </w:style>
  <w:style w:type="paragraph" w:customStyle="1" w:styleId="afffffff5">
    <w:name w:val="标准文件_附录四级条标题"/>
    <w:next w:val="affffff1"/>
    <w:qFormat/>
    <w:pPr>
      <w:widowControl w:val="0"/>
      <w:spacing w:beforeLines="50" w:before="50" w:afterLines="50" w:after="50"/>
      <w:jc w:val="both"/>
      <w:outlineLvl w:val="5"/>
    </w:pPr>
    <w:rPr>
      <w:rFonts w:ascii="黑体" w:eastAsia="黑体"/>
      <w:kern w:val="21"/>
      <w:sz w:val="21"/>
    </w:rPr>
  </w:style>
  <w:style w:type="paragraph" w:customStyle="1" w:styleId="af5">
    <w:name w:val="标准文件_附录图标题"/>
    <w:next w:val="affffff1"/>
    <w:qFormat/>
    <w:pPr>
      <w:numPr>
        <w:ilvl w:val="1"/>
        <w:numId w:val="6"/>
      </w:numPr>
      <w:adjustRightInd w:val="0"/>
      <w:snapToGrid w:val="0"/>
      <w:spacing w:beforeLines="50" w:before="50" w:afterLines="50" w:after="50"/>
      <w:ind w:firstLine="420"/>
      <w:jc w:val="center"/>
    </w:pPr>
    <w:rPr>
      <w:rFonts w:ascii="黑体" w:eastAsia="黑体"/>
      <w:sz w:val="21"/>
    </w:rPr>
  </w:style>
  <w:style w:type="paragraph" w:customStyle="1" w:styleId="aff5">
    <w:name w:val="标准文件_附录五级条标题"/>
    <w:next w:val="affffff1"/>
    <w:qFormat/>
    <w:pPr>
      <w:widowControl w:val="0"/>
      <w:numPr>
        <w:ilvl w:val="5"/>
        <w:numId w:val="5"/>
      </w:numPr>
      <w:spacing w:beforeLines="50" w:before="50" w:afterLines="50" w:after="50"/>
      <w:jc w:val="both"/>
      <w:outlineLvl w:val="6"/>
    </w:pPr>
    <w:rPr>
      <w:rFonts w:ascii="黑体" w:eastAsia="黑体"/>
      <w:kern w:val="21"/>
      <w:sz w:val="21"/>
    </w:rPr>
  </w:style>
  <w:style w:type="paragraph" w:customStyle="1" w:styleId="ad">
    <w:name w:val="标准文件_附录英文标识"/>
    <w:next w:val="afffb"/>
    <w:qFormat/>
    <w:pPr>
      <w:numPr>
        <w:numId w:val="7"/>
      </w:numPr>
      <w:tabs>
        <w:tab w:val="left" w:pos="6406"/>
      </w:tabs>
      <w:spacing w:before="220" w:after="320"/>
      <w:jc w:val="center"/>
      <w:outlineLvl w:val="0"/>
    </w:pPr>
    <w:rPr>
      <w:rFonts w:ascii="黑体" w:eastAsia="黑体"/>
      <w:sz w:val="21"/>
    </w:rPr>
  </w:style>
  <w:style w:type="character" w:customStyle="1" w:styleId="afffc">
    <w:name w:val="正文文本 字符"/>
    <w:link w:val="afffb"/>
    <w:qFormat/>
    <w:rPr>
      <w:rFonts w:ascii="Times New Roman" w:eastAsia="宋体" w:hAnsi="Times New Roman" w:cs="Times New Roman"/>
      <w:szCs w:val="20"/>
    </w:rPr>
  </w:style>
  <w:style w:type="paragraph" w:customStyle="1" w:styleId="afffffff6">
    <w:name w:val="标准文件_附录章标题"/>
    <w:next w:val="affffff1"/>
    <w:qFormat/>
    <w:p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ffffff7">
    <w:name w:val="标准文件_公式后的破折号"/>
    <w:basedOn w:val="affffff1"/>
    <w:next w:val="affffff1"/>
    <w:qFormat/>
    <w:pPr>
      <w:ind w:leftChars="200" w:left="488" w:hangingChars="290" w:hanging="289"/>
    </w:pPr>
  </w:style>
  <w:style w:type="paragraph" w:customStyle="1" w:styleId="a6">
    <w:name w:val="标准文件_前言、引言标题"/>
    <w:next w:val="afff1"/>
    <w:qFormat/>
    <w:pPr>
      <w:numPr>
        <w:numId w:val="8"/>
      </w:numPr>
      <w:shd w:val="clear" w:color="FFFFFF" w:fill="FFFFFF"/>
      <w:spacing w:afterLines="150" w:after="150"/>
      <w:ind w:left="0" w:firstLine="0"/>
      <w:jc w:val="center"/>
      <w:outlineLvl w:val="0"/>
    </w:pPr>
    <w:rPr>
      <w:rFonts w:ascii="黑体" w:eastAsia="黑体"/>
      <w:sz w:val="32"/>
    </w:rPr>
  </w:style>
  <w:style w:type="paragraph" w:customStyle="1" w:styleId="afffffff8">
    <w:name w:val="标准文件_目次、标准名称标题"/>
    <w:basedOn w:val="a6"/>
    <w:next w:val="affffff1"/>
    <w:qFormat/>
    <w:pPr>
      <w:spacing w:line="460" w:lineRule="exact"/>
    </w:pPr>
  </w:style>
  <w:style w:type="paragraph" w:customStyle="1" w:styleId="afffffff9">
    <w:name w:val="标准文件_目录标题"/>
    <w:basedOn w:val="afff1"/>
    <w:qFormat/>
    <w:pPr>
      <w:spacing w:afterLines="150" w:after="150" w:line="240" w:lineRule="auto"/>
      <w:jc w:val="center"/>
    </w:pPr>
    <w:rPr>
      <w:rFonts w:ascii="黑体" w:eastAsia="黑体"/>
      <w:sz w:val="32"/>
    </w:rPr>
  </w:style>
  <w:style w:type="paragraph" w:customStyle="1" w:styleId="ae">
    <w:name w:val="标准文件_破折号列项"/>
    <w:qFormat/>
    <w:pPr>
      <w:numPr>
        <w:numId w:val="9"/>
      </w:numPr>
      <w:adjustRightInd w:val="0"/>
      <w:snapToGrid w:val="0"/>
      <w:ind w:left="0" w:firstLineChars="200" w:firstLine="200"/>
    </w:pPr>
    <w:rPr>
      <w:sz w:val="21"/>
    </w:rPr>
  </w:style>
  <w:style w:type="paragraph" w:customStyle="1" w:styleId="af8">
    <w:name w:val="标准文件_破折号列项（二级）"/>
    <w:basedOn w:val="ae"/>
    <w:qFormat/>
    <w:pPr>
      <w:numPr>
        <w:numId w:val="10"/>
      </w:numPr>
      <w:ind w:left="0" w:firstLine="200"/>
    </w:pPr>
  </w:style>
  <w:style w:type="paragraph" w:customStyle="1" w:styleId="affc">
    <w:name w:val="标准文件_三级条标题"/>
    <w:basedOn w:val="affb"/>
    <w:next w:val="affffff1"/>
    <w:qFormat/>
    <w:pPr>
      <w:widowControl/>
      <w:numPr>
        <w:ilvl w:val="4"/>
      </w:numPr>
      <w:outlineLvl w:val="3"/>
    </w:pPr>
  </w:style>
  <w:style w:type="character" w:customStyle="1" w:styleId="11">
    <w:name w:val="不明显参考1"/>
    <w:uiPriority w:val="31"/>
    <w:qFormat/>
    <w:rPr>
      <w:smallCaps/>
      <w:color w:val="C0504D"/>
      <w:u w:val="single"/>
    </w:rPr>
  </w:style>
  <w:style w:type="paragraph" w:customStyle="1" w:styleId="afffffffa">
    <w:name w:val="标准文件_示例后续"/>
    <w:basedOn w:val="afff1"/>
    <w:qFormat/>
    <w:pPr>
      <w:adjustRightInd/>
      <w:spacing w:line="240" w:lineRule="auto"/>
      <w:ind w:firstLineChars="200" w:firstLine="200"/>
    </w:pPr>
    <w:rPr>
      <w:sz w:val="18"/>
      <w:szCs w:val="24"/>
    </w:rPr>
  </w:style>
  <w:style w:type="paragraph" w:customStyle="1" w:styleId="aff6">
    <w:name w:val="标准文件_数字编号列项"/>
    <w:qFormat/>
    <w:pPr>
      <w:numPr>
        <w:numId w:val="11"/>
      </w:numPr>
      <w:jc w:val="both"/>
    </w:pPr>
    <w:rPr>
      <w:rFonts w:ascii="宋体" w:hAnsi="宋体"/>
      <w:sz w:val="21"/>
    </w:rPr>
  </w:style>
  <w:style w:type="paragraph" w:customStyle="1" w:styleId="affd">
    <w:name w:val="标准文件_四级条标题"/>
    <w:next w:val="affffff1"/>
    <w:qFormat/>
    <w:pPr>
      <w:widowControl w:val="0"/>
      <w:numPr>
        <w:ilvl w:val="5"/>
        <w:numId w:val="2"/>
      </w:numPr>
      <w:spacing w:beforeLines="50" w:before="50" w:afterLines="50" w:after="50"/>
      <w:jc w:val="both"/>
      <w:outlineLvl w:val="4"/>
    </w:pPr>
    <w:rPr>
      <w:rFonts w:ascii="黑体" w:eastAsia="黑体"/>
      <w:sz w:val="21"/>
    </w:rPr>
  </w:style>
  <w:style w:type="character" w:customStyle="1" w:styleId="affff9">
    <w:name w:val="脚注文本 字符"/>
    <w:link w:val="affff8"/>
    <w:qFormat/>
    <w:rPr>
      <w:rFonts w:ascii="宋体" w:eastAsia="宋体" w:hAnsi="Times New Roman" w:cs="Times New Roman"/>
      <w:sz w:val="18"/>
      <w:szCs w:val="18"/>
    </w:rPr>
  </w:style>
  <w:style w:type="paragraph" w:customStyle="1" w:styleId="afffffffb">
    <w:name w:val="标准文件_条文脚注"/>
    <w:basedOn w:val="affff8"/>
    <w:qFormat/>
    <w:pPr>
      <w:adjustRightInd w:val="0"/>
      <w:spacing w:line="240" w:lineRule="auto"/>
      <w:ind w:leftChars="0" w:left="0" w:firstLineChars="200" w:firstLine="200"/>
      <w:jc w:val="both"/>
    </w:pPr>
    <w:rPr>
      <w:rFonts w:hAnsi="宋体"/>
    </w:rPr>
  </w:style>
  <w:style w:type="paragraph" w:customStyle="1" w:styleId="af3">
    <w:name w:val="标准文件_图表脚注"/>
    <w:basedOn w:val="afff1"/>
    <w:next w:val="affffff1"/>
    <w:qFormat/>
    <w:pPr>
      <w:numPr>
        <w:numId w:val="12"/>
      </w:numPr>
      <w:spacing w:line="240" w:lineRule="auto"/>
      <w:jc w:val="left"/>
    </w:pPr>
    <w:rPr>
      <w:rFonts w:ascii="宋体" w:hAnsi="宋体"/>
      <w:sz w:val="18"/>
    </w:rPr>
  </w:style>
  <w:style w:type="character" w:customStyle="1" w:styleId="afffffffc">
    <w:name w:val="标准文件_图表脚注内容"/>
    <w:qFormat/>
    <w:rPr>
      <w:rFonts w:ascii="宋体" w:eastAsia="宋体" w:hAnsi="宋体" w:cs="Times New Roman"/>
      <w:spacing w:val="0"/>
      <w:sz w:val="18"/>
      <w:vertAlign w:val="superscript"/>
    </w:rPr>
  </w:style>
  <w:style w:type="paragraph" w:customStyle="1" w:styleId="afffffffd">
    <w:name w:val="标准文件_五级条标题"/>
    <w:next w:val="affffff1"/>
    <w:qFormat/>
    <w:pPr>
      <w:widowControl w:val="0"/>
      <w:spacing w:beforeLines="50" w:before="50" w:afterLines="50" w:after="50"/>
      <w:jc w:val="both"/>
      <w:outlineLvl w:val="5"/>
    </w:pPr>
    <w:rPr>
      <w:rFonts w:ascii="黑体" w:eastAsia="黑体"/>
      <w:sz w:val="21"/>
    </w:rPr>
  </w:style>
  <w:style w:type="paragraph" w:customStyle="1" w:styleId="aff9">
    <w:name w:val="标准文件_章标题"/>
    <w:next w:val="affffff1"/>
    <w:qFormat/>
    <w:pPr>
      <w:numPr>
        <w:ilvl w:val="1"/>
        <w:numId w:val="2"/>
      </w:numPr>
      <w:spacing w:beforeLines="100" w:before="100" w:afterLines="100" w:after="100"/>
      <w:jc w:val="both"/>
      <w:outlineLvl w:val="0"/>
    </w:pPr>
    <w:rPr>
      <w:rFonts w:ascii="黑体" w:eastAsia="黑体"/>
      <w:sz w:val="21"/>
    </w:rPr>
  </w:style>
  <w:style w:type="paragraph" w:customStyle="1" w:styleId="affa">
    <w:name w:val="标准文件_一级条标题"/>
    <w:basedOn w:val="aff9"/>
    <w:next w:val="affffff1"/>
    <w:qFormat/>
    <w:pPr>
      <w:numPr>
        <w:ilvl w:val="2"/>
      </w:numPr>
      <w:spacing w:beforeLines="50" w:before="50" w:afterLines="50" w:after="50"/>
      <w:outlineLvl w:val="1"/>
    </w:pPr>
  </w:style>
  <w:style w:type="paragraph" w:customStyle="1" w:styleId="afffffffe">
    <w:name w:val="标准文件_一致程度"/>
    <w:basedOn w:val="afff1"/>
    <w:qFormat/>
    <w:pPr>
      <w:spacing w:line="440" w:lineRule="exact"/>
      <w:jc w:val="center"/>
    </w:pPr>
    <w:rPr>
      <w:sz w:val="28"/>
    </w:rPr>
  </w:style>
  <w:style w:type="paragraph" w:customStyle="1" w:styleId="affffffff">
    <w:name w:val="标准文件_引言标题"/>
    <w:next w:val="afff1"/>
    <w:qFormat/>
    <w:pPr>
      <w:shd w:val="clear" w:color="FFFFFF" w:fill="FFFFFF"/>
      <w:spacing w:before="540" w:after="600"/>
      <w:jc w:val="center"/>
      <w:outlineLvl w:val="0"/>
    </w:pPr>
    <w:rPr>
      <w:rFonts w:ascii="黑体" w:eastAsia="黑体"/>
      <w:sz w:val="32"/>
    </w:rPr>
  </w:style>
  <w:style w:type="paragraph" w:customStyle="1" w:styleId="affffffff0">
    <w:name w:val="标准文件_英文图表脚注"/>
    <w:basedOn w:val="affffff0"/>
    <w:qFormat/>
    <w:pPr>
      <w:widowControl/>
      <w:adjustRightInd/>
      <w:snapToGrid/>
      <w:spacing w:line="240" w:lineRule="auto"/>
      <w:ind w:left="79" w:hangingChars="80" w:hanging="79"/>
    </w:pPr>
    <w:rPr>
      <w:rFonts w:ascii="宋体" w:hAnsi="宋体"/>
    </w:rPr>
  </w:style>
  <w:style w:type="paragraph" w:customStyle="1" w:styleId="afe">
    <w:name w:val="标准文件_数字编号列项（二级）"/>
    <w:qFormat/>
    <w:pPr>
      <w:numPr>
        <w:ilvl w:val="1"/>
        <w:numId w:val="13"/>
      </w:numPr>
      <w:tabs>
        <w:tab w:val="left" w:pos="851"/>
      </w:tabs>
      <w:jc w:val="both"/>
    </w:pPr>
    <w:rPr>
      <w:rFonts w:ascii="宋体"/>
      <w:sz w:val="21"/>
    </w:rPr>
  </w:style>
  <w:style w:type="paragraph" w:customStyle="1" w:styleId="ac">
    <w:name w:val="标准文件_英文注："/>
    <w:basedOn w:val="afff1"/>
    <w:next w:val="affffff1"/>
    <w:qFormat/>
    <w:pPr>
      <w:numPr>
        <w:numId w:val="14"/>
      </w:numPr>
      <w:tabs>
        <w:tab w:val="left" w:pos="420"/>
      </w:tabs>
      <w:autoSpaceDE w:val="0"/>
      <w:autoSpaceDN w:val="0"/>
      <w:spacing w:line="240" w:lineRule="auto"/>
    </w:pPr>
    <w:rPr>
      <w:rFonts w:ascii="宋体" w:hAnsi="宋体"/>
      <w:kern w:val="0"/>
      <w:sz w:val="18"/>
      <w:szCs w:val="20"/>
    </w:rPr>
  </w:style>
  <w:style w:type="paragraph" w:customStyle="1" w:styleId="afc">
    <w:name w:val="标准文件_英文注×："/>
    <w:basedOn w:val="afff1"/>
    <w:qFormat/>
    <w:pPr>
      <w:numPr>
        <w:numId w:val="15"/>
      </w:numPr>
      <w:tabs>
        <w:tab w:val="left" w:pos="210"/>
      </w:tabs>
      <w:autoSpaceDE w:val="0"/>
      <w:autoSpaceDN w:val="0"/>
      <w:spacing w:line="240" w:lineRule="auto"/>
    </w:pPr>
    <w:rPr>
      <w:rFonts w:ascii="宋体" w:hAnsi="宋体"/>
      <w:kern w:val="0"/>
      <w:szCs w:val="20"/>
    </w:rPr>
  </w:style>
  <w:style w:type="paragraph" w:customStyle="1" w:styleId="aff1">
    <w:name w:val="标准文件_正文表标题"/>
    <w:next w:val="affffff1"/>
    <w:qFormat/>
    <w:pPr>
      <w:numPr>
        <w:numId w:val="16"/>
      </w:numPr>
      <w:tabs>
        <w:tab w:val="left" w:pos="0"/>
      </w:tabs>
      <w:spacing w:beforeLines="50" w:before="50" w:afterLines="50" w:after="50"/>
      <w:jc w:val="center"/>
    </w:pPr>
    <w:rPr>
      <w:rFonts w:ascii="黑体" w:eastAsia="黑体"/>
      <w:sz w:val="21"/>
    </w:rPr>
  </w:style>
  <w:style w:type="paragraph" w:customStyle="1" w:styleId="affffffff1">
    <w:name w:val="标准文件_正文公式"/>
    <w:basedOn w:val="afff1"/>
    <w:next w:val="affffff0"/>
    <w:qFormat/>
    <w:pPr>
      <w:tabs>
        <w:tab w:val="center" w:pos="4678"/>
        <w:tab w:val="right" w:leader="middleDot" w:pos="9356"/>
      </w:tabs>
      <w:spacing w:line="240" w:lineRule="auto"/>
    </w:pPr>
    <w:rPr>
      <w:rFonts w:ascii="宋体" w:hAnsi="宋体"/>
    </w:rPr>
  </w:style>
  <w:style w:type="paragraph" w:customStyle="1" w:styleId="af9">
    <w:name w:val="标准文件_正文图标题"/>
    <w:next w:val="affffff1"/>
    <w:qFormat/>
    <w:pPr>
      <w:numPr>
        <w:numId w:val="17"/>
      </w:numPr>
      <w:spacing w:beforeLines="50" w:before="50" w:afterLines="50" w:after="50"/>
      <w:jc w:val="center"/>
    </w:pPr>
    <w:rPr>
      <w:rFonts w:ascii="黑体" w:eastAsia="黑体"/>
      <w:sz w:val="21"/>
    </w:rPr>
  </w:style>
  <w:style w:type="paragraph" w:customStyle="1" w:styleId="afff">
    <w:name w:val="标准文件_正文英文表标题"/>
    <w:next w:val="affffff1"/>
    <w:qFormat/>
    <w:pPr>
      <w:numPr>
        <w:numId w:val="18"/>
      </w:numPr>
      <w:jc w:val="center"/>
    </w:pPr>
    <w:rPr>
      <w:rFonts w:ascii="黑体" w:eastAsia="黑体"/>
      <w:sz w:val="21"/>
    </w:rPr>
  </w:style>
  <w:style w:type="paragraph" w:customStyle="1" w:styleId="af7">
    <w:name w:val="标准文件_正文英文图标题"/>
    <w:next w:val="affffff1"/>
    <w:qFormat/>
    <w:pPr>
      <w:numPr>
        <w:numId w:val="19"/>
      </w:numPr>
      <w:jc w:val="center"/>
    </w:pPr>
    <w:rPr>
      <w:rFonts w:ascii="黑体" w:eastAsia="黑体"/>
      <w:sz w:val="21"/>
    </w:rPr>
  </w:style>
  <w:style w:type="paragraph" w:customStyle="1" w:styleId="aff">
    <w:name w:val="标准文件_编号列项（三级）"/>
    <w:qFormat/>
    <w:pPr>
      <w:numPr>
        <w:ilvl w:val="2"/>
        <w:numId w:val="13"/>
      </w:numPr>
      <w:tabs>
        <w:tab w:val="left" w:pos="851"/>
      </w:tabs>
    </w:pPr>
    <w:rPr>
      <w:rFonts w:ascii="宋体"/>
      <w:sz w:val="21"/>
    </w:rPr>
  </w:style>
  <w:style w:type="paragraph" w:customStyle="1" w:styleId="a3">
    <w:name w:val="二级无标题条"/>
    <w:basedOn w:val="afff1"/>
    <w:qFormat/>
    <w:pPr>
      <w:numPr>
        <w:ilvl w:val="3"/>
        <w:numId w:val="20"/>
      </w:numPr>
      <w:adjustRightInd/>
      <w:spacing w:line="240" w:lineRule="auto"/>
    </w:pPr>
    <w:rPr>
      <w:rFonts w:ascii="宋体" w:hAnsi="宋体"/>
      <w:szCs w:val="24"/>
    </w:rPr>
  </w:style>
  <w:style w:type="paragraph" w:customStyle="1" w:styleId="affffffff2">
    <w:name w:val="发布部门"/>
    <w:next w:val="affffff1"/>
    <w:qFormat/>
    <w:pPr>
      <w:framePr w:w="7433" w:h="585" w:hRule="exact" w:hSpace="180" w:vSpace="180" w:wrap="around" w:hAnchor="margin" w:xAlign="center" w:y="14401" w:anchorLock="1"/>
      <w:jc w:val="center"/>
    </w:pPr>
    <w:rPr>
      <w:rFonts w:ascii="宋体"/>
      <w:b/>
      <w:w w:val="135"/>
      <w:sz w:val="36"/>
    </w:rPr>
  </w:style>
  <w:style w:type="paragraph" w:customStyle="1" w:styleId="affffffff3">
    <w:name w:val="发布日期"/>
    <w:qFormat/>
    <w:pPr>
      <w:framePr w:w="4000" w:h="473" w:hRule="exact" w:hSpace="180" w:vSpace="180" w:wrap="around" w:hAnchor="margin" w:y="13511" w:anchorLock="1"/>
    </w:pPr>
    <w:rPr>
      <w:rFonts w:eastAsia="黑体"/>
      <w:sz w:val="28"/>
    </w:rPr>
  </w:style>
  <w:style w:type="paragraph" w:customStyle="1" w:styleId="affffffff4">
    <w:name w:val="封面标准代替信息"/>
    <w:basedOn w:val="afff1"/>
    <w:qFormat/>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affffffff5">
    <w:name w:val="封面标准名称"/>
    <w:qFormat/>
    <w:pPr>
      <w:framePr w:w="9638" w:h="6917" w:hRule="exact" w:wrap="around" w:hAnchor="margin" w:xAlign="center" w:y="5955" w:anchorLock="1"/>
      <w:widowControl w:val="0"/>
      <w:spacing w:line="680" w:lineRule="exact"/>
      <w:jc w:val="center"/>
      <w:textAlignment w:val="center"/>
    </w:pPr>
    <w:rPr>
      <w:rFonts w:ascii="黑体" w:eastAsia="黑体"/>
      <w:sz w:val="52"/>
    </w:rPr>
  </w:style>
  <w:style w:type="paragraph" w:customStyle="1" w:styleId="affffffff6">
    <w:name w:val="封面标准文稿编辑信息"/>
    <w:qFormat/>
    <w:pPr>
      <w:spacing w:before="180" w:line="180" w:lineRule="exact"/>
      <w:jc w:val="center"/>
    </w:pPr>
    <w:rPr>
      <w:rFonts w:ascii="宋体"/>
      <w:sz w:val="21"/>
    </w:rPr>
  </w:style>
  <w:style w:type="paragraph" w:customStyle="1" w:styleId="affffffff7">
    <w:name w:val="封面标准文稿类别"/>
    <w:qFormat/>
    <w:pPr>
      <w:spacing w:before="440" w:line="400" w:lineRule="exact"/>
      <w:jc w:val="center"/>
    </w:pPr>
    <w:rPr>
      <w:rFonts w:ascii="宋体"/>
      <w:sz w:val="24"/>
    </w:rPr>
  </w:style>
  <w:style w:type="paragraph" w:customStyle="1" w:styleId="affffffff8">
    <w:name w:val="封面标准英文名称"/>
    <w:qFormat/>
    <w:pPr>
      <w:widowControl w:val="0"/>
      <w:spacing w:line="360" w:lineRule="exact"/>
      <w:jc w:val="center"/>
    </w:pPr>
    <w:rPr>
      <w:sz w:val="28"/>
    </w:rPr>
  </w:style>
  <w:style w:type="paragraph" w:customStyle="1" w:styleId="affffffff9">
    <w:name w:val="封面一致性程度标识"/>
    <w:qFormat/>
    <w:pPr>
      <w:spacing w:before="440" w:line="440" w:lineRule="exact"/>
      <w:jc w:val="center"/>
    </w:pPr>
    <w:rPr>
      <w:sz w:val="28"/>
    </w:rPr>
  </w:style>
  <w:style w:type="paragraph" w:customStyle="1" w:styleId="affffffffa">
    <w:name w:val="封面正文"/>
    <w:qFormat/>
    <w:pPr>
      <w:jc w:val="both"/>
    </w:pPr>
  </w:style>
  <w:style w:type="paragraph" w:customStyle="1" w:styleId="affffffffb">
    <w:name w:val="附录二级无标题条"/>
    <w:basedOn w:val="afff1"/>
    <w:next w:val="affffff1"/>
    <w:qFormat/>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affffffffc">
    <w:name w:val="附录三级无标题条"/>
    <w:basedOn w:val="affffffffb"/>
    <w:next w:val="affffff1"/>
    <w:qFormat/>
    <w:pPr>
      <w:outlineLvl w:val="4"/>
    </w:pPr>
  </w:style>
  <w:style w:type="paragraph" w:customStyle="1" w:styleId="affffffffd">
    <w:name w:val="附录四级无标题条"/>
    <w:basedOn w:val="affffffffc"/>
    <w:next w:val="affffff1"/>
    <w:qFormat/>
    <w:pPr>
      <w:outlineLvl w:val="5"/>
    </w:pPr>
  </w:style>
  <w:style w:type="paragraph" w:customStyle="1" w:styleId="affffffffe">
    <w:name w:val="附录图"/>
    <w:next w:val="affffff1"/>
    <w:qFormat/>
    <w:pPr>
      <w:wordWrap w:val="0"/>
      <w:overflowPunct w:val="0"/>
      <w:autoSpaceDE w:val="0"/>
      <w:spacing w:beforeLines="50" w:before="50" w:afterLines="50" w:after="50"/>
      <w:jc w:val="center"/>
      <w:textAlignment w:val="baseline"/>
      <w:outlineLvl w:val="1"/>
    </w:pPr>
    <w:rPr>
      <w:rFonts w:ascii="黑体" w:eastAsia="黑体"/>
      <w:kern w:val="21"/>
      <w:sz w:val="21"/>
    </w:rPr>
  </w:style>
  <w:style w:type="paragraph" w:customStyle="1" w:styleId="af1">
    <w:name w:val="标准文件_一级项"/>
    <w:qFormat/>
    <w:pPr>
      <w:numPr>
        <w:numId w:val="21"/>
      </w:numPr>
    </w:pPr>
    <w:rPr>
      <w:rFonts w:ascii="宋体"/>
      <w:sz w:val="21"/>
    </w:rPr>
  </w:style>
  <w:style w:type="paragraph" w:customStyle="1" w:styleId="afffffffff">
    <w:name w:val="附录五级无标题条"/>
    <w:basedOn w:val="affffffffd"/>
    <w:next w:val="affffff1"/>
    <w:qFormat/>
    <w:pPr>
      <w:outlineLvl w:val="6"/>
    </w:pPr>
  </w:style>
  <w:style w:type="paragraph" w:customStyle="1" w:styleId="afffffffff0">
    <w:name w:val="附录性质"/>
    <w:basedOn w:val="afff1"/>
    <w:qFormat/>
    <w:pPr>
      <w:widowControl/>
      <w:adjustRightInd/>
      <w:jc w:val="center"/>
    </w:pPr>
    <w:rPr>
      <w:rFonts w:ascii="黑体" w:eastAsia="黑体"/>
    </w:rPr>
  </w:style>
  <w:style w:type="paragraph" w:customStyle="1" w:styleId="afffffffff1">
    <w:name w:val="附录一级无标题条"/>
    <w:basedOn w:val="afffffff6"/>
    <w:next w:val="affffff1"/>
    <w:qFormat/>
    <w:pPr>
      <w:autoSpaceDN w:val="0"/>
      <w:outlineLvl w:val="2"/>
    </w:pPr>
    <w:rPr>
      <w:rFonts w:ascii="宋体" w:eastAsia="宋体" w:hAnsi="宋体"/>
    </w:rPr>
  </w:style>
  <w:style w:type="character" w:customStyle="1" w:styleId="afffffffff2">
    <w:name w:val="个人答复风格"/>
    <w:qFormat/>
    <w:rPr>
      <w:rFonts w:ascii="Arial" w:eastAsia="宋体" w:hAnsi="Arial" w:cs="Arial"/>
      <w:color w:val="auto"/>
      <w:spacing w:val="0"/>
      <w:sz w:val="20"/>
    </w:rPr>
  </w:style>
  <w:style w:type="character" w:customStyle="1" w:styleId="afffffffff3">
    <w:name w:val="个人撰写风格"/>
    <w:qFormat/>
    <w:rPr>
      <w:rFonts w:ascii="Arial" w:eastAsia="宋体" w:hAnsi="Arial" w:cs="Arial"/>
      <w:color w:val="auto"/>
      <w:spacing w:val="0"/>
      <w:sz w:val="20"/>
    </w:rPr>
  </w:style>
  <w:style w:type="paragraph" w:customStyle="1" w:styleId="afffffffff4">
    <w:name w:val="脚注后续"/>
    <w:qFormat/>
    <w:pPr>
      <w:ind w:leftChars="350" w:left="350"/>
      <w:jc w:val="both"/>
    </w:pPr>
    <w:rPr>
      <w:rFonts w:ascii="宋体"/>
      <w:sz w:val="18"/>
    </w:rPr>
  </w:style>
  <w:style w:type="paragraph" w:customStyle="1" w:styleId="afff0">
    <w:name w:val="列项——"/>
    <w:qFormat/>
    <w:pPr>
      <w:widowControl w:val="0"/>
      <w:numPr>
        <w:numId w:val="22"/>
      </w:numPr>
      <w:jc w:val="both"/>
    </w:pPr>
    <w:rPr>
      <w:rFonts w:ascii="宋体" w:hAnsi="宋体"/>
      <w:sz w:val="21"/>
    </w:rPr>
  </w:style>
  <w:style w:type="paragraph" w:customStyle="1" w:styleId="afffffffff5">
    <w:name w:val="列项·"/>
    <w:basedOn w:val="affffff1"/>
    <w:qFormat/>
    <w:pPr>
      <w:tabs>
        <w:tab w:val="left" w:pos="840"/>
      </w:tabs>
    </w:pPr>
  </w:style>
  <w:style w:type="paragraph" w:customStyle="1" w:styleId="afffffffff6">
    <w:name w:val="目次、索引正文"/>
    <w:qFormat/>
    <w:pPr>
      <w:spacing w:line="320" w:lineRule="exact"/>
      <w:jc w:val="both"/>
    </w:pPr>
    <w:rPr>
      <w:rFonts w:ascii="宋体"/>
      <w:sz w:val="21"/>
    </w:rPr>
  </w:style>
  <w:style w:type="paragraph" w:customStyle="1" w:styleId="210">
    <w:name w:val="目录 21"/>
    <w:basedOn w:val="afff1"/>
    <w:next w:val="afff1"/>
    <w:semiHidden/>
    <w:qFormat/>
    <w:pPr>
      <w:adjustRightInd/>
      <w:spacing w:line="240" w:lineRule="auto"/>
      <w:jc w:val="left"/>
    </w:pPr>
    <w:rPr>
      <w:bCs/>
      <w:iCs/>
    </w:rPr>
  </w:style>
  <w:style w:type="paragraph" w:customStyle="1" w:styleId="310">
    <w:name w:val="目录 31"/>
    <w:basedOn w:val="afff1"/>
    <w:next w:val="afff1"/>
    <w:semiHidden/>
    <w:qFormat/>
    <w:pPr>
      <w:spacing w:line="240" w:lineRule="auto"/>
    </w:pPr>
    <w:rPr>
      <w:rFonts w:ascii="宋体" w:hAnsi="宋体"/>
      <w:iCs/>
    </w:rPr>
  </w:style>
  <w:style w:type="paragraph" w:customStyle="1" w:styleId="410">
    <w:name w:val="目录 41"/>
    <w:basedOn w:val="afff1"/>
    <w:next w:val="afff1"/>
    <w:semiHidden/>
    <w:qFormat/>
    <w:pPr>
      <w:adjustRightInd/>
      <w:spacing w:line="240" w:lineRule="auto"/>
      <w:jc w:val="left"/>
    </w:pPr>
  </w:style>
  <w:style w:type="paragraph" w:customStyle="1" w:styleId="51">
    <w:name w:val="目录 51"/>
    <w:basedOn w:val="afff1"/>
    <w:next w:val="afff1"/>
    <w:semiHidden/>
    <w:qFormat/>
    <w:pPr>
      <w:spacing w:line="240" w:lineRule="auto"/>
    </w:pPr>
    <w:rPr>
      <w:rFonts w:ascii="宋体" w:hAnsi="宋体"/>
    </w:rPr>
  </w:style>
  <w:style w:type="paragraph" w:customStyle="1" w:styleId="61">
    <w:name w:val="目录 61"/>
    <w:basedOn w:val="afff1"/>
    <w:next w:val="afff1"/>
    <w:semiHidden/>
    <w:qFormat/>
    <w:pPr>
      <w:adjustRightInd/>
      <w:spacing w:line="240" w:lineRule="auto"/>
      <w:jc w:val="left"/>
    </w:pPr>
  </w:style>
  <w:style w:type="paragraph" w:customStyle="1" w:styleId="71">
    <w:name w:val="目录 71"/>
    <w:basedOn w:val="61"/>
    <w:semiHidden/>
    <w:qFormat/>
    <w:pPr>
      <w:ind w:left="1260"/>
    </w:pPr>
  </w:style>
  <w:style w:type="paragraph" w:customStyle="1" w:styleId="81">
    <w:name w:val="目录 81"/>
    <w:basedOn w:val="71"/>
    <w:semiHidden/>
    <w:qFormat/>
    <w:pPr>
      <w:ind w:left="1470"/>
    </w:pPr>
  </w:style>
  <w:style w:type="paragraph" w:customStyle="1" w:styleId="91">
    <w:name w:val="目录 91"/>
    <w:basedOn w:val="81"/>
    <w:semiHidden/>
    <w:qFormat/>
    <w:pPr>
      <w:ind w:left="1680"/>
    </w:pPr>
  </w:style>
  <w:style w:type="paragraph" w:customStyle="1" w:styleId="afffffffff7">
    <w:name w:val="其他标准称谓"/>
    <w:qFormat/>
    <w:pPr>
      <w:spacing w:line="0" w:lineRule="atLeast"/>
      <w:jc w:val="distribute"/>
    </w:pPr>
    <w:rPr>
      <w:rFonts w:ascii="黑体" w:eastAsia="黑体" w:hAnsi="宋体"/>
      <w:sz w:val="52"/>
    </w:rPr>
  </w:style>
  <w:style w:type="paragraph" w:customStyle="1" w:styleId="afffffffff8">
    <w:name w:val="其他发布部门"/>
    <w:basedOn w:val="affffffff2"/>
    <w:qFormat/>
    <w:pPr>
      <w:framePr w:wrap="around"/>
      <w:spacing w:line="0" w:lineRule="atLeast"/>
    </w:pPr>
    <w:rPr>
      <w:rFonts w:ascii="黑体" w:eastAsia="黑体"/>
      <w:b w:val="0"/>
    </w:rPr>
  </w:style>
  <w:style w:type="paragraph" w:customStyle="1" w:styleId="aff8">
    <w:name w:val="前言标题"/>
    <w:next w:val="afff1"/>
    <w:qFormat/>
    <w:pPr>
      <w:numPr>
        <w:numId w:val="2"/>
      </w:numPr>
      <w:shd w:val="clear" w:color="FFFFFF" w:fill="FFFFFF"/>
      <w:spacing w:before="540" w:after="600"/>
      <w:jc w:val="center"/>
      <w:outlineLvl w:val="0"/>
    </w:pPr>
    <w:rPr>
      <w:rFonts w:ascii="黑体" w:eastAsia="黑体"/>
      <w:sz w:val="32"/>
    </w:rPr>
  </w:style>
  <w:style w:type="paragraph" w:customStyle="1" w:styleId="afffffffff9">
    <w:name w:val="三级无标题条"/>
    <w:basedOn w:val="afff1"/>
    <w:qFormat/>
    <w:pPr>
      <w:adjustRightInd/>
      <w:spacing w:line="240" w:lineRule="auto"/>
    </w:pPr>
    <w:rPr>
      <w:rFonts w:ascii="宋体" w:hAnsi="宋体"/>
      <w:szCs w:val="24"/>
    </w:rPr>
  </w:style>
  <w:style w:type="paragraph" w:customStyle="1" w:styleId="afffffffffa">
    <w:name w:val="实施日期"/>
    <w:basedOn w:val="affffffff3"/>
    <w:qFormat/>
    <w:pPr>
      <w:framePr w:hSpace="0" w:wrap="around" w:xAlign="right"/>
      <w:jc w:val="right"/>
    </w:pPr>
  </w:style>
  <w:style w:type="paragraph" w:customStyle="1" w:styleId="a4">
    <w:name w:val="四级无标题条"/>
    <w:basedOn w:val="afff1"/>
    <w:qFormat/>
    <w:pPr>
      <w:numPr>
        <w:ilvl w:val="5"/>
        <w:numId w:val="20"/>
      </w:numPr>
      <w:adjustRightInd/>
      <w:spacing w:line="240" w:lineRule="auto"/>
    </w:pPr>
    <w:rPr>
      <w:rFonts w:ascii="宋体" w:hAnsi="宋体"/>
      <w:szCs w:val="24"/>
    </w:rPr>
  </w:style>
  <w:style w:type="paragraph" w:customStyle="1" w:styleId="afffffffffb">
    <w:name w:val="文献分类号"/>
    <w:qFormat/>
    <w:pPr>
      <w:framePr w:hSpace="180" w:vSpace="180" w:wrap="around" w:hAnchor="margin" w:y="1" w:anchorLock="1"/>
      <w:widowControl w:val="0"/>
      <w:textAlignment w:val="center"/>
    </w:pPr>
    <w:rPr>
      <w:rFonts w:eastAsia="黑体"/>
      <w:sz w:val="21"/>
    </w:rPr>
  </w:style>
  <w:style w:type="paragraph" w:customStyle="1" w:styleId="afffffffffc">
    <w:name w:val="无标题条"/>
    <w:next w:val="affffff1"/>
    <w:qFormat/>
    <w:pPr>
      <w:jc w:val="both"/>
    </w:pPr>
    <w:rPr>
      <w:rFonts w:ascii="宋体" w:hAnsi="宋体"/>
      <w:sz w:val="21"/>
    </w:rPr>
  </w:style>
  <w:style w:type="paragraph" w:customStyle="1" w:styleId="afffffffffd">
    <w:name w:val="五级无标题条"/>
    <w:basedOn w:val="afff1"/>
    <w:qFormat/>
    <w:pPr>
      <w:adjustRightInd/>
    </w:pPr>
    <w:rPr>
      <w:szCs w:val="24"/>
    </w:rPr>
  </w:style>
  <w:style w:type="paragraph" w:customStyle="1" w:styleId="a2">
    <w:name w:val="一级无标题条"/>
    <w:basedOn w:val="afff1"/>
    <w:qFormat/>
    <w:pPr>
      <w:numPr>
        <w:ilvl w:val="2"/>
        <w:numId w:val="20"/>
      </w:numPr>
      <w:adjustRightInd/>
      <w:spacing w:before="10" w:after="10" w:line="240" w:lineRule="auto"/>
    </w:pPr>
    <w:rPr>
      <w:rFonts w:ascii="宋体" w:hAnsi="宋体"/>
      <w:szCs w:val="24"/>
    </w:rPr>
  </w:style>
  <w:style w:type="paragraph" w:customStyle="1" w:styleId="afffffffffe">
    <w:name w:val="注:后续"/>
    <w:qFormat/>
    <w:pPr>
      <w:spacing w:line="300" w:lineRule="exact"/>
      <w:ind w:leftChars="400" w:left="600" w:hangingChars="200" w:hanging="200"/>
      <w:jc w:val="both"/>
    </w:pPr>
    <w:rPr>
      <w:rFonts w:ascii="宋体"/>
      <w:sz w:val="18"/>
    </w:rPr>
  </w:style>
  <w:style w:type="paragraph" w:customStyle="1" w:styleId="affffffffff">
    <w:name w:val="注×:后续"/>
    <w:basedOn w:val="afffffffffe"/>
    <w:qFormat/>
    <w:pPr>
      <w:ind w:leftChars="0" w:left="1406" w:firstLineChars="0" w:hanging="499"/>
    </w:pPr>
  </w:style>
  <w:style w:type="paragraph" w:customStyle="1" w:styleId="affffffffff0">
    <w:name w:val="标准文件_一级无标题"/>
    <w:basedOn w:val="affa"/>
    <w:qFormat/>
    <w:pPr>
      <w:spacing w:beforeLines="0" w:before="0" w:afterLines="0" w:after="0"/>
      <w:outlineLvl w:val="9"/>
    </w:pPr>
    <w:rPr>
      <w:rFonts w:ascii="宋体" w:eastAsia="宋体"/>
    </w:rPr>
  </w:style>
  <w:style w:type="paragraph" w:customStyle="1" w:styleId="affffffffff1">
    <w:name w:val="标准文件_五级无标题"/>
    <w:basedOn w:val="afffffffd"/>
    <w:qFormat/>
    <w:pPr>
      <w:spacing w:beforeLines="0" w:before="0" w:afterLines="0" w:after="0"/>
      <w:outlineLvl w:val="9"/>
    </w:pPr>
    <w:rPr>
      <w:rFonts w:ascii="宋体" w:eastAsia="宋体"/>
    </w:rPr>
  </w:style>
  <w:style w:type="paragraph" w:customStyle="1" w:styleId="affffffffff2">
    <w:name w:val="标准文件_三级无标题"/>
    <w:basedOn w:val="affc"/>
    <w:qFormat/>
    <w:pPr>
      <w:spacing w:beforeLines="0" w:before="0" w:afterLines="0" w:after="0"/>
      <w:outlineLvl w:val="9"/>
    </w:pPr>
    <w:rPr>
      <w:rFonts w:ascii="宋体" w:eastAsia="宋体"/>
    </w:rPr>
  </w:style>
  <w:style w:type="paragraph" w:customStyle="1" w:styleId="affffffffff3">
    <w:name w:val="标准文件_二级无标题"/>
    <w:basedOn w:val="affb"/>
    <w:qFormat/>
    <w:pPr>
      <w:spacing w:beforeLines="0" w:before="0" w:afterLines="0" w:after="0"/>
      <w:outlineLvl w:val="9"/>
    </w:pPr>
    <w:rPr>
      <w:rFonts w:ascii="宋体" w:eastAsia="宋体"/>
    </w:rPr>
  </w:style>
  <w:style w:type="paragraph" w:customStyle="1" w:styleId="affffffffff4">
    <w:name w:val="标准_四级无标题"/>
    <w:basedOn w:val="affd"/>
    <w:next w:val="affffff1"/>
    <w:qFormat/>
    <w:rPr>
      <w:rFonts w:eastAsia="宋体"/>
    </w:rPr>
  </w:style>
  <w:style w:type="paragraph" w:customStyle="1" w:styleId="affffffffff5">
    <w:name w:val="标准文件_四级无标题"/>
    <w:basedOn w:val="affd"/>
    <w:qFormat/>
    <w:pPr>
      <w:spacing w:beforeLines="0" w:before="0" w:afterLines="0" w:after="0"/>
      <w:outlineLvl w:val="9"/>
    </w:pPr>
    <w:rPr>
      <w:rFonts w:ascii="宋体" w:eastAsia="宋体" w:hAnsi="黑体"/>
      <w:szCs w:val="52"/>
    </w:rPr>
  </w:style>
  <w:style w:type="paragraph" w:customStyle="1" w:styleId="aff0">
    <w:name w:val="标准文件_大写罗马数字编号列项"/>
    <w:basedOn w:val="affffff1"/>
    <w:qFormat/>
    <w:pPr>
      <w:numPr>
        <w:numId w:val="23"/>
      </w:numPr>
      <w:ind w:firstLineChars="0" w:firstLine="0"/>
    </w:pPr>
    <w:rPr>
      <w:rFonts w:ascii="Times New Roman" w:cs="Arial"/>
      <w:szCs w:val="28"/>
    </w:rPr>
  </w:style>
  <w:style w:type="paragraph" w:customStyle="1" w:styleId="ab">
    <w:name w:val="标准文件_小写罗马数字编号列项"/>
    <w:basedOn w:val="affffff1"/>
    <w:qFormat/>
    <w:pPr>
      <w:numPr>
        <w:numId w:val="24"/>
      </w:numPr>
      <w:ind w:firstLineChars="0" w:firstLine="0"/>
    </w:pPr>
    <w:rPr>
      <w:rFonts w:cs="Arial"/>
      <w:szCs w:val="28"/>
    </w:rPr>
  </w:style>
  <w:style w:type="paragraph" w:customStyle="1" w:styleId="affffffffff6">
    <w:name w:val="标准文件_附录标题"/>
    <w:basedOn w:val="afffffff2"/>
    <w:qFormat/>
    <w:pPr>
      <w:spacing w:after="280"/>
      <w:outlineLvl w:val="9"/>
    </w:pPr>
  </w:style>
  <w:style w:type="paragraph" w:customStyle="1" w:styleId="affffffffff7">
    <w:name w:val="标准文件_二级项"/>
    <w:qFormat/>
    <w:rPr>
      <w:rFonts w:ascii="宋体"/>
      <w:sz w:val="21"/>
    </w:rPr>
  </w:style>
  <w:style w:type="paragraph" w:customStyle="1" w:styleId="af2">
    <w:name w:val="标准文件_三级项"/>
    <w:basedOn w:val="afff1"/>
    <w:qFormat/>
    <w:pPr>
      <w:numPr>
        <w:ilvl w:val="2"/>
        <w:numId w:val="21"/>
      </w:numPr>
      <w:spacing w:line="-300" w:lineRule="auto"/>
    </w:pPr>
    <w:rPr>
      <w:rFonts w:ascii="Times New Roman" w:hAnsi="Times New Roman"/>
    </w:rPr>
  </w:style>
  <w:style w:type="paragraph" w:customStyle="1" w:styleId="aff7">
    <w:name w:val="图表脚注说明"/>
    <w:basedOn w:val="afff1"/>
    <w:next w:val="affffff1"/>
    <w:qFormat/>
    <w:pPr>
      <w:numPr>
        <w:numId w:val="25"/>
      </w:numPr>
      <w:adjustRightInd/>
      <w:spacing w:line="240" w:lineRule="auto"/>
      <w:ind w:left="783"/>
    </w:pPr>
    <w:rPr>
      <w:rFonts w:ascii="宋体" w:hAnsi="Times New Roman"/>
      <w:sz w:val="18"/>
      <w:szCs w:val="18"/>
    </w:rPr>
  </w:style>
  <w:style w:type="paragraph" w:customStyle="1" w:styleId="afd">
    <w:name w:val="标准文件_字母编号列项（一级）"/>
    <w:qFormat/>
    <w:pPr>
      <w:numPr>
        <w:numId w:val="13"/>
      </w:numPr>
      <w:jc w:val="both"/>
    </w:pPr>
    <w:rPr>
      <w:rFonts w:ascii="宋体"/>
      <w:sz w:val="21"/>
    </w:rPr>
  </w:style>
  <w:style w:type="paragraph" w:customStyle="1" w:styleId="affffffffff8">
    <w:name w:val="标准文件_索引字母"/>
    <w:next w:val="affffff1"/>
    <w:qFormat/>
    <w:pPr>
      <w:jc w:val="center"/>
    </w:pPr>
    <w:rPr>
      <w:rFonts w:ascii="宋体" w:eastAsia="Times New Roman" w:hAnsi="宋体"/>
      <w:b/>
      <w:kern w:val="2"/>
      <w:sz w:val="21"/>
    </w:rPr>
  </w:style>
  <w:style w:type="paragraph" w:customStyle="1" w:styleId="affffffffff9">
    <w:name w:val="标准文件_附录前"/>
    <w:next w:val="affffff1"/>
    <w:qFormat/>
    <w:pPr>
      <w:spacing w:line="20" w:lineRule="atLeast"/>
      <w:ind w:firstLine="200"/>
    </w:pPr>
    <w:rPr>
      <w:rFonts w:ascii="宋体" w:hAnsi="宋体"/>
      <w:kern w:val="2"/>
      <w:sz w:val="10"/>
    </w:rPr>
  </w:style>
  <w:style w:type="paragraph" w:customStyle="1" w:styleId="affffffffffa">
    <w:name w:val="标准文件_正文标准名称"/>
    <w:qFormat/>
    <w:pPr>
      <w:spacing w:after="640" w:line="400" w:lineRule="exact"/>
      <w:jc w:val="center"/>
    </w:pPr>
    <w:rPr>
      <w:rFonts w:ascii="黑体" w:eastAsia="黑体" w:hAnsi="黑体"/>
      <w:kern w:val="2"/>
      <w:sz w:val="32"/>
      <w:szCs w:val="32"/>
    </w:rPr>
  </w:style>
  <w:style w:type="paragraph" w:customStyle="1" w:styleId="affffffffffb">
    <w:name w:val="标准文件_表格"/>
    <w:basedOn w:val="affffff1"/>
    <w:qFormat/>
    <w:pPr>
      <w:ind w:firstLineChars="0" w:firstLine="0"/>
      <w:jc w:val="center"/>
    </w:pPr>
    <w:rPr>
      <w:sz w:val="18"/>
    </w:rPr>
  </w:style>
  <w:style w:type="paragraph" w:customStyle="1" w:styleId="affe">
    <w:name w:val="标准文件_注："/>
    <w:next w:val="affffff1"/>
    <w:qFormat/>
    <w:pPr>
      <w:widowControl w:val="0"/>
      <w:numPr>
        <w:numId w:val="26"/>
      </w:numPr>
      <w:autoSpaceDE w:val="0"/>
      <w:autoSpaceDN w:val="0"/>
      <w:jc w:val="both"/>
    </w:pPr>
    <w:rPr>
      <w:rFonts w:ascii="宋体"/>
      <w:sz w:val="18"/>
      <w:szCs w:val="18"/>
    </w:rPr>
  </w:style>
  <w:style w:type="paragraph" w:customStyle="1" w:styleId="a5">
    <w:name w:val="标准文件_注×："/>
    <w:qFormat/>
    <w:pPr>
      <w:widowControl w:val="0"/>
      <w:numPr>
        <w:numId w:val="27"/>
      </w:numPr>
      <w:autoSpaceDE w:val="0"/>
      <w:autoSpaceDN w:val="0"/>
      <w:jc w:val="both"/>
    </w:pPr>
    <w:rPr>
      <w:rFonts w:ascii="宋体"/>
      <w:sz w:val="18"/>
      <w:szCs w:val="18"/>
    </w:rPr>
  </w:style>
  <w:style w:type="paragraph" w:customStyle="1" w:styleId="a9">
    <w:name w:val="标准文件_示例："/>
    <w:next w:val="affffffffffc"/>
    <w:qFormat/>
    <w:pPr>
      <w:widowControl w:val="0"/>
      <w:numPr>
        <w:numId w:val="28"/>
      </w:numPr>
      <w:jc w:val="both"/>
    </w:pPr>
    <w:rPr>
      <w:rFonts w:ascii="宋体"/>
      <w:sz w:val="18"/>
      <w:szCs w:val="18"/>
    </w:rPr>
  </w:style>
  <w:style w:type="paragraph" w:customStyle="1" w:styleId="affffffffffc">
    <w:name w:val="标准文件_示例内容"/>
    <w:basedOn w:val="affffff1"/>
    <w:qFormat/>
    <w:pPr>
      <w:ind w:firstLine="420"/>
    </w:pPr>
    <w:rPr>
      <w:sz w:val="18"/>
    </w:rPr>
  </w:style>
  <w:style w:type="paragraph" w:customStyle="1" w:styleId="af6">
    <w:name w:val="标准文件_示例×："/>
    <w:basedOn w:val="afff1"/>
    <w:next w:val="affffffffffc"/>
    <w:qFormat/>
    <w:pPr>
      <w:widowControl/>
      <w:numPr>
        <w:numId w:val="29"/>
      </w:numPr>
      <w:adjustRightInd/>
      <w:spacing w:line="240" w:lineRule="auto"/>
    </w:pPr>
    <w:rPr>
      <w:rFonts w:ascii="宋体" w:hAnsi="Times New Roman"/>
      <w:kern w:val="0"/>
      <w:sz w:val="18"/>
      <w:szCs w:val="18"/>
    </w:rPr>
  </w:style>
  <w:style w:type="character" w:customStyle="1" w:styleId="Char">
    <w:name w:val="标准文件_段 Char"/>
    <w:link w:val="affffff1"/>
    <w:qFormat/>
    <w:rPr>
      <w:rFonts w:ascii="宋体" w:hAnsi="Times New Roman"/>
      <w:sz w:val="21"/>
    </w:rPr>
  </w:style>
  <w:style w:type="paragraph" w:customStyle="1" w:styleId="affffffffffd">
    <w:name w:val="标准文件_表格续"/>
    <w:basedOn w:val="affffff1"/>
    <w:next w:val="affffff1"/>
    <w:qFormat/>
    <w:pPr>
      <w:jc w:val="center"/>
    </w:pPr>
    <w:rPr>
      <w:rFonts w:ascii="黑体" w:eastAsia="黑体" w:hAnsi="黑体"/>
    </w:rPr>
  </w:style>
  <w:style w:type="character" w:styleId="affffffffffe">
    <w:name w:val="Placeholder Text"/>
    <w:basedOn w:val="afff2"/>
    <w:uiPriority w:val="99"/>
    <w:semiHidden/>
    <w:qFormat/>
    <w:rPr>
      <w:color w:val="808080"/>
    </w:rPr>
  </w:style>
  <w:style w:type="paragraph" w:customStyle="1" w:styleId="2">
    <w:name w:val="标准文件_二级项2"/>
    <w:basedOn w:val="affffff1"/>
    <w:qFormat/>
    <w:pPr>
      <w:numPr>
        <w:ilvl w:val="1"/>
        <w:numId w:val="21"/>
      </w:numPr>
      <w:ind w:left="1271" w:firstLineChars="0" w:hanging="420"/>
    </w:pPr>
  </w:style>
  <w:style w:type="paragraph" w:customStyle="1" w:styleId="21">
    <w:name w:val="标准文件_三级项2"/>
    <w:basedOn w:val="affffff1"/>
    <w:qFormat/>
    <w:pPr>
      <w:numPr>
        <w:numId w:val="30"/>
      </w:numPr>
      <w:spacing w:line="300" w:lineRule="exact"/>
      <w:ind w:left="1276" w:firstLineChars="0" w:hanging="425"/>
    </w:pPr>
    <w:rPr>
      <w:rFonts w:ascii="Times New Roman"/>
    </w:rPr>
  </w:style>
  <w:style w:type="paragraph" w:customStyle="1" w:styleId="20">
    <w:name w:val="标准文件_一级项2"/>
    <w:basedOn w:val="affffff1"/>
    <w:qFormat/>
    <w:pPr>
      <w:numPr>
        <w:numId w:val="31"/>
      </w:numPr>
      <w:spacing w:line="300" w:lineRule="exact"/>
      <w:ind w:left="1271" w:firstLineChars="0" w:hanging="420"/>
    </w:pPr>
    <w:rPr>
      <w:rFonts w:ascii="Times New Roman"/>
    </w:rPr>
  </w:style>
  <w:style w:type="paragraph" w:customStyle="1" w:styleId="afffffffffff">
    <w:name w:val="标准文件_提示"/>
    <w:basedOn w:val="affffff1"/>
    <w:next w:val="affffff1"/>
    <w:qFormat/>
    <w:pPr>
      <w:ind w:firstLine="420"/>
    </w:pPr>
    <w:rPr>
      <w:rFonts w:ascii="黑体" w:eastAsia="黑体"/>
    </w:rPr>
  </w:style>
  <w:style w:type="character" w:customStyle="1" w:styleId="afffffffffff0">
    <w:name w:val="标准文件_来源"/>
    <w:basedOn w:val="afff2"/>
    <w:uiPriority w:val="1"/>
    <w:qFormat/>
    <w:rPr>
      <w:rFonts w:eastAsia="宋体"/>
      <w:sz w:val="21"/>
    </w:rPr>
  </w:style>
  <w:style w:type="paragraph" w:customStyle="1" w:styleId="afffffffffff1">
    <w:name w:val="标准文件_图表说明"/>
    <w:qFormat/>
    <w:pPr>
      <w:spacing w:line="276" w:lineRule="auto"/>
      <w:ind w:firstLine="420"/>
    </w:pPr>
    <w:rPr>
      <w:rFonts w:ascii="宋体" w:hAnsi="宋体"/>
      <w:kern w:val="2"/>
      <w:sz w:val="18"/>
    </w:rPr>
  </w:style>
  <w:style w:type="paragraph" w:customStyle="1" w:styleId="afffffffffff2">
    <w:name w:val="其他发布日期"/>
    <w:basedOn w:val="affffffff3"/>
    <w:qFormat/>
    <w:pPr>
      <w:framePr w:w="3997" w:h="471" w:hRule="exact" w:hSpace="0" w:vSpace="181" w:wrap="around" w:vAnchor="page" w:hAnchor="page" w:x="1419" w:y="14097"/>
    </w:pPr>
  </w:style>
  <w:style w:type="paragraph" w:customStyle="1" w:styleId="afffffffffff3">
    <w:name w:val="其他实施日期"/>
    <w:basedOn w:val="afffffffffa"/>
    <w:qFormat/>
    <w:pPr>
      <w:framePr w:w="3997" w:h="471" w:hRule="exact" w:vSpace="181" w:wrap="around" w:vAnchor="page" w:hAnchor="page" w:x="7089" w:y="14097"/>
    </w:pPr>
  </w:style>
  <w:style w:type="paragraph" w:customStyle="1" w:styleId="afffffffffff4">
    <w:name w:val="标准文件_文件编号"/>
    <w:basedOn w:val="affffff1"/>
    <w:qFormat/>
    <w:pPr>
      <w:framePr w:w="9356" w:h="624" w:hRule="exact" w:hSpace="181" w:vSpace="181" w:wrap="around" w:vAnchor="page" w:hAnchor="page" w:x="1419" w:y="3284"/>
      <w:wordWrap w:val="0"/>
      <w:spacing w:line="280" w:lineRule="exact"/>
      <w:ind w:firstLineChars="0" w:firstLine="0"/>
      <w:jc w:val="right"/>
    </w:pPr>
    <w:rPr>
      <w:rFonts w:ascii="黑体" w:eastAsia="黑体"/>
      <w:bCs/>
      <w:sz w:val="28"/>
      <w:szCs w:val="28"/>
    </w:rPr>
  </w:style>
  <w:style w:type="paragraph" w:customStyle="1" w:styleId="afffffffffff5">
    <w:name w:val="标准文件_替换文件编号"/>
    <w:basedOn w:val="afffffffffff4"/>
    <w:qFormat/>
    <w:pPr>
      <w:framePr w:wrap="around"/>
      <w:spacing w:before="57"/>
    </w:pPr>
    <w:rPr>
      <w:sz w:val="21"/>
    </w:rPr>
  </w:style>
  <w:style w:type="paragraph" w:customStyle="1" w:styleId="afffffffffff6">
    <w:name w:val="标准文件_文件名称"/>
    <w:basedOn w:val="affffff1"/>
    <w:next w:val="affffff1"/>
    <w:qFormat/>
    <w:pPr>
      <w:framePr w:w="9639" w:h="6976" w:hRule="exact" w:wrap="around" w:vAnchor="page" w:hAnchor="page" w:y="6408"/>
      <w:autoSpaceDE/>
      <w:autoSpaceDN/>
      <w:spacing w:line="700" w:lineRule="exact"/>
      <w:ind w:firstLineChars="0" w:firstLine="0"/>
      <w:jc w:val="center"/>
    </w:pPr>
    <w:rPr>
      <w:rFonts w:ascii="黑体" w:eastAsia="黑体" w:hAnsi="黑体"/>
      <w:bCs/>
      <w:sz w:val="52"/>
    </w:rPr>
  </w:style>
  <w:style w:type="paragraph" w:customStyle="1" w:styleId="af4">
    <w:name w:val="标准文件_附录图标号"/>
    <w:basedOn w:val="affffff1"/>
    <w:next w:val="affffff1"/>
    <w:qFormat/>
    <w:pPr>
      <w:numPr>
        <w:numId w:val="6"/>
      </w:numPr>
      <w:spacing w:line="14" w:lineRule="exact"/>
      <w:ind w:firstLineChars="0" w:firstLine="0"/>
      <w:jc w:val="center"/>
    </w:pPr>
    <w:rPr>
      <w:rFonts w:ascii="黑体" w:eastAsia="黑体" w:hAnsi="黑体"/>
      <w:vanish/>
      <w:sz w:val="2"/>
      <w:szCs w:val="21"/>
    </w:rPr>
  </w:style>
  <w:style w:type="paragraph" w:customStyle="1" w:styleId="afa">
    <w:name w:val="标准文件_附录表标号"/>
    <w:basedOn w:val="affffff1"/>
    <w:next w:val="affffff1"/>
    <w:qFormat/>
    <w:pPr>
      <w:numPr>
        <w:numId w:val="4"/>
      </w:numPr>
      <w:spacing w:line="14" w:lineRule="exact"/>
      <w:ind w:firstLineChars="0" w:firstLine="0"/>
      <w:jc w:val="center"/>
    </w:pPr>
    <w:rPr>
      <w:rFonts w:eastAsia="黑体"/>
      <w:vanish/>
      <w:sz w:val="2"/>
    </w:rPr>
  </w:style>
  <w:style w:type="paragraph" w:customStyle="1" w:styleId="afffffffffff7">
    <w:name w:val="标准文件_引言一级条标题"/>
    <w:basedOn w:val="affffff1"/>
    <w:next w:val="affffff1"/>
    <w:qFormat/>
    <w:pPr>
      <w:spacing w:beforeLines="50" w:before="50" w:afterLines="50" w:after="50"/>
      <w:ind w:firstLineChars="0" w:firstLine="0"/>
    </w:pPr>
    <w:rPr>
      <w:rFonts w:ascii="黑体" w:eastAsia="黑体"/>
    </w:rPr>
  </w:style>
  <w:style w:type="paragraph" w:customStyle="1" w:styleId="afffffffffff8">
    <w:name w:val="标准文件_引言二级条标题"/>
    <w:basedOn w:val="affffff1"/>
    <w:next w:val="affffff1"/>
    <w:qFormat/>
    <w:pPr>
      <w:spacing w:beforeLines="50" w:before="50" w:afterLines="50" w:after="50"/>
      <w:ind w:firstLineChars="0" w:firstLine="0"/>
    </w:pPr>
    <w:rPr>
      <w:rFonts w:ascii="黑体" w:eastAsia="黑体"/>
    </w:rPr>
  </w:style>
  <w:style w:type="paragraph" w:customStyle="1" w:styleId="afffffffffff9">
    <w:name w:val="标准文件_引言三级条标题"/>
    <w:basedOn w:val="affffff1"/>
    <w:next w:val="affffff1"/>
    <w:qFormat/>
    <w:pPr>
      <w:spacing w:beforeLines="50" w:before="50" w:afterLines="50" w:after="50"/>
      <w:ind w:firstLineChars="0" w:firstLine="0"/>
    </w:pPr>
    <w:rPr>
      <w:rFonts w:ascii="黑体" w:eastAsia="黑体"/>
    </w:rPr>
  </w:style>
  <w:style w:type="paragraph" w:customStyle="1" w:styleId="a7">
    <w:name w:val="标准文件_引言四级条标题"/>
    <w:basedOn w:val="affffff1"/>
    <w:next w:val="affffff1"/>
    <w:qFormat/>
    <w:pPr>
      <w:numPr>
        <w:ilvl w:val="4"/>
        <w:numId w:val="8"/>
      </w:numPr>
      <w:spacing w:beforeLines="50" w:before="50" w:afterLines="50" w:after="50"/>
      <w:ind w:firstLineChars="0"/>
    </w:pPr>
    <w:rPr>
      <w:rFonts w:ascii="黑体" w:eastAsia="黑体"/>
    </w:rPr>
  </w:style>
  <w:style w:type="paragraph" w:customStyle="1" w:styleId="a8">
    <w:name w:val="标准文件_引言五级条标题"/>
    <w:basedOn w:val="affffff1"/>
    <w:next w:val="affffff1"/>
    <w:qFormat/>
    <w:pPr>
      <w:numPr>
        <w:ilvl w:val="5"/>
        <w:numId w:val="8"/>
      </w:numPr>
      <w:spacing w:beforeLines="50" w:before="50" w:afterLines="50" w:after="50"/>
      <w:ind w:firstLineChars="0"/>
    </w:pPr>
    <w:rPr>
      <w:rFonts w:ascii="黑体" w:eastAsia="黑体"/>
    </w:rPr>
  </w:style>
  <w:style w:type="paragraph" w:customStyle="1" w:styleId="afffffffffffa">
    <w:name w:val="标准文件_注后"/>
    <w:basedOn w:val="affffff1"/>
    <w:qFormat/>
    <w:pPr>
      <w:ind w:left="811" w:firstLineChars="0" w:firstLine="0"/>
    </w:pPr>
    <w:rPr>
      <w:sz w:val="18"/>
    </w:rPr>
  </w:style>
  <w:style w:type="paragraph" w:customStyle="1" w:styleId="X">
    <w:name w:val="标准文件_注X后"/>
    <w:basedOn w:val="affffff1"/>
    <w:qFormat/>
    <w:pPr>
      <w:ind w:left="811" w:firstLineChars="0" w:firstLine="0"/>
    </w:pPr>
    <w:rPr>
      <w:sz w:val="18"/>
    </w:rPr>
  </w:style>
  <w:style w:type="paragraph" w:customStyle="1" w:styleId="afffffffffffb">
    <w:name w:val="标准文件_示例后"/>
    <w:basedOn w:val="affffff1"/>
    <w:qFormat/>
    <w:pPr>
      <w:ind w:left="964" w:firstLineChars="0" w:firstLine="0"/>
    </w:pPr>
    <w:rPr>
      <w:sz w:val="18"/>
    </w:rPr>
  </w:style>
  <w:style w:type="paragraph" w:customStyle="1" w:styleId="X0">
    <w:name w:val="标准文件_示例X后"/>
    <w:basedOn w:val="affffff1"/>
    <w:link w:val="X1"/>
    <w:qFormat/>
    <w:pPr>
      <w:ind w:left="1049" w:firstLineChars="0" w:firstLine="0"/>
    </w:pPr>
    <w:rPr>
      <w:sz w:val="18"/>
    </w:rPr>
  </w:style>
  <w:style w:type="character" w:customStyle="1" w:styleId="X1">
    <w:name w:val="标准文件_示例X后 字符"/>
    <w:basedOn w:val="Char"/>
    <w:link w:val="X0"/>
    <w:qFormat/>
    <w:rPr>
      <w:rFonts w:ascii="宋体" w:hAnsi="Times New Roman"/>
      <w:sz w:val="18"/>
    </w:rPr>
  </w:style>
  <w:style w:type="paragraph" w:customStyle="1" w:styleId="afffffffffffc">
    <w:name w:val="标准文件_索引项"/>
    <w:basedOn w:val="affffff1"/>
    <w:next w:val="affffff1"/>
    <w:qFormat/>
    <w:pPr>
      <w:tabs>
        <w:tab w:val="right" w:leader="dot" w:pos="9356"/>
      </w:tabs>
      <w:ind w:left="210" w:firstLineChars="0" w:hanging="210"/>
      <w:jc w:val="left"/>
    </w:pPr>
  </w:style>
  <w:style w:type="paragraph" w:customStyle="1" w:styleId="afffffffffffd">
    <w:name w:val="标准文件_附录一级无标题"/>
    <w:basedOn w:val="aff3"/>
    <w:qFormat/>
    <w:pPr>
      <w:spacing w:beforeLines="0" w:before="0" w:afterLines="0" w:after="0" w:line="276" w:lineRule="auto"/>
      <w:outlineLvl w:val="9"/>
    </w:pPr>
    <w:rPr>
      <w:rFonts w:ascii="宋体" w:eastAsia="宋体"/>
    </w:rPr>
  </w:style>
  <w:style w:type="paragraph" w:customStyle="1" w:styleId="afffffffffffe">
    <w:name w:val="标准文件_附录二级无标题"/>
    <w:basedOn w:val="afffffff3"/>
    <w:qFormat/>
    <w:pPr>
      <w:spacing w:beforeLines="0" w:before="0" w:afterLines="0" w:after="0" w:line="276" w:lineRule="auto"/>
      <w:outlineLvl w:val="9"/>
    </w:pPr>
    <w:rPr>
      <w:rFonts w:ascii="宋体" w:eastAsia="宋体"/>
    </w:rPr>
  </w:style>
  <w:style w:type="paragraph" w:customStyle="1" w:styleId="affffffffffff">
    <w:name w:val="标准文件_附录三级无标题"/>
    <w:basedOn w:val="aff4"/>
    <w:qFormat/>
    <w:pPr>
      <w:spacing w:beforeLines="0" w:before="0" w:afterLines="0" w:after="0" w:line="276" w:lineRule="auto"/>
      <w:outlineLvl w:val="9"/>
    </w:pPr>
    <w:rPr>
      <w:rFonts w:ascii="宋体" w:eastAsia="宋体"/>
    </w:rPr>
  </w:style>
  <w:style w:type="paragraph" w:customStyle="1" w:styleId="affffffffffff0">
    <w:name w:val="标准文件_附录四级无标题"/>
    <w:basedOn w:val="afffffff5"/>
    <w:qFormat/>
    <w:pPr>
      <w:spacing w:beforeLines="0" w:before="0" w:afterLines="0" w:after="0" w:line="276" w:lineRule="auto"/>
      <w:outlineLvl w:val="9"/>
    </w:pPr>
    <w:rPr>
      <w:rFonts w:ascii="宋体" w:eastAsia="宋体"/>
    </w:rPr>
  </w:style>
  <w:style w:type="paragraph" w:customStyle="1" w:styleId="affffffffffff1">
    <w:name w:val="标准文件_附录五级无标题"/>
    <w:basedOn w:val="aff5"/>
    <w:qFormat/>
    <w:pPr>
      <w:spacing w:beforeLines="0" w:before="0" w:afterLines="0" w:after="0" w:line="276" w:lineRule="auto"/>
      <w:outlineLvl w:val="9"/>
    </w:pPr>
    <w:rPr>
      <w:rFonts w:ascii="宋体" w:eastAsia="宋体"/>
    </w:rPr>
  </w:style>
  <w:style w:type="paragraph" w:customStyle="1" w:styleId="affffffffffff2">
    <w:name w:val="标准文件_引言一级无标题"/>
    <w:basedOn w:val="afffffffffff7"/>
    <w:next w:val="affffff1"/>
    <w:qFormat/>
    <w:pPr>
      <w:spacing w:beforeLines="0" w:before="0" w:afterLines="0" w:after="0" w:line="276" w:lineRule="auto"/>
    </w:pPr>
    <w:rPr>
      <w:rFonts w:ascii="宋体" w:eastAsia="宋体"/>
    </w:rPr>
  </w:style>
  <w:style w:type="paragraph" w:customStyle="1" w:styleId="affffffffffff3">
    <w:name w:val="标准文件_引言二级无标题"/>
    <w:basedOn w:val="afffffffffff8"/>
    <w:next w:val="affffff1"/>
    <w:qFormat/>
    <w:pPr>
      <w:spacing w:beforeLines="0" w:before="0" w:afterLines="0" w:after="0" w:line="276" w:lineRule="auto"/>
    </w:pPr>
    <w:rPr>
      <w:rFonts w:ascii="宋体" w:eastAsia="宋体"/>
    </w:rPr>
  </w:style>
  <w:style w:type="paragraph" w:customStyle="1" w:styleId="affffffffffff4">
    <w:name w:val="标准文件_引言三级无标题"/>
    <w:basedOn w:val="afffffffffff9"/>
    <w:next w:val="affffff1"/>
    <w:qFormat/>
    <w:pPr>
      <w:spacing w:beforeLines="0" w:before="0" w:afterLines="0" w:after="0" w:line="276" w:lineRule="auto"/>
    </w:pPr>
    <w:rPr>
      <w:rFonts w:ascii="宋体" w:eastAsia="宋体"/>
    </w:rPr>
  </w:style>
  <w:style w:type="paragraph" w:customStyle="1" w:styleId="affffffffffff5">
    <w:name w:val="标准文件_引言四级无标题"/>
    <w:basedOn w:val="a7"/>
    <w:next w:val="affffff1"/>
    <w:qFormat/>
    <w:pPr>
      <w:spacing w:beforeLines="0" w:before="0" w:afterLines="0" w:after="0" w:line="276" w:lineRule="auto"/>
    </w:pPr>
    <w:rPr>
      <w:rFonts w:ascii="宋体" w:eastAsia="宋体"/>
    </w:rPr>
  </w:style>
  <w:style w:type="paragraph" w:customStyle="1" w:styleId="affffffffffff6">
    <w:name w:val="标准文件_引言五级无标题"/>
    <w:basedOn w:val="a8"/>
    <w:next w:val="affffff1"/>
    <w:qFormat/>
    <w:pPr>
      <w:spacing w:beforeLines="0" w:before="0" w:afterLines="0" w:after="0" w:line="276" w:lineRule="auto"/>
    </w:pPr>
    <w:rPr>
      <w:rFonts w:ascii="宋体" w:eastAsia="宋体"/>
    </w:rPr>
  </w:style>
  <w:style w:type="paragraph" w:customStyle="1" w:styleId="affffffffffff7">
    <w:name w:val="标准文件_索引标题"/>
    <w:basedOn w:val="affffff8"/>
    <w:next w:val="affffff1"/>
    <w:qFormat/>
    <w:rPr>
      <w:rFonts w:hAnsi="黑体"/>
    </w:rPr>
  </w:style>
  <w:style w:type="paragraph" w:customStyle="1" w:styleId="affffffffffff8">
    <w:name w:val="标准文件_脚注内容"/>
    <w:basedOn w:val="affffff1"/>
    <w:qFormat/>
    <w:pPr>
      <w:ind w:leftChars="200" w:left="400" w:hangingChars="200" w:hanging="200"/>
    </w:pPr>
    <w:rPr>
      <w:sz w:val="15"/>
    </w:rPr>
  </w:style>
  <w:style w:type="paragraph" w:customStyle="1" w:styleId="affffffffffff9">
    <w:name w:val="标准文件_术语条一"/>
    <w:basedOn w:val="affffffffff0"/>
    <w:next w:val="affffff1"/>
    <w:qFormat/>
  </w:style>
  <w:style w:type="paragraph" w:customStyle="1" w:styleId="affffffffffffa">
    <w:name w:val="标准文件_术语条二"/>
    <w:basedOn w:val="affffffffff3"/>
    <w:next w:val="affffff1"/>
    <w:qFormat/>
  </w:style>
  <w:style w:type="paragraph" w:customStyle="1" w:styleId="affffffffffffb">
    <w:name w:val="标准文件_术语条三"/>
    <w:basedOn w:val="affffffffff2"/>
    <w:next w:val="affffff1"/>
    <w:qFormat/>
  </w:style>
  <w:style w:type="paragraph" w:customStyle="1" w:styleId="affffffffffffc">
    <w:name w:val="标准文件_术语条四"/>
    <w:basedOn w:val="affffffffff5"/>
    <w:next w:val="affffff1"/>
    <w:qFormat/>
  </w:style>
  <w:style w:type="paragraph" w:customStyle="1" w:styleId="affffffffffffd">
    <w:name w:val="标准文件_术语条五"/>
    <w:basedOn w:val="affffffffff1"/>
    <w:next w:val="affffff1"/>
    <w:qFormat/>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character" w:customStyle="1" w:styleId="affffffffffffe">
    <w:name w:val="发布"/>
    <w:basedOn w:val="afff2"/>
    <w:qFormat/>
    <w:rPr>
      <w:rFonts w:ascii="黑体" w:eastAsia="黑体"/>
      <w:spacing w:val="85"/>
      <w:w w:val="100"/>
      <w:position w:val="3"/>
      <w:sz w:val="28"/>
      <w:szCs w:val="28"/>
    </w:rPr>
  </w:style>
  <w:style w:type="paragraph" w:customStyle="1" w:styleId="af0">
    <w:name w:val="一级条标题"/>
    <w:next w:val="afffffffffffff"/>
    <w:link w:val="Char0"/>
    <w:qFormat/>
    <w:pPr>
      <w:numPr>
        <w:ilvl w:val="1"/>
        <w:numId w:val="32"/>
      </w:numPr>
      <w:spacing w:beforeLines="50" w:before="156" w:afterLines="50" w:after="156"/>
      <w:outlineLvl w:val="2"/>
    </w:pPr>
    <w:rPr>
      <w:rFonts w:ascii="黑体" w:eastAsia="黑体"/>
      <w:sz w:val="21"/>
      <w:szCs w:val="21"/>
    </w:rPr>
  </w:style>
  <w:style w:type="paragraph" w:customStyle="1" w:styleId="afffffffffffff">
    <w:name w:val="段"/>
    <w:link w:val="Char1"/>
    <w:qFormat/>
    <w:pPr>
      <w:tabs>
        <w:tab w:val="center" w:pos="4201"/>
        <w:tab w:val="right" w:leader="dot" w:pos="9298"/>
      </w:tabs>
      <w:autoSpaceDE w:val="0"/>
      <w:autoSpaceDN w:val="0"/>
      <w:ind w:firstLineChars="200" w:firstLine="420"/>
      <w:jc w:val="both"/>
    </w:pPr>
    <w:rPr>
      <w:rFonts w:ascii="宋体" w:eastAsiaTheme="minorEastAsia" w:hAnsiTheme="minorHAnsi" w:cstheme="minorBidi"/>
      <w:kern w:val="2"/>
      <w:sz w:val="21"/>
      <w:szCs w:val="22"/>
    </w:rPr>
  </w:style>
  <w:style w:type="paragraph" w:customStyle="1" w:styleId="af">
    <w:name w:val="章标题"/>
    <w:next w:val="afff1"/>
    <w:qFormat/>
    <w:pPr>
      <w:numPr>
        <w:numId w:val="32"/>
      </w:numPr>
      <w:spacing w:beforeLines="100" w:before="312" w:afterLines="100" w:after="312"/>
      <w:jc w:val="both"/>
      <w:outlineLvl w:val="1"/>
    </w:pPr>
    <w:rPr>
      <w:rFonts w:ascii="黑体" w:eastAsia="黑体"/>
      <w:sz w:val="21"/>
    </w:rPr>
  </w:style>
  <w:style w:type="paragraph" w:customStyle="1" w:styleId="afffffffffffff0">
    <w:name w:val="二级条标题"/>
    <w:basedOn w:val="af0"/>
    <w:next w:val="afff1"/>
    <w:link w:val="Char2"/>
    <w:qFormat/>
    <w:pPr>
      <w:numPr>
        <w:ilvl w:val="0"/>
        <w:numId w:val="0"/>
      </w:numPr>
      <w:spacing w:before="50" w:after="50"/>
      <w:ind w:left="726" w:hanging="363"/>
      <w:outlineLvl w:val="3"/>
    </w:pPr>
  </w:style>
  <w:style w:type="character" w:customStyle="1" w:styleId="Char1">
    <w:name w:val="段 Char"/>
    <w:link w:val="afffffffffffff"/>
    <w:qFormat/>
    <w:rPr>
      <w:rFonts w:ascii="宋体" w:eastAsiaTheme="minorEastAsia" w:hAnsiTheme="minorHAnsi" w:cstheme="minorBidi"/>
      <w:kern w:val="2"/>
      <w:sz w:val="21"/>
      <w:szCs w:val="22"/>
    </w:rPr>
  </w:style>
  <w:style w:type="character" w:customStyle="1" w:styleId="afffa">
    <w:name w:val="批注文字 字符"/>
    <w:basedOn w:val="afff2"/>
    <w:link w:val="afff9"/>
    <w:uiPriority w:val="99"/>
    <w:qFormat/>
    <w:rPr>
      <w:kern w:val="2"/>
      <w:sz w:val="21"/>
      <w:szCs w:val="21"/>
    </w:rPr>
  </w:style>
  <w:style w:type="character" w:customStyle="1" w:styleId="afffff">
    <w:name w:val="批注主题 字符"/>
    <w:basedOn w:val="afffa"/>
    <w:link w:val="affffe"/>
    <w:uiPriority w:val="99"/>
    <w:semiHidden/>
    <w:qFormat/>
    <w:rPr>
      <w:b/>
      <w:bCs/>
      <w:kern w:val="2"/>
      <w:sz w:val="21"/>
      <w:szCs w:val="21"/>
    </w:rPr>
  </w:style>
  <w:style w:type="table" w:customStyle="1" w:styleId="12">
    <w:name w:val="网格型1"/>
    <w:basedOn w:val="afff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不明显参考11"/>
    <w:uiPriority w:val="31"/>
    <w:qFormat/>
    <w:rPr>
      <w:smallCaps/>
      <w:color w:val="C0504D"/>
      <w:u w:val="single"/>
    </w:rPr>
  </w:style>
  <w:style w:type="paragraph" w:customStyle="1" w:styleId="afffffffffffff1">
    <w:name w:val="正文表标题"/>
    <w:next w:val="afff1"/>
    <w:qFormat/>
    <w:pPr>
      <w:tabs>
        <w:tab w:val="left" w:pos="360"/>
      </w:tabs>
      <w:spacing w:beforeLines="50" w:before="156" w:afterLines="50" w:after="156"/>
      <w:jc w:val="center"/>
    </w:pPr>
    <w:rPr>
      <w:rFonts w:ascii="黑体" w:eastAsia="黑体"/>
      <w:sz w:val="21"/>
    </w:rPr>
  </w:style>
  <w:style w:type="paragraph" w:customStyle="1" w:styleId="27">
    <w:name w:val="封面标准号2"/>
    <w:qFormat/>
    <w:pPr>
      <w:framePr w:w="9140" w:h="1242" w:hRule="exact" w:hSpace="284" w:wrap="around" w:vAnchor="page" w:hAnchor="page" w:x="1645" w:y="2910" w:anchorLock="1"/>
      <w:spacing w:before="357" w:line="280" w:lineRule="exact"/>
      <w:jc w:val="right"/>
    </w:pPr>
    <w:rPr>
      <w:rFonts w:ascii="黑体" w:eastAsia="黑体"/>
      <w:sz w:val="28"/>
      <w:szCs w:val="28"/>
    </w:rPr>
  </w:style>
  <w:style w:type="paragraph" w:customStyle="1" w:styleId="afffffffffffff2">
    <w:name w:val="标准正文"/>
    <w:basedOn w:val="afff1"/>
    <w:qFormat/>
  </w:style>
  <w:style w:type="character" w:customStyle="1" w:styleId="copied">
    <w:name w:val="copied"/>
    <w:qFormat/>
  </w:style>
  <w:style w:type="paragraph" w:customStyle="1" w:styleId="afffffffffffff3">
    <w:name w:val="标准书眉_奇数页"/>
    <w:next w:val="afff1"/>
    <w:qFormat/>
    <w:pPr>
      <w:tabs>
        <w:tab w:val="center" w:pos="4154"/>
        <w:tab w:val="right" w:pos="8306"/>
      </w:tabs>
      <w:spacing w:after="220"/>
      <w:jc w:val="right"/>
    </w:pPr>
    <w:rPr>
      <w:rFonts w:ascii="黑体" w:eastAsia="黑体"/>
      <w:sz w:val="21"/>
      <w:szCs w:val="21"/>
    </w:rPr>
  </w:style>
  <w:style w:type="character" w:customStyle="1" w:styleId="afff8">
    <w:name w:val="文档结构图 字符"/>
    <w:basedOn w:val="afff2"/>
    <w:link w:val="afff7"/>
    <w:qFormat/>
    <w:rPr>
      <w:rFonts w:ascii="宋体" w:hAnsi="Times New Roman"/>
      <w:kern w:val="2"/>
      <w:sz w:val="18"/>
      <w:szCs w:val="18"/>
    </w:rPr>
  </w:style>
  <w:style w:type="character" w:customStyle="1" w:styleId="13">
    <w:name w:val="批注文字 字符1"/>
    <w:qFormat/>
    <w:rPr>
      <w:kern w:val="2"/>
      <w:sz w:val="21"/>
      <w:szCs w:val="24"/>
    </w:rPr>
  </w:style>
  <w:style w:type="character" w:customStyle="1" w:styleId="afffe">
    <w:name w:val="正文文本缩进 字符"/>
    <w:basedOn w:val="afff2"/>
    <w:link w:val="afffd"/>
    <w:qFormat/>
    <w:rPr>
      <w:rFonts w:ascii="Times New Roman" w:hAnsi="Times New Roman"/>
      <w:sz w:val="24"/>
    </w:rPr>
  </w:style>
  <w:style w:type="character" w:customStyle="1" w:styleId="HTML0">
    <w:name w:val="HTML 地址 字符"/>
    <w:basedOn w:val="afff2"/>
    <w:link w:val="HTML"/>
    <w:qFormat/>
    <w:rPr>
      <w:rFonts w:ascii="Times New Roman" w:hAnsi="Times New Roman"/>
      <w:i/>
      <w:iCs/>
      <w:kern w:val="2"/>
      <w:sz w:val="21"/>
      <w:szCs w:val="24"/>
    </w:rPr>
  </w:style>
  <w:style w:type="character" w:customStyle="1" w:styleId="affff1">
    <w:name w:val="日期 字符"/>
    <w:basedOn w:val="afff2"/>
    <w:link w:val="affff0"/>
    <w:uiPriority w:val="99"/>
    <w:qFormat/>
    <w:rPr>
      <w:rFonts w:ascii="等线" w:eastAsia="等线" w:hAnsi="等线"/>
      <w:kern w:val="2"/>
      <w:sz w:val="21"/>
      <w:szCs w:val="22"/>
      <w:lang w:val="en-GB"/>
    </w:rPr>
  </w:style>
  <w:style w:type="character" w:customStyle="1" w:styleId="25">
    <w:name w:val="正文文本缩进 2 字符"/>
    <w:basedOn w:val="afff2"/>
    <w:link w:val="24"/>
    <w:qFormat/>
    <w:rPr>
      <w:rFonts w:ascii="Times New Roman" w:hAnsi="Times New Roman"/>
      <w:kern w:val="2"/>
      <w:sz w:val="21"/>
      <w:szCs w:val="24"/>
    </w:rPr>
  </w:style>
  <w:style w:type="character" w:customStyle="1" w:styleId="14">
    <w:name w:val="页脚 字符1"/>
    <w:qFormat/>
    <w:rPr>
      <w:kern w:val="2"/>
      <w:sz w:val="18"/>
      <w:szCs w:val="18"/>
    </w:rPr>
  </w:style>
  <w:style w:type="character" w:customStyle="1" w:styleId="15">
    <w:name w:val="页眉 字符1"/>
    <w:uiPriority w:val="99"/>
    <w:qFormat/>
    <w:rPr>
      <w:kern w:val="2"/>
      <w:sz w:val="18"/>
      <w:szCs w:val="18"/>
    </w:rPr>
  </w:style>
  <w:style w:type="character" w:customStyle="1" w:styleId="32">
    <w:name w:val="正文文本缩进 3 字符"/>
    <w:basedOn w:val="afff2"/>
    <w:link w:val="31"/>
    <w:qFormat/>
    <w:rPr>
      <w:rFonts w:ascii="Times New Roman" w:hAnsi="Times New Roman"/>
      <w:kern w:val="2"/>
      <w:sz w:val="16"/>
      <w:szCs w:val="16"/>
    </w:rPr>
  </w:style>
  <w:style w:type="character" w:customStyle="1" w:styleId="HTML2">
    <w:name w:val="HTML 预设格式 字符"/>
    <w:basedOn w:val="afff2"/>
    <w:link w:val="HTML1"/>
    <w:qFormat/>
    <w:rPr>
      <w:rFonts w:ascii="Courier New" w:hAnsi="Courier New" w:cs="Courier New"/>
      <w:kern w:val="2"/>
    </w:rPr>
  </w:style>
  <w:style w:type="character" w:customStyle="1" w:styleId="16">
    <w:name w:val="批注主题 字符1"/>
    <w:qFormat/>
    <w:rPr>
      <w:b/>
      <w:bCs/>
      <w:kern w:val="2"/>
      <w:sz w:val="21"/>
      <w:szCs w:val="24"/>
    </w:rPr>
  </w:style>
  <w:style w:type="table" w:customStyle="1" w:styleId="28">
    <w:name w:val="网格型2"/>
    <w:basedOn w:val="afff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3">
    <w:name w:val="页脚 Char"/>
    <w:link w:val="17"/>
    <w:qFormat/>
    <w:rPr>
      <w:rFonts w:ascii="Arial" w:hAnsi="Arial"/>
      <w:kern w:val="2"/>
      <w:sz w:val="18"/>
    </w:rPr>
  </w:style>
  <w:style w:type="paragraph" w:customStyle="1" w:styleId="17">
    <w:name w:val="页脚1"/>
    <w:basedOn w:val="afff1"/>
    <w:link w:val="Char3"/>
    <w:qFormat/>
    <w:pPr>
      <w:tabs>
        <w:tab w:val="center" w:pos="4153"/>
        <w:tab w:val="right" w:pos="8306"/>
      </w:tabs>
      <w:adjustRightInd/>
      <w:snapToGrid w:val="0"/>
      <w:spacing w:line="240" w:lineRule="auto"/>
      <w:ind w:firstLineChars="200" w:firstLine="200"/>
      <w:jc w:val="left"/>
    </w:pPr>
    <w:rPr>
      <w:rFonts w:ascii="Arial" w:hAnsi="Arial"/>
      <w:sz w:val="18"/>
      <w:szCs w:val="20"/>
    </w:rPr>
  </w:style>
  <w:style w:type="character" w:customStyle="1" w:styleId="ParagraphCharChar">
    <w:name w:val="Paragraph Char Char"/>
    <w:link w:val="ParagraphChar"/>
    <w:qFormat/>
    <w:rPr>
      <w:rFonts w:ascii="Century Schoolbook" w:eastAsia="MS Mincho" w:hAnsi="Century Schoolbook" w:cs="Century Schoolbook"/>
      <w:spacing w:val="3"/>
      <w:kern w:val="2"/>
      <w:sz w:val="21"/>
      <w:szCs w:val="24"/>
      <w:lang w:val="en-GB" w:eastAsia="ja-JP"/>
    </w:rPr>
  </w:style>
  <w:style w:type="paragraph" w:customStyle="1" w:styleId="ParagraphChar">
    <w:name w:val="Paragraph Char"/>
    <w:basedOn w:val="afff1"/>
    <w:link w:val="ParagraphCharChar"/>
    <w:qFormat/>
    <w:pPr>
      <w:widowControl/>
      <w:autoSpaceDE w:val="0"/>
      <w:autoSpaceDN w:val="0"/>
      <w:adjustRightInd/>
      <w:spacing w:after="80" w:line="240" w:lineRule="auto"/>
      <w:ind w:firstLineChars="200" w:firstLine="200"/>
      <w:jc w:val="left"/>
    </w:pPr>
    <w:rPr>
      <w:rFonts w:ascii="Century Schoolbook" w:eastAsia="MS Mincho" w:hAnsi="Century Schoolbook" w:cs="Century Schoolbook"/>
      <w:spacing w:val="3"/>
      <w:szCs w:val="24"/>
      <w:lang w:val="en-GB" w:eastAsia="ja-JP"/>
    </w:rPr>
  </w:style>
  <w:style w:type="character" w:customStyle="1" w:styleId="ft">
    <w:name w:val="ft"/>
    <w:basedOn w:val="afff2"/>
    <w:qFormat/>
  </w:style>
  <w:style w:type="character" w:customStyle="1" w:styleId="tw4winMark">
    <w:name w:val="tw4winMark"/>
    <w:qFormat/>
    <w:rPr>
      <w:rFonts w:ascii="Courier New" w:hAnsi="Courier New"/>
      <w:vanish/>
      <w:color w:val="800080"/>
      <w:vertAlign w:val="subscript"/>
    </w:rPr>
  </w:style>
  <w:style w:type="character" w:customStyle="1" w:styleId="Char4">
    <w:name w:val="批注框文本 Char"/>
    <w:link w:val="18"/>
    <w:qFormat/>
    <w:rPr>
      <w:rFonts w:ascii="Arial" w:hAnsi="Arial"/>
      <w:sz w:val="18"/>
    </w:rPr>
  </w:style>
  <w:style w:type="paragraph" w:customStyle="1" w:styleId="18">
    <w:name w:val="批注框文本1"/>
    <w:basedOn w:val="afff1"/>
    <w:link w:val="Char4"/>
    <w:qFormat/>
    <w:pPr>
      <w:adjustRightInd/>
      <w:spacing w:line="240" w:lineRule="auto"/>
      <w:ind w:firstLineChars="200" w:firstLine="200"/>
      <w:jc w:val="left"/>
    </w:pPr>
    <w:rPr>
      <w:rFonts w:ascii="Arial" w:hAnsi="Arial"/>
      <w:kern w:val="0"/>
      <w:sz w:val="18"/>
      <w:szCs w:val="20"/>
    </w:rPr>
  </w:style>
  <w:style w:type="character" w:customStyle="1" w:styleId="Char10">
    <w:name w:val="批注主题 Char1"/>
    <w:qFormat/>
    <w:rPr>
      <w:rFonts w:ascii="Arial" w:hAnsi="Arial"/>
      <w:b/>
    </w:rPr>
  </w:style>
  <w:style w:type="character" w:customStyle="1" w:styleId="msoins0">
    <w:name w:val="msoins"/>
    <w:basedOn w:val="afff2"/>
    <w:qFormat/>
  </w:style>
  <w:style w:type="character" w:customStyle="1" w:styleId="Char11">
    <w:name w:val="文档结构图 Char1"/>
    <w:qFormat/>
    <w:rPr>
      <w:rFonts w:ascii="宋体" w:hAnsi="Arial"/>
      <w:sz w:val="18"/>
    </w:rPr>
  </w:style>
  <w:style w:type="character" w:customStyle="1" w:styleId="Char12">
    <w:name w:val="批注文字 Char1"/>
    <w:qFormat/>
    <w:rPr>
      <w:rFonts w:ascii="Arial" w:hAnsi="Arial"/>
    </w:rPr>
  </w:style>
  <w:style w:type="character" w:customStyle="1" w:styleId="HTMLChar">
    <w:name w:val="HTML 预设格式 Char"/>
    <w:link w:val="HTML10"/>
    <w:qFormat/>
    <w:rPr>
      <w:rFonts w:ascii="宋体" w:hAnsi="宋体"/>
      <w:sz w:val="24"/>
    </w:rPr>
  </w:style>
  <w:style w:type="paragraph" w:customStyle="1" w:styleId="HTML10">
    <w:name w:val="HTML 预设格式1"/>
    <w:basedOn w:val="afff1"/>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200"/>
      <w:jc w:val="left"/>
    </w:pPr>
    <w:rPr>
      <w:rFonts w:ascii="宋体" w:hAnsi="宋体"/>
      <w:kern w:val="0"/>
      <w:sz w:val="24"/>
      <w:szCs w:val="20"/>
    </w:rPr>
  </w:style>
  <w:style w:type="character" w:customStyle="1" w:styleId="Char5">
    <w:name w:val="日期 Char"/>
    <w:link w:val="19"/>
    <w:qFormat/>
    <w:rPr>
      <w:rFonts w:ascii="Arial" w:hAnsi="Arial"/>
      <w:kern w:val="2"/>
      <w:sz w:val="28"/>
    </w:rPr>
  </w:style>
  <w:style w:type="paragraph" w:customStyle="1" w:styleId="19">
    <w:name w:val="日期1"/>
    <w:basedOn w:val="afff1"/>
    <w:next w:val="afff1"/>
    <w:link w:val="Char5"/>
    <w:qFormat/>
    <w:pPr>
      <w:adjustRightInd/>
      <w:spacing w:line="240" w:lineRule="auto"/>
      <w:ind w:leftChars="2500" w:left="100" w:firstLineChars="200" w:firstLine="200"/>
      <w:jc w:val="left"/>
    </w:pPr>
    <w:rPr>
      <w:rFonts w:ascii="Arial" w:hAnsi="Arial"/>
      <w:sz w:val="28"/>
      <w:szCs w:val="20"/>
    </w:rPr>
  </w:style>
  <w:style w:type="character" w:customStyle="1" w:styleId="1a">
    <w:name w:val="批注引用1"/>
    <w:qFormat/>
    <w:rPr>
      <w:sz w:val="21"/>
    </w:rPr>
  </w:style>
  <w:style w:type="character" w:customStyle="1" w:styleId="Char6">
    <w:name w:val="字母编号列项（一级） Char"/>
    <w:link w:val="afffffffffffff4"/>
    <w:qFormat/>
    <w:rPr>
      <w:rFonts w:ascii="宋体"/>
      <w:sz w:val="21"/>
    </w:rPr>
  </w:style>
  <w:style w:type="paragraph" w:customStyle="1" w:styleId="afffffffffffff4">
    <w:name w:val="字母编号列项（一级）"/>
    <w:link w:val="Char6"/>
    <w:qFormat/>
    <w:pPr>
      <w:ind w:leftChars="200" w:left="840" w:hangingChars="200" w:hanging="420"/>
      <w:jc w:val="both"/>
    </w:pPr>
    <w:rPr>
      <w:rFonts w:ascii="宋体" w:hAnsi="Calibri"/>
      <w:sz w:val="21"/>
    </w:rPr>
  </w:style>
  <w:style w:type="character" w:customStyle="1" w:styleId="Char0">
    <w:name w:val="一级条标题 Char"/>
    <w:link w:val="af0"/>
    <w:qFormat/>
    <w:rPr>
      <w:rFonts w:ascii="黑体" w:eastAsia="黑体"/>
      <w:sz w:val="21"/>
      <w:szCs w:val="21"/>
    </w:rPr>
  </w:style>
  <w:style w:type="character" w:customStyle="1" w:styleId="Char13">
    <w:name w:val="脚注文本 Char1"/>
    <w:qFormat/>
    <w:rPr>
      <w:rFonts w:ascii="Arial" w:hAnsi="Arial"/>
      <w:sz w:val="18"/>
    </w:rPr>
  </w:style>
  <w:style w:type="character" w:customStyle="1" w:styleId="msodel0">
    <w:name w:val="msodel"/>
    <w:basedOn w:val="afff2"/>
    <w:qFormat/>
  </w:style>
  <w:style w:type="character" w:customStyle="1" w:styleId="1b">
    <w:name w:val="已访问的超链接1"/>
    <w:qFormat/>
    <w:rPr>
      <w:color w:val="800080"/>
      <w:u w:val="single"/>
    </w:rPr>
  </w:style>
  <w:style w:type="character" w:customStyle="1" w:styleId="Char7">
    <w:name w:val="正文文本缩进 Char"/>
    <w:link w:val="1c"/>
    <w:qFormat/>
    <w:rPr>
      <w:rFonts w:ascii="仿宋_GB2312" w:eastAsia="仿宋_GB2312" w:hAnsi="Arial"/>
      <w:kern w:val="2"/>
      <w:sz w:val="28"/>
    </w:rPr>
  </w:style>
  <w:style w:type="paragraph" w:customStyle="1" w:styleId="1c">
    <w:name w:val="正文文本缩进1"/>
    <w:basedOn w:val="afff1"/>
    <w:link w:val="Char7"/>
    <w:qFormat/>
    <w:pPr>
      <w:adjustRightInd/>
      <w:spacing w:line="240" w:lineRule="auto"/>
      <w:ind w:firstLineChars="200" w:firstLine="570"/>
      <w:jc w:val="left"/>
    </w:pPr>
    <w:rPr>
      <w:rFonts w:ascii="仿宋_GB2312" w:eastAsia="仿宋_GB2312" w:hAnsi="Arial"/>
      <w:sz w:val="28"/>
      <w:szCs w:val="20"/>
    </w:rPr>
  </w:style>
  <w:style w:type="character" w:customStyle="1" w:styleId="3jineiwen">
    <w:name w:val="3jineiwen"/>
    <w:basedOn w:val="afff2"/>
    <w:qFormat/>
  </w:style>
  <w:style w:type="character" w:customStyle="1" w:styleId="Char20">
    <w:name w:val="批注框文本 Char2"/>
    <w:qFormat/>
    <w:rPr>
      <w:rFonts w:ascii="Arial" w:hAnsi="Arial"/>
      <w:sz w:val="18"/>
    </w:rPr>
  </w:style>
  <w:style w:type="character" w:customStyle="1" w:styleId="apple-style-span">
    <w:name w:val="apple-style-span"/>
    <w:basedOn w:val="afff2"/>
    <w:qFormat/>
  </w:style>
  <w:style w:type="character" w:customStyle="1" w:styleId="1d">
    <w:name w:val="脚注引用1"/>
    <w:qFormat/>
    <w:rPr>
      <w:vertAlign w:val="superscript"/>
    </w:rPr>
  </w:style>
  <w:style w:type="character" w:customStyle="1" w:styleId="1e">
    <w:name w:val="行号1"/>
    <w:basedOn w:val="afff2"/>
    <w:qFormat/>
  </w:style>
  <w:style w:type="character" w:customStyle="1" w:styleId="Char8">
    <w:name w:val="页眉 Char"/>
    <w:link w:val="1f"/>
    <w:qFormat/>
    <w:rPr>
      <w:rFonts w:ascii="Arial" w:hAnsi="Arial"/>
      <w:kern w:val="2"/>
      <w:sz w:val="18"/>
    </w:rPr>
  </w:style>
  <w:style w:type="paragraph" w:customStyle="1" w:styleId="1f">
    <w:name w:val="页眉1"/>
    <w:basedOn w:val="afff1"/>
    <w:link w:val="Char8"/>
    <w:qFormat/>
    <w:pPr>
      <w:pBdr>
        <w:bottom w:val="single" w:sz="6" w:space="1" w:color="auto"/>
      </w:pBdr>
      <w:tabs>
        <w:tab w:val="center" w:pos="4153"/>
        <w:tab w:val="right" w:pos="8306"/>
      </w:tabs>
      <w:adjustRightInd/>
      <w:snapToGrid w:val="0"/>
      <w:spacing w:line="240" w:lineRule="auto"/>
      <w:ind w:firstLineChars="200" w:firstLine="200"/>
      <w:jc w:val="left"/>
    </w:pPr>
    <w:rPr>
      <w:rFonts w:ascii="Arial" w:hAnsi="Arial"/>
      <w:sz w:val="18"/>
      <w:szCs w:val="20"/>
    </w:rPr>
  </w:style>
  <w:style w:type="character" w:customStyle="1" w:styleId="Char9">
    <w:name w:val="正文文本 Char"/>
    <w:link w:val="1f0"/>
    <w:qFormat/>
    <w:rPr>
      <w:rFonts w:ascii="Arial" w:hAnsi="Arial"/>
      <w:kern w:val="2"/>
      <w:sz w:val="18"/>
    </w:rPr>
  </w:style>
  <w:style w:type="paragraph" w:customStyle="1" w:styleId="1f0">
    <w:name w:val="正文文本1"/>
    <w:basedOn w:val="afff1"/>
    <w:link w:val="Char9"/>
    <w:qFormat/>
    <w:pPr>
      <w:adjustRightInd/>
      <w:spacing w:line="240" w:lineRule="auto"/>
      <w:ind w:firstLineChars="200" w:firstLine="200"/>
      <w:jc w:val="left"/>
    </w:pPr>
    <w:rPr>
      <w:rFonts w:ascii="Arial" w:hAnsi="Arial"/>
      <w:sz w:val="18"/>
      <w:szCs w:val="20"/>
    </w:rPr>
  </w:style>
  <w:style w:type="character" w:customStyle="1" w:styleId="Char2">
    <w:name w:val="二级条标题 Char"/>
    <w:basedOn w:val="Char0"/>
    <w:link w:val="afffffffffffff0"/>
    <w:qFormat/>
    <w:rPr>
      <w:rFonts w:ascii="黑体" w:eastAsia="黑体" w:hAnsi="Times New Roman"/>
      <w:sz w:val="21"/>
      <w:szCs w:val="21"/>
    </w:rPr>
  </w:style>
  <w:style w:type="character" w:customStyle="1" w:styleId="Chara">
    <w:name w:val="纯文本 Char"/>
    <w:link w:val="1f1"/>
    <w:qFormat/>
    <w:rPr>
      <w:rFonts w:ascii="宋体" w:hAnsi="Courier New"/>
      <w:kern w:val="2"/>
      <w:sz w:val="28"/>
    </w:rPr>
  </w:style>
  <w:style w:type="paragraph" w:customStyle="1" w:styleId="1f1">
    <w:name w:val="纯文本1"/>
    <w:basedOn w:val="afff1"/>
    <w:link w:val="Chara"/>
    <w:qFormat/>
    <w:pPr>
      <w:adjustRightInd/>
      <w:spacing w:line="240" w:lineRule="auto"/>
      <w:ind w:firstLineChars="200" w:firstLine="200"/>
      <w:jc w:val="left"/>
    </w:pPr>
    <w:rPr>
      <w:rFonts w:ascii="宋体" w:hAnsi="Courier New"/>
      <w:sz w:val="28"/>
      <w:szCs w:val="20"/>
    </w:rPr>
  </w:style>
  <w:style w:type="paragraph" w:customStyle="1" w:styleId="afffffffffffff5">
    <w:name w:val="正文图标题"/>
    <w:next w:val="afffffffffffff"/>
    <w:qFormat/>
    <w:pPr>
      <w:jc w:val="center"/>
    </w:pPr>
    <w:rPr>
      <w:rFonts w:ascii="黑体" w:eastAsia="黑体"/>
      <w:sz w:val="21"/>
    </w:rPr>
  </w:style>
  <w:style w:type="paragraph" w:styleId="afffffffffffff6">
    <w:name w:val="List Paragraph"/>
    <w:basedOn w:val="afff1"/>
    <w:uiPriority w:val="99"/>
    <w:qFormat/>
    <w:pPr>
      <w:adjustRightInd/>
      <w:spacing w:line="240" w:lineRule="auto"/>
      <w:ind w:firstLineChars="200" w:firstLine="420"/>
    </w:pPr>
    <w:rPr>
      <w:rFonts w:ascii="等线" w:eastAsia="等线" w:hAnsi="等线"/>
      <w:szCs w:val="22"/>
      <w:lang w:val="en-GB"/>
    </w:rPr>
  </w:style>
  <w:style w:type="paragraph" w:customStyle="1" w:styleId="afffffffffffff7">
    <w:name w:val="标准书眉_偶数页"/>
    <w:basedOn w:val="afffffffffffff3"/>
    <w:next w:val="afff1"/>
    <w:qFormat/>
    <w:pPr>
      <w:spacing w:after="120"/>
      <w:jc w:val="left"/>
    </w:pPr>
    <w:rPr>
      <w:rFonts w:ascii="Times New Roman" w:eastAsia="宋体"/>
      <w:szCs w:val="20"/>
    </w:rPr>
  </w:style>
  <w:style w:type="paragraph" w:customStyle="1" w:styleId="Tabletext9">
    <w:name w:val="Table text (9)"/>
    <w:basedOn w:val="Default"/>
    <w:next w:val="Default"/>
    <w:qFormat/>
    <w:rPr>
      <w:rFonts w:ascii="Arial" w:hAnsi="Arial" w:cs="Times New Roman"/>
      <w:color w:val="auto"/>
      <w:szCs w:val="20"/>
    </w:rPr>
  </w:style>
  <w:style w:type="paragraph" w:customStyle="1" w:styleId="Note">
    <w:name w:val="Note"/>
    <w:basedOn w:val="Default"/>
    <w:next w:val="Default"/>
    <w:qFormat/>
    <w:rPr>
      <w:rFonts w:ascii="Arial" w:hAnsi="Arial" w:cs="Times New Roman"/>
      <w:color w:val="auto"/>
      <w:szCs w:val="20"/>
    </w:rPr>
  </w:style>
  <w:style w:type="paragraph" w:customStyle="1" w:styleId="afffffffffffff8">
    <w:name w:val="五级条标题"/>
    <w:basedOn w:val="a1"/>
    <w:next w:val="afffffffffffff"/>
    <w:qFormat/>
    <w:pPr>
      <w:numPr>
        <w:ilvl w:val="0"/>
        <w:numId w:val="0"/>
      </w:numPr>
      <w:outlineLvl w:val="6"/>
    </w:pPr>
  </w:style>
  <w:style w:type="paragraph" w:customStyle="1" w:styleId="a1">
    <w:name w:val="四级条标题"/>
    <w:basedOn w:val="a0"/>
    <w:next w:val="afffffffffffff"/>
    <w:qFormat/>
    <w:pPr>
      <w:numPr>
        <w:ilvl w:val="5"/>
      </w:numPr>
      <w:outlineLvl w:val="5"/>
    </w:pPr>
  </w:style>
  <w:style w:type="paragraph" w:customStyle="1" w:styleId="a0">
    <w:name w:val="三级条标题"/>
    <w:basedOn w:val="afffffffffffff0"/>
    <w:next w:val="afffffffffffff"/>
    <w:qFormat/>
    <w:pPr>
      <w:numPr>
        <w:ilvl w:val="4"/>
        <w:numId w:val="1"/>
      </w:numPr>
      <w:tabs>
        <w:tab w:val="clear" w:pos="1140"/>
      </w:tabs>
      <w:spacing w:beforeLines="0" w:before="0" w:afterLines="0" w:after="0"/>
      <w:outlineLvl w:val="4"/>
    </w:pPr>
    <w:rPr>
      <w:rFonts w:ascii="Times New Roman"/>
      <w:szCs w:val="20"/>
    </w:rPr>
  </w:style>
  <w:style w:type="paragraph" w:customStyle="1" w:styleId="afffffffffffff9">
    <w:name w:val="附录二级条标题"/>
    <w:basedOn w:val="afffffffffffffa"/>
    <w:next w:val="afffffffffffff"/>
    <w:qFormat/>
    <w:pPr>
      <w:outlineLvl w:val="3"/>
    </w:pPr>
  </w:style>
  <w:style w:type="paragraph" w:customStyle="1" w:styleId="afffffffffffffa">
    <w:name w:val="附录一级条标题"/>
    <w:basedOn w:val="afffffffffffffb"/>
    <w:next w:val="afffffffffffff"/>
    <w:qFormat/>
    <w:pPr>
      <w:autoSpaceDN w:val="0"/>
      <w:spacing w:beforeLines="0" w:before="0" w:afterLines="0" w:after="0"/>
      <w:outlineLvl w:val="2"/>
    </w:pPr>
  </w:style>
  <w:style w:type="paragraph" w:customStyle="1" w:styleId="afffffffffffffb">
    <w:name w:val="附录章标题"/>
    <w:next w:val="afffffffffffff"/>
    <w:qFormat/>
    <w:pPr>
      <w:wordWrap w:val="0"/>
      <w:overflowPunct w:val="0"/>
      <w:autoSpaceDE w:val="0"/>
      <w:spacing w:beforeLines="50" w:before="50" w:afterLines="50" w:after="50"/>
      <w:jc w:val="both"/>
      <w:textAlignment w:val="baseline"/>
      <w:outlineLvl w:val="1"/>
    </w:pPr>
    <w:rPr>
      <w:rFonts w:ascii="黑体" w:eastAsia="黑体"/>
      <w:kern w:val="21"/>
      <w:sz w:val="21"/>
    </w:rPr>
  </w:style>
  <w:style w:type="paragraph" w:customStyle="1" w:styleId="afffffffffffffc">
    <w:name w:val="标准书脚_奇数页"/>
    <w:qFormat/>
    <w:pPr>
      <w:spacing w:before="120"/>
      <w:jc w:val="right"/>
    </w:pPr>
    <w:rPr>
      <w:sz w:val="18"/>
    </w:rPr>
  </w:style>
  <w:style w:type="paragraph" w:customStyle="1" w:styleId="Style4">
    <w:name w:val="Style4"/>
    <w:basedOn w:val="Default"/>
    <w:next w:val="Default"/>
    <w:qFormat/>
    <w:pPr>
      <w:spacing w:before="40" w:after="40"/>
    </w:pPr>
    <w:rPr>
      <w:rFonts w:ascii="Arial" w:hAnsi="Arial" w:cs="Times New Roman"/>
      <w:color w:val="auto"/>
      <w:szCs w:val="20"/>
    </w:rPr>
  </w:style>
  <w:style w:type="paragraph" w:customStyle="1" w:styleId="afffffffffffffd">
    <w:name w:val="注："/>
    <w:next w:val="afffffffffffff"/>
    <w:qFormat/>
    <w:pPr>
      <w:widowControl w:val="0"/>
      <w:tabs>
        <w:tab w:val="left" w:pos="930"/>
      </w:tabs>
      <w:autoSpaceDE w:val="0"/>
      <w:autoSpaceDN w:val="0"/>
      <w:ind w:left="425" w:hanging="425"/>
      <w:jc w:val="both"/>
    </w:pPr>
    <w:rPr>
      <w:rFonts w:ascii="宋体"/>
      <w:sz w:val="18"/>
    </w:rPr>
  </w:style>
  <w:style w:type="paragraph" w:customStyle="1" w:styleId="1f2">
    <w:name w:val="封面标准号1"/>
    <w:qFormat/>
    <w:pPr>
      <w:widowControl w:val="0"/>
      <w:kinsoku w:val="0"/>
      <w:overflowPunct w:val="0"/>
      <w:autoSpaceDE w:val="0"/>
      <w:autoSpaceDN w:val="0"/>
      <w:spacing w:before="308"/>
      <w:jc w:val="right"/>
      <w:textAlignment w:val="center"/>
    </w:pPr>
    <w:rPr>
      <w:sz w:val="28"/>
    </w:rPr>
  </w:style>
  <w:style w:type="paragraph" w:customStyle="1" w:styleId="afffffffffffffe">
    <w:name w:val="图表脚注"/>
    <w:next w:val="afffffffffffff"/>
    <w:qFormat/>
    <w:pPr>
      <w:ind w:leftChars="200" w:left="300" w:hangingChars="100" w:hanging="100"/>
      <w:jc w:val="both"/>
    </w:pPr>
    <w:rPr>
      <w:rFonts w:ascii="宋体"/>
      <w:sz w:val="18"/>
    </w:rPr>
  </w:style>
  <w:style w:type="paragraph" w:customStyle="1" w:styleId="aff2">
    <w:name w:val="注×："/>
    <w:qFormat/>
    <w:pPr>
      <w:widowControl w:val="0"/>
      <w:numPr>
        <w:numId w:val="5"/>
      </w:numPr>
      <w:tabs>
        <w:tab w:val="left" w:pos="630"/>
        <w:tab w:val="left" w:pos="900"/>
      </w:tabs>
      <w:autoSpaceDE w:val="0"/>
      <w:autoSpaceDN w:val="0"/>
      <w:jc w:val="both"/>
    </w:pPr>
    <w:rPr>
      <w:rFonts w:ascii="宋体"/>
      <w:sz w:val="18"/>
    </w:rPr>
  </w:style>
  <w:style w:type="paragraph" w:customStyle="1" w:styleId="affffffffffffff">
    <w:name w:val="附录表标题"/>
    <w:next w:val="afffffffffffff"/>
    <w:qFormat/>
    <w:pPr>
      <w:tabs>
        <w:tab w:val="left" w:pos="360"/>
      </w:tabs>
      <w:ind w:left="420" w:hanging="420"/>
      <w:jc w:val="center"/>
      <w:textAlignment w:val="baseline"/>
    </w:pPr>
    <w:rPr>
      <w:rFonts w:ascii="黑体" w:eastAsia="黑体"/>
      <w:kern w:val="21"/>
      <w:sz w:val="21"/>
    </w:rPr>
  </w:style>
  <w:style w:type="paragraph" w:customStyle="1" w:styleId="affffffffffffff0">
    <w:name w:val="附录图标题"/>
    <w:next w:val="afffffffffffff"/>
    <w:qFormat/>
    <w:pPr>
      <w:tabs>
        <w:tab w:val="left" w:pos="360"/>
      </w:tabs>
      <w:jc w:val="center"/>
    </w:pPr>
    <w:rPr>
      <w:rFonts w:ascii="黑体" w:eastAsia="黑体"/>
      <w:sz w:val="21"/>
    </w:rPr>
  </w:style>
  <w:style w:type="paragraph" w:customStyle="1" w:styleId="zzCopyright">
    <w:name w:val="zzCopyright"/>
    <w:basedOn w:val="Default"/>
    <w:next w:val="Default"/>
    <w:qFormat/>
    <w:pPr>
      <w:spacing w:after="240"/>
    </w:pPr>
    <w:rPr>
      <w:rFonts w:ascii="Arial" w:hAnsi="Arial" w:cs="Times New Roman"/>
      <w:color w:val="auto"/>
      <w:szCs w:val="20"/>
    </w:rPr>
  </w:style>
  <w:style w:type="paragraph" w:customStyle="1" w:styleId="affffffffffffff1">
    <w:name w:val="数字编号列项（二级）"/>
    <w:qFormat/>
    <w:pPr>
      <w:ind w:leftChars="400" w:left="1260" w:hangingChars="200" w:hanging="420"/>
      <w:jc w:val="both"/>
    </w:pPr>
    <w:rPr>
      <w:rFonts w:ascii="宋体"/>
      <w:sz w:val="21"/>
    </w:rPr>
  </w:style>
  <w:style w:type="paragraph" w:customStyle="1" w:styleId="TermNum">
    <w:name w:val="TermNum"/>
    <w:basedOn w:val="Default"/>
    <w:next w:val="Default"/>
    <w:qFormat/>
    <w:rPr>
      <w:rFonts w:ascii="Arial" w:hAnsi="Arial" w:cs="Times New Roman"/>
      <w:color w:val="auto"/>
      <w:szCs w:val="20"/>
    </w:rPr>
  </w:style>
  <w:style w:type="paragraph" w:customStyle="1" w:styleId="affffffffffffff2">
    <w:name w:val="附录五级条标题"/>
    <w:basedOn w:val="affffffffffffff3"/>
    <w:next w:val="afffffffffffff"/>
    <w:qFormat/>
    <w:pPr>
      <w:outlineLvl w:val="6"/>
    </w:pPr>
  </w:style>
  <w:style w:type="paragraph" w:customStyle="1" w:styleId="affffffffffffff3">
    <w:name w:val="附录四级条标题"/>
    <w:basedOn w:val="affffffffffffff4"/>
    <w:next w:val="afffffffffffff"/>
    <w:qFormat/>
    <w:pPr>
      <w:outlineLvl w:val="5"/>
    </w:pPr>
  </w:style>
  <w:style w:type="paragraph" w:customStyle="1" w:styleId="affffffffffffff4">
    <w:name w:val="附录三级条标题"/>
    <w:basedOn w:val="afffffffffffff9"/>
    <w:next w:val="afffffffffffff"/>
    <w:qFormat/>
    <w:pPr>
      <w:outlineLvl w:val="4"/>
    </w:pPr>
  </w:style>
  <w:style w:type="paragraph" w:customStyle="1" w:styleId="affffffffffffff5">
    <w:name w:val="列项——（一级）"/>
    <w:qFormat/>
    <w:pPr>
      <w:widowControl w:val="0"/>
      <w:tabs>
        <w:tab w:val="left" w:pos="1140"/>
      </w:tabs>
      <w:ind w:left="425" w:hanging="425"/>
      <w:jc w:val="both"/>
    </w:pPr>
    <w:rPr>
      <w:rFonts w:ascii="宋体"/>
      <w:sz w:val="21"/>
    </w:rPr>
  </w:style>
  <w:style w:type="paragraph" w:customStyle="1" w:styleId="affffffffffffff6">
    <w:name w:val="列项●（二级）"/>
    <w:qFormat/>
    <w:pPr>
      <w:tabs>
        <w:tab w:val="left" w:pos="760"/>
        <w:tab w:val="left" w:pos="840"/>
      </w:tabs>
      <w:ind w:leftChars="400" w:left="600" w:hangingChars="200" w:hanging="200"/>
      <w:jc w:val="both"/>
    </w:pPr>
    <w:rPr>
      <w:rFonts w:ascii="宋体"/>
      <w:sz w:val="21"/>
    </w:rPr>
  </w:style>
  <w:style w:type="paragraph" w:customStyle="1" w:styleId="affffffffffffff7">
    <w:name w:val="示例"/>
    <w:next w:val="afffffffffffff"/>
    <w:qFormat/>
    <w:pPr>
      <w:tabs>
        <w:tab w:val="left" w:pos="816"/>
      </w:tabs>
      <w:ind w:firstLineChars="233" w:firstLine="419"/>
      <w:jc w:val="both"/>
    </w:pPr>
    <w:rPr>
      <w:rFonts w:ascii="宋体"/>
      <w:sz w:val="18"/>
    </w:rPr>
  </w:style>
  <w:style w:type="paragraph" w:customStyle="1" w:styleId="zzSTDTitle">
    <w:name w:val="zzSTDTitle"/>
    <w:basedOn w:val="Default"/>
    <w:next w:val="Default"/>
    <w:qFormat/>
    <w:rPr>
      <w:rFonts w:ascii="Arial" w:hAnsi="Arial" w:cs="Times New Roman"/>
      <w:color w:val="auto"/>
      <w:szCs w:val="20"/>
    </w:rPr>
  </w:style>
  <w:style w:type="paragraph" w:customStyle="1" w:styleId="affffffffffffff8">
    <w:name w:val="附录标识"/>
    <w:basedOn w:val="affffffffffffff9"/>
    <w:qFormat/>
    <w:pPr>
      <w:tabs>
        <w:tab w:val="left" w:pos="6405"/>
      </w:tabs>
      <w:spacing w:after="200"/>
      <w:ind w:left="0" w:firstLine="0"/>
    </w:pPr>
    <w:rPr>
      <w:sz w:val="21"/>
    </w:rPr>
  </w:style>
  <w:style w:type="paragraph" w:customStyle="1" w:styleId="affffffffffffff9">
    <w:name w:val="前言、引言标题"/>
    <w:next w:val="afff1"/>
    <w:qFormat/>
    <w:pPr>
      <w:shd w:val="clear" w:color="FFFFFF" w:fill="FFFFFF"/>
      <w:tabs>
        <w:tab w:val="left" w:pos="1646"/>
      </w:tabs>
      <w:spacing w:before="640" w:after="560"/>
      <w:ind w:left="1646" w:hanging="648"/>
      <w:jc w:val="center"/>
      <w:outlineLvl w:val="0"/>
    </w:pPr>
    <w:rPr>
      <w:rFonts w:ascii="黑体" w:eastAsia="黑体"/>
      <w:sz w:val="32"/>
    </w:rPr>
  </w:style>
  <w:style w:type="paragraph" w:customStyle="1" w:styleId="Style3">
    <w:name w:val="Style3"/>
    <w:basedOn w:val="Default"/>
    <w:next w:val="Default"/>
    <w:qFormat/>
    <w:rPr>
      <w:rFonts w:ascii="Arial" w:hAnsi="Arial" w:cs="Times New Roman"/>
      <w:color w:val="auto"/>
      <w:szCs w:val="20"/>
    </w:rPr>
  </w:style>
  <w:style w:type="paragraph" w:customStyle="1" w:styleId="affffffffffffffa">
    <w:name w:val="列项◆（三级）"/>
    <w:qFormat/>
    <w:pPr>
      <w:tabs>
        <w:tab w:val="left" w:pos="960"/>
      </w:tabs>
      <w:ind w:leftChars="600" w:left="800" w:hangingChars="200" w:hanging="200"/>
    </w:pPr>
    <w:rPr>
      <w:rFonts w:ascii="宋体"/>
      <w:sz w:val="21"/>
    </w:rPr>
  </w:style>
  <w:style w:type="paragraph" w:customStyle="1" w:styleId="Paragraph">
    <w:name w:val="Paragraph"/>
    <w:basedOn w:val="afff1"/>
    <w:qFormat/>
    <w:pPr>
      <w:widowControl/>
      <w:autoSpaceDE w:val="0"/>
      <w:autoSpaceDN w:val="0"/>
      <w:adjustRightInd/>
      <w:spacing w:after="80" w:line="240" w:lineRule="auto"/>
      <w:ind w:firstLineChars="200" w:firstLine="200"/>
      <w:jc w:val="left"/>
    </w:pPr>
    <w:rPr>
      <w:rFonts w:ascii="Century Schoolbook" w:eastAsia="MS Mincho" w:hAnsi="Century Schoolbook" w:cs="Century Schoolbook"/>
      <w:spacing w:val="3"/>
      <w:kern w:val="0"/>
      <w:sz w:val="20"/>
      <w:szCs w:val="20"/>
      <w:lang w:val="en-GB" w:eastAsia="ja-JP"/>
    </w:rPr>
  </w:style>
  <w:style w:type="paragraph" w:customStyle="1" w:styleId="zzLc6">
    <w:name w:val="zzLc6"/>
    <w:basedOn w:val="afff1"/>
    <w:next w:val="afff1"/>
    <w:uiPriority w:val="99"/>
    <w:qFormat/>
    <w:pPr>
      <w:widowControl/>
      <w:adjustRightInd/>
      <w:spacing w:after="240" w:line="230" w:lineRule="atLeast"/>
      <w:jc w:val="left"/>
    </w:pPr>
    <w:rPr>
      <w:rFonts w:ascii="Arial" w:eastAsia="MS Mincho" w:hAnsi="Arial"/>
      <w:kern w:val="0"/>
      <w:sz w:val="20"/>
      <w:szCs w:val="20"/>
      <w:lang w:val="en-GB" w:eastAsia="fr-FR"/>
    </w:rPr>
  </w:style>
  <w:style w:type="paragraph" w:customStyle="1" w:styleId="affffffffffffffb">
    <w:name w:val="目次、标准名称标题"/>
    <w:basedOn w:val="affffffffffffff9"/>
    <w:next w:val="afffffffffffff"/>
    <w:qFormat/>
    <w:pPr>
      <w:spacing w:line="460" w:lineRule="exact"/>
      <w:ind w:left="0" w:firstLine="0"/>
    </w:pPr>
  </w:style>
  <w:style w:type="paragraph" w:customStyle="1" w:styleId="zzIndex">
    <w:name w:val="zzIndex"/>
    <w:basedOn w:val="afff1"/>
    <w:next w:val="afff1"/>
    <w:qFormat/>
    <w:pPr>
      <w:autoSpaceDE w:val="0"/>
      <w:autoSpaceDN w:val="0"/>
      <w:spacing w:after="760" w:line="240" w:lineRule="auto"/>
      <w:ind w:firstLineChars="200" w:firstLine="200"/>
      <w:jc w:val="left"/>
    </w:pPr>
    <w:rPr>
      <w:rFonts w:ascii="Arial" w:hAnsi="Arial"/>
      <w:kern w:val="0"/>
      <w:sz w:val="24"/>
      <w:szCs w:val="20"/>
    </w:rPr>
  </w:style>
  <w:style w:type="paragraph" w:customStyle="1" w:styleId="zzCover">
    <w:name w:val="zzCover"/>
    <w:basedOn w:val="Default"/>
    <w:next w:val="Default"/>
    <w:qFormat/>
    <w:pPr>
      <w:spacing w:after="220"/>
    </w:pPr>
    <w:rPr>
      <w:rFonts w:ascii="Arial" w:hAnsi="Arial" w:cs="Times New Roman"/>
      <w:color w:val="auto"/>
      <w:szCs w:val="20"/>
    </w:rPr>
  </w:style>
  <w:style w:type="paragraph" w:customStyle="1" w:styleId="Listenfortsetzung">
    <w:name w:val="Listenfortsetzung"/>
    <w:basedOn w:val="Default"/>
    <w:next w:val="Default"/>
    <w:qFormat/>
    <w:rPr>
      <w:rFonts w:ascii="Arial" w:hAnsi="Arial" w:cs="Times New Roman"/>
      <w:color w:val="auto"/>
      <w:szCs w:val="20"/>
    </w:rPr>
  </w:style>
  <w:style w:type="paragraph" w:customStyle="1" w:styleId="berschrift4">
    <w:name w:val="überschrift 4"/>
    <w:basedOn w:val="Default"/>
    <w:next w:val="Default"/>
    <w:qFormat/>
    <w:pPr>
      <w:spacing w:before="60" w:after="240"/>
    </w:pPr>
    <w:rPr>
      <w:rFonts w:ascii="Arial" w:hAnsi="Arial" w:cs="Times New Roman"/>
      <w:color w:val="auto"/>
      <w:szCs w:val="20"/>
    </w:rPr>
  </w:style>
  <w:style w:type="paragraph" w:customStyle="1" w:styleId="affffffffffffffc">
    <w:name w:val="编号列项（三级）"/>
    <w:qFormat/>
    <w:pPr>
      <w:ind w:leftChars="600" w:left="800" w:hangingChars="200" w:hanging="200"/>
    </w:pPr>
    <w:rPr>
      <w:rFonts w:ascii="宋体"/>
      <w:sz w:val="21"/>
    </w:rPr>
  </w:style>
  <w:style w:type="paragraph" w:customStyle="1" w:styleId="ListContinue1">
    <w:name w:val="List Continue1"/>
    <w:basedOn w:val="Default"/>
    <w:next w:val="Default"/>
    <w:qFormat/>
    <w:pPr>
      <w:spacing w:after="240"/>
    </w:pPr>
    <w:rPr>
      <w:rFonts w:ascii="Arial" w:hAnsi="Arial" w:cs="Times New Roman"/>
      <w:color w:val="auto"/>
      <w:szCs w:val="20"/>
    </w:rPr>
  </w:style>
  <w:style w:type="paragraph" w:customStyle="1" w:styleId="Standard">
    <w:name w:val="Standard"/>
    <w:basedOn w:val="afff1"/>
    <w:next w:val="afff1"/>
    <w:qFormat/>
    <w:pPr>
      <w:autoSpaceDE w:val="0"/>
      <w:autoSpaceDN w:val="0"/>
      <w:spacing w:line="240" w:lineRule="auto"/>
      <w:ind w:firstLineChars="200" w:firstLine="200"/>
      <w:jc w:val="left"/>
    </w:pPr>
    <w:rPr>
      <w:rFonts w:ascii="Arial" w:hAnsi="Arial"/>
      <w:kern w:val="0"/>
      <w:sz w:val="24"/>
      <w:szCs w:val="20"/>
    </w:rPr>
  </w:style>
  <w:style w:type="paragraph" w:customStyle="1" w:styleId="Style2">
    <w:name w:val="Style2"/>
    <w:basedOn w:val="Default"/>
    <w:next w:val="Default"/>
    <w:qFormat/>
    <w:pPr>
      <w:spacing w:before="40"/>
    </w:pPr>
    <w:rPr>
      <w:rFonts w:ascii="Arial" w:hAnsi="Arial" w:cs="Times New Roman"/>
      <w:color w:val="auto"/>
      <w:szCs w:val="20"/>
    </w:rPr>
  </w:style>
  <w:style w:type="paragraph" w:customStyle="1" w:styleId="affffffffffffffd">
    <w:name w:val="条文脚注"/>
    <w:basedOn w:val="affff8"/>
    <w:qFormat/>
    <w:pPr>
      <w:spacing w:line="240" w:lineRule="auto"/>
      <w:ind w:left="780" w:hanging="360"/>
      <w:jc w:val="both"/>
    </w:pPr>
    <w:rPr>
      <w:rFonts w:hAnsi="Times New Roman"/>
    </w:rPr>
  </w:style>
  <w:style w:type="paragraph" w:customStyle="1" w:styleId="Definition">
    <w:name w:val="Definition"/>
    <w:basedOn w:val="Default"/>
    <w:next w:val="Default"/>
    <w:qFormat/>
    <w:rPr>
      <w:rFonts w:ascii="Arial" w:hAnsi="Arial" w:cs="Times New Roman"/>
      <w:color w:val="auto"/>
      <w:szCs w:val="20"/>
    </w:rPr>
  </w:style>
  <w:style w:type="paragraph" w:customStyle="1" w:styleId="Introduction">
    <w:name w:val="Introduction"/>
    <w:basedOn w:val="Default"/>
    <w:next w:val="Default"/>
    <w:qFormat/>
    <w:rPr>
      <w:rFonts w:ascii="Arial" w:hAnsi="Arial" w:cs="Times New Roman"/>
      <w:color w:val="auto"/>
      <w:szCs w:val="20"/>
    </w:rPr>
  </w:style>
  <w:style w:type="paragraph" w:customStyle="1" w:styleId="1f3">
    <w:name w:val="批注主题1"/>
    <w:basedOn w:val="1f4"/>
    <w:next w:val="1f4"/>
    <w:qFormat/>
    <w:rPr>
      <w:b/>
      <w:kern w:val="2"/>
    </w:rPr>
  </w:style>
  <w:style w:type="paragraph" w:customStyle="1" w:styleId="1f4">
    <w:name w:val="批注文字1"/>
    <w:basedOn w:val="afff1"/>
    <w:qFormat/>
    <w:pPr>
      <w:adjustRightInd/>
      <w:spacing w:line="240" w:lineRule="auto"/>
      <w:ind w:firstLineChars="200" w:firstLine="200"/>
      <w:jc w:val="left"/>
    </w:pPr>
    <w:rPr>
      <w:rFonts w:ascii="Arial" w:hAnsi="Arial"/>
      <w:kern w:val="0"/>
      <w:sz w:val="28"/>
      <w:szCs w:val="20"/>
    </w:rPr>
  </w:style>
  <w:style w:type="paragraph" w:customStyle="1" w:styleId="zzLc5">
    <w:name w:val="zzLc5"/>
    <w:basedOn w:val="afff1"/>
    <w:next w:val="afff1"/>
    <w:uiPriority w:val="99"/>
    <w:qFormat/>
    <w:pPr>
      <w:widowControl/>
      <w:adjustRightInd/>
      <w:spacing w:after="240" w:line="230" w:lineRule="atLeast"/>
      <w:jc w:val="left"/>
    </w:pPr>
    <w:rPr>
      <w:rFonts w:ascii="Arial" w:eastAsia="MS Mincho" w:hAnsi="Arial"/>
      <w:kern w:val="0"/>
      <w:sz w:val="20"/>
      <w:szCs w:val="20"/>
      <w:lang w:val="en-GB" w:eastAsia="fr-FR"/>
    </w:rPr>
  </w:style>
  <w:style w:type="paragraph" w:customStyle="1" w:styleId="Terms">
    <w:name w:val="Term(s)"/>
    <w:basedOn w:val="Default"/>
    <w:next w:val="Default"/>
    <w:qFormat/>
    <w:rPr>
      <w:rFonts w:ascii="Arial" w:hAnsi="Arial" w:cs="Times New Roman"/>
      <w:color w:val="auto"/>
      <w:szCs w:val="20"/>
    </w:rPr>
  </w:style>
  <w:style w:type="paragraph" w:customStyle="1" w:styleId="1f5">
    <w:name w:val="列出段落1"/>
    <w:basedOn w:val="afff1"/>
    <w:qFormat/>
    <w:pPr>
      <w:adjustRightInd/>
      <w:spacing w:line="240" w:lineRule="auto"/>
      <w:ind w:firstLineChars="200" w:firstLine="420"/>
      <w:jc w:val="left"/>
    </w:pPr>
    <w:rPr>
      <w:rFonts w:ascii="Arial" w:hAnsi="Arial"/>
      <w:sz w:val="28"/>
      <w:szCs w:val="20"/>
    </w:rPr>
  </w:style>
  <w:style w:type="paragraph" w:customStyle="1" w:styleId="TOC10">
    <w:name w:val="TOC 标题1"/>
    <w:basedOn w:val="1"/>
    <w:next w:val="afff1"/>
    <w:uiPriority w:val="39"/>
    <w:unhideWhenUsed/>
    <w:qFormat/>
    <w:pPr>
      <w:widowControl/>
      <w:adjustRightInd/>
      <w:spacing w:before="240" w:after="0" w:line="259" w:lineRule="auto"/>
      <w:jc w:val="left"/>
      <w:outlineLvl w:val="9"/>
    </w:pPr>
    <w:rPr>
      <w:rFonts w:ascii="等线 Light" w:eastAsia="等线 Light" w:hAnsi="等线 Light"/>
      <w:b w:val="0"/>
      <w:bCs w:val="0"/>
      <w:color w:val="2F5496"/>
      <w:kern w:val="0"/>
      <w:sz w:val="32"/>
      <w:szCs w:val="32"/>
    </w:rPr>
  </w:style>
  <w:style w:type="paragraph" w:customStyle="1" w:styleId="Tabletitle">
    <w:name w:val="Table title"/>
    <w:basedOn w:val="Default"/>
    <w:next w:val="Default"/>
    <w:qFormat/>
    <w:rPr>
      <w:rFonts w:ascii="Arial" w:hAnsi="Arial" w:cs="Times New Roman"/>
      <w:color w:val="auto"/>
      <w:szCs w:val="20"/>
    </w:rPr>
  </w:style>
  <w:style w:type="paragraph" w:customStyle="1" w:styleId="Foreword">
    <w:name w:val="Foreword"/>
    <w:basedOn w:val="Default"/>
    <w:next w:val="Default"/>
    <w:qFormat/>
    <w:rPr>
      <w:rFonts w:ascii="Arial" w:hAnsi="Arial" w:cs="Times New Roman"/>
      <w:color w:val="auto"/>
      <w:szCs w:val="20"/>
    </w:rPr>
  </w:style>
  <w:style w:type="paragraph" w:customStyle="1" w:styleId="1f6">
    <w:name w:val="脚注文本1"/>
    <w:basedOn w:val="afff1"/>
    <w:qFormat/>
    <w:pPr>
      <w:adjustRightInd/>
      <w:snapToGrid w:val="0"/>
      <w:spacing w:line="240" w:lineRule="auto"/>
      <w:ind w:firstLineChars="200" w:firstLine="200"/>
      <w:jc w:val="left"/>
    </w:pPr>
    <w:rPr>
      <w:rFonts w:ascii="Arial" w:hAnsi="Arial"/>
      <w:sz w:val="18"/>
      <w:szCs w:val="20"/>
    </w:rPr>
  </w:style>
  <w:style w:type="paragraph" w:customStyle="1" w:styleId="affffffffffffffe">
    <w:name w:val="标准书脚_偶数页"/>
    <w:qFormat/>
    <w:pPr>
      <w:spacing w:before="120"/>
    </w:pPr>
    <w:rPr>
      <w:sz w:val="18"/>
    </w:rPr>
  </w:style>
  <w:style w:type="paragraph" w:customStyle="1" w:styleId="berschrift1">
    <w:name w:val="überschrift 1"/>
    <w:basedOn w:val="Default"/>
    <w:next w:val="Default"/>
    <w:qFormat/>
    <w:rPr>
      <w:rFonts w:ascii="Arial" w:hAnsi="Arial" w:cs="Times New Roman"/>
      <w:color w:val="auto"/>
      <w:szCs w:val="20"/>
    </w:rPr>
  </w:style>
  <w:style w:type="paragraph" w:customStyle="1" w:styleId="TOC20">
    <w:name w:val="TOC 标题2"/>
    <w:basedOn w:val="1"/>
    <w:next w:val="afff1"/>
    <w:uiPriority w:val="39"/>
    <w:qFormat/>
    <w:pPr>
      <w:widowControl/>
      <w:adjustRightInd/>
      <w:spacing w:before="240" w:after="0" w:line="259" w:lineRule="auto"/>
      <w:jc w:val="left"/>
      <w:outlineLvl w:val="9"/>
    </w:pPr>
    <w:rPr>
      <w:rFonts w:ascii="等线 Light" w:eastAsia="等线 Light" w:hAnsi="等线 Light"/>
      <w:b w:val="0"/>
      <w:bCs w:val="0"/>
      <w:color w:val="2F5496"/>
      <w:kern w:val="0"/>
      <w:sz w:val="32"/>
      <w:szCs w:val="32"/>
    </w:rPr>
  </w:style>
  <w:style w:type="paragraph" w:customStyle="1" w:styleId="afffffffffffffff">
    <w:name w:val="参考文献、索引标题"/>
    <w:basedOn w:val="affffffffffffff9"/>
    <w:next w:val="afff1"/>
    <w:qFormat/>
    <w:pPr>
      <w:spacing w:after="200"/>
      <w:ind w:left="0" w:firstLine="0"/>
    </w:pPr>
    <w:rPr>
      <w:sz w:val="21"/>
    </w:rPr>
  </w:style>
  <w:style w:type="table" w:customStyle="1" w:styleId="111">
    <w:name w:val="网格型11"/>
    <w:basedOn w:val="afff3"/>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网格型21"/>
    <w:basedOn w:val="afff3"/>
    <w:uiPriority w:val="3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7">
    <w:name w:val="修订1"/>
    <w:uiPriority w:val="99"/>
    <w:unhideWhenUsed/>
    <w:qFormat/>
    <w:rPr>
      <w:kern w:val="2"/>
      <w:sz w:val="21"/>
      <w:szCs w:val="24"/>
    </w:rPr>
  </w:style>
  <w:style w:type="paragraph" w:customStyle="1" w:styleId="Style210">
    <w:name w:val="_Style 210"/>
    <w:basedOn w:val="afff1"/>
    <w:next w:val="afffffffffffff6"/>
    <w:uiPriority w:val="99"/>
    <w:qFormat/>
    <w:pPr>
      <w:ind w:firstLine="420"/>
    </w:pPr>
    <w:rPr>
      <w:rFonts w:ascii="等线" w:eastAsia="等线" w:hAnsi="等线"/>
      <w:szCs w:val="22"/>
      <w:lang w:val="en-GB"/>
    </w:rPr>
  </w:style>
  <w:style w:type="table" w:customStyle="1" w:styleId="34">
    <w:name w:val="网格型3"/>
    <w:basedOn w:val="afff3"/>
    <w:uiPriority w:val="3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0">
    <w:name w:val="不明显参考111"/>
    <w:uiPriority w:val="31"/>
    <w:qFormat/>
    <w:rPr>
      <w:smallCaps/>
      <w:color w:val="C0504D"/>
      <w:u w:val="single"/>
    </w:rPr>
  </w:style>
  <w:style w:type="character" w:customStyle="1" w:styleId="font51">
    <w:name w:val="font51"/>
    <w:basedOn w:val="afff2"/>
    <w:qFormat/>
    <w:rPr>
      <w:rFonts w:ascii="宋体" w:eastAsia="宋体" w:hAnsi="宋体" w:cs="宋体" w:hint="eastAsia"/>
      <w:color w:val="000000"/>
      <w:sz w:val="18"/>
      <w:szCs w:val="18"/>
      <w:u w:val="none"/>
    </w:rPr>
  </w:style>
  <w:style w:type="character" w:customStyle="1" w:styleId="font11">
    <w:name w:val="font11"/>
    <w:basedOn w:val="afff2"/>
    <w:qFormat/>
    <w:rPr>
      <w:rFonts w:ascii="宋体" w:eastAsia="宋体" w:hAnsi="宋体" w:cs="宋体" w:hint="eastAsia"/>
      <w:color w:val="000000"/>
      <w:sz w:val="18"/>
      <w:szCs w:val="18"/>
      <w:u w:val="none"/>
    </w:rPr>
  </w:style>
  <w:style w:type="character" w:customStyle="1" w:styleId="font31">
    <w:name w:val="font31"/>
    <w:basedOn w:val="afff2"/>
    <w:qFormat/>
    <w:rPr>
      <w:rFonts w:ascii="宋体" w:eastAsia="宋体" w:hAnsi="宋体" w:cs="宋体" w:hint="eastAsia"/>
      <w:color w:val="FF0000"/>
      <w:sz w:val="18"/>
      <w:szCs w:val="18"/>
      <w:u w:val="none"/>
    </w:rPr>
  </w:style>
  <w:style w:type="character" w:customStyle="1" w:styleId="font41">
    <w:name w:val="font41"/>
    <w:basedOn w:val="afff2"/>
    <w:qFormat/>
    <w:rPr>
      <w:rFonts w:ascii="宋体" w:eastAsia="宋体" w:hAnsi="宋体" w:cs="宋体" w:hint="eastAsia"/>
      <w:color w:val="000000"/>
      <w:sz w:val="18"/>
      <w:szCs w:val="18"/>
      <w:u w:val="none"/>
    </w:rPr>
  </w:style>
  <w:style w:type="character" w:customStyle="1" w:styleId="font21">
    <w:name w:val="font21"/>
    <w:basedOn w:val="afff2"/>
    <w:qFormat/>
    <w:rPr>
      <w:rFonts w:ascii="宋体" w:eastAsia="宋体" w:hAnsi="宋体" w:cs="宋体" w:hint="eastAsia"/>
      <w:b/>
      <w:bCs/>
      <w:color w:val="000000"/>
      <w:sz w:val="18"/>
      <w:szCs w:val="18"/>
      <w:u w:val="none"/>
    </w:rPr>
  </w:style>
  <w:style w:type="paragraph" w:customStyle="1" w:styleId="29">
    <w:name w:val="修订2"/>
    <w:hidden/>
    <w:uiPriority w:val="99"/>
    <w:unhideWhenUsed/>
    <w:qFormat/>
    <w:rPr>
      <w:rFonts w:ascii="Calibri" w:hAnsi="Calibri"/>
      <w:kern w:val="2"/>
      <w:sz w:val="21"/>
      <w:szCs w:val="21"/>
    </w:rPr>
  </w:style>
  <w:style w:type="paragraph" w:customStyle="1" w:styleId="35">
    <w:name w:val="修订3"/>
    <w:hidden/>
    <w:uiPriority w:val="99"/>
    <w:unhideWhenUsed/>
    <w:qFormat/>
    <w:rPr>
      <w:rFonts w:ascii="Calibri" w:hAnsi="Calibri"/>
      <w:kern w:val="2"/>
      <w:sz w:val="21"/>
      <w:szCs w:val="21"/>
    </w:rPr>
  </w:style>
  <w:style w:type="paragraph" w:customStyle="1" w:styleId="311">
    <w:name w:val="修订31"/>
    <w:hidden/>
    <w:uiPriority w:val="99"/>
    <w:unhideWhenUsed/>
    <w:qFormat/>
    <w:rPr>
      <w:rFonts w:ascii="Calibri" w:hAnsi="Calibri"/>
      <w:kern w:val="2"/>
      <w:sz w:val="21"/>
      <w:szCs w:val="21"/>
    </w:rPr>
  </w:style>
  <w:style w:type="paragraph" w:customStyle="1" w:styleId="42">
    <w:name w:val="修订4"/>
    <w:hidden/>
    <w:uiPriority w:val="99"/>
    <w:unhideWhenUsed/>
    <w:qFormat/>
    <w:rPr>
      <w:rFonts w:ascii="Calibri" w:hAnsi="Calibri"/>
      <w:kern w:val="2"/>
      <w:sz w:val="21"/>
      <w:szCs w:val="21"/>
    </w:rPr>
  </w:style>
  <w:style w:type="paragraph" w:customStyle="1" w:styleId="52">
    <w:name w:val="修订5"/>
    <w:hidden/>
    <w:uiPriority w:val="99"/>
    <w:unhideWhenUsed/>
    <w:qFormat/>
    <w:rPr>
      <w:rFonts w:ascii="Calibri" w:hAnsi="Calibri"/>
      <w:kern w:val="2"/>
      <w:sz w:val="21"/>
      <w:szCs w:val="21"/>
    </w:rPr>
  </w:style>
  <w:style w:type="paragraph" w:customStyle="1" w:styleId="62">
    <w:name w:val="修订6"/>
    <w:hidden/>
    <w:uiPriority w:val="99"/>
    <w:unhideWhenUsed/>
    <w:qFormat/>
    <w:rPr>
      <w:rFonts w:ascii="Calibri" w:hAnsi="Calibri"/>
      <w:kern w:val="2"/>
      <w:sz w:val="21"/>
      <w:szCs w:val="21"/>
    </w:rPr>
  </w:style>
  <w:style w:type="character" w:customStyle="1" w:styleId="font01">
    <w:name w:val="font01"/>
    <w:basedOn w:val="afff2"/>
    <w:qFormat/>
    <w:rPr>
      <w:rFonts w:ascii="宋体" w:eastAsia="宋体" w:hAnsi="宋体" w:cs="宋体" w:hint="eastAsia"/>
      <w:color w:val="000000"/>
      <w:sz w:val="18"/>
      <w:szCs w:val="18"/>
      <w:u w:val="none"/>
    </w:rPr>
  </w:style>
  <w:style w:type="paragraph" w:customStyle="1" w:styleId="72">
    <w:name w:val="修订7"/>
    <w:hidden/>
    <w:uiPriority w:val="99"/>
    <w:unhideWhenUsed/>
    <w:qFormat/>
    <w:rPr>
      <w:rFonts w:ascii="Calibri" w:hAnsi="Calibri"/>
      <w:kern w:val="2"/>
      <w:sz w:val="21"/>
      <w:szCs w:val="21"/>
    </w:rPr>
  </w:style>
  <w:style w:type="paragraph" w:customStyle="1" w:styleId="82">
    <w:name w:val="修订8"/>
    <w:hidden/>
    <w:uiPriority w:val="99"/>
    <w:unhideWhenUsed/>
    <w:qFormat/>
    <w:rPr>
      <w:rFonts w:ascii="Calibri" w:hAnsi="Calibri"/>
      <w:kern w:val="2"/>
      <w:sz w:val="21"/>
      <w:szCs w:val="21"/>
    </w:rPr>
  </w:style>
  <w:style w:type="paragraph" w:customStyle="1" w:styleId="92">
    <w:name w:val="修订9"/>
    <w:hidden/>
    <w:uiPriority w:val="99"/>
    <w:unhideWhenUsed/>
    <w:qFormat/>
    <w:rPr>
      <w:rFonts w:ascii="Calibri" w:hAnsi="Calibri"/>
      <w:kern w:val="2"/>
      <w:sz w:val="21"/>
      <w:szCs w:val="21"/>
    </w:rPr>
  </w:style>
  <w:style w:type="paragraph" w:customStyle="1" w:styleId="100">
    <w:name w:val="修订10"/>
    <w:hidden/>
    <w:uiPriority w:val="99"/>
    <w:unhideWhenUsed/>
    <w:qFormat/>
    <w:rPr>
      <w:rFonts w:ascii="Calibri" w:hAnsi="Calibri"/>
      <w:kern w:val="2"/>
      <w:sz w:val="21"/>
      <w:szCs w:val="21"/>
    </w:rPr>
  </w:style>
  <w:style w:type="table" w:customStyle="1" w:styleId="220">
    <w:name w:val="网格型22"/>
    <w:basedOn w:val="afff3"/>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网格型23"/>
    <w:basedOn w:val="afff3"/>
    <w:uiPriority w:val="99"/>
    <w:qFormat/>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
    <w:name w:val="Pa1"/>
    <w:basedOn w:val="Default"/>
    <w:next w:val="Default"/>
    <w:uiPriority w:val="99"/>
    <w:unhideWhenUsed/>
    <w:qFormat/>
    <w:pPr>
      <w:spacing w:line="241" w:lineRule="atLeast"/>
    </w:pPr>
  </w:style>
  <w:style w:type="character" w:customStyle="1" w:styleId="A90">
    <w:name w:val="A9"/>
    <w:uiPriority w:val="99"/>
    <w:unhideWhenUsed/>
    <w:qFormat/>
    <w:rPr>
      <w:rFonts w:hint="eastAsia"/>
      <w:color w:val="211D1E"/>
      <w:sz w:val="20"/>
      <w:szCs w:val="24"/>
    </w:rPr>
  </w:style>
  <w:style w:type="paragraph" w:customStyle="1" w:styleId="Pa2">
    <w:name w:val="Pa2"/>
    <w:basedOn w:val="Default"/>
    <w:next w:val="Default"/>
    <w:uiPriority w:val="99"/>
    <w:unhideWhenUsed/>
    <w:qFormat/>
    <w:pPr>
      <w:spacing w:line="241" w:lineRule="atLeast"/>
    </w:pPr>
  </w:style>
  <w:style w:type="character" w:customStyle="1" w:styleId="A30">
    <w:name w:val="A3"/>
    <w:uiPriority w:val="99"/>
    <w:unhideWhenUsed/>
    <w:qFormat/>
    <w:rPr>
      <w:rFonts w:hint="eastAsia"/>
      <w:color w:val="211D1E"/>
      <w:sz w:val="22"/>
      <w:szCs w:val="24"/>
    </w:rPr>
  </w:style>
  <w:style w:type="paragraph" w:customStyle="1" w:styleId="Style17">
    <w:name w:val="_Style 17"/>
    <w:basedOn w:val="afff1"/>
    <w:next w:val="afffffffffffff6"/>
    <w:uiPriority w:val="34"/>
    <w:qFormat/>
    <w:pPr>
      <w:ind w:firstLineChars="200" w:firstLine="42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345B3F069034A99851F090C7326B95E"/>
        <w:category>
          <w:name w:val="常规"/>
          <w:gallery w:val="placeholder"/>
        </w:category>
        <w:types>
          <w:type w:val="bbPlcHdr"/>
        </w:types>
        <w:behaviors>
          <w:behavior w:val="content"/>
        </w:behaviors>
        <w:guid w:val="{F00195A3-F848-45D6-969B-CD69241E6F8D}"/>
      </w:docPartPr>
      <w:docPartBody>
        <w:p w:rsidR="000F7703" w:rsidRDefault="00000000">
          <w:pPr>
            <w:pStyle w:val="1345B3F069034A99851F090C7326B95E"/>
            <w:rPr>
              <w:rFonts w:hint="eastAsia"/>
            </w:rPr>
          </w:pPr>
          <w:r>
            <w:rPr>
              <w:rStyle w:val="a3"/>
              <w:rFonts w:hint="eastAsia"/>
            </w:rPr>
            <w:t>单击或点击此处输入文字。</w:t>
          </w:r>
        </w:p>
      </w:docPartBody>
    </w:docPart>
    <w:docPart>
      <w:docPartPr>
        <w:name w:val="77EDBA46618F4F9BAB36570CD446646E"/>
        <w:category>
          <w:name w:val="常规"/>
          <w:gallery w:val="placeholder"/>
        </w:category>
        <w:types>
          <w:type w:val="bbPlcHdr"/>
        </w:types>
        <w:behaviors>
          <w:behavior w:val="content"/>
        </w:behaviors>
        <w:guid w:val="{952E1144-6B7B-4B8C-B305-107BC98A69D2}"/>
      </w:docPartPr>
      <w:docPartBody>
        <w:p w:rsidR="000F7703" w:rsidRDefault="00000000">
          <w:pPr>
            <w:pStyle w:val="77EDBA46618F4F9BAB36570CD446646E"/>
            <w:rPr>
              <w:rFonts w:hint="eastAsia"/>
            </w:rPr>
          </w:pPr>
          <w:r>
            <w:rPr>
              <w:rStyle w:val="a3"/>
              <w:rFonts w:hint="eastAsia"/>
            </w:rPr>
            <w:t>选择一项。</w:t>
          </w:r>
        </w:p>
      </w:docPartBody>
    </w:docPart>
    <w:docPart>
      <w:docPartPr>
        <w:name w:val="B823004A3EAB47FCBB3946F10075A711"/>
        <w:category>
          <w:name w:val="常规"/>
          <w:gallery w:val="placeholder"/>
        </w:category>
        <w:types>
          <w:type w:val="bbPlcHdr"/>
        </w:types>
        <w:behaviors>
          <w:behavior w:val="content"/>
        </w:behaviors>
        <w:guid w:val="{C0E9044D-DE7B-4D87-BD91-89814AE4BF8A}"/>
      </w:docPartPr>
      <w:docPartBody>
        <w:p w:rsidR="000F7703" w:rsidRDefault="00000000">
          <w:pPr>
            <w:pStyle w:val="B823004A3EAB47FCBB3946F10075A711"/>
            <w:rPr>
              <w:rFonts w:hint="eastAsia"/>
            </w:rPr>
          </w:pPr>
          <w:r>
            <w:rPr>
              <w:rStyle w:val="a3"/>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default"/>
    <w:sig w:usb0="00000000" w:usb1="00000000" w:usb2="08000012" w:usb3="00000000" w:csb0="0002009F" w:csb1="00000000"/>
  </w:font>
  <w:font w:name="Courier New">
    <w:panose1 w:val="02070309020205020404"/>
    <w:charset w:val="01"/>
    <w:family w:val="modern"/>
    <w:pitch w:val="default"/>
    <w:sig w:usb0="E0002EFF" w:usb1="C0007843" w:usb2="00000009" w:usb3="00000000" w:csb0="400001FF" w:csb1="FFFF0000"/>
  </w:font>
  <w:font w:name="Century Schoolbook">
    <w:panose1 w:val="02040604050505020304"/>
    <w:charset w:val="00"/>
    <w:family w:val="roman"/>
    <w:pitch w:val="default"/>
    <w:sig w:usb0="00000287" w:usb1="000000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020"/>
    <w:rsid w:val="00064020"/>
    <w:rsid w:val="000B6621"/>
    <w:rsid w:val="000F7703"/>
    <w:rsid w:val="001829AD"/>
    <w:rsid w:val="00207956"/>
    <w:rsid w:val="00345DE2"/>
    <w:rsid w:val="003E71F9"/>
    <w:rsid w:val="00475B80"/>
    <w:rsid w:val="00500898"/>
    <w:rsid w:val="00597BC4"/>
    <w:rsid w:val="005E499F"/>
    <w:rsid w:val="007821AF"/>
    <w:rsid w:val="00791EDD"/>
    <w:rsid w:val="008A60BE"/>
    <w:rsid w:val="008E1B16"/>
    <w:rsid w:val="0092484C"/>
    <w:rsid w:val="009725D0"/>
    <w:rsid w:val="009976FB"/>
    <w:rsid w:val="00A73FD4"/>
    <w:rsid w:val="00B62F04"/>
    <w:rsid w:val="00BC0068"/>
    <w:rsid w:val="00C77B2E"/>
    <w:rsid w:val="00E14479"/>
    <w:rsid w:val="00F443BD"/>
    <w:rsid w:val="00F719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Pr>
      <w:color w:val="808080"/>
    </w:rPr>
  </w:style>
  <w:style w:type="paragraph" w:customStyle="1" w:styleId="1345B3F069034A99851F090C7326B95E">
    <w:name w:val="1345B3F069034A99851F090C7326B95E"/>
    <w:qFormat/>
    <w:pPr>
      <w:widowControl w:val="0"/>
      <w:jc w:val="both"/>
    </w:pPr>
    <w:rPr>
      <w:kern w:val="2"/>
      <w:sz w:val="21"/>
      <w:szCs w:val="22"/>
      <w14:ligatures w14:val="standardContextual"/>
    </w:rPr>
  </w:style>
  <w:style w:type="paragraph" w:customStyle="1" w:styleId="77EDBA46618F4F9BAB36570CD446646E">
    <w:name w:val="77EDBA46618F4F9BAB36570CD446646E"/>
    <w:qFormat/>
    <w:pPr>
      <w:widowControl w:val="0"/>
      <w:jc w:val="both"/>
    </w:pPr>
    <w:rPr>
      <w:kern w:val="2"/>
      <w:sz w:val="21"/>
      <w:szCs w:val="22"/>
      <w14:ligatures w14:val="standardContextual"/>
    </w:rPr>
  </w:style>
  <w:style w:type="paragraph" w:customStyle="1" w:styleId="B823004A3EAB47FCBB3946F10075A711">
    <w:name w:val="B823004A3EAB47FCBB3946F10075A711"/>
    <w:qFormat/>
    <w:pPr>
      <w:widowControl w:val="0"/>
      <w:jc w:val="both"/>
    </w:pPr>
    <w:rPr>
      <w:kern w:val="2"/>
      <w:sz w:val="21"/>
      <w:szCs w:val="2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C39CF907-54C7-453B-8712-3C64AF8AB54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3570</Words>
  <Characters>20353</Characters>
  <Application>Microsoft Office Word</Application>
  <DocSecurity>0</DocSecurity>
  <Lines>169</Lines>
  <Paragraphs>47</Paragraphs>
  <ScaleCrop>false</ScaleCrop>
  <Company>PCMI</Company>
  <LinksUpToDate>false</LinksUpToDate>
  <CharactersWithSpaces>23876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团体标准</dc:title>
  <dc:creator>hx</dc:creator>
  <dc:description>&lt;config cover="true" show_menu="true" version="1.0.0" doctype="SDKXY"&gt;_x000d_
&lt;/config&gt;</dc:description>
  <cp:lastModifiedBy>松岩 王</cp:lastModifiedBy>
  <cp:revision>22</cp:revision>
  <cp:lastPrinted>2021-02-02T08:22:00Z</cp:lastPrinted>
  <dcterms:created xsi:type="dcterms:W3CDTF">2024-01-04T08:09:00Z</dcterms:created>
  <dcterms:modified xsi:type="dcterms:W3CDTF">2026-09-11T00:47:00Z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团体标准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-1</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ProductBuildVer">
    <vt:lpwstr>2052-12.1.0.28505</vt:lpwstr>
  </property>
  <property fmtid="{D5CDD505-2E9C-101B-9397-08002B2CF9AE}" pid="15" name="ICV">
    <vt:lpwstr>7F32E1FDC3FD48DD8120B45D71173133_13</vt:lpwstr>
  </property>
  <property fmtid="{D5CDD505-2E9C-101B-9397-08002B2CF9AE}" pid="16" name="KSOTemplateDocerSaveRecord">
    <vt:lpwstr>eyJoZGlkIjoiZjM0N2FiNDFiNzA2Y2VkZmJiZDRkMThmZjdjNzVjOTQiLCJ1c2VySWQiOiIzNTcwOTAzNDgifQ==</vt:lpwstr>
  </property>
</Properties>
</file>