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391BD">
      <w:pPr>
        <w:pStyle w:val="3"/>
        <w:spacing w:line="360" w:lineRule="auto"/>
        <w:ind w:firstLine="480" w:firstLineChars="200"/>
        <w:rPr>
          <w:lang w:eastAsia="zh-CN"/>
        </w:rPr>
      </w:pPr>
      <w:bookmarkStart w:id="0" w:name="中国汽车行业esg信息披露指南"/>
    </w:p>
    <w:p w14:paraId="6B8AE004">
      <w:pPr>
        <w:pStyle w:val="3"/>
        <w:spacing w:line="360" w:lineRule="auto"/>
        <w:ind w:firstLine="480" w:firstLineChars="200"/>
        <w:rPr>
          <w:lang w:eastAsia="zh-CN"/>
        </w:rPr>
      </w:pPr>
    </w:p>
    <w:p w14:paraId="49C0E9EC">
      <w:pPr>
        <w:pStyle w:val="3"/>
        <w:spacing w:line="360" w:lineRule="auto"/>
        <w:ind w:firstLine="480" w:firstLineChars="200"/>
        <w:rPr>
          <w:lang w:eastAsia="zh-CN"/>
        </w:rPr>
      </w:pPr>
    </w:p>
    <w:p w14:paraId="08DACEF1">
      <w:pPr>
        <w:pStyle w:val="3"/>
        <w:spacing w:line="360" w:lineRule="auto"/>
        <w:ind w:firstLine="803" w:firstLineChars="200"/>
        <w:jc w:val="center"/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  <w:t>《中国汽车行业ESG信息披露指南》</w:t>
      </w:r>
      <w:bookmarkEnd w:id="0"/>
    </w:p>
    <w:p w14:paraId="4D419C9C">
      <w:pPr>
        <w:pStyle w:val="3"/>
        <w:spacing w:line="360" w:lineRule="auto"/>
        <w:ind w:firstLine="803" w:firstLineChars="200"/>
        <w:jc w:val="center"/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</w:pPr>
      <w:bookmarkStart w:id="1" w:name="征求意见稿编制说明"/>
      <w:r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  <w:t>编制说明</w:t>
      </w:r>
      <w:bookmarkEnd w:id="1"/>
    </w:p>
    <w:p w14:paraId="6921FB30">
      <w:pPr>
        <w:pStyle w:val="3"/>
        <w:spacing w:line="360" w:lineRule="auto"/>
        <w:ind w:firstLine="480" w:firstLineChars="200"/>
        <w:jc w:val="center"/>
        <w:rPr>
          <w:rFonts w:hint="eastAsia" w:ascii="宋体" w:hAnsi="宋体" w:eastAsia="宋体" w:cs="宋体"/>
          <w:lang w:eastAsia="zh-CN"/>
        </w:rPr>
      </w:pPr>
    </w:p>
    <w:p w14:paraId="57AE5D91">
      <w:pPr>
        <w:pStyle w:val="3"/>
        <w:spacing w:line="360" w:lineRule="auto"/>
        <w:ind w:firstLine="480" w:firstLineChars="200"/>
        <w:jc w:val="center"/>
        <w:rPr>
          <w:rFonts w:hint="eastAsia" w:ascii="宋体" w:hAnsi="宋体" w:eastAsia="宋体" w:cs="宋体"/>
          <w:lang w:eastAsia="zh-CN"/>
        </w:rPr>
      </w:pPr>
    </w:p>
    <w:p w14:paraId="57486A8D">
      <w:pPr>
        <w:pStyle w:val="3"/>
        <w:spacing w:line="360" w:lineRule="auto"/>
        <w:ind w:firstLine="480" w:firstLineChars="200"/>
        <w:jc w:val="center"/>
        <w:rPr>
          <w:rFonts w:hint="eastAsia" w:ascii="宋体" w:hAnsi="宋体" w:eastAsia="宋体" w:cs="宋体"/>
          <w:lang w:eastAsia="zh-CN"/>
        </w:rPr>
      </w:pPr>
    </w:p>
    <w:p w14:paraId="102C8C20">
      <w:pPr>
        <w:pStyle w:val="3"/>
        <w:spacing w:line="360" w:lineRule="auto"/>
        <w:ind w:firstLine="480" w:firstLineChars="200"/>
        <w:jc w:val="center"/>
        <w:rPr>
          <w:rFonts w:hint="eastAsia" w:ascii="宋体" w:hAnsi="宋体" w:eastAsia="宋体" w:cs="宋体"/>
          <w:lang w:eastAsia="zh-CN"/>
        </w:rPr>
      </w:pPr>
    </w:p>
    <w:p w14:paraId="1808667E">
      <w:pPr>
        <w:pStyle w:val="3"/>
        <w:spacing w:line="360" w:lineRule="auto"/>
        <w:ind w:firstLine="480" w:firstLineChars="200"/>
        <w:jc w:val="center"/>
        <w:rPr>
          <w:rFonts w:hint="eastAsia" w:ascii="宋体" w:hAnsi="宋体" w:eastAsia="宋体" w:cs="宋体"/>
          <w:lang w:eastAsia="zh-CN"/>
        </w:rPr>
      </w:pPr>
    </w:p>
    <w:p w14:paraId="1550B276">
      <w:pPr>
        <w:pStyle w:val="3"/>
        <w:spacing w:line="360" w:lineRule="auto"/>
        <w:ind w:firstLine="480" w:firstLineChars="200"/>
        <w:jc w:val="center"/>
        <w:rPr>
          <w:rFonts w:hint="eastAsia" w:ascii="宋体" w:hAnsi="宋体" w:eastAsia="宋体" w:cs="宋体"/>
          <w:lang w:eastAsia="zh-CN"/>
        </w:rPr>
      </w:pPr>
    </w:p>
    <w:p w14:paraId="53DB25AB">
      <w:pPr>
        <w:pStyle w:val="3"/>
        <w:spacing w:line="360" w:lineRule="auto"/>
        <w:ind w:firstLine="643" w:firstLineChars="20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bookmarkStart w:id="2" w:name="标准工作组"/>
    </w:p>
    <w:p w14:paraId="1940F1EE">
      <w:pPr>
        <w:pStyle w:val="3"/>
        <w:spacing w:line="360" w:lineRule="auto"/>
        <w:ind w:firstLine="643" w:firstLineChars="20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</w:p>
    <w:p w14:paraId="6B8E0502">
      <w:pPr>
        <w:pStyle w:val="3"/>
        <w:spacing w:line="360" w:lineRule="auto"/>
        <w:ind w:firstLine="643" w:firstLineChars="20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</w:p>
    <w:p w14:paraId="42631DDB">
      <w:pPr>
        <w:pStyle w:val="3"/>
        <w:spacing w:line="360" w:lineRule="auto"/>
        <w:ind w:firstLine="643" w:firstLineChars="20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</w:p>
    <w:p w14:paraId="6F7D2569">
      <w:pPr>
        <w:pStyle w:val="3"/>
        <w:spacing w:line="360" w:lineRule="auto"/>
        <w:ind w:firstLine="643" w:firstLineChars="20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标准工作组</w:t>
      </w:r>
      <w:bookmarkEnd w:id="2"/>
    </w:p>
    <w:p w14:paraId="2F111898">
      <w:pPr>
        <w:pStyle w:val="3"/>
        <w:spacing w:line="360" w:lineRule="auto"/>
        <w:ind w:firstLine="643" w:firstLineChars="20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bookmarkStart w:id="3" w:name="年9月"/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2026年9月</w:t>
      </w:r>
      <w:bookmarkEnd w:id="3"/>
    </w:p>
    <w:p w14:paraId="3DE944FA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rFonts w:hint="eastAsia"/>
          <w:lang w:eastAsia="zh-CN"/>
        </w:rPr>
        <w:br w:type="page"/>
      </w:r>
    </w:p>
    <w:sdt>
      <w:sdtPr>
        <w:rPr>
          <w:rFonts w:ascii="宋体" w:hAnsi="宋体" w:eastAsia="宋体"/>
          <w:sz w:val="21"/>
        </w:rPr>
        <w:id w:val="147463562"/>
        <w15:color w:val="DBDBDB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HAnsi"/>
          <w:sz w:val="24"/>
        </w:rPr>
      </w:sdtEndPr>
      <w:sdtContent>
        <w:p w14:paraId="390808C8">
          <w:pPr>
            <w:spacing w:after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0445B1F5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TOC \o "1-1" \h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"_Toc26349" </w:instrText>
          </w:r>
          <w:r>
            <w:fldChar w:fldCharType="separate"/>
          </w:r>
          <w:r>
            <w:t>一、工作简要过程</w:t>
          </w:r>
          <w:r>
            <w:tab/>
          </w:r>
          <w:r>
            <w:fldChar w:fldCharType="begin"/>
          </w:r>
          <w:r>
            <w:instrText xml:space="preserve"> PAGEREF _Toc26349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00C8BA8E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"_Toc26271" </w:instrText>
          </w:r>
          <w:r>
            <w:fldChar w:fldCharType="separate"/>
          </w:r>
          <w:r>
            <w:t>二、披露指南编制原则</w:t>
          </w:r>
          <w:r>
            <w:tab/>
          </w:r>
          <w:r>
            <w:fldChar w:fldCharType="begin"/>
          </w:r>
          <w:r>
            <w:instrText xml:space="preserve"> PAGEREF _Toc26271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2FA9960E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"_Toc11083" </w:instrText>
          </w:r>
          <w:r>
            <w:fldChar w:fldCharType="separate"/>
          </w:r>
          <w:r>
            <w:t>三、采用国际标准和国外先进标准情况</w:t>
          </w:r>
          <w:r>
            <w:tab/>
          </w:r>
          <w:r>
            <w:fldChar w:fldCharType="begin"/>
          </w:r>
          <w:r>
            <w:instrText xml:space="preserve"> PAGEREF _Toc11083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17EE60F8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"_Toc29422" </w:instrText>
          </w:r>
          <w:r>
            <w:fldChar w:fldCharType="separate"/>
          </w:r>
          <w:r>
            <w:t>四、主要内容</w:t>
          </w:r>
          <w:r>
            <w:tab/>
          </w:r>
          <w:r>
            <w:fldChar w:fldCharType="begin"/>
          </w:r>
          <w:r>
            <w:instrText xml:space="preserve"> PAGEREF _Toc29422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2F0ACCD2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"_Toc30786" </w:instrText>
          </w:r>
          <w:r>
            <w:fldChar w:fldCharType="separate"/>
          </w:r>
          <w:r>
            <w:t>五、与现行法律、法规和政策及相关标准的协调性</w:t>
          </w:r>
          <w:r>
            <w:tab/>
          </w:r>
          <w:r>
            <w:fldChar w:fldCharType="begin"/>
          </w:r>
          <w:r>
            <w:instrText xml:space="preserve"> PAGEREF _Toc30786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4C605165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"_Toc15353" </w:instrText>
          </w:r>
          <w:r>
            <w:fldChar w:fldCharType="separate"/>
          </w:r>
          <w:r>
            <w:t>六、贯彻标准的要求和措施</w:t>
          </w:r>
          <w:r>
            <w:tab/>
          </w:r>
          <w:r>
            <w:fldChar w:fldCharType="begin"/>
          </w:r>
          <w:r>
            <w:instrText xml:space="preserve"> PAGEREF _Toc15353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261F5B42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"_Toc31854" </w:instrText>
          </w:r>
          <w:r>
            <w:fldChar w:fldCharType="separate"/>
          </w:r>
          <w:r>
            <w:t>七、其他需要说明的事项</w:t>
          </w:r>
          <w:r>
            <w:tab/>
          </w:r>
          <w:r>
            <w:fldChar w:fldCharType="begin"/>
          </w:r>
          <w:r>
            <w:instrText xml:space="preserve"> PAGEREF _Toc31854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1BFCC0C1">
          <w:pPr>
            <w:pStyle w:val="3"/>
            <w:spacing w:line="360" w:lineRule="auto"/>
            <w:ind w:firstLine="480" w:firstLineChars="200"/>
          </w:pPr>
          <w:r>
            <w:fldChar w:fldCharType="end"/>
          </w:r>
        </w:p>
      </w:sdtContent>
    </w:sdt>
    <w:p w14:paraId="4A7B746B">
      <w:pPr>
        <w:pStyle w:val="3"/>
        <w:spacing w:line="360" w:lineRule="auto"/>
        <w:ind w:firstLine="480" w:firstLineChars="200"/>
      </w:pPr>
    </w:p>
    <w:p w14:paraId="7D2E1192">
      <w:pPr>
        <w:pStyle w:val="3"/>
        <w:spacing w:line="360" w:lineRule="auto"/>
        <w:ind w:firstLine="480" w:firstLineChars="200"/>
      </w:pPr>
    </w:p>
    <w:p w14:paraId="6B651309">
      <w:pPr>
        <w:pStyle w:val="3"/>
        <w:spacing w:line="360" w:lineRule="auto"/>
        <w:ind w:firstLine="480" w:firstLineChars="200"/>
      </w:pPr>
    </w:p>
    <w:p w14:paraId="1F9829FF">
      <w:pPr>
        <w:pStyle w:val="3"/>
        <w:spacing w:line="360" w:lineRule="auto"/>
        <w:ind w:firstLine="480" w:firstLineChars="200"/>
      </w:pPr>
    </w:p>
    <w:p w14:paraId="2B8FDA81">
      <w:pPr>
        <w:pStyle w:val="3"/>
        <w:spacing w:line="360" w:lineRule="auto"/>
        <w:ind w:firstLine="480" w:firstLineChars="200"/>
      </w:pPr>
    </w:p>
    <w:p w14:paraId="48BE498D">
      <w:pPr>
        <w:pStyle w:val="3"/>
        <w:spacing w:line="360" w:lineRule="auto"/>
        <w:ind w:firstLine="480" w:firstLineChars="200"/>
      </w:pPr>
    </w:p>
    <w:p w14:paraId="47187306">
      <w:pPr>
        <w:pStyle w:val="3"/>
        <w:spacing w:line="360" w:lineRule="auto"/>
        <w:ind w:firstLine="480" w:firstLineChars="200"/>
      </w:pPr>
    </w:p>
    <w:p w14:paraId="10018DFE">
      <w:pPr>
        <w:pStyle w:val="3"/>
        <w:spacing w:line="360" w:lineRule="auto"/>
        <w:ind w:firstLine="480" w:firstLineChars="200"/>
      </w:pPr>
    </w:p>
    <w:p w14:paraId="26B0F076">
      <w:pPr>
        <w:pStyle w:val="3"/>
        <w:spacing w:line="360" w:lineRule="auto"/>
        <w:ind w:firstLine="480" w:firstLineChars="200"/>
      </w:pPr>
    </w:p>
    <w:p w14:paraId="6D05B8A1">
      <w:pPr>
        <w:pStyle w:val="3"/>
        <w:spacing w:line="360" w:lineRule="auto"/>
      </w:pPr>
    </w:p>
    <w:p w14:paraId="0F88E98F">
      <w:pPr>
        <w:pStyle w:val="2"/>
        <w:sectPr>
          <w:pgSz w:w="12240" w:h="15840"/>
          <w:pgMar w:top="1440" w:right="1800" w:bottom="1440" w:left="1800" w:header="720" w:footer="720" w:gutter="0"/>
          <w:cols w:space="720" w:num="1"/>
        </w:sectPr>
      </w:pPr>
      <w:bookmarkStart w:id="4" w:name="_Toc26349"/>
      <w:bookmarkStart w:id="5" w:name="一工作简要过程"/>
    </w:p>
    <w:p w14:paraId="1274CA2D">
      <w:pPr>
        <w:pStyle w:val="2"/>
        <w:rPr>
          <w:lang w:eastAsia="zh-CN"/>
        </w:rPr>
      </w:pPr>
      <w:r>
        <w:rPr>
          <w:lang w:eastAsia="zh-CN"/>
        </w:rPr>
        <w:t>一、工作简要过程</w:t>
      </w:r>
      <w:bookmarkEnd w:id="4"/>
      <w:bookmarkEnd w:id="5"/>
    </w:p>
    <w:p w14:paraId="257CCECE">
      <w:pPr>
        <w:pStyle w:val="4"/>
        <w:rPr>
          <w:lang w:eastAsia="zh-CN"/>
        </w:rPr>
      </w:pPr>
      <w:bookmarkStart w:id="6" w:name="任务来源"/>
      <w:r>
        <w:rPr>
          <w:lang w:eastAsia="zh-CN"/>
        </w:rPr>
        <w:t>1、任务来源</w:t>
      </w:r>
      <w:bookmarkEnd w:id="6"/>
    </w:p>
    <w:p w14:paraId="40167FFD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在气候变化日益加剧，环境保护迫在眉睫的大背景下，如何实现可持续发展已成为全球共同关注的话题，ESG理念与可持续发展、“双碳”目标、生态文明建设的方向一致，在国际国内社会逐渐受到关注。汽车行业是国民经济的支柱产业之一，产业链长，涉及面广、带动性强，国际化程度高，在国民经济和社会发展中占据着重要地位。持续推动中国汽车行业高质量发展，是深入贯彻党的二十大精神，落实习近平生态文明思想、奋进强国建设的重要举措。而践行高质量发展要求面临更大的挑战、需要付出更大的努力，这对于汽车行业企业推进ESG工作提出了更高的要求。</w:t>
      </w:r>
    </w:p>
    <w:p w14:paraId="3A38EDDE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汽车行业已积极开展社会责任管理建设相关工作，并以此为基础进一步推动ESG相关工作。2023年5月18日，中国汽车工业协会标准法规工作委员会汽车行业ESG及社会责任专委会（以下简称“专委会”）成立。专委会旨在充分发挥联系政府、服务行业的桥梁和纽带作用，持续开展行业ESG指引与团体标准研究，探索搭建ESG国际交流平台，增强企业ESG意识、管理水平和工作能力，促进汽车企业更好融入国际可持续发展体系。</w:t>
      </w:r>
    </w:p>
    <w:p w14:paraId="350A3923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rFonts w:hint="eastAsia"/>
          <w:lang w:eastAsia="zh-CN"/>
        </w:rPr>
        <w:t>2023年，中国汽车工业协会发布了《中国汽车行业ESG信息披露指南》（T/CAAMTB 171—2023）（以下简称披露指南），为汽车行业企业开展ESG信息披露提供了基础性指导。标准发布实施以来，有效推动了行业ESG信息披露的规范化建设，但在实际应用过程中，也反映出部分指标可操作性有待提升、与国际最新ESG披露趋势衔接需进一步深化、行业特定议题的披露要求需更加细化等问题。与此同时，国内外ESG信息披露要求持续演进。国际可持续准则理事会（ISSB）已发布《国际财务报告可持续披露准则第1号——可持续相关财务信息披露一般要求》（IFRS S1）和《国际财务报告可持续披露准则第2号——气候相关披露》（IFRS S2），欧盟《企业可持续发展报告指令》（CSRD）及《欧洲可持续发展报告准则》（ESRS）逐步落地，联交所也持续修订优化其《环境、社会及管治报告指引》。国内层面，沪深北三大交易所同步发布可持续发展报告指引，对上市公司ESG信息披露提出明确要求。上述变化对汽车行业企业的ESG信息披露实践提出了新的挑战与更高要求。因此，对《披露指南》进行修订意义重大。本次修订充分吸收标准实施以来的实践经验，对接国际ESG信息披露最新趋势，结合我国汽车行业ESG管理实践发展，进一步优化指标体系，提升标准的适用性和可操作性，为汽车行业企业编制ESG报告、推动ESG管理等工作提供更完善的指导和参考，同时为推进行业ESG建设提供理论依据，有利于提升汽车行业企业外部评价和整体责任形象。2026年，《披露指南》修订编制工作正式启动。经过行业研究、文稿编制、行业研讨，目前已经形成《披露指南》（征求意见稿），现将《披露指南》（征求意见稿）面向社会公布并征求意见。</w:t>
      </w:r>
    </w:p>
    <w:p w14:paraId="643EC53C">
      <w:pPr>
        <w:pStyle w:val="4"/>
        <w:rPr>
          <w:lang w:eastAsia="zh-CN"/>
        </w:rPr>
      </w:pPr>
      <w:bookmarkStart w:id="7" w:name="主要起草单位"/>
      <w:r>
        <w:rPr>
          <w:lang w:eastAsia="zh-CN"/>
        </w:rPr>
        <w:t>2、主要起草单位</w:t>
      </w:r>
      <w:bookmarkEnd w:id="7"/>
    </w:p>
    <w:p w14:paraId="5721809D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在本披露指南的研究制定工作过程中，与行业专家进行了多次研讨，取得了大量有建设性的意见、建议，确保了本标准的制定质量。主要起草单位名单如下：</w:t>
      </w:r>
    </w:p>
    <w:p w14:paraId="3B4FDD81">
      <w:pPr>
        <w:pStyle w:val="3"/>
        <w:spacing w:line="360" w:lineRule="auto"/>
        <w:ind w:firstLine="480" w:firstLineChars="200"/>
        <w:jc w:val="both"/>
        <w:rPr>
          <w:highlight w:val="yellow"/>
          <w:lang w:eastAsia="zh-CN"/>
        </w:rPr>
      </w:pPr>
      <w:bookmarkStart w:id="8" w:name="主要起草人"/>
      <w:r>
        <w:rPr>
          <w:rFonts w:hint="eastAsia" w:ascii="宋体" w:hAnsi="宋体" w:eastAsia="宋体" w:cs="宋体"/>
          <w:lang w:eastAsia="zh-CN"/>
        </w:rPr>
        <w:t>本文件起草单位：中国汽车工业协会、浙江吉利控股集团有限公司、广州汽车集团股份有限公司、中国汽车工程研究院股份有限公司、责扬天下（北京）管理顾问有限公司、中国第一汽车集团有限公司、重庆长安汽车股份有限公司、上海汽车集团股份有限公司、北京汽车集团有限公司、奇瑞控股集团有限公司、理想汽车、上海蔚来汽车有限公司、厦门金龙汽车集团股份有限公司、广汽本田汽车有限公司、沃尔沃汽车（亚太）投资控股有限公司、宁德时代新能源科技有限公司、米其林（中国）</w:t>
      </w:r>
      <w:r>
        <w:rPr>
          <w:lang w:eastAsia="zh-CN"/>
        </w:rPr>
        <w:t xml:space="preserve"> </w:t>
      </w:r>
      <w:r>
        <w:rPr>
          <w:rFonts w:hint="eastAsia" w:ascii="宋体" w:hAnsi="宋体" w:eastAsia="宋体" w:cs="宋体"/>
          <w:lang w:eastAsia="zh-CN"/>
        </w:rPr>
        <w:t>投资有限公司、贝卡尔特（中国）技术研发有限公司、上海国际汽车城（集团）有限公司、中国汽车技术研究中心有限公司、中国乡村发展基金会、中国标准化研究院、中国信息通信研究院、北京车之家信息技术有限公司、三花控股集团有限公司。</w:t>
      </w:r>
    </w:p>
    <w:p w14:paraId="01F168DF">
      <w:pPr>
        <w:pStyle w:val="4"/>
        <w:rPr>
          <w:lang w:eastAsia="zh-CN"/>
        </w:rPr>
      </w:pPr>
      <w:r>
        <w:rPr>
          <w:lang w:eastAsia="zh-CN"/>
        </w:rPr>
        <w:t>3、主要起草人</w:t>
      </w:r>
      <w:bookmarkEnd w:id="8"/>
    </w:p>
    <w:p w14:paraId="2550DFAC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主</w:t>
      </w:r>
      <w:r>
        <w:rPr>
          <w:rFonts w:hint="eastAsia" w:ascii="宋体" w:hAnsi="宋体" w:eastAsia="宋体" w:cs="宋体"/>
          <w:lang w:eastAsia="zh-CN"/>
        </w:rPr>
        <w:t>本文件主要起草人：李邵华、伊鸣、尚蛟、黄兴、林波、代奕波、管竹笋、尹捷、张小燕、岳海燕、陈晓宁、姜南、赵贵平、李妍如、刘先、桂飞、王浩然、谢萌、曹政、吕家正、马文雄、杨松玲、郭跃宁、潘学兴、郭佳栋、仲崇毅、吴俊贤、冯会健、丁亚冬、黎钊、李芳、林翎、丁晴、常琳、张炜明、刘鑫、金辉、侯楚卿、陈颖、文琦、贺倩、张蕊、黄石旦、戚伊琳。</w:t>
      </w:r>
    </w:p>
    <w:p w14:paraId="2AA186DB">
      <w:pPr>
        <w:pStyle w:val="4"/>
        <w:rPr>
          <w:lang w:eastAsia="zh-CN"/>
        </w:rPr>
      </w:pPr>
      <w:bookmarkStart w:id="9" w:name="标准研讨情况"/>
      <w:r>
        <w:rPr>
          <w:lang w:eastAsia="zh-CN"/>
        </w:rPr>
        <w:t>4、标准研讨情况</w:t>
      </w:r>
      <w:bookmarkEnd w:id="9"/>
    </w:p>
    <w:p w14:paraId="11BF40F9">
      <w:pPr>
        <w:pStyle w:val="3"/>
        <w:spacing w:line="360" w:lineRule="auto"/>
        <w:ind w:firstLine="480" w:firstLineChars="200"/>
        <w:rPr>
          <w:lang w:eastAsia="zh-CN"/>
        </w:rPr>
      </w:pPr>
      <w:bookmarkStart w:id="10" w:name="基础研究"/>
      <w:r>
        <w:rPr>
          <w:lang w:eastAsia="zh-CN"/>
        </w:rPr>
        <w:t>（1）基础研究</w:t>
      </w:r>
      <w:bookmarkEnd w:id="10"/>
    </w:p>
    <w:p w14:paraId="712C59E2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rFonts w:hint="eastAsia"/>
          <w:lang w:eastAsia="zh-CN"/>
        </w:rPr>
        <w:t>编制组通过对A股可持续发展信息披露指引、国际可持续准则理事会（ISSB）《国际财务报告可持续披露准则第1号——可持续相关财务信息披露一般要求》（IFRS S1）、《国际财务报告可持续披露准则第2号——气候相关披露》（IFRS S2）、联交所《环境、社会及管治报告指引》、GB/T 36000-2015《社会责任指南》等国内外的ESG信息披露指标体系及其他行业ESG信息披露的研究分析，结合已编制的《中国汽车行业社会责任指南》以及行业自身特点，挖掘符合汽车行业的重点指标，为《披露指南》修订提供理论依据。</w:t>
      </w:r>
    </w:p>
    <w:p w14:paraId="4D81339A">
      <w:pPr>
        <w:pStyle w:val="3"/>
        <w:spacing w:line="360" w:lineRule="auto"/>
        <w:ind w:firstLine="480" w:firstLineChars="200"/>
        <w:rPr>
          <w:lang w:eastAsia="zh-CN"/>
        </w:rPr>
      </w:pPr>
      <w:bookmarkStart w:id="11" w:name="披露指南研讨"/>
      <w:r>
        <w:rPr>
          <w:lang w:eastAsia="zh-CN"/>
        </w:rPr>
        <w:t>（2）披露指南研讨</w:t>
      </w:r>
      <w:bookmarkEnd w:id="11"/>
    </w:p>
    <w:p w14:paraId="70A58890">
      <w:pPr>
        <w:pStyle w:val="3"/>
        <w:spacing w:line="360" w:lineRule="auto"/>
        <w:ind w:firstLine="480" w:firstLineChars="200"/>
        <w:rPr>
          <w:rFonts w:eastAsiaTheme="minorEastAsia"/>
          <w:lang w:eastAsia="zh-CN"/>
        </w:rPr>
      </w:pPr>
      <w:r>
        <w:rPr>
          <w:lang w:eastAsia="zh-CN"/>
        </w:rPr>
        <w:t>202</w:t>
      </w:r>
      <w:r>
        <w:rPr>
          <w:rFonts w:hint="eastAsia"/>
          <w:lang w:eastAsia="zh-CN"/>
        </w:rPr>
        <w:t>6</w:t>
      </w:r>
      <w:r>
        <w:rPr>
          <w:lang w:eastAsia="zh-CN"/>
        </w:rPr>
        <w:t>年</w:t>
      </w:r>
      <w:r>
        <w:rPr>
          <w:rFonts w:hint="eastAsia"/>
          <w:lang w:eastAsia="zh-CN"/>
        </w:rPr>
        <w:t xml:space="preserve"> 4</w:t>
      </w:r>
      <w:r>
        <w:rPr>
          <w:lang w:eastAsia="zh-CN"/>
        </w:rPr>
        <w:t>月</w:t>
      </w:r>
      <w:r>
        <w:rPr>
          <w:rFonts w:hint="eastAsia"/>
          <w:lang w:eastAsia="zh-CN"/>
        </w:rPr>
        <w:t xml:space="preserve"> 29</w:t>
      </w:r>
      <w:r>
        <w:rPr>
          <w:lang w:eastAsia="zh-CN"/>
        </w:rPr>
        <w:t>日，召开《中国汽车行业ESG信息披露指南》标准</w:t>
      </w:r>
      <w:r>
        <w:rPr>
          <w:rFonts w:hint="eastAsia" w:ascii="宋体" w:hAnsi="宋体" w:eastAsia="宋体" w:cs="宋体"/>
          <w:lang w:eastAsia="zh-CN"/>
        </w:rPr>
        <w:t>修订</w:t>
      </w:r>
      <w:r>
        <w:rPr>
          <w:lang w:eastAsia="zh-CN"/>
        </w:rPr>
        <w:t>立项</w:t>
      </w:r>
      <w:r>
        <w:rPr>
          <w:rFonts w:hint="eastAsia" w:ascii="宋体" w:hAnsi="宋体" w:eastAsia="宋体" w:cs="宋体"/>
          <w:lang w:eastAsia="zh-CN"/>
        </w:rPr>
        <w:t>专家评审会</w:t>
      </w:r>
      <w:r>
        <w:rPr>
          <w:lang w:eastAsia="zh-CN"/>
        </w:rPr>
        <w:t>。</w:t>
      </w:r>
      <w:r>
        <w:rPr>
          <w:rFonts w:hint="eastAsia" w:ascii="宋体" w:hAnsi="宋体" w:eastAsia="宋体" w:cs="宋体"/>
          <w:lang w:eastAsia="zh-CN"/>
        </w:rPr>
        <w:t>与会专家</w:t>
      </w:r>
      <w:r>
        <w:rPr>
          <w:lang w:eastAsia="zh-CN"/>
        </w:rPr>
        <w:t>就标准</w:t>
      </w:r>
      <w:r>
        <w:rPr>
          <w:rFonts w:hint="eastAsia"/>
          <w:lang w:eastAsia="zh-CN"/>
        </w:rPr>
        <w:t>修订</w:t>
      </w:r>
      <w:r>
        <w:rPr>
          <w:lang w:eastAsia="zh-CN"/>
        </w:rPr>
        <w:t>的必要性、指南框架等进行讨论，对技术创新、应对气候变化等议题提出相关建议</w:t>
      </w:r>
      <w:r>
        <w:rPr>
          <w:rFonts w:hint="eastAsia" w:ascii="宋体" w:hAnsi="宋体" w:eastAsia="宋体" w:cs="宋体"/>
          <w:lang w:eastAsia="zh-CN"/>
        </w:rPr>
        <w:t>，经评估同意开展标准修订工作</w:t>
      </w:r>
      <w:r>
        <w:rPr>
          <w:lang w:eastAsia="zh-CN"/>
        </w:rPr>
        <w:t>。</w:t>
      </w:r>
    </w:p>
    <w:p w14:paraId="3E0B69E3">
      <w:pPr>
        <w:pStyle w:val="3"/>
        <w:spacing w:line="360" w:lineRule="auto"/>
        <w:ind w:firstLine="480" w:firstLineChars="200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2026年7月10日，召开《中国汽车行业ESG信息披露指南》标准修订内部研讨会，结合外部最新可持续发展管理要求、汽车行业企业特点以及标准前期</w:t>
      </w:r>
      <w:r>
        <w:rPr>
          <w:rFonts w:hint="eastAsia" w:eastAsiaTheme="minorEastAsia"/>
          <w:lang w:val="en-US" w:eastAsia="zh-CN"/>
        </w:rPr>
        <w:t>实践</w:t>
      </w:r>
      <w:r>
        <w:rPr>
          <w:rFonts w:eastAsiaTheme="minorEastAsia"/>
          <w:lang w:eastAsia="zh-CN"/>
        </w:rPr>
        <w:t>情况，对《中国汽车行业ESG信息披露指南》（讨论稿）进行充分沟通讨论，围绕标准修订方向、具体指标设置以及气候变化、科技创新、数字化管理、ESG治理等进行重点讨论，根据讨论意见对《中国汽车行业ESG信息披露指南》文本进一步修改完善和调整优化，最终形成征求意见稿。</w:t>
      </w:r>
    </w:p>
    <w:p w14:paraId="779ED675">
      <w:pPr>
        <w:shd w:val="clear" w:color="auto" w:fill="FFFFFF"/>
        <w:spacing w:after="192" w:line="360" w:lineRule="auto"/>
        <w:ind w:firstLine="480" w:firstLineChars="200"/>
        <w:rPr>
          <w:rFonts w:hint="eastAsia" w:eastAsiaTheme="minorEastAsia"/>
          <w:lang w:eastAsia="zh-CN"/>
        </w:rPr>
      </w:pPr>
      <w:r>
        <w:rPr>
          <w:rFonts w:ascii="宋体" w:hAnsi="宋体" w:cs="微软雅黑"/>
          <w:szCs w:val="32"/>
          <w:lang w:eastAsia="zh-CN"/>
        </w:rPr>
        <w:t>2026</w:t>
      </w:r>
      <w:r>
        <w:rPr>
          <w:rFonts w:hint="eastAsia" w:ascii="宋体" w:hAnsi="宋体" w:eastAsia="宋体" w:cs="宋体"/>
          <w:szCs w:val="32"/>
          <w:lang w:eastAsia="zh-CN"/>
        </w:rPr>
        <w:t>年</w:t>
      </w:r>
      <w:r>
        <w:rPr>
          <w:rFonts w:ascii="宋体" w:hAnsi="宋体" w:cs="微软雅黑"/>
          <w:szCs w:val="32"/>
          <w:lang w:eastAsia="zh-CN"/>
        </w:rPr>
        <w:t>8</w:t>
      </w:r>
      <w:r>
        <w:rPr>
          <w:rFonts w:hint="eastAsia" w:ascii="宋体" w:hAnsi="宋体" w:eastAsia="宋体" w:cs="宋体"/>
          <w:szCs w:val="32"/>
          <w:lang w:eastAsia="zh-CN"/>
        </w:rPr>
        <w:t>月</w:t>
      </w:r>
      <w:r>
        <w:rPr>
          <w:rFonts w:ascii="宋体" w:hAnsi="宋体" w:cs="微软雅黑"/>
          <w:szCs w:val="32"/>
          <w:lang w:eastAsia="zh-CN"/>
        </w:rPr>
        <w:t>6</w:t>
      </w:r>
      <w:r>
        <w:rPr>
          <w:rFonts w:hint="eastAsia" w:ascii="宋体" w:hAnsi="宋体" w:eastAsia="宋体" w:cs="宋体"/>
          <w:szCs w:val="32"/>
          <w:lang w:eastAsia="zh-CN"/>
        </w:rPr>
        <w:t>日对标准修订再次召开线上讨论会，结合最新行业发展情况，对部分文本内容进行了调整细化，最终形成征求意见稿。</w:t>
      </w:r>
    </w:p>
    <w:p w14:paraId="317072FE">
      <w:pPr>
        <w:pStyle w:val="2"/>
        <w:rPr>
          <w:lang w:eastAsia="zh-CN"/>
        </w:rPr>
      </w:pPr>
      <w:bookmarkStart w:id="12" w:name="二披露指南编制原则"/>
      <w:bookmarkStart w:id="13" w:name="_Toc26271"/>
      <w:r>
        <w:rPr>
          <w:lang w:eastAsia="zh-CN"/>
        </w:rPr>
        <w:t>二、披露指南编制原则</w:t>
      </w:r>
      <w:bookmarkEnd w:id="12"/>
      <w:bookmarkEnd w:id="13"/>
    </w:p>
    <w:p w14:paraId="41F84ECB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本披露指南的制定依据以下原则：</w:t>
      </w:r>
    </w:p>
    <w:p w14:paraId="6DF39763">
      <w:pPr>
        <w:pStyle w:val="4"/>
        <w:rPr>
          <w:lang w:eastAsia="zh-CN"/>
        </w:rPr>
      </w:pPr>
      <w:bookmarkStart w:id="14" w:name="适用性原则"/>
      <w:r>
        <w:rPr>
          <w:lang w:eastAsia="zh-CN"/>
        </w:rPr>
        <w:t>1. 适用性原则</w:t>
      </w:r>
      <w:bookmarkEnd w:id="14"/>
    </w:p>
    <w:p w14:paraId="3503A268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本披露指南的编制充分考虑与我国现行法律法规和技术标准相符合，重点考虑可操作性，便于标准的实施。</w:t>
      </w:r>
    </w:p>
    <w:p w14:paraId="677A49EB">
      <w:pPr>
        <w:pStyle w:val="4"/>
        <w:rPr>
          <w:lang w:eastAsia="zh-CN"/>
        </w:rPr>
      </w:pPr>
      <w:bookmarkStart w:id="15" w:name="规范性原则"/>
      <w:r>
        <w:rPr>
          <w:lang w:eastAsia="zh-CN"/>
        </w:rPr>
        <w:t>2. 规范性原则</w:t>
      </w:r>
      <w:bookmarkEnd w:id="15"/>
    </w:p>
    <w:p w14:paraId="5972A9EA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本披露指南根据《中华人民共和国标准化法》、GB/T 1.1-2020《标准化工作导则 第1部分：标准化文件的结构和起草规则》进行编制。</w:t>
      </w:r>
    </w:p>
    <w:p w14:paraId="1EED6547">
      <w:pPr>
        <w:pStyle w:val="4"/>
        <w:rPr>
          <w:lang w:eastAsia="zh-CN"/>
        </w:rPr>
      </w:pPr>
      <w:bookmarkStart w:id="16" w:name="信息披露基本原则"/>
      <w:r>
        <w:rPr>
          <w:lang w:eastAsia="zh-CN"/>
        </w:rPr>
        <w:t>3. 信息披露基本原则</w:t>
      </w:r>
      <w:bookmarkEnd w:id="16"/>
    </w:p>
    <w:p w14:paraId="14532485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本披露指南确立了六项ESG信息披露基本原则，为企业开展ESG信息披露提</w:t>
      </w:r>
      <w:r>
        <w:rPr>
          <w:rFonts w:hint="eastAsia"/>
          <w:lang w:eastAsia="zh-CN"/>
        </w:rPr>
        <w:t>供指导：</w:t>
      </w:r>
    </w:p>
    <w:tbl>
      <w:tblPr>
        <w:tblStyle w:val="3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1289"/>
        <w:gridCol w:w="6621"/>
      </w:tblGrid>
      <w:tr w14:paraId="066EF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pct"/>
            <w:vAlign w:val="bottom"/>
          </w:tcPr>
          <w:p w14:paraId="54ACBFFB">
            <w:pPr>
              <w:pStyle w:val="3"/>
              <w:spacing w:line="360" w:lineRule="auto"/>
              <w:jc w:val="center"/>
            </w:pPr>
            <w:r>
              <w:t>条款</w:t>
            </w:r>
          </w:p>
        </w:tc>
        <w:tc>
          <w:tcPr>
            <w:tcW w:w="728" w:type="pct"/>
            <w:vAlign w:val="bottom"/>
          </w:tcPr>
          <w:p w14:paraId="024DECD5">
            <w:pPr>
              <w:pStyle w:val="3"/>
              <w:spacing w:line="360" w:lineRule="auto"/>
              <w:jc w:val="center"/>
            </w:pPr>
            <w:r>
              <w:t>原则</w:t>
            </w:r>
          </w:p>
        </w:tc>
        <w:tc>
          <w:tcPr>
            <w:tcW w:w="3738" w:type="pct"/>
            <w:vAlign w:val="bottom"/>
          </w:tcPr>
          <w:p w14:paraId="02836965">
            <w:pPr>
              <w:pStyle w:val="3"/>
              <w:spacing w:line="360" w:lineRule="auto"/>
              <w:jc w:val="center"/>
            </w:pPr>
            <w:r>
              <w:t>核心含义</w:t>
            </w:r>
          </w:p>
        </w:tc>
      </w:tr>
      <w:tr w14:paraId="6D5C8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pct"/>
          </w:tcPr>
          <w:p w14:paraId="6ACBE79C">
            <w:pPr>
              <w:pStyle w:val="3"/>
              <w:spacing w:line="360" w:lineRule="auto"/>
            </w:pPr>
            <w:r>
              <w:t>4.2</w:t>
            </w:r>
          </w:p>
        </w:tc>
        <w:tc>
          <w:tcPr>
            <w:tcW w:w="728" w:type="pct"/>
          </w:tcPr>
          <w:p w14:paraId="2B812B85">
            <w:pPr>
              <w:pStyle w:val="3"/>
              <w:spacing w:line="360" w:lineRule="auto"/>
            </w:pPr>
            <w:r>
              <w:t>完整全面</w:t>
            </w:r>
          </w:p>
        </w:tc>
        <w:tc>
          <w:tcPr>
            <w:tcW w:w="3738" w:type="pct"/>
          </w:tcPr>
          <w:p w14:paraId="156F6403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覆盖环境、社会、治理重要决策和活动，全面系统披露ESG目标、实践及绩效</w:t>
            </w:r>
          </w:p>
        </w:tc>
      </w:tr>
      <w:tr w14:paraId="57EF4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pct"/>
          </w:tcPr>
          <w:p w14:paraId="10BFB3E0">
            <w:pPr>
              <w:pStyle w:val="3"/>
              <w:spacing w:line="360" w:lineRule="auto"/>
            </w:pPr>
            <w:r>
              <w:t>4.3</w:t>
            </w:r>
          </w:p>
        </w:tc>
        <w:tc>
          <w:tcPr>
            <w:tcW w:w="728" w:type="pct"/>
          </w:tcPr>
          <w:p w14:paraId="256456F1">
            <w:pPr>
              <w:pStyle w:val="3"/>
              <w:spacing w:line="360" w:lineRule="auto"/>
            </w:pPr>
            <w:r>
              <w:t>客观准确</w:t>
            </w:r>
          </w:p>
        </w:tc>
        <w:tc>
          <w:tcPr>
            <w:tcW w:w="3738" w:type="pct"/>
          </w:tcPr>
          <w:p w14:paraId="156828BB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信息来源真实可靠，方法科学合理，不夸大、不淡化、不捏造</w:t>
            </w:r>
          </w:p>
        </w:tc>
      </w:tr>
      <w:tr w14:paraId="1880A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pct"/>
          </w:tcPr>
          <w:p w14:paraId="113164DF">
            <w:pPr>
              <w:pStyle w:val="3"/>
              <w:spacing w:line="360" w:lineRule="auto"/>
            </w:pPr>
            <w:r>
              <w:t>4.4</w:t>
            </w:r>
          </w:p>
        </w:tc>
        <w:tc>
          <w:tcPr>
            <w:tcW w:w="728" w:type="pct"/>
          </w:tcPr>
          <w:p w14:paraId="2EF77449">
            <w:pPr>
              <w:pStyle w:val="3"/>
              <w:spacing w:line="360" w:lineRule="auto"/>
            </w:pPr>
            <w:r>
              <w:t>实质回应</w:t>
            </w:r>
          </w:p>
        </w:tc>
        <w:tc>
          <w:tcPr>
            <w:tcW w:w="3738" w:type="pct"/>
          </w:tcPr>
          <w:p w14:paraId="6634F3FA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披露对利益相关方的重大影响，回应重大关切</w:t>
            </w:r>
          </w:p>
        </w:tc>
      </w:tr>
      <w:tr w14:paraId="6FE5C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pct"/>
          </w:tcPr>
          <w:p w14:paraId="1AA2A4E9">
            <w:pPr>
              <w:pStyle w:val="3"/>
              <w:spacing w:line="360" w:lineRule="auto"/>
            </w:pPr>
            <w:r>
              <w:t>4.5</w:t>
            </w:r>
          </w:p>
        </w:tc>
        <w:tc>
          <w:tcPr>
            <w:tcW w:w="728" w:type="pct"/>
          </w:tcPr>
          <w:p w14:paraId="6C9D429A">
            <w:pPr>
              <w:pStyle w:val="3"/>
              <w:spacing w:line="360" w:lineRule="auto"/>
            </w:pPr>
            <w:r>
              <w:t>及时可比</w:t>
            </w:r>
          </w:p>
        </w:tc>
        <w:tc>
          <w:tcPr>
            <w:tcW w:w="3738" w:type="pct"/>
          </w:tcPr>
          <w:p w14:paraId="6811047B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时效性强，与以往时段、行业或类似组织绩效可比</w:t>
            </w:r>
          </w:p>
        </w:tc>
      </w:tr>
      <w:tr w14:paraId="6DA4C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pct"/>
          </w:tcPr>
          <w:p w14:paraId="5D8F1A8E">
            <w:pPr>
              <w:pStyle w:val="3"/>
              <w:spacing w:line="360" w:lineRule="auto"/>
            </w:pPr>
            <w:r>
              <w:t>4.6</w:t>
            </w:r>
          </w:p>
        </w:tc>
        <w:tc>
          <w:tcPr>
            <w:tcW w:w="728" w:type="pct"/>
          </w:tcPr>
          <w:p w14:paraId="55FA9C1E">
            <w:pPr>
              <w:pStyle w:val="3"/>
              <w:spacing w:line="360" w:lineRule="auto"/>
            </w:pPr>
            <w:r>
              <w:t>易读易懂</w:t>
            </w:r>
          </w:p>
        </w:tc>
        <w:tc>
          <w:tcPr>
            <w:tcW w:w="3738" w:type="pct"/>
          </w:tcPr>
          <w:p w14:paraId="0A43FF45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通俗易懂，使用图表，术语需解释说明</w:t>
            </w:r>
          </w:p>
        </w:tc>
      </w:tr>
      <w:tr w14:paraId="621C0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pct"/>
          </w:tcPr>
          <w:p w14:paraId="64AA9C3F">
            <w:pPr>
              <w:pStyle w:val="3"/>
              <w:spacing w:line="360" w:lineRule="auto"/>
            </w:pPr>
            <w:r>
              <w:t>4.7</w:t>
            </w:r>
          </w:p>
        </w:tc>
        <w:tc>
          <w:tcPr>
            <w:tcW w:w="728" w:type="pct"/>
          </w:tcPr>
          <w:p w14:paraId="00391C7E">
            <w:pPr>
              <w:pStyle w:val="3"/>
              <w:spacing w:line="360" w:lineRule="auto"/>
            </w:pPr>
            <w:r>
              <w:t>获取方便</w:t>
            </w:r>
          </w:p>
        </w:tc>
        <w:tc>
          <w:tcPr>
            <w:tcW w:w="3738" w:type="pct"/>
          </w:tcPr>
          <w:p w14:paraId="2A06CE10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披露信息便于利益相关方获取，明确获取途径</w:t>
            </w:r>
          </w:p>
        </w:tc>
      </w:tr>
    </w:tbl>
    <w:p w14:paraId="699751D0">
      <w:pPr>
        <w:pStyle w:val="3"/>
        <w:spacing w:line="360" w:lineRule="auto"/>
        <w:ind w:firstLine="480" w:firstLineChars="200"/>
        <w:rPr>
          <w:lang w:eastAsia="zh-CN"/>
        </w:rPr>
      </w:pPr>
    </w:p>
    <w:p w14:paraId="6D2A7BB1">
      <w:pPr>
        <w:pStyle w:val="2"/>
        <w:rPr>
          <w:lang w:eastAsia="zh-CN"/>
        </w:rPr>
      </w:pPr>
      <w:bookmarkStart w:id="17" w:name="三采用国际标准和国外先进标准情况"/>
      <w:bookmarkStart w:id="18" w:name="_Toc11083"/>
      <w:r>
        <w:rPr>
          <w:lang w:eastAsia="zh-CN"/>
        </w:rPr>
        <w:t>三、采用国际标准和国外先进标准情况</w:t>
      </w:r>
      <w:bookmarkEnd w:id="17"/>
      <w:bookmarkEnd w:id="18"/>
    </w:p>
    <w:p w14:paraId="11D81B0E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本披露指南属于团体标准，与现行</w:t>
      </w:r>
      <w:r>
        <w:rPr>
          <w:rFonts w:hint="eastAsia" w:eastAsia="宋体"/>
          <w:lang w:eastAsia="zh-CN"/>
        </w:rPr>
        <w:t>法律法规</w:t>
      </w:r>
      <w:r>
        <w:rPr>
          <w:lang w:eastAsia="zh-CN"/>
        </w:rPr>
        <w:t>、规章和政策以及有关基础和相关标准不矛盾。本文件主要参考及引用的标准文件如下：</w:t>
      </w:r>
    </w:p>
    <w:p w14:paraId="2A92B557">
      <w:pPr>
        <w:pStyle w:val="3"/>
        <w:spacing w:line="360" w:lineRule="auto"/>
        <w:ind w:firstLine="480" w:firstLineChars="200"/>
      </w:pPr>
      <w:bookmarkStart w:id="19" w:name="规范性引用文件"/>
      <w:r>
        <w:t>规范性引用文件</w:t>
      </w:r>
      <w:bookmarkEnd w:id="19"/>
    </w:p>
    <w:tbl>
      <w:tblPr>
        <w:tblStyle w:val="32"/>
        <w:tblW w:w="492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8"/>
        <w:gridCol w:w="6149"/>
      </w:tblGrid>
      <w:tr w14:paraId="1ACE8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bottom"/>
          </w:tcPr>
          <w:p w14:paraId="5943887F">
            <w:pPr>
              <w:pStyle w:val="3"/>
              <w:spacing w:line="360" w:lineRule="auto"/>
              <w:jc w:val="center"/>
            </w:pPr>
            <w:r>
              <w:t>标准号</w:t>
            </w:r>
          </w:p>
        </w:tc>
        <w:tc>
          <w:tcPr>
            <w:tcW w:w="3523" w:type="pct"/>
            <w:vAlign w:val="bottom"/>
          </w:tcPr>
          <w:p w14:paraId="0ED84B54">
            <w:pPr>
              <w:pStyle w:val="3"/>
              <w:spacing w:line="360" w:lineRule="auto"/>
              <w:jc w:val="center"/>
            </w:pPr>
            <w:r>
              <w:t>名称</w:t>
            </w:r>
          </w:p>
        </w:tc>
      </w:tr>
      <w:tr w14:paraId="683B6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0BDA633">
            <w:pPr>
              <w:pStyle w:val="3"/>
              <w:spacing w:line="360" w:lineRule="auto"/>
            </w:pPr>
            <w:r>
              <w:t>GB/T 36000-2015</w:t>
            </w:r>
          </w:p>
        </w:tc>
        <w:tc>
          <w:tcPr>
            <w:tcW w:w="3523" w:type="pct"/>
          </w:tcPr>
          <w:p w14:paraId="069DA123">
            <w:pPr>
              <w:pStyle w:val="3"/>
              <w:spacing w:line="360" w:lineRule="auto"/>
            </w:pPr>
            <w:r>
              <w:t>社会责任指南</w:t>
            </w:r>
          </w:p>
        </w:tc>
      </w:tr>
      <w:tr w14:paraId="36F18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B08C943">
            <w:pPr>
              <w:pStyle w:val="3"/>
              <w:spacing w:line="360" w:lineRule="auto"/>
            </w:pPr>
            <w:r>
              <w:t>GB/T 39001-2019</w:t>
            </w:r>
          </w:p>
        </w:tc>
        <w:tc>
          <w:tcPr>
            <w:tcW w:w="3523" w:type="pct"/>
          </w:tcPr>
          <w:p w14:paraId="2B1DF29F">
            <w:pPr>
              <w:pStyle w:val="3"/>
              <w:spacing w:line="360" w:lineRule="auto"/>
            </w:pPr>
            <w:r>
              <w:t>道路交通安全管理体系 要求及使用指南</w:t>
            </w:r>
          </w:p>
        </w:tc>
      </w:tr>
      <w:tr w14:paraId="2C7B2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B71B636">
            <w:pPr>
              <w:pStyle w:val="3"/>
              <w:spacing w:line="360" w:lineRule="auto"/>
            </w:pPr>
            <w:r>
              <w:t>GB/T 39061-2020</w:t>
            </w:r>
          </w:p>
        </w:tc>
        <w:tc>
          <w:tcPr>
            <w:tcW w:w="3523" w:type="pct"/>
          </w:tcPr>
          <w:p w14:paraId="0468330D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汽车产品召回编号规则与编号应用</w:t>
            </w:r>
          </w:p>
        </w:tc>
      </w:tr>
    </w:tbl>
    <w:p w14:paraId="0CE94A8C">
      <w:pPr>
        <w:pStyle w:val="3"/>
        <w:spacing w:line="360" w:lineRule="auto"/>
        <w:ind w:firstLine="480" w:firstLineChars="200"/>
        <w:rPr>
          <w:lang w:eastAsia="zh-CN"/>
        </w:rPr>
      </w:pPr>
      <w:bookmarkStart w:id="20" w:name="主要参考标准及法律法规"/>
      <w:r>
        <w:rPr>
          <w:lang w:eastAsia="zh-CN"/>
        </w:rPr>
        <w:t>主要参考标准及法律法规</w:t>
      </w:r>
      <w:bookmarkEnd w:id="20"/>
    </w:p>
    <w:p w14:paraId="52BD8C43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[1]GB/T 19001-2016 质量管理体系 要求</w:t>
      </w:r>
    </w:p>
    <w:p w14:paraId="23475CA2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[2]GB/T 23331-2020 能源管理体系 要求及使用指南</w:t>
      </w:r>
    </w:p>
    <w:p w14:paraId="437ECA79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[3]GB/T 24001-2016 环境管理体系 要求及使用指南</w:t>
      </w:r>
    </w:p>
    <w:p w14:paraId="25DBF3E7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[4]GB/T 24353-2022 风险管理指南</w:t>
      </w:r>
    </w:p>
    <w:p w14:paraId="4736F455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[5]GB/T 36001—2015 社会责任报告编写指南</w:t>
      </w:r>
    </w:p>
    <w:p w14:paraId="47A0C5FC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[6]GB/T 36002—2015 社会责任绩效分类指引</w:t>
      </w:r>
    </w:p>
    <w:p w14:paraId="245233EF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[7]GB/T 45001-2020 职业健康安全管理体系 要求及使用指南</w:t>
      </w:r>
    </w:p>
    <w:p w14:paraId="724CB820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[8]ISO 14001:2015 环境管理体系 要求及使用指南</w:t>
      </w:r>
    </w:p>
    <w:p w14:paraId="536F0DF3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[9]T/CAAMTB 67-2022 中国汽车行业社会责任指南</w:t>
      </w:r>
    </w:p>
    <w:p w14:paraId="371FE13D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[10]中华人民共和国生态环境法典</w:t>
      </w:r>
    </w:p>
    <w:p w14:paraId="735832B4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]中华人民共和国劳动法</w:t>
      </w:r>
    </w:p>
    <w:p w14:paraId="7442E84B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[12]中华人民共和国公司法</w:t>
      </w:r>
    </w:p>
    <w:p w14:paraId="0AB2872C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[13]中华人民共和国反不正当竞争法</w:t>
      </w:r>
    </w:p>
    <w:p w14:paraId="2069CE15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[14]中华人民共和国反垄断法</w:t>
      </w:r>
    </w:p>
    <w:p w14:paraId="55445E64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[15]缺陷汽车产品召回管理条例</w:t>
      </w:r>
    </w:p>
    <w:p w14:paraId="642DE796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[16]缺陷汽车产品召回管理条例实施办法</w:t>
      </w:r>
    </w:p>
    <w:p w14:paraId="5D923D84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[17]全球报告倡议组织可持续发展报告标准（GRI Standards）</w:t>
      </w:r>
    </w:p>
    <w:p w14:paraId="5E8C27CA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联合国气候变化框架公约</w:t>
      </w:r>
    </w:p>
    <w:p w14:paraId="10FD02F9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[19]国际可持续准则理事会 国际财务报告可持续披露准则第1号——可持续相关财务信息披露一般 要求、国际财务报告可持续披露准则第2号——气候相关披露</w:t>
      </w:r>
    </w:p>
    <w:p w14:paraId="67D55670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[20]上海证券交易所 上市公司自律监管指引第14号——可持续发展报告（试行）</w:t>
      </w:r>
    </w:p>
    <w:p w14:paraId="62311B53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[21]深圳证券交易所上市公司自律监管指引 第17号——可持续发展报告（试行）</w:t>
      </w:r>
    </w:p>
    <w:p w14:paraId="74EF48B5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[22]北京证券交易所上市公司持续监管指引第11号——可持续发展报告（试行）</w:t>
      </w:r>
    </w:p>
    <w:p w14:paraId="367D2ED7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[2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]上海证券交易所上</w:t>
      </w:r>
      <w:bookmarkStart w:id="38" w:name="_GoBack"/>
      <w:bookmarkEnd w:id="38"/>
      <w:r>
        <w:rPr>
          <w:rFonts w:hint="eastAsia"/>
          <w:lang w:eastAsia="zh-CN"/>
        </w:rPr>
        <w:t>市公司自律监管指南第4号——可持续发展报告编制</w:t>
      </w:r>
    </w:p>
    <w:p w14:paraId="006725B0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[24]深圳证券交易所上市公司自律监管指南-第3号——可持续发展报告编制</w:t>
      </w:r>
    </w:p>
    <w:p w14:paraId="353985FA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[25]北京证券交易所上市公司可持续发展报告编制指南</w:t>
      </w:r>
    </w:p>
    <w:p w14:paraId="2D1FA6D1">
      <w:pPr>
        <w:pStyle w:val="3"/>
        <w:spacing w:line="360" w:lineRule="auto"/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[26]香港联合交易所主板上市规则 附录C2 环境、社会及管治报告守则</w:t>
      </w:r>
    </w:p>
    <w:p w14:paraId="1CBCD69D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rFonts w:hint="eastAsia"/>
          <w:lang w:eastAsia="zh-CN"/>
        </w:rPr>
        <w:t>[27]中国上市公司协会 上市公司可持续发展报告工作指南</w:t>
      </w:r>
    </w:p>
    <w:p w14:paraId="13821570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rFonts w:hint="eastAsia"/>
          <w:lang w:eastAsia="zh-CN"/>
        </w:rPr>
        <w:br w:type="page"/>
      </w:r>
    </w:p>
    <w:p w14:paraId="007D1959">
      <w:pPr>
        <w:pStyle w:val="2"/>
        <w:rPr>
          <w:lang w:eastAsia="zh-CN"/>
        </w:rPr>
      </w:pPr>
      <w:bookmarkStart w:id="21" w:name="四主要内容"/>
      <w:bookmarkStart w:id="22" w:name="_Toc29422"/>
      <w:r>
        <w:rPr>
          <w:lang w:eastAsia="zh-CN"/>
        </w:rPr>
        <w:t>四、主要内容</w:t>
      </w:r>
      <w:bookmarkEnd w:id="21"/>
      <w:bookmarkEnd w:id="22"/>
    </w:p>
    <w:p w14:paraId="5A420C86">
      <w:pPr>
        <w:pStyle w:val="4"/>
        <w:rPr>
          <w:lang w:eastAsia="zh-CN"/>
        </w:rPr>
      </w:pPr>
      <w:bookmarkStart w:id="23" w:name="基础部分"/>
      <w:r>
        <w:rPr>
          <w:lang w:eastAsia="zh-CN"/>
        </w:rPr>
        <w:t>1. 基础部分</w:t>
      </w:r>
      <w:bookmarkEnd w:id="23"/>
    </w:p>
    <w:p w14:paraId="32E75C6E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对披露指南的使用范围、所涉及规范性引用文件、术语定义进行规定。</w:t>
      </w:r>
    </w:p>
    <w:p w14:paraId="70D1AE8A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本披露指南适用于汽车行业的整车企业及</w:t>
      </w:r>
      <w:r>
        <w:rPr>
          <w:rFonts w:hint="eastAsia" w:eastAsia="宋体"/>
          <w:lang w:eastAsia="zh-CN"/>
        </w:rPr>
        <w:t>供应链</w:t>
      </w:r>
      <w:r>
        <w:rPr>
          <w:lang w:eastAsia="zh-CN"/>
        </w:rPr>
        <w:t>企业。</w:t>
      </w:r>
    </w:p>
    <w:p w14:paraId="3721E862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本文件界定了环境、社会和治理（ESG）、利益相关方、召回、</w:t>
      </w:r>
      <w:r>
        <w:rPr>
          <w:rFonts w:hint="eastAsia"/>
          <w:lang w:eastAsia="zh-CN"/>
        </w:rPr>
        <w:t>气候变化、生物多样性保护、社区</w:t>
      </w:r>
      <w:r>
        <w:rPr>
          <w:lang w:eastAsia="zh-CN"/>
        </w:rPr>
        <w:t>等术语和定义。</w:t>
      </w:r>
    </w:p>
    <w:p w14:paraId="2ADCC202">
      <w:pPr>
        <w:pStyle w:val="4"/>
        <w:rPr>
          <w:lang w:eastAsia="zh-CN"/>
        </w:rPr>
      </w:pPr>
      <w:bookmarkStart w:id="24" w:name="信息披露基本原则-1"/>
      <w:r>
        <w:rPr>
          <w:lang w:eastAsia="zh-CN"/>
        </w:rPr>
        <w:t>2. 信息披露基本原则</w:t>
      </w:r>
      <w:bookmarkEnd w:id="24"/>
    </w:p>
    <w:p w14:paraId="720B885C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确立了完整全面、客观准确、实质回应、及时可比、易读易懂、获取方便六项基本原则。</w:t>
      </w:r>
    </w:p>
    <w:p w14:paraId="3F7B361F">
      <w:pPr>
        <w:pStyle w:val="4"/>
        <w:rPr>
          <w:lang w:eastAsia="zh-CN"/>
        </w:rPr>
      </w:pPr>
      <w:bookmarkStart w:id="25" w:name="信息披露策划"/>
      <w:r>
        <w:rPr>
          <w:lang w:eastAsia="zh-CN"/>
        </w:rPr>
        <w:t>3. 信息披露策划</w:t>
      </w:r>
      <w:bookmarkEnd w:id="25"/>
    </w:p>
    <w:p w14:paraId="74D8111C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规定了信息披露范围、频率、形式和内容。</w:t>
      </w:r>
    </w:p>
    <w:p w14:paraId="201554D0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范围：企业需解释ESG报告汇报范围和边界，说明下属业务、公司、合资公司确定过程；因并购、重组等原因无法纳入范围的下属公司须单独说明；范围变动需解释原因。</w:t>
      </w:r>
    </w:p>
    <w:p w14:paraId="6D6369EE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频率：宜常态化披露，年度ESG报告尽量定期发布；发生重大事件或重大变化时及时披露。</w:t>
      </w:r>
    </w:p>
    <w:p w14:paraId="19E3BC69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形式：可通过权威媒体、企业官网官微等平台披露；可通过开放日、走进企业、利益相关方沟通会等活动沟通。</w:t>
      </w:r>
    </w:p>
    <w:p w14:paraId="50BFBFD1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内容：包括基本背景信息（企业概况、最高管理者ESG承诺、ESG战略、ESG治理架构、实质性议题分析）和ESG绩效信息。</w:t>
      </w:r>
    </w:p>
    <w:p w14:paraId="672E8D30">
      <w:pPr>
        <w:pStyle w:val="4"/>
        <w:rPr>
          <w:lang w:eastAsia="zh-CN"/>
        </w:rPr>
      </w:pPr>
      <w:bookmarkStart w:id="26" w:name="信息披露流程"/>
      <w:r>
        <w:rPr>
          <w:lang w:eastAsia="zh-CN"/>
        </w:rPr>
        <w:t>4. 信息披露流程</w:t>
      </w:r>
      <w:bookmarkEnd w:id="26"/>
    </w:p>
    <w:p w14:paraId="7FEB6996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规定了ESG报告编制和发布的主要流程：组建报告编制小组 → 制定工作计划 → 策划报告内容 → 收集整理报告信息 → 编制报告 → 发布报告。同时规定了其他ESG信息披露流程：披露目的确定 → 实质性议题确定 → 披露形式选择 → 披露框架选择 → 信息搜集整理 → 披露。</w:t>
      </w:r>
    </w:p>
    <w:p w14:paraId="053EA910">
      <w:pPr>
        <w:pStyle w:val="4"/>
        <w:rPr>
          <w:lang w:eastAsia="zh-CN"/>
        </w:rPr>
      </w:pPr>
      <w:bookmarkStart w:id="27" w:name="提升信息披露的可信性"/>
      <w:r>
        <w:rPr>
          <w:lang w:eastAsia="zh-CN"/>
        </w:rPr>
        <w:t>5. 提升信息披露的可信性</w:t>
      </w:r>
      <w:bookmarkEnd w:id="27"/>
    </w:p>
    <w:p w14:paraId="4FE8912B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从提升ESG活动本身可信性和信息披露时提升可信性两个维度，规定了加强利益相关方参与、参加特定认证、纳入独立相关方提供保证、提高披露绩效可比性、进行第三方审验等措施。</w:t>
      </w:r>
    </w:p>
    <w:p w14:paraId="28160DF7">
      <w:pPr>
        <w:pStyle w:val="4"/>
        <w:rPr>
          <w:lang w:eastAsia="zh-CN"/>
        </w:rPr>
      </w:pPr>
      <w:bookmarkStart w:id="28" w:name="核心主题信息披露参考指标体系"/>
      <w:r>
        <w:rPr>
          <w:lang w:eastAsia="zh-CN"/>
        </w:rPr>
        <w:t>6. 核心主题——信息披露参考指标体系</w:t>
      </w:r>
      <w:bookmarkEnd w:id="28"/>
    </w:p>
    <w:p w14:paraId="7122936B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本文件附录A为</w:t>
      </w:r>
      <w:r>
        <w:rPr>
          <w:rFonts w:hint="eastAsia"/>
          <w:lang w:val="en-US" w:eastAsia="zh-CN"/>
        </w:rPr>
        <w:t>资料</w:t>
      </w:r>
      <w:r>
        <w:rPr>
          <w:lang w:eastAsia="zh-CN"/>
        </w:rPr>
        <w:t>性附录，针对汽车行业特征，构建了三大维度、18个议题、6</w:t>
      </w:r>
      <w:r>
        <w:rPr>
          <w:rFonts w:hint="eastAsia"/>
          <w:lang w:val="en-US" w:eastAsia="zh-CN"/>
        </w:rPr>
        <w:t>9</w:t>
      </w:r>
      <w:r>
        <w:rPr>
          <w:lang w:eastAsia="zh-CN"/>
        </w:rPr>
        <w:t>个一级指标的ESG信息披露参考指标体系，具体如下：</w:t>
      </w:r>
    </w:p>
    <w:p w14:paraId="567E7624">
      <w:pPr>
        <w:pStyle w:val="3"/>
        <w:spacing w:line="360" w:lineRule="auto"/>
        <w:ind w:firstLine="480" w:firstLineChars="200"/>
      </w:pPr>
      <w:bookmarkStart w:id="29" w:name="一环境维度"/>
      <w:r>
        <w:t>（一）环境维度</w:t>
      </w:r>
      <w:bookmarkEnd w:id="29"/>
    </w:p>
    <w:tbl>
      <w:tblPr>
        <w:tblStyle w:val="32"/>
        <w:tblW w:w="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8"/>
        <w:gridCol w:w="7098"/>
      </w:tblGrid>
      <w:tr w14:paraId="1D02A4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C873019">
            <w:pPr>
              <w:pStyle w:val="3"/>
              <w:spacing w:line="360" w:lineRule="auto"/>
              <w:ind w:firstLine="480" w:firstLineChars="200"/>
            </w:pPr>
            <w:r>
              <w:t>议题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94D13EF">
            <w:pPr>
              <w:pStyle w:val="3"/>
              <w:spacing w:line="360" w:lineRule="auto"/>
              <w:ind w:firstLine="480" w:firstLineChars="200"/>
            </w:pPr>
            <w:r>
              <w:t>一级指标</w:t>
            </w:r>
          </w:p>
        </w:tc>
      </w:tr>
      <w:tr w14:paraId="16F1A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9982D">
            <w:pPr>
              <w:pStyle w:val="3"/>
              <w:spacing w:line="360" w:lineRule="auto"/>
            </w:pPr>
            <w:r>
              <w:t>应对气候变化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FB5E3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应对气候变化治理、应对气候变化战略、气候变化相关影响/风险和机遇管理、应对气候变化的指标与目标、温室气体排放情况</w:t>
            </w:r>
          </w:p>
        </w:tc>
      </w:tr>
      <w:tr w14:paraId="37694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A742F0">
            <w:pPr>
              <w:pStyle w:val="3"/>
              <w:spacing w:line="360" w:lineRule="auto"/>
            </w:pPr>
            <w:r>
              <w:t>污染物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BFD55F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污染物减排措施、污染物减排目标与进展、污染物处理措施及成效、污染物合规处理情况、污染物排放情况</w:t>
            </w:r>
          </w:p>
        </w:tc>
      </w:tr>
      <w:tr w14:paraId="5B1F7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7D3548">
            <w:pPr>
              <w:pStyle w:val="3"/>
              <w:spacing w:line="360" w:lineRule="auto"/>
            </w:pPr>
            <w:r>
              <w:t>废弃物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71FDB9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废弃物减排措施、废弃物减排目标与进展、废弃物处置措施、废弃物排放情况</w:t>
            </w:r>
          </w:p>
        </w:tc>
      </w:tr>
      <w:tr w14:paraId="3A287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571C02">
            <w:pPr>
              <w:pStyle w:val="3"/>
              <w:spacing w:line="360" w:lineRule="auto"/>
            </w:pPr>
            <w:r>
              <w:t>循环经济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DA4F7F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资源循环利用举措、资源循环利用目标与进展、资源循环利用情况</w:t>
            </w:r>
          </w:p>
        </w:tc>
      </w:tr>
      <w:tr w14:paraId="54A78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1C7834">
            <w:pPr>
              <w:pStyle w:val="3"/>
              <w:spacing w:line="360" w:lineRule="auto"/>
            </w:pPr>
            <w:r>
              <w:t>能源利用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C481E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能源节约举措、能源节约目标与进展、能源使用情况、清洁能源使用情况</w:t>
            </w:r>
          </w:p>
        </w:tc>
      </w:tr>
      <w:tr w14:paraId="6F510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4A2A14">
            <w:pPr>
              <w:pStyle w:val="3"/>
              <w:spacing w:line="360" w:lineRule="auto"/>
            </w:pPr>
            <w:r>
              <w:t>水资源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D2213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水资源节约举措、水资源节约目标与进展、水资源使用情况</w:t>
            </w:r>
          </w:p>
        </w:tc>
      </w:tr>
      <w:tr w14:paraId="20734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8B3BE8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生态系统和生物多样性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5FE23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减轻生态系统和生物多样性影响、保护生态系统和生物多样性</w:t>
            </w:r>
          </w:p>
        </w:tc>
      </w:tr>
      <w:tr w14:paraId="1FC43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E30316">
            <w:pPr>
              <w:pStyle w:val="3"/>
              <w:spacing w:line="360" w:lineRule="auto"/>
            </w:pPr>
            <w:r>
              <w:t>环境合规管理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A0CA6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环境管理体系建设、环境应急管理、环境保护投入、环境保护培训</w:t>
            </w:r>
          </w:p>
        </w:tc>
      </w:tr>
    </w:tbl>
    <w:p w14:paraId="4646B06B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环境维度关键定量指标示例：范围一/二/三温室气体排放量（吨二氧化碳当量）、氮氧化物/PM/VOCs/非甲烷总烃排放量（吨）、氨氮/化学需氧量/生化需氧量排放量（吨）、无害废弃物/有害废弃物总量（吨）、废弃物回收量（吨）、整车设计可回收利用率（%）、直接/间接能源消耗量（吨标煤）、清洁能源使用占比（%）、总用水量/取水量（吨）、环境保护投入（万元）等。</w:t>
      </w:r>
    </w:p>
    <w:p w14:paraId="20EAD9AE">
      <w:pPr>
        <w:pStyle w:val="3"/>
        <w:spacing w:line="360" w:lineRule="auto"/>
        <w:ind w:firstLine="480" w:firstLineChars="200"/>
      </w:pPr>
      <w:bookmarkStart w:id="30" w:name="二社会维度"/>
      <w:r>
        <w:t>（二）社会维度</w:t>
      </w:r>
      <w:bookmarkEnd w:id="30"/>
    </w:p>
    <w:tbl>
      <w:tblPr>
        <w:tblStyle w:val="32"/>
        <w:tblW w:w="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7441"/>
      </w:tblGrid>
      <w:tr w14:paraId="561CA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CADB5C2">
            <w:pPr>
              <w:pStyle w:val="3"/>
              <w:spacing w:line="360" w:lineRule="auto"/>
            </w:pPr>
            <w:r>
              <w:t>议题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F22D39A">
            <w:pPr>
              <w:pStyle w:val="3"/>
              <w:spacing w:line="360" w:lineRule="auto"/>
            </w:pPr>
            <w:r>
              <w:t>一级指标</w:t>
            </w:r>
          </w:p>
        </w:tc>
      </w:tr>
      <w:tr w14:paraId="6BA5E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058C58">
            <w:pPr>
              <w:pStyle w:val="3"/>
              <w:spacing w:line="360" w:lineRule="auto"/>
            </w:pPr>
            <w:r>
              <w:t>产品与服务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5D193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产品质量/产品安全认证或评价、产品召回、客户服务、产品与服务相关的重大责任事故</w:t>
            </w:r>
          </w:p>
        </w:tc>
      </w:tr>
      <w:tr w14:paraId="473AE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2D20EC">
            <w:pPr>
              <w:pStyle w:val="3"/>
              <w:spacing w:line="360" w:lineRule="auto"/>
            </w:pPr>
            <w:r>
              <w:t>创新驱动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54D9F8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科技伦理、研发创新管理体系认证、研发与创新激励、研发投入情况、研发创新方向与成果</w:t>
            </w:r>
          </w:p>
        </w:tc>
      </w:tr>
      <w:tr w14:paraId="05DC3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1392F2">
            <w:pPr>
              <w:pStyle w:val="3"/>
              <w:spacing w:line="360" w:lineRule="auto"/>
            </w:pPr>
            <w:r>
              <w:t>数据安全与隐私保护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F90FB3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保障数据安全与隐私保护的措施、数据安全与隐私保护培训、数据安全与隐私保护相关认证、数据与隐私泄露事件</w:t>
            </w:r>
          </w:p>
        </w:tc>
      </w:tr>
      <w:tr w14:paraId="31F4C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827994">
            <w:pPr>
              <w:pStyle w:val="3"/>
              <w:spacing w:line="360" w:lineRule="auto"/>
            </w:pPr>
            <w:r>
              <w:t>员工权益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F1928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反歧视与骚扰、薪酬与福利关怀、职业健康与安全管理、员工发展与培训、员工权益相关绩效指标</w:t>
            </w:r>
          </w:p>
        </w:tc>
      </w:tr>
      <w:tr w14:paraId="1CE36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7E9EB">
            <w:pPr>
              <w:pStyle w:val="3"/>
              <w:spacing w:line="360" w:lineRule="auto"/>
            </w:pPr>
            <w:r>
              <w:t>社会贡献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59FE2">
            <w:pPr>
              <w:pStyle w:val="3"/>
              <w:spacing w:line="360" w:lineRule="auto"/>
            </w:pPr>
            <w:r>
              <w:t>社区协商、社区参与</w:t>
            </w:r>
          </w:p>
        </w:tc>
      </w:tr>
      <w:tr w14:paraId="7E231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937DA">
            <w:pPr>
              <w:pStyle w:val="3"/>
              <w:spacing w:line="360" w:lineRule="auto"/>
            </w:pPr>
            <w:r>
              <w:t>可持续供应链管理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09E3C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可持续采购、供应商ESG评估、供应链尽职调查、避免使用冲突矿产、扶持供应商成长、平等对待中小企业、可持续供应链管理情况</w:t>
            </w:r>
          </w:p>
        </w:tc>
      </w:tr>
    </w:tbl>
    <w:p w14:paraId="232F6AE2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社会维度关键定量指标示例：研发投入占营业收入比例、百万工时工伤率、员工流失率、集体谈判协议覆盖率、报告期内召回产品数量、产品与服务相关重大责任事故等。</w:t>
      </w:r>
    </w:p>
    <w:p w14:paraId="6D241C91">
      <w:pPr>
        <w:pStyle w:val="3"/>
        <w:spacing w:line="360" w:lineRule="auto"/>
        <w:ind w:firstLine="480" w:firstLineChars="200"/>
      </w:pPr>
      <w:bookmarkStart w:id="31" w:name="三治理维度"/>
      <w:r>
        <w:t>（三）治理维度</w:t>
      </w:r>
      <w:bookmarkEnd w:id="31"/>
    </w:p>
    <w:tbl>
      <w:tblPr>
        <w:tblStyle w:val="32"/>
        <w:tblW w:w="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6449"/>
      </w:tblGrid>
      <w:tr w14:paraId="45F49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D68D6EC">
            <w:pPr>
              <w:pStyle w:val="3"/>
              <w:spacing w:line="360" w:lineRule="auto"/>
            </w:pPr>
            <w:r>
              <w:t>议题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A09D31B">
            <w:pPr>
              <w:pStyle w:val="3"/>
              <w:spacing w:line="360" w:lineRule="auto"/>
            </w:pPr>
            <w:r>
              <w:t>一级指标</w:t>
            </w:r>
          </w:p>
        </w:tc>
      </w:tr>
      <w:tr w14:paraId="7F20F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1A9E96">
            <w:pPr>
              <w:pStyle w:val="3"/>
              <w:spacing w:line="360" w:lineRule="auto"/>
            </w:pPr>
            <w:r>
              <w:t>ESG治理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42C233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利益相关方管理、培训与能力建设、报告鉴证</w:t>
            </w:r>
          </w:p>
        </w:tc>
      </w:tr>
      <w:tr w14:paraId="43E4B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160922">
            <w:pPr>
              <w:pStyle w:val="3"/>
              <w:spacing w:line="360" w:lineRule="auto"/>
            </w:pPr>
            <w:r>
              <w:t>ESG合规管理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692CB4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ESG合规义务管理、ESG合规风险评估、ESG合规能力培训</w:t>
            </w:r>
          </w:p>
        </w:tc>
      </w:tr>
      <w:tr w14:paraId="40194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D26A8">
            <w:pPr>
              <w:pStyle w:val="3"/>
              <w:spacing w:line="360" w:lineRule="auto"/>
            </w:pPr>
            <w:r>
              <w:t>反商业贿赂及反贪污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0BB2C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举报与调查机制、风险管控举措、培训与能力建设</w:t>
            </w:r>
          </w:p>
        </w:tc>
      </w:tr>
      <w:tr w14:paraId="35874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D7278">
            <w:pPr>
              <w:pStyle w:val="3"/>
              <w:spacing w:line="360" w:lineRule="auto"/>
            </w:pPr>
            <w:r>
              <w:t>反不正当竞争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D2669">
            <w:pPr>
              <w:pStyle w:val="3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  <w:t>举报与调查机制、风险管控举措、培训与能力建设</w:t>
            </w:r>
          </w:p>
        </w:tc>
      </w:tr>
    </w:tbl>
    <w:p w14:paraId="2103268C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治理维度突出ESG治理架构的系统性建设，涵盖利益相关方管理、ESG合规义务监测与风险评估、反商业贿赂及反贪污的举报与调查机制、反不正当竞争的合规审查机制等，并从董事会、管理层到员工层级全面推进培训与能力建设。</w:t>
      </w:r>
    </w:p>
    <w:p w14:paraId="10EA8D0C">
      <w:pPr>
        <w:pStyle w:val="3"/>
        <w:spacing w:line="360" w:lineRule="auto"/>
        <w:ind w:firstLine="480" w:firstLineChars="200"/>
        <w:rPr>
          <w:lang w:eastAsia="zh-CN"/>
        </w:rPr>
      </w:pPr>
    </w:p>
    <w:p w14:paraId="1131C414">
      <w:pPr>
        <w:pStyle w:val="2"/>
        <w:rPr>
          <w:lang w:eastAsia="zh-CN"/>
        </w:rPr>
      </w:pPr>
      <w:bookmarkStart w:id="32" w:name="_Toc30786"/>
      <w:bookmarkStart w:id="33" w:name="五与现行法律法规和政策及相关标准的协调性"/>
      <w:r>
        <w:rPr>
          <w:lang w:eastAsia="zh-CN"/>
        </w:rPr>
        <w:t>五、与现行法律、法规和政策及相关标准的协调性</w:t>
      </w:r>
      <w:bookmarkEnd w:id="32"/>
      <w:bookmarkEnd w:id="33"/>
    </w:p>
    <w:p w14:paraId="3D3BE804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本披露指南与现有的法律、法规和强制性国家标准无冲突。</w:t>
      </w:r>
    </w:p>
    <w:p w14:paraId="3E40B67F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本文件与《中国汽车行业ESG评价指南》（T/</w:t>
      </w:r>
      <w:r>
        <w:rPr>
          <w:rFonts w:hint="eastAsia"/>
          <w:lang w:eastAsia="zh-CN"/>
        </w:rPr>
        <w:t>XXXX</w:t>
      </w:r>
      <w:r>
        <w:rPr>
          <w:lang w:eastAsia="zh-CN"/>
        </w:rPr>
        <w:t>—</w:t>
      </w:r>
      <w:r>
        <w:rPr>
          <w:rFonts w:hint="eastAsia"/>
          <w:lang w:eastAsia="zh-CN"/>
        </w:rPr>
        <w:t>XXXX</w:t>
      </w:r>
      <w:r>
        <w:rPr>
          <w:lang w:eastAsia="zh-CN"/>
        </w:rPr>
        <w:t>）、《中国汽车行业ESG管理体系要求及使用指南》（</w:t>
      </w:r>
      <w:r>
        <w:rPr>
          <w:rFonts w:hint="eastAsia"/>
          <w:lang w:eastAsia="zh-CN"/>
        </w:rPr>
        <w:t>T/XXXX—XXXX</w:t>
      </w:r>
      <w:r>
        <w:rPr>
          <w:lang w:eastAsia="zh-CN"/>
        </w:rPr>
        <w:t>）共同构成中国汽车行业ESG管理基础性系列标准，相互衔接、互为支撑。</w:t>
      </w:r>
    </w:p>
    <w:p w14:paraId="53A60632">
      <w:pPr>
        <w:pStyle w:val="2"/>
        <w:rPr>
          <w:lang w:eastAsia="zh-CN"/>
        </w:rPr>
      </w:pPr>
      <w:bookmarkStart w:id="34" w:name="_Toc15353"/>
      <w:bookmarkStart w:id="35" w:name="六贯彻标准的要求和措施"/>
      <w:r>
        <w:rPr>
          <w:lang w:eastAsia="zh-CN"/>
        </w:rPr>
        <w:t>六、贯彻标准的要求和措施</w:t>
      </w:r>
      <w:bookmarkEnd w:id="34"/>
      <w:bookmarkEnd w:id="35"/>
    </w:p>
    <w:p w14:paraId="234880C3">
      <w:pPr>
        <w:pStyle w:val="3"/>
        <w:spacing w:line="360" w:lineRule="auto"/>
        <w:ind w:firstLine="480" w:firstLineChars="200"/>
        <w:rPr>
          <w:lang w:eastAsia="zh-CN"/>
        </w:rPr>
      </w:pPr>
      <w:r>
        <w:rPr>
          <w:lang w:eastAsia="zh-CN"/>
        </w:rPr>
        <w:t>建议本披露指南发布后，供标准起草单位、中国汽车工业协会会员单位和行业单位自愿采用。中国汽车工业协会同其他标准起草单位组织标准宣贯会，进行推广应用，促进披露指南的顺利实施。同时，建议企业结合</w:t>
      </w:r>
      <w:r>
        <w:rPr>
          <w:rFonts w:hint="eastAsia"/>
          <w:lang w:eastAsia="zh-CN"/>
        </w:rPr>
        <w:t>T/XXXX—XXXX</w:t>
      </w:r>
      <w:r>
        <w:rPr>
          <w:lang w:eastAsia="zh-CN"/>
        </w:rPr>
        <w:t>《中国汽车行业ESG评价指南》进行ESG表现评价，以及结合</w:t>
      </w:r>
      <w:r>
        <w:rPr>
          <w:rFonts w:hint="eastAsia"/>
          <w:lang w:eastAsia="zh-CN"/>
        </w:rPr>
        <w:t>T/XXXX—XXXX</w:t>
      </w:r>
      <w:r>
        <w:rPr>
          <w:lang w:eastAsia="zh-CN"/>
        </w:rPr>
        <w:t>《中国汽车行业ESG管理体系要求及使用指南》完善ESG管理体系，系统提升ESG信息披露质量与管理水平。</w:t>
      </w:r>
    </w:p>
    <w:p w14:paraId="2F806F17">
      <w:pPr>
        <w:pStyle w:val="2"/>
        <w:rPr>
          <w:lang w:eastAsia="zh-CN"/>
        </w:rPr>
      </w:pPr>
      <w:bookmarkStart w:id="36" w:name="七其他需要说明的事项"/>
      <w:bookmarkStart w:id="37" w:name="_Toc31854"/>
      <w:r>
        <w:rPr>
          <w:lang w:eastAsia="zh-CN"/>
        </w:rPr>
        <w:t>七、其他需要说明的事项</w:t>
      </w:r>
      <w:bookmarkEnd w:id="36"/>
      <w:bookmarkEnd w:id="37"/>
    </w:p>
    <w:p w14:paraId="6D328C4F">
      <w:pPr>
        <w:pStyle w:val="3"/>
        <w:spacing w:line="360" w:lineRule="auto"/>
        <w:ind w:firstLine="480" w:firstLineChars="200"/>
      </w:pPr>
      <w:r>
        <w:t>本披露指南的英文名称为 Guidance on ESG information disclosure for the China automotive industry，国际分类号为 ICS 03.100.01，中国标准分类号为 CCS A 02。</w:t>
      </w:r>
    </w:p>
    <w:p w14:paraId="473DB36D">
      <w:pPr>
        <w:pStyle w:val="3"/>
        <w:spacing w:line="360" w:lineRule="auto"/>
        <w:ind w:firstLine="480" w:firstLineChars="200"/>
      </w:pPr>
      <w:r>
        <w:t>本文件由中国汽车工业协会提出并归口。</w:t>
      </w:r>
    </w:p>
    <w:p w14:paraId="251938D6">
      <w:pPr>
        <w:pStyle w:val="3"/>
        <w:spacing w:line="360" w:lineRule="auto"/>
        <w:ind w:firstLine="480" w:firstLineChars="200"/>
        <w:jc w:val="right"/>
        <w:rPr>
          <w:lang w:eastAsia="zh-CN"/>
        </w:rPr>
      </w:pPr>
      <w:r>
        <w:rPr>
          <w:lang w:eastAsia="zh-CN"/>
        </w:rPr>
        <w:t>《中国汽车行业ESG信息披露指南》标准起草工作组</w:t>
      </w:r>
    </w:p>
    <w:p w14:paraId="53A63438">
      <w:pPr>
        <w:pStyle w:val="3"/>
        <w:spacing w:line="360" w:lineRule="auto"/>
        <w:ind w:firstLine="480" w:firstLineChars="200"/>
        <w:jc w:val="right"/>
      </w:pPr>
      <w:r>
        <w:t>202</w:t>
      </w:r>
      <w:r>
        <w:rPr>
          <w:rFonts w:hint="eastAsia"/>
          <w:lang w:eastAsia="zh-CN"/>
        </w:rPr>
        <w:t>6</w:t>
      </w:r>
      <w:r>
        <w:t>年</w:t>
      </w:r>
      <w:r>
        <w:rPr>
          <w:rFonts w:hint="eastAsia"/>
          <w:lang w:eastAsia="zh-CN"/>
        </w:rPr>
        <w:t>9</w:t>
      </w:r>
      <w:r>
        <w:t>月</w:t>
      </w:r>
    </w:p>
    <w:sectPr>
      <w:footerReference r:id="rId4" w:type="default"/>
      <w:pgSz w:w="12240" w:h="15840"/>
      <w:pgMar w:top="1440" w:right="1800" w:bottom="1440" w:left="180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52BB1">
    <w:pPr>
      <w:pStyle w:val="16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7A514BF6">
                <w:pPr>
                  <w:pStyle w:val="16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bordersDoNotSurroundHeader w:val="1"/>
  <w:bordersDoNotSurroundFooter w:val="1"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layout v:ext="edit">
      <o:idmap v:ext="edit" data="1"/>
    </o:shapelayout>
  </w:hdrShapeDefaults>
  <w:footnotePr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172A27"/>
    <w:rsid w:val="00011C8B"/>
    <w:rsid w:val="00087FBD"/>
    <w:rsid w:val="001432DB"/>
    <w:rsid w:val="00172A27"/>
    <w:rsid w:val="00197303"/>
    <w:rsid w:val="0021073E"/>
    <w:rsid w:val="00393621"/>
    <w:rsid w:val="004E29B3"/>
    <w:rsid w:val="005171B8"/>
    <w:rsid w:val="00521D4F"/>
    <w:rsid w:val="00543885"/>
    <w:rsid w:val="00590D07"/>
    <w:rsid w:val="00784D58"/>
    <w:rsid w:val="008B4D84"/>
    <w:rsid w:val="008D6863"/>
    <w:rsid w:val="0094036A"/>
    <w:rsid w:val="00A25079"/>
    <w:rsid w:val="00B86B75"/>
    <w:rsid w:val="00BC48D5"/>
    <w:rsid w:val="00C36279"/>
    <w:rsid w:val="00E315A3"/>
    <w:rsid w:val="00E642D1"/>
    <w:rsid w:val="00FF65C8"/>
    <w:rsid w:val="1521563C"/>
    <w:rsid w:val="22A63909"/>
    <w:rsid w:val="272143CD"/>
    <w:rsid w:val="30A92E07"/>
    <w:rsid w:val="4DE433F5"/>
    <w:rsid w:val="5D6800DA"/>
    <w:rsid w:val="6B65305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 m:val="1"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i/>
      <w:iCs/>
      <w:color w:val="4F81BD" w:themeColor="accent1"/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color w:val="4F81BD" w:themeColor="accent1"/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color w:val="4F81BD" w:themeColor="accent1"/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color w:val="4F81BD" w:themeColor="accent1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0"/>
    <w:pPr>
      <w:spacing w:before="180" w:after="180"/>
    </w:pPr>
  </w:style>
  <w:style w:type="paragraph" w:styleId="12">
    <w:name w:val="caption"/>
    <w:basedOn w:val="1"/>
    <w:qFormat/>
    <w:uiPriority w:val="0"/>
    <w:pPr>
      <w:spacing w:after="120"/>
    </w:pPr>
    <w:rPr>
      <w:i/>
    </w:rPr>
  </w:style>
  <w:style w:type="paragraph" w:styleId="13">
    <w:name w:val="annotation text"/>
    <w:basedOn w:val="1"/>
    <w:qFormat/>
    <w:uiPriority w:val="0"/>
  </w:style>
  <w:style w:type="paragraph" w:styleId="14">
    <w:name w:val="Block Text"/>
    <w:basedOn w:val="3"/>
    <w:next w:val="3"/>
    <w:unhideWhenUsed/>
    <w:qFormat/>
    <w:uiPriority w:val="9"/>
    <w:pPr>
      <w:spacing w:before="100" w:after="100"/>
    </w:pPr>
    <w:rPr>
      <w:rFonts w:asciiTheme="majorHAnsi" w:hAnsiTheme="majorHAnsi" w:eastAsiaTheme="majorEastAsia" w:cstheme="majorBidi"/>
      <w:bCs/>
      <w:sz w:val="20"/>
      <w:szCs w:val="20"/>
    </w:rPr>
  </w:style>
  <w:style w:type="paragraph" w:styleId="15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8">
    <w:name w:val="toc 1"/>
    <w:basedOn w:val="1"/>
    <w:next w:val="1"/>
    <w:qFormat/>
    <w:uiPriority w:val="0"/>
  </w:style>
  <w:style w:type="paragraph" w:styleId="19">
    <w:name w:val="Subtitle"/>
    <w:basedOn w:val="20"/>
    <w:next w:val="3"/>
    <w:qFormat/>
    <w:uiPriority w:val="0"/>
    <w:pPr>
      <w:spacing w:before="240"/>
    </w:pPr>
    <w:rPr>
      <w:sz w:val="30"/>
      <w:szCs w:val="30"/>
    </w:rPr>
  </w:style>
  <w:style w:type="paragraph" w:styleId="20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color w:val="335B8A" w:themeColor="accent1" w:themeShade="B5"/>
      <w:sz w:val="36"/>
      <w:szCs w:val="36"/>
    </w:rPr>
  </w:style>
  <w:style w:type="paragraph" w:styleId="21">
    <w:name w:val="footnote text"/>
    <w:basedOn w:val="1"/>
    <w:unhideWhenUsed/>
    <w:qFormat/>
    <w:uiPriority w:val="9"/>
  </w:style>
  <w:style w:type="character" w:styleId="24">
    <w:name w:val="Hyperlink"/>
    <w:basedOn w:val="25"/>
    <w:qFormat/>
    <w:uiPriority w:val="0"/>
    <w:rPr>
      <w:color w:val="4F81BD" w:themeColor="accent1"/>
    </w:rPr>
  </w:style>
  <w:style w:type="character" w:customStyle="1" w:styleId="25">
    <w:name w:val="正文文本 字符"/>
    <w:basedOn w:val="23"/>
    <w:link w:val="3"/>
    <w:qFormat/>
    <w:uiPriority w:val="0"/>
  </w:style>
  <w:style w:type="character" w:styleId="26">
    <w:name w:val="footnote reference"/>
    <w:basedOn w:val="25"/>
    <w:qFormat/>
    <w:uiPriority w:val="0"/>
    <w:rPr>
      <w:vertAlign w:val="superscript"/>
    </w:rPr>
  </w:style>
  <w:style w:type="paragraph" w:customStyle="1" w:styleId="27">
    <w:name w:val="First Paragraph"/>
    <w:basedOn w:val="3"/>
    <w:next w:val="3"/>
    <w:qFormat/>
    <w:uiPriority w:val="0"/>
  </w:style>
  <w:style w:type="paragraph" w:customStyle="1" w:styleId="28">
    <w:name w:val="Compact"/>
    <w:basedOn w:val="3"/>
    <w:qFormat/>
    <w:uiPriority w:val="0"/>
    <w:pPr>
      <w:spacing w:before="36" w:after="36"/>
    </w:pPr>
  </w:style>
  <w:style w:type="paragraph" w:customStyle="1" w:styleId="29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customStyle="1" w:styleId="30">
    <w:name w:val="Abstract"/>
    <w:basedOn w:val="1"/>
    <w:next w:val="3"/>
    <w:qFormat/>
    <w:uiPriority w:val="0"/>
    <w:pPr>
      <w:keepNext/>
      <w:keepLines/>
      <w:spacing w:before="300" w:after="300"/>
    </w:pPr>
    <w:rPr>
      <w:sz w:val="20"/>
      <w:szCs w:val="20"/>
    </w:rPr>
  </w:style>
  <w:style w:type="paragraph" w:customStyle="1" w:styleId="31">
    <w:name w:val="书目1"/>
    <w:basedOn w:val="1"/>
    <w:qFormat/>
    <w:uiPriority w:val="0"/>
  </w:style>
  <w:style w:type="table" w:customStyle="1" w:styleId="32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3">
    <w:name w:val="Definition Term"/>
    <w:basedOn w:val="1"/>
    <w:next w:val="34"/>
    <w:qFormat/>
    <w:uiPriority w:val="0"/>
    <w:pPr>
      <w:keepNext/>
      <w:keepLines/>
      <w:spacing w:after="0"/>
    </w:pPr>
    <w:rPr>
      <w:b/>
    </w:rPr>
  </w:style>
  <w:style w:type="paragraph" w:customStyle="1" w:styleId="34">
    <w:name w:val="Definition"/>
    <w:basedOn w:val="1"/>
    <w:qFormat/>
    <w:uiPriority w:val="0"/>
  </w:style>
  <w:style w:type="paragraph" w:customStyle="1" w:styleId="35">
    <w:name w:val="Table Caption"/>
    <w:basedOn w:val="12"/>
    <w:qFormat/>
    <w:uiPriority w:val="0"/>
    <w:pPr>
      <w:keepNext/>
    </w:pPr>
  </w:style>
  <w:style w:type="paragraph" w:customStyle="1" w:styleId="36">
    <w:name w:val="Image Caption"/>
    <w:basedOn w:val="12"/>
    <w:qFormat/>
    <w:uiPriority w:val="0"/>
  </w:style>
  <w:style w:type="paragraph" w:customStyle="1" w:styleId="37">
    <w:name w:val="Figure"/>
    <w:basedOn w:val="1"/>
    <w:qFormat/>
    <w:uiPriority w:val="0"/>
  </w:style>
  <w:style w:type="paragraph" w:customStyle="1" w:styleId="38">
    <w:name w:val="Captioned Figure"/>
    <w:basedOn w:val="37"/>
    <w:qFormat/>
    <w:uiPriority w:val="0"/>
    <w:pPr>
      <w:keepNext/>
    </w:pPr>
  </w:style>
  <w:style w:type="character" w:customStyle="1" w:styleId="39">
    <w:name w:val="Verbatim Char"/>
    <w:basedOn w:val="25"/>
    <w:link w:val="40"/>
    <w:qFormat/>
    <w:uiPriority w:val="0"/>
    <w:rPr>
      <w:rFonts w:ascii="Consolas" w:hAnsi="Consolas"/>
      <w:sz w:val="22"/>
    </w:rPr>
  </w:style>
  <w:style w:type="paragraph" w:customStyle="1" w:styleId="40">
    <w:name w:val="Source Code"/>
    <w:basedOn w:val="1"/>
    <w:link w:val="39"/>
    <w:qFormat/>
    <w:uiPriority w:val="0"/>
    <w:pPr>
      <w:wordWrap w:val="0"/>
    </w:pPr>
  </w:style>
  <w:style w:type="paragraph" w:customStyle="1" w:styleId="41">
    <w:name w:val="TOC 标题1"/>
    <w:basedOn w:val="2"/>
    <w:next w:val="3"/>
    <w:unhideWhenUsed/>
    <w:qFormat/>
    <w:uiPriority w:val="39"/>
    <w:pPr>
      <w:spacing w:before="240" w:line="259" w:lineRule="auto"/>
      <w:outlineLvl w:val="9"/>
    </w:pPr>
    <w:rPr>
      <w:b w:val="0"/>
      <w:bCs w:val="0"/>
      <w:color w:val="366091" w:themeColor="accent1" w:themeShade="BF"/>
    </w:rPr>
  </w:style>
  <w:style w:type="character" w:customStyle="1" w:styleId="42">
    <w:name w:val="KeywordTok"/>
    <w:basedOn w:val="39"/>
    <w:qFormat/>
    <w:uiPriority w:val="0"/>
    <w:rPr>
      <w:rFonts w:ascii="Consolas" w:hAnsi="Consolas"/>
      <w:b/>
      <w:color w:val="007020"/>
      <w:sz w:val="22"/>
    </w:rPr>
  </w:style>
  <w:style w:type="character" w:customStyle="1" w:styleId="43">
    <w:name w:val="DataTypeTok"/>
    <w:basedOn w:val="39"/>
    <w:qFormat/>
    <w:uiPriority w:val="0"/>
    <w:rPr>
      <w:rFonts w:ascii="Consolas" w:hAnsi="Consolas"/>
      <w:color w:val="902000"/>
      <w:sz w:val="22"/>
    </w:rPr>
  </w:style>
  <w:style w:type="character" w:customStyle="1" w:styleId="44">
    <w:name w:val="DecValTok"/>
    <w:basedOn w:val="39"/>
    <w:qFormat/>
    <w:uiPriority w:val="0"/>
    <w:rPr>
      <w:rFonts w:ascii="Consolas" w:hAnsi="Consolas"/>
      <w:color w:val="40A070"/>
      <w:sz w:val="22"/>
    </w:rPr>
  </w:style>
  <w:style w:type="character" w:customStyle="1" w:styleId="45">
    <w:name w:val="BaseNTok"/>
    <w:basedOn w:val="39"/>
    <w:qFormat/>
    <w:uiPriority w:val="0"/>
    <w:rPr>
      <w:rFonts w:ascii="Consolas" w:hAnsi="Consolas"/>
      <w:color w:val="40A070"/>
      <w:sz w:val="22"/>
    </w:rPr>
  </w:style>
  <w:style w:type="character" w:customStyle="1" w:styleId="46">
    <w:name w:val="FloatTok"/>
    <w:basedOn w:val="39"/>
    <w:qFormat/>
    <w:uiPriority w:val="0"/>
    <w:rPr>
      <w:rFonts w:ascii="Consolas" w:hAnsi="Consolas"/>
      <w:color w:val="40A070"/>
      <w:sz w:val="22"/>
    </w:rPr>
  </w:style>
  <w:style w:type="character" w:customStyle="1" w:styleId="47">
    <w:name w:val="ConstantTok"/>
    <w:basedOn w:val="39"/>
    <w:qFormat/>
    <w:uiPriority w:val="0"/>
    <w:rPr>
      <w:rFonts w:ascii="Consolas" w:hAnsi="Consolas"/>
      <w:color w:val="880000"/>
      <w:sz w:val="22"/>
    </w:rPr>
  </w:style>
  <w:style w:type="character" w:customStyle="1" w:styleId="48">
    <w:name w:val="CharTok"/>
    <w:basedOn w:val="39"/>
    <w:qFormat/>
    <w:uiPriority w:val="0"/>
    <w:rPr>
      <w:rFonts w:ascii="Consolas" w:hAnsi="Consolas"/>
      <w:color w:val="4070A0"/>
      <w:sz w:val="22"/>
    </w:rPr>
  </w:style>
  <w:style w:type="character" w:customStyle="1" w:styleId="49">
    <w:name w:val="SpecialCharTok"/>
    <w:basedOn w:val="39"/>
    <w:qFormat/>
    <w:uiPriority w:val="0"/>
    <w:rPr>
      <w:rFonts w:ascii="Consolas" w:hAnsi="Consolas"/>
      <w:color w:val="4070A0"/>
      <w:sz w:val="22"/>
    </w:rPr>
  </w:style>
  <w:style w:type="character" w:customStyle="1" w:styleId="50">
    <w:name w:val="StringTok"/>
    <w:basedOn w:val="39"/>
    <w:qFormat/>
    <w:uiPriority w:val="0"/>
    <w:rPr>
      <w:rFonts w:ascii="Consolas" w:hAnsi="Consolas"/>
      <w:color w:val="4070A0"/>
      <w:sz w:val="22"/>
    </w:rPr>
  </w:style>
  <w:style w:type="character" w:customStyle="1" w:styleId="51">
    <w:name w:val="VerbatimStringTok"/>
    <w:basedOn w:val="39"/>
    <w:qFormat/>
    <w:uiPriority w:val="0"/>
    <w:rPr>
      <w:rFonts w:ascii="Consolas" w:hAnsi="Consolas"/>
      <w:color w:val="4070A0"/>
      <w:sz w:val="22"/>
    </w:rPr>
  </w:style>
  <w:style w:type="character" w:customStyle="1" w:styleId="52">
    <w:name w:val="SpecialStringTok"/>
    <w:basedOn w:val="39"/>
    <w:qFormat/>
    <w:uiPriority w:val="0"/>
    <w:rPr>
      <w:rFonts w:ascii="Consolas" w:hAnsi="Consolas"/>
      <w:color w:val="BB6688"/>
      <w:sz w:val="22"/>
    </w:rPr>
  </w:style>
  <w:style w:type="character" w:customStyle="1" w:styleId="53">
    <w:name w:val="ImportTok"/>
    <w:basedOn w:val="39"/>
    <w:qFormat/>
    <w:uiPriority w:val="0"/>
    <w:rPr>
      <w:rFonts w:ascii="Consolas" w:hAnsi="Consolas"/>
      <w:sz w:val="22"/>
    </w:rPr>
  </w:style>
  <w:style w:type="character" w:customStyle="1" w:styleId="54">
    <w:name w:val="CommentTok"/>
    <w:basedOn w:val="39"/>
    <w:qFormat/>
    <w:uiPriority w:val="0"/>
    <w:rPr>
      <w:rFonts w:ascii="Consolas" w:hAnsi="Consolas"/>
      <w:i/>
      <w:color w:val="60A0B0"/>
      <w:sz w:val="22"/>
    </w:rPr>
  </w:style>
  <w:style w:type="character" w:customStyle="1" w:styleId="55">
    <w:name w:val="DocumentationTok"/>
    <w:basedOn w:val="39"/>
    <w:qFormat/>
    <w:uiPriority w:val="0"/>
    <w:rPr>
      <w:rFonts w:ascii="Consolas" w:hAnsi="Consolas"/>
      <w:i/>
      <w:color w:val="BA2121"/>
      <w:sz w:val="22"/>
    </w:rPr>
  </w:style>
  <w:style w:type="character" w:customStyle="1" w:styleId="56">
    <w:name w:val="AnnotationTok"/>
    <w:basedOn w:val="39"/>
    <w:qFormat/>
    <w:uiPriority w:val="0"/>
    <w:rPr>
      <w:rFonts w:ascii="Consolas" w:hAnsi="Consolas"/>
      <w:b/>
      <w:i/>
      <w:color w:val="60A0B0"/>
      <w:sz w:val="22"/>
    </w:rPr>
  </w:style>
  <w:style w:type="character" w:customStyle="1" w:styleId="57">
    <w:name w:val="CommentVarTok"/>
    <w:basedOn w:val="39"/>
    <w:qFormat/>
    <w:uiPriority w:val="0"/>
    <w:rPr>
      <w:rFonts w:ascii="Consolas" w:hAnsi="Consolas"/>
      <w:b/>
      <w:i/>
      <w:color w:val="60A0B0"/>
      <w:sz w:val="22"/>
    </w:rPr>
  </w:style>
  <w:style w:type="character" w:customStyle="1" w:styleId="58">
    <w:name w:val="OtherTok"/>
    <w:basedOn w:val="39"/>
    <w:qFormat/>
    <w:uiPriority w:val="0"/>
    <w:rPr>
      <w:rFonts w:ascii="Consolas" w:hAnsi="Consolas"/>
      <w:color w:val="007020"/>
      <w:sz w:val="22"/>
    </w:rPr>
  </w:style>
  <w:style w:type="character" w:customStyle="1" w:styleId="59">
    <w:name w:val="FunctionTok"/>
    <w:basedOn w:val="39"/>
    <w:qFormat/>
    <w:uiPriority w:val="0"/>
    <w:rPr>
      <w:rFonts w:ascii="Consolas" w:hAnsi="Consolas"/>
      <w:color w:val="06287E"/>
      <w:sz w:val="22"/>
    </w:rPr>
  </w:style>
  <w:style w:type="character" w:customStyle="1" w:styleId="60">
    <w:name w:val="VariableTok"/>
    <w:basedOn w:val="39"/>
    <w:qFormat/>
    <w:uiPriority w:val="0"/>
    <w:rPr>
      <w:rFonts w:ascii="Consolas" w:hAnsi="Consolas"/>
      <w:color w:val="19177C"/>
      <w:sz w:val="22"/>
    </w:rPr>
  </w:style>
  <w:style w:type="character" w:customStyle="1" w:styleId="61">
    <w:name w:val="ControlFlowTok"/>
    <w:basedOn w:val="39"/>
    <w:qFormat/>
    <w:uiPriority w:val="0"/>
    <w:rPr>
      <w:rFonts w:ascii="Consolas" w:hAnsi="Consolas"/>
      <w:b/>
      <w:color w:val="007020"/>
      <w:sz w:val="22"/>
    </w:rPr>
  </w:style>
  <w:style w:type="character" w:customStyle="1" w:styleId="62">
    <w:name w:val="OperatorTok"/>
    <w:basedOn w:val="39"/>
    <w:qFormat/>
    <w:uiPriority w:val="0"/>
    <w:rPr>
      <w:rFonts w:ascii="Consolas" w:hAnsi="Consolas"/>
      <w:color w:val="666666"/>
      <w:sz w:val="22"/>
    </w:rPr>
  </w:style>
  <w:style w:type="character" w:customStyle="1" w:styleId="63">
    <w:name w:val="BuiltInTok"/>
    <w:basedOn w:val="39"/>
    <w:qFormat/>
    <w:uiPriority w:val="0"/>
    <w:rPr>
      <w:rFonts w:ascii="Consolas" w:hAnsi="Consolas"/>
      <w:sz w:val="22"/>
    </w:rPr>
  </w:style>
  <w:style w:type="character" w:customStyle="1" w:styleId="64">
    <w:name w:val="ExtensionTok"/>
    <w:basedOn w:val="39"/>
    <w:qFormat/>
    <w:uiPriority w:val="0"/>
    <w:rPr>
      <w:rFonts w:ascii="Consolas" w:hAnsi="Consolas"/>
      <w:sz w:val="22"/>
    </w:rPr>
  </w:style>
  <w:style w:type="character" w:customStyle="1" w:styleId="65">
    <w:name w:val="PreprocessorTok"/>
    <w:basedOn w:val="39"/>
    <w:qFormat/>
    <w:uiPriority w:val="0"/>
    <w:rPr>
      <w:rFonts w:ascii="Consolas" w:hAnsi="Consolas"/>
      <w:color w:val="BC7A00"/>
      <w:sz w:val="22"/>
    </w:rPr>
  </w:style>
  <w:style w:type="character" w:customStyle="1" w:styleId="66">
    <w:name w:val="AttributeTok"/>
    <w:basedOn w:val="39"/>
    <w:qFormat/>
    <w:uiPriority w:val="0"/>
    <w:rPr>
      <w:rFonts w:ascii="Consolas" w:hAnsi="Consolas"/>
      <w:color w:val="7D9029"/>
      <w:sz w:val="22"/>
    </w:rPr>
  </w:style>
  <w:style w:type="character" w:customStyle="1" w:styleId="67">
    <w:name w:val="RegionMarkerTok"/>
    <w:basedOn w:val="39"/>
    <w:qFormat/>
    <w:uiPriority w:val="0"/>
    <w:rPr>
      <w:rFonts w:ascii="Consolas" w:hAnsi="Consolas"/>
      <w:sz w:val="22"/>
    </w:rPr>
  </w:style>
  <w:style w:type="character" w:customStyle="1" w:styleId="68">
    <w:name w:val="InformationTok"/>
    <w:basedOn w:val="39"/>
    <w:qFormat/>
    <w:uiPriority w:val="0"/>
    <w:rPr>
      <w:rFonts w:ascii="Consolas" w:hAnsi="Consolas"/>
      <w:b/>
      <w:i/>
      <w:color w:val="60A0B0"/>
      <w:sz w:val="22"/>
    </w:rPr>
  </w:style>
  <w:style w:type="character" w:customStyle="1" w:styleId="69">
    <w:name w:val="WarningTok"/>
    <w:basedOn w:val="39"/>
    <w:qFormat/>
    <w:uiPriority w:val="0"/>
    <w:rPr>
      <w:rFonts w:ascii="Consolas" w:hAnsi="Consolas"/>
      <w:b/>
      <w:i/>
      <w:color w:val="60A0B0"/>
      <w:sz w:val="22"/>
    </w:rPr>
  </w:style>
  <w:style w:type="character" w:customStyle="1" w:styleId="70">
    <w:name w:val="AlertTok"/>
    <w:basedOn w:val="39"/>
    <w:qFormat/>
    <w:uiPriority w:val="0"/>
    <w:rPr>
      <w:rFonts w:ascii="Consolas" w:hAnsi="Consolas"/>
      <w:b/>
      <w:color w:val="FF0000"/>
      <w:sz w:val="22"/>
    </w:rPr>
  </w:style>
  <w:style w:type="character" w:customStyle="1" w:styleId="71">
    <w:name w:val="ErrorTok"/>
    <w:basedOn w:val="39"/>
    <w:qFormat/>
    <w:uiPriority w:val="0"/>
    <w:rPr>
      <w:rFonts w:ascii="Consolas" w:hAnsi="Consolas"/>
      <w:b/>
      <w:color w:val="FF0000"/>
      <w:sz w:val="22"/>
    </w:rPr>
  </w:style>
  <w:style w:type="character" w:customStyle="1" w:styleId="72">
    <w:name w:val="NormalTok"/>
    <w:basedOn w:val="39"/>
    <w:qFormat/>
    <w:uiPriority w:val="0"/>
    <w:rPr>
      <w:rFonts w:ascii="Consolas" w:hAnsi="Consolas"/>
      <w:sz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6d372e31-d771-4bfd-924d-49279639b9ef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18074F97</paraID>
      <start>0</start>
      <end>2</end>
      <status>unmodified</status>
      <modifiedWord/>
      <trackRevisions>false</trackRevisions>
    </reviewItem>
    <reviewItem>
      <errorID>c97feeea-d3a5-4007-9e40-2bcc95eb950d</errorID>
      <errorWord>占据着</errorWord>
      <group>L1_Word</group>
      <groupName>字词问题</groupName>
      <ability>L2_Typo</ability>
      <abilityName>字词错误</abilityName>
      <candidateList>
        <item>占据</item>
      </candidateList>
      <explain/>
      <paraID>26B3F600</paraID>
      <start>141</start>
      <end>144</end>
      <status>unmodified</status>
      <modifiedWord/>
      <trackRevisions>false</trackRevisions>
    </reviewItem>
    <reviewItem>
      <errorID>53d76d53-1923-4d3b-84ae-98e0bc880b65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/>
      <paraID>26B3F600</paraID>
      <start>231</start>
      <end>233</end>
      <status>unmodified</status>
      <modifiedWord/>
      <trackRevisions>false</trackRevisions>
    </reviewItem>
    <reviewItem>
      <errorID>eb00792e-87d0-4b77-a20d-382dc9513727</errorID>
      <errorWord>更</errorWord>
      <group>L1_Word</group>
      <groupName>字词问题</groupName>
      <ability>L2_Typo</ability>
      <abilityName>字词错误</abilityName>
      <candidateList>
        <item>更加</item>
      </candidateList>
      <explain/>
      <paraID>6B559E79</paraID>
      <start>585</start>
      <end>586</end>
      <status>unmodified</status>
      <modifiedWord/>
      <trackRevisions>false</trackRevisions>
    </reviewItem>
    <reviewItem>
      <errorID>f1910a73-4bac-4cca-b413-7840426bcc5a</errorID>
      <errorWord>《披露指南》（征求意见稿）</errorWord>
      <group>L1_Knowledge</group>
      <groupName>知识性问题</groupName>
      <ability>L2_Knowledge</ability>
      <abilityName>其他知识</abilityName>
      <candidateList>
        <item>《披露指南（征求意见稿）》</item>
      </candidateList>
      <explain>疑似政策文件、法律法规名称等书写不规范，请注意检查。</explain>
      <paraID>6B559E79</paraID>
      <start>683</start>
      <end>696</end>
      <status>unmodified</status>
      <modifiedWord/>
      <trackRevisions>false</trackRevisions>
    </reviewItem>
    <reviewItem>
      <errorID>d12d3a30-9b7e-4e4d-80e8-74c01832b956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46600045</paraID>
      <start>0</start>
      <end>2</end>
      <status>unmodified</status>
      <modifiedWord/>
      <trackRevisions>false</trackRevisions>
    </reviewItem>
    <reviewItem>
      <errorID>9c8cae40-0269-4553-89e1-02c9e117235a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16BC71E1</paraID>
      <start>0</start>
      <end>2</end>
      <status>unmodified</status>
      <modifiedWord/>
      <trackRevisions>false</trackRevisions>
    </reviewItem>
    <reviewItem>
      <errorID>6a676889-6b21-42e3-b377-6a0ecb83a5c9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28EB41A2</paraID>
      <start>0</start>
      <end>2</end>
      <status>unmodified</status>
      <modifiedWord/>
      <trackRevisions>false</trackRevisions>
    </reviewItem>
    <reviewItem>
      <errorID>5102495e-93f9-4e7d-97c6-c430823f7521</errorID>
      <errorWord>指标下</errorWord>
      <group>L1_Word</group>
      <groupName>字词问题</groupName>
      <ability>L2_Typo</ability>
      <abilityName>字词错误</abilityName>
      <candidateList>
        <item>指标</item>
      </candidateList>
      <explain/>
      <paraID>455B3300</paraID>
      <start>85</start>
      <end>88</end>
      <status>unmodified</status>
      <modifiedWord/>
      <trackRevisions>false</trackRevisions>
    </reviewItem>
    <reviewItem>
      <errorID>d95d0e89-a284-40fb-95ad-bb8866ceb653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2AB806CA</paraID>
      <start>15</start>
      <end>19</end>
      <status>modified</status>
      <modifiedWord>法律法规</modifiedWord>
      <trackRevisions>false</trackRevisions>
    </reviewItem>
    <reviewItem>
      <errorID>753361ca-d192-453b-b6e3-734c0956a1fc</errorID>
      <errorWord>缺陷汽车产品召回管理条例</errorWord>
      <group>L1_Knowledge</group>
      <groupName>知识性问题</groupName>
      <ability>L2_Knowledge</ability>
      <abilityName>其他知识</abilityName>
      <candidateList>
        <item>《缺陷汽车产品召回管理条例》</item>
      </candidateList>
      <explain>完整法律法规名称需要加书名号，请注意检查。</explain>
      <paraID> 11188F1</paraID>
      <start>4</start>
      <end>16</end>
      <status>ignored</status>
      <modifiedWord/>
      <trackRevisions>false</trackRevisions>
    </reviewItem>
    <reviewItem>
      <errorID>ab1a8a5f-4349-489f-a25a-9cd3c4bacdde</errorID>
      <errorWord>缺陷汽车产品召回管理条例</errorWord>
      <group>L1_Knowledge</group>
      <groupName>知识性问题</groupName>
      <ability>L2_Knowledge</ability>
      <abilityName>其他知识</abilityName>
      <candidateList>
        <item>《缺陷汽车产品召回管理条例》</item>
      </candidateList>
      <explain>完整法律法规名称需要加书名号，请注意检查。</explain>
      <paraID>696E1E94</paraID>
      <start>4</start>
      <end>16</end>
      <status>ignored</status>
      <modifiedWord/>
      <trackRevisions>false</trackRevisions>
    </reviewItem>
    <reviewItem>
      <errorID>acf7dd05-47fd-4222-a1d1-fe0341cbcd7c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6A95A754</paraID>
      <start>5</start>
      <end>10</end>
      <status>unmodified</status>
      <modifiedWord/>
      <trackRevisions>false</trackRevisions>
    </reviewItem>
    <reviewItem>
      <errorID>ae47b618-14c7-4256-90ba-b9f9bf0963e8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11A3101F</paraID>
      <start>9</start>
      <end>14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6FE381-DD80-44B1-AAF1-325D2379559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1230</Words>
  <Characters>1319</Characters>
  <Lines>50</Lines>
  <Paragraphs>14</Paragraphs>
  <TotalTime>22</TotalTime>
  <ScaleCrop>false</ScaleCrop>
  <LinksUpToDate>false</LinksUpToDate>
  <CharactersWithSpaces>1329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2026-09-02T13:40:00Z</dcterms:created>
  <dc:creator>阿戚</dc:creator>
  <cp:lastModifiedBy>文琦</cp:lastModifiedBy>
  <dcterms:modified xsi:type="dcterms:W3CDTF">2026-09-10T09:25:05Z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eyJoZGlkIjoiZjM0N2FiNDFiNzA2Y2VkZmJiZDRkMThmZjdjNzVjOTQiLCJ1c2VySWQiOiIzNTcwOTAzNDgifQ==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81235F813F8242F39E0C2178EA9E88EF_12</vt:lpwstr>
  </property>
</Properties>
</file>