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7B75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5D241311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4BFC4BAA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28EFA674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0CD186FC">
      <w:pPr>
        <w:pStyle w:val="3"/>
        <w:widowControl/>
        <w:spacing w:line="360" w:lineRule="auto"/>
        <w:ind w:firstLine="803" w:firstLineChars="200"/>
        <w:jc w:val="center"/>
        <w:rPr>
          <w:rFonts w:hint="eastAsia" w:ascii="宋体" w:hAnsi="宋体" w:cs="宋体"/>
          <w:b/>
          <w:bCs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kern w:val="0"/>
          <w:sz w:val="40"/>
          <w:szCs w:val="40"/>
        </w:rPr>
        <w:t>《中国汽车行业ESG评价指南》</w:t>
      </w:r>
    </w:p>
    <w:p w14:paraId="5D343907">
      <w:pPr>
        <w:pStyle w:val="3"/>
        <w:widowControl/>
        <w:spacing w:line="360" w:lineRule="auto"/>
        <w:ind w:firstLine="803" w:firstLineChars="200"/>
        <w:jc w:val="center"/>
        <w:rPr>
          <w:rFonts w:hint="eastAsia" w:ascii="宋体" w:hAnsi="宋体" w:cs="宋体"/>
          <w:b/>
          <w:bCs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kern w:val="0"/>
          <w:sz w:val="40"/>
          <w:szCs w:val="40"/>
        </w:rPr>
        <w:t>编制说明</w:t>
      </w:r>
    </w:p>
    <w:p w14:paraId="377CA653">
      <w:pPr>
        <w:spacing w:line="360" w:lineRule="auto"/>
        <w:jc w:val="center"/>
        <w:rPr>
          <w:rFonts w:hint="eastAsia" w:ascii="宋体" w:hAnsi="宋体" w:cs="微软雅黑"/>
          <w:sz w:val="48"/>
          <w:szCs w:val="56"/>
        </w:rPr>
      </w:pPr>
    </w:p>
    <w:p w14:paraId="44057D64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21A84ADC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504C921E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248E6B95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06C1EF13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58FD6B5E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0D0CC939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3E903B8A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3E4900F0">
      <w:pPr>
        <w:spacing w:line="360" w:lineRule="auto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11B5CEEF">
      <w:pPr>
        <w:pStyle w:val="3"/>
        <w:widowControl/>
        <w:spacing w:line="360" w:lineRule="auto"/>
        <w:ind w:firstLine="964" w:firstLineChars="200"/>
        <w:jc w:val="center"/>
        <w:rPr>
          <w:rFonts w:hint="eastAsia" w:ascii="宋体" w:hAnsi="宋体" w:cs="微软雅黑"/>
          <w:b/>
          <w:bCs/>
          <w:sz w:val="48"/>
          <w:szCs w:val="56"/>
        </w:rPr>
      </w:pPr>
    </w:p>
    <w:p w14:paraId="06D04ED7">
      <w:pPr>
        <w:pStyle w:val="3"/>
        <w:widowControl/>
        <w:spacing w:line="360" w:lineRule="auto"/>
        <w:ind w:firstLine="643" w:firstLineChars="200"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标准工作组</w:t>
      </w:r>
    </w:p>
    <w:p w14:paraId="006D4170">
      <w:pPr>
        <w:pStyle w:val="3"/>
        <w:widowControl/>
        <w:spacing w:line="360" w:lineRule="auto"/>
        <w:ind w:firstLine="643" w:firstLineChars="200"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2026年9月</w:t>
      </w:r>
    </w:p>
    <w:p w14:paraId="7A74030E">
      <w:pPr>
        <w:pStyle w:val="3"/>
        <w:widowControl/>
        <w:spacing w:line="360" w:lineRule="auto"/>
        <w:ind w:firstLine="643" w:firstLineChars="200"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FA63815">
      <w:pPr>
        <w:pStyle w:val="25"/>
        <w:adjustRightInd w:val="0"/>
        <w:spacing w:after="468"/>
        <w:rPr>
          <w:spacing w:val="320"/>
          <w:szCs w:val="21"/>
        </w:rPr>
      </w:pPr>
      <w:r>
        <w:rPr>
          <w:rFonts w:hint="eastAsia"/>
          <w:spacing w:val="320"/>
          <w:szCs w:val="21"/>
        </w:rPr>
        <w:t>目  录</w:t>
      </w:r>
    </w:p>
    <w:p w14:paraId="36C256B8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rPr>
          <w:rFonts w:hint="eastAsia" w:ascii="宋体"/>
          <w:szCs w:val="21"/>
        </w:rPr>
        <w:fldChar w:fldCharType="begin"/>
      </w:r>
      <w:r>
        <w:rPr>
          <w:rFonts w:hint="eastAsia" w:ascii="宋体"/>
          <w:szCs w:val="21"/>
        </w:rPr>
        <w:instrText xml:space="preserve">TOC \o "1-1" \h \u </w:instrText>
      </w:r>
      <w:r>
        <w:rPr>
          <w:rFonts w:hint="eastAsia" w:ascii="宋体"/>
          <w:szCs w:val="21"/>
        </w:rPr>
        <w:fldChar w:fldCharType="separate"/>
      </w:r>
      <w:r>
        <w:fldChar w:fldCharType="begin"/>
      </w:r>
      <w:r>
        <w:instrText xml:space="preserve"> HYPERLINK \l "_Toc23543" </w:instrText>
      </w:r>
      <w:r>
        <w:fldChar w:fldCharType="separate"/>
      </w:r>
      <w:r>
        <w:rPr>
          <w:rFonts w:hint="eastAsia" w:ascii="宋体"/>
          <w:szCs w:val="21"/>
        </w:rPr>
        <w:t>一、 修订背景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_Toc23543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1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5885A98F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fldChar w:fldCharType="begin"/>
      </w:r>
      <w:r>
        <w:instrText xml:space="preserve"> HYPERLINK \l "_Toc29390" </w:instrText>
      </w:r>
      <w:r>
        <w:fldChar w:fldCharType="separate"/>
      </w:r>
      <w:r>
        <w:rPr>
          <w:rFonts w:hint="eastAsia" w:ascii="宋体"/>
          <w:szCs w:val="21"/>
        </w:rPr>
        <w:t>二、 评价指南编制原则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_Toc29390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2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1AC6AF30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fldChar w:fldCharType="begin"/>
      </w:r>
      <w:r>
        <w:instrText xml:space="preserve"> HYPERLINK \l "_Toc17922" </w:instrText>
      </w:r>
      <w:r>
        <w:fldChar w:fldCharType="separate"/>
      </w:r>
      <w:r>
        <w:rPr>
          <w:rFonts w:hint="eastAsia" w:ascii="宋体"/>
          <w:szCs w:val="21"/>
        </w:rPr>
        <w:t>三、 采用国际标准和国外先进标准情况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_Toc17922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3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533B8EEA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fldChar w:fldCharType="begin"/>
      </w:r>
      <w:r>
        <w:instrText xml:space="preserve"> HYPERLINK \l "_Toc8555" </w:instrText>
      </w:r>
      <w:r>
        <w:fldChar w:fldCharType="separate"/>
      </w:r>
      <w:r>
        <w:rPr>
          <w:rFonts w:hint="eastAsia" w:ascii="宋体"/>
          <w:szCs w:val="21"/>
        </w:rPr>
        <w:t>四、 主要内容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_Toc8555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3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2EE695FA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fldChar w:fldCharType="begin"/>
      </w:r>
      <w:r>
        <w:instrText xml:space="preserve"> HYPERLINK \l "_Toc31637" </w:instrText>
      </w:r>
      <w:r>
        <w:fldChar w:fldCharType="separate"/>
      </w:r>
      <w:r>
        <w:rPr>
          <w:rFonts w:hint="eastAsia" w:ascii="宋体"/>
          <w:szCs w:val="21"/>
        </w:rPr>
        <w:t xml:space="preserve">五、 </w:t>
      </w:r>
      <w:r>
        <w:rPr>
          <w:rFonts w:ascii="宋体"/>
          <w:szCs w:val="21"/>
        </w:rPr>
        <w:t>与现行法律、法规和政策及相关标准的协调性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_Toc31637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4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5F147208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fldChar w:fldCharType="begin"/>
      </w:r>
      <w:r>
        <w:instrText xml:space="preserve"> HYPERLINK \l "_Toc9628" </w:instrText>
      </w:r>
      <w:r>
        <w:fldChar w:fldCharType="separate"/>
      </w:r>
      <w:r>
        <w:rPr>
          <w:rFonts w:hint="eastAsia" w:ascii="宋体"/>
          <w:szCs w:val="21"/>
        </w:rPr>
        <w:t xml:space="preserve">六、 </w:t>
      </w:r>
      <w:r>
        <w:rPr>
          <w:rFonts w:ascii="宋体"/>
          <w:szCs w:val="21"/>
        </w:rPr>
        <w:t>贯彻标准的要求和措施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_Toc9628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4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2E67916C">
      <w:pPr>
        <w:pStyle w:val="8"/>
        <w:tabs>
          <w:tab w:val="right" w:leader="dot" w:pos="9344"/>
        </w:tabs>
        <w:adjustRightInd w:val="0"/>
        <w:spacing w:line="360" w:lineRule="auto"/>
        <w:rPr>
          <w:rFonts w:ascii="宋体"/>
          <w:szCs w:val="21"/>
        </w:rPr>
      </w:pPr>
      <w:r>
        <w:fldChar w:fldCharType="begin"/>
      </w:r>
      <w:r>
        <w:instrText xml:space="preserve"> HYPERLINK \l "_Toc17640" </w:instrText>
      </w:r>
      <w:r>
        <w:fldChar w:fldCharType="separate"/>
      </w:r>
      <w:r>
        <w:rPr>
          <w:rFonts w:hint="eastAsia" w:ascii="宋体"/>
          <w:szCs w:val="21"/>
        </w:rPr>
        <w:t xml:space="preserve">七、 </w:t>
      </w:r>
      <w:r>
        <w:rPr>
          <w:rFonts w:ascii="宋体"/>
          <w:szCs w:val="21"/>
        </w:rPr>
        <w:t>其他需要说明的事项</w:t>
      </w:r>
      <w:r>
        <w:rPr>
          <w:rFonts w:ascii="宋体"/>
          <w:szCs w:val="21"/>
        </w:rPr>
        <w:tab/>
      </w:r>
      <w:r>
        <w:rPr>
          <w:rFonts w:ascii="宋体"/>
          <w:szCs w:val="21"/>
        </w:rPr>
        <w:fldChar w:fldCharType="begin"/>
      </w:r>
      <w:r>
        <w:rPr>
          <w:rFonts w:ascii="宋体"/>
          <w:szCs w:val="21"/>
        </w:rPr>
        <w:instrText xml:space="preserve"> PAGEREF _Toc17640 \h </w:instrText>
      </w:r>
      <w:r>
        <w:rPr>
          <w:rFonts w:ascii="宋体"/>
          <w:szCs w:val="21"/>
        </w:rPr>
        <w:fldChar w:fldCharType="separate"/>
      </w:r>
      <w:r>
        <w:rPr>
          <w:rFonts w:ascii="宋体"/>
          <w:szCs w:val="21"/>
        </w:rPr>
        <w:t>4</w:t>
      </w:r>
      <w:r>
        <w:rPr>
          <w:rFonts w:ascii="宋体"/>
          <w:szCs w:val="21"/>
        </w:rPr>
        <w:fldChar w:fldCharType="end"/>
      </w:r>
      <w:r>
        <w:rPr>
          <w:rFonts w:ascii="宋体"/>
          <w:szCs w:val="21"/>
        </w:rPr>
        <w:fldChar w:fldCharType="end"/>
      </w:r>
    </w:p>
    <w:p w14:paraId="5642A104">
      <w:pPr>
        <w:pStyle w:val="8"/>
        <w:tabs>
          <w:tab w:val="right" w:leader="dot" w:pos="9344"/>
        </w:tabs>
        <w:adjustRightInd w:val="0"/>
        <w:spacing w:line="400" w:lineRule="exact"/>
        <w:rPr>
          <w:rFonts w:hint="eastAsia" w:ascii="宋体" w:hAnsi="宋体" w:cs="微软雅黑"/>
          <w:b/>
          <w:bCs/>
          <w:sz w:val="28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宋体"/>
          <w:szCs w:val="21"/>
        </w:rPr>
        <w:fldChar w:fldCharType="end"/>
      </w:r>
    </w:p>
    <w:p w14:paraId="55280CEA">
      <w:pPr>
        <w:rPr>
          <w:rFonts w:hint="eastAsia" w:ascii="宋体" w:hAnsi="宋体" w:cs="微软雅黑"/>
          <w:b/>
          <w:bCs/>
          <w:sz w:val="28"/>
          <w:szCs w:val="36"/>
        </w:rPr>
      </w:pPr>
    </w:p>
    <w:p w14:paraId="7C844D83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0" w:name="_Toc23543"/>
      <w:bookmarkStart w:id="1" w:name="_Toc12353"/>
      <w:bookmarkStart w:id="2" w:name="_Toc84929423"/>
      <w:r>
        <w:rPr>
          <w:rFonts w:hint="eastAsia" w:ascii="宋体" w:hAnsi="宋体" w:cs="微软雅黑"/>
          <w:b/>
          <w:bCs/>
          <w:sz w:val="28"/>
          <w:szCs w:val="36"/>
        </w:rPr>
        <w:t>修订背景</w:t>
      </w:r>
      <w:bookmarkEnd w:id="0"/>
      <w:bookmarkEnd w:id="1"/>
      <w:bookmarkEnd w:id="2"/>
    </w:p>
    <w:p w14:paraId="7A9E98FE">
      <w:pPr>
        <w:numPr>
          <w:ilvl w:val="0"/>
          <w:numId w:val="2"/>
        </w:numPr>
        <w:spacing w:line="360" w:lineRule="auto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任务来源</w:t>
      </w:r>
    </w:p>
    <w:p w14:paraId="31603299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全球气候治理格局深刻重塑的背景下，可持续发展已从“可选项”转变为“必答题”。ESG理念作为落实“双碳”目标与生态文明建设的核心抓手，已成为衡量企业长期价值的关键标尺，其在引导经济绿色转型、提升国际竞争力方面的战略意义日益凸显。汽车行业是中国国民经济的重要战略性、支柱性产业，是制造强国建设的重要领域，也是“双碳”和可持续发展等国家重大战略的重要实践者和贡献者。汽车行业关注ESG，将ESG理念融入生产、经营、科研和管理的各个环节，对于营造全行业良好的ESG文化和发展氛围，贡献全球可持续发展有着重要作用。</w:t>
      </w:r>
    </w:p>
    <w:p w14:paraId="5281E7D4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近年来，汽车行业积极开展ESG管理建设相关工作。2023年5月1</w:t>
      </w:r>
      <w:r>
        <w:rPr>
          <w:rFonts w:ascii="宋体" w:hAnsi="宋体" w:cs="微软雅黑"/>
          <w:sz w:val="24"/>
          <w:szCs w:val="32"/>
        </w:rPr>
        <w:t>8</w:t>
      </w:r>
      <w:r>
        <w:rPr>
          <w:rFonts w:hint="eastAsia" w:ascii="宋体" w:hAnsi="宋体" w:cs="微软雅黑"/>
          <w:sz w:val="24"/>
          <w:szCs w:val="32"/>
        </w:rPr>
        <w:t>日，中国汽车工业协会标准法规工作委员会汽车行业ESG及社会责任专委会正式成立，旨在开展行业ESG指引与团体标准研究，探索搭建ESG国际交流平台，增强企业ESG意识、管理水平和工作能力，促进汽车企业更好融入国际可持续发展体系。此外，2</w:t>
      </w:r>
      <w:r>
        <w:rPr>
          <w:rFonts w:ascii="宋体" w:hAnsi="宋体" w:cs="微软雅黑"/>
          <w:sz w:val="24"/>
          <w:szCs w:val="32"/>
        </w:rPr>
        <w:t>023</w:t>
      </w:r>
      <w:r>
        <w:rPr>
          <w:rFonts w:hint="eastAsia" w:ascii="宋体" w:hAnsi="宋体" w:cs="微软雅黑"/>
          <w:sz w:val="24"/>
          <w:szCs w:val="32"/>
        </w:rPr>
        <w:t>年，中国汽车工业协会还举办了“全球合规视角下的中国汽车企业可持续尽责管理”，E</w:t>
      </w:r>
      <w:r>
        <w:rPr>
          <w:rFonts w:ascii="宋体" w:hAnsi="宋体" w:cs="微软雅黑"/>
          <w:sz w:val="24"/>
          <w:szCs w:val="32"/>
        </w:rPr>
        <w:t>SG</w:t>
      </w:r>
      <w:r>
        <w:rPr>
          <w:rFonts w:hint="eastAsia" w:ascii="宋体" w:hAnsi="宋体" w:cs="微软雅黑"/>
          <w:sz w:val="24"/>
          <w:szCs w:val="32"/>
        </w:rPr>
        <w:t>及标准法规工作团队欧洲交流行等活动，进一步提升了中国汽车企业应对合规风险及综合ESG管理能力。</w:t>
      </w:r>
    </w:p>
    <w:p w14:paraId="5CA79E75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2023年，中国汽车工业协会发布《中国汽车行业ESG评价指南》（T/CAAMTB 172—2023），为汽车行业企业开展ESG表现评估提供了重要技术依据。但随着国内外ESG评价体系持续演进，国际可持续准则理事会（ISSB）发布IFRS S1和IFRS S2，欧盟CSRD及ESRS逐步落地，国内沪深北交易所也相继发布可持续发展报告指引，对ESG评价的科学性、全面性和国际可比性提出了更高要求。为此，2025年，中国汽车工业协会对《评价指南》开展了首轮指标修订工作，优化了评价维度和评分标准，并同步组织行业首测预评价，以验证指标的可操作性和区分度。结合预评价结果及行业专家反馈，2026年，协会在前期修订基础上进一步调整完善评价指标体系，重点提升指标的行业适用性、科学性和国际可比性，正式启动新一轮修订工作。目前已完成行业调研、指标优化及多轮研讨，形成《评价指南（征求意见稿）》，现面向社会公开征求意见。</w:t>
      </w:r>
    </w:p>
    <w:p w14:paraId="2576E4AB">
      <w:pPr>
        <w:spacing w:line="360" w:lineRule="auto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2、主要起草单位</w:t>
      </w:r>
    </w:p>
    <w:p w14:paraId="5D2F38C1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ascii="宋体" w:hAnsi="宋体" w:cs="微软雅黑"/>
          <w:sz w:val="24"/>
          <w:szCs w:val="32"/>
        </w:rPr>
        <w:t>在</w:t>
      </w:r>
      <w:r>
        <w:rPr>
          <w:rFonts w:hint="eastAsia" w:ascii="宋体" w:hAnsi="宋体" w:cs="微软雅黑"/>
          <w:sz w:val="24"/>
          <w:szCs w:val="32"/>
        </w:rPr>
        <w:t>《评价指南》</w:t>
      </w:r>
      <w:r>
        <w:rPr>
          <w:rFonts w:ascii="宋体" w:hAnsi="宋体" w:cs="微软雅黑"/>
          <w:sz w:val="24"/>
          <w:szCs w:val="32"/>
        </w:rPr>
        <w:t>的研究制定工作过程中，与行业专家进行了多次研讨</w:t>
      </w:r>
      <w:r>
        <w:rPr>
          <w:rFonts w:hint="eastAsia" w:ascii="宋体" w:hAnsi="宋体" w:cs="微软雅黑"/>
          <w:sz w:val="24"/>
          <w:szCs w:val="32"/>
        </w:rPr>
        <w:t>，</w:t>
      </w:r>
      <w:r>
        <w:rPr>
          <w:rFonts w:ascii="宋体" w:hAnsi="宋体" w:cs="微软雅黑"/>
          <w:sz w:val="24"/>
          <w:szCs w:val="32"/>
        </w:rPr>
        <w:t>取得了大量有建设性的意见、建议</w:t>
      </w:r>
      <w:r>
        <w:rPr>
          <w:rFonts w:hint="eastAsia" w:ascii="宋体" w:hAnsi="宋体" w:cs="微软雅黑"/>
          <w:sz w:val="24"/>
          <w:szCs w:val="32"/>
        </w:rPr>
        <w:t>，确保了</w:t>
      </w:r>
      <w:r>
        <w:rPr>
          <w:rFonts w:ascii="宋体" w:hAnsi="宋体" w:cs="微软雅黑"/>
          <w:sz w:val="24"/>
          <w:szCs w:val="32"/>
        </w:rPr>
        <w:t xml:space="preserve">本标准的制定质量。主要起草单位名单如下： </w:t>
      </w:r>
    </w:p>
    <w:p w14:paraId="2EB0C950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 xml:space="preserve">中国汽车工业协会、浙江吉利控股集团有限公司、责扬天下（北京）管理顾问有限公司、中国汽车工程研究院股份有限公司、中国第一汽车集团有限公司、重庆长安汽车股份有限公司、广州汽车集团股份有限公司、上海汽车集团股份有限公司、北京汽车集团有限公司、奇瑞控股集团有限公司、理想汽车、上海蔚来汽车有限公司、厦门金龙汽车集团股份有限公司、广汽本田汽车有限公司、沃尔沃汽车(亚太)投资控股有限公司、宁德时代新能源科技有限公司、米其林（中国） 投资有限公司、贝卡尔特（中国）技术研发有限公司、上海国际汽车城（集团）有限公司、中国汽车技术研究中心有限公司、中国乡村发展基金会、中国标准化研究院、中国信息通信研究院、北京车之家信息技术有限公司。 </w:t>
      </w:r>
    </w:p>
    <w:p w14:paraId="7D3A51F6">
      <w:pPr>
        <w:spacing w:line="360" w:lineRule="auto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3、主要起草人</w:t>
      </w:r>
    </w:p>
    <w:p w14:paraId="51D34775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  <w:highlight w:val="yellow"/>
        </w:rPr>
      </w:pPr>
      <w:r>
        <w:rPr>
          <w:rFonts w:hint="eastAsia" w:ascii="宋体" w:hAnsi="宋体" w:cs="微软雅黑"/>
          <w:sz w:val="24"/>
          <w:szCs w:val="32"/>
        </w:rPr>
        <w:t>本文件主要起草人：李邵华、伊鸣、尚蛟、黄兴、林波、代奕波、管竹笋、尹捷、张小燕、岳海燕、陈晓宁、姜南、赵贵平、李妍如、刘先、桂飞、王浩然、谢萌、曹政、吕家正、马文雄、杨松玲、郭跃宁、潘学兴、郭佳栋、仲崇毅、吴俊贤、冯会健、丁亚冬、黎钊、李芳、林翎、丁晴、常琳、张炜明、刘鑫、金辉、侯楚卿、陈颖、文琦、贺倩、张蕊、黄石旦、戚伊琳。</w:t>
      </w:r>
    </w:p>
    <w:p w14:paraId="4167482C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  <w:highlight w:val="yellow"/>
        </w:rPr>
      </w:pPr>
    </w:p>
    <w:p w14:paraId="324898ED">
      <w:pPr>
        <w:spacing w:line="360" w:lineRule="auto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4、修订过程</w:t>
      </w:r>
    </w:p>
    <w:p w14:paraId="564E8C74">
      <w:pPr>
        <w:widowControl/>
        <w:shd w:val="clear" w:color="auto" w:fill="FFFFFF"/>
        <w:spacing w:after="192"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2026年 4月 29日，召开《</w:t>
      </w:r>
      <w:r>
        <w:rPr>
          <w:rFonts w:ascii="宋体" w:hAnsi="宋体" w:cs="微软雅黑"/>
          <w:sz w:val="24"/>
          <w:szCs w:val="32"/>
        </w:rPr>
        <w:t>中国汽车行业ESG评价指南</w:t>
      </w:r>
      <w:r>
        <w:rPr>
          <w:rFonts w:hint="eastAsia" w:ascii="宋体" w:hAnsi="宋体" w:cs="微软雅黑"/>
          <w:sz w:val="24"/>
          <w:szCs w:val="32"/>
        </w:rPr>
        <w:t>》标准修订立项专家评审会。与会专家就标准修订的必要性、指南框架等进行讨论，对技术创新、应对气候变化等议题提出相关建议，经评估同意开展标准修订工作。</w:t>
      </w:r>
    </w:p>
    <w:p w14:paraId="261F86E1">
      <w:pPr>
        <w:widowControl/>
        <w:shd w:val="clear" w:color="auto" w:fill="FFFFFF"/>
        <w:spacing w:after="192" w:line="360" w:lineRule="auto"/>
        <w:ind w:firstLine="480" w:firstLineChars="200"/>
        <w:rPr>
          <w:rFonts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2026年7月10日，召开《</w:t>
      </w:r>
      <w:r>
        <w:rPr>
          <w:rFonts w:ascii="宋体" w:hAnsi="宋体" w:cs="微软雅黑"/>
          <w:sz w:val="24"/>
          <w:szCs w:val="32"/>
        </w:rPr>
        <w:t>中国汽车行业ESG评价指南</w:t>
      </w:r>
      <w:r>
        <w:rPr>
          <w:rFonts w:hint="eastAsia" w:ascii="宋体" w:hAnsi="宋体" w:cs="微软雅黑"/>
          <w:sz w:val="24"/>
          <w:szCs w:val="32"/>
        </w:rPr>
        <w:t>》标准修订内部研讨会，结合外部最新可持续发展管理要求、汽车行业企业特点以及标准前期</w:t>
      </w:r>
      <w:r>
        <w:rPr>
          <w:rFonts w:hint="eastAsia" w:ascii="宋体" w:hAnsi="宋体" w:cs="微软雅黑"/>
          <w:sz w:val="24"/>
          <w:szCs w:val="32"/>
          <w:lang w:val="en-US" w:eastAsia="zh-CN"/>
        </w:rPr>
        <w:t>实践</w:t>
      </w:r>
      <w:bookmarkStart w:id="18" w:name="_GoBack"/>
      <w:bookmarkEnd w:id="18"/>
      <w:r>
        <w:rPr>
          <w:rFonts w:hint="eastAsia" w:ascii="宋体" w:hAnsi="宋体" w:cs="微软雅黑"/>
          <w:sz w:val="24"/>
          <w:szCs w:val="32"/>
        </w:rPr>
        <w:t>情况，对《</w:t>
      </w:r>
      <w:r>
        <w:rPr>
          <w:rFonts w:ascii="宋体" w:hAnsi="宋体" w:cs="微软雅黑"/>
          <w:sz w:val="24"/>
          <w:szCs w:val="32"/>
        </w:rPr>
        <w:t>中国汽车行业ESG评价指南</w:t>
      </w:r>
      <w:r>
        <w:rPr>
          <w:rFonts w:hint="eastAsia" w:ascii="宋体" w:hAnsi="宋体" w:cs="微软雅黑"/>
          <w:sz w:val="24"/>
          <w:szCs w:val="32"/>
        </w:rPr>
        <w:t>》（讨论稿）进行充分沟通讨论，围绕标准修订方向、具体指标设置以及气候变化、科技创新、数字化管理、ESG治理等进行重点讨论，根据讨论意见对《</w:t>
      </w:r>
      <w:r>
        <w:rPr>
          <w:rFonts w:ascii="宋体" w:hAnsi="宋体" w:cs="微软雅黑"/>
          <w:sz w:val="24"/>
          <w:szCs w:val="32"/>
        </w:rPr>
        <w:t>中国汽车行业ESG评价指南</w:t>
      </w:r>
      <w:r>
        <w:rPr>
          <w:rFonts w:hint="eastAsia" w:ascii="宋体" w:hAnsi="宋体" w:cs="微软雅黑"/>
          <w:sz w:val="24"/>
          <w:szCs w:val="32"/>
        </w:rPr>
        <w:t>》文本进一步修改完善和调整优化，最终形成征求意见稿。</w:t>
      </w:r>
    </w:p>
    <w:p w14:paraId="77660F0F">
      <w:pPr>
        <w:widowControl/>
        <w:shd w:val="clear" w:color="auto" w:fill="FFFFFF"/>
        <w:spacing w:after="192"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ascii="宋体" w:hAnsi="宋体" w:cs="微软雅黑"/>
          <w:sz w:val="24"/>
          <w:szCs w:val="32"/>
        </w:rPr>
        <w:t>2026年8月6日对标准修订再次召开线上讨论会，结合最新行业发展情况，对部分文本内容进行了调整细化，最终形成征求意见稿。</w:t>
      </w:r>
    </w:p>
    <w:p w14:paraId="77282E77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3" w:name="_Toc29390"/>
      <w:r>
        <w:rPr>
          <w:rFonts w:hint="eastAsia" w:ascii="宋体" w:hAnsi="宋体" w:cs="微软雅黑"/>
          <w:b/>
          <w:bCs/>
          <w:sz w:val="28"/>
          <w:szCs w:val="36"/>
        </w:rPr>
        <w:t>评价指南编制原则</w:t>
      </w:r>
      <w:bookmarkEnd w:id="3"/>
    </w:p>
    <w:p w14:paraId="5B8B7C25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本指标体系的制定依据以下原则：</w:t>
      </w:r>
    </w:p>
    <w:p w14:paraId="11268D75">
      <w:pPr>
        <w:numPr>
          <w:ilvl w:val="0"/>
          <w:numId w:val="3"/>
        </w:numPr>
        <w:spacing w:line="360" w:lineRule="auto"/>
        <w:ind w:left="851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适用性原则</w:t>
      </w:r>
    </w:p>
    <w:p w14:paraId="0F0D7834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本指标体系的编制充分考虑与我国现行法律法规和技术标准相符合，重点考虑可操作性，便于标准的实施。</w:t>
      </w:r>
    </w:p>
    <w:p w14:paraId="12C92D4C">
      <w:pPr>
        <w:numPr>
          <w:ilvl w:val="0"/>
          <w:numId w:val="3"/>
        </w:numPr>
        <w:spacing w:line="360" w:lineRule="auto"/>
        <w:ind w:left="851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规范性原则</w:t>
      </w:r>
    </w:p>
    <w:p w14:paraId="4ADB7E3F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本指标体系根据《中华人民共和国标准化法》、GB/T 1.1-</w:t>
      </w:r>
      <w:r>
        <w:rPr>
          <w:rFonts w:ascii="宋体" w:hAnsi="宋体" w:cs="微软雅黑"/>
          <w:sz w:val="24"/>
          <w:szCs w:val="32"/>
        </w:rPr>
        <w:t>2020</w:t>
      </w:r>
      <w:r>
        <w:rPr>
          <w:rFonts w:hint="eastAsia" w:ascii="宋体" w:hAnsi="宋体" w:cs="微软雅黑"/>
          <w:sz w:val="24"/>
          <w:szCs w:val="32"/>
        </w:rPr>
        <w:t>《标准化工作导则第1部分：标准化文件的结构和起草规则》进行编制。</w:t>
      </w:r>
    </w:p>
    <w:p w14:paraId="61871538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4" w:name="_Toc84929432"/>
      <w:bookmarkStart w:id="5" w:name="_Toc17922"/>
      <w:r>
        <w:rPr>
          <w:rFonts w:hint="eastAsia" w:ascii="宋体" w:hAnsi="宋体" w:cs="微软雅黑"/>
          <w:b/>
          <w:bCs/>
          <w:sz w:val="28"/>
          <w:szCs w:val="36"/>
        </w:rPr>
        <w:t>采用国际标准和国外先进标准情况</w:t>
      </w:r>
      <w:bookmarkEnd w:id="4"/>
      <w:bookmarkEnd w:id="5"/>
    </w:p>
    <w:p w14:paraId="1645F97C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bookmarkStart w:id="6" w:name="_Hlk153532993"/>
      <w:r>
        <w:rPr>
          <w:rFonts w:ascii="宋体" w:hAnsi="宋体" w:cs="宋体"/>
          <w:snapToGrid w:val="0"/>
          <w:color w:val="000000"/>
          <w:kern w:val="0"/>
          <w:sz w:val="24"/>
        </w:rPr>
        <w:t>GB/T 1.1-2020 标准化工作导则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－</w:t>
      </w:r>
      <w:r>
        <w:rPr>
          <w:rFonts w:ascii="宋体" w:hAnsi="宋体" w:cs="宋体"/>
          <w:snapToGrid w:val="0"/>
          <w:color w:val="000000"/>
          <w:kern w:val="0"/>
          <w:sz w:val="24"/>
        </w:rPr>
        <w:t>第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lang w:val="en-US" w:eastAsia="zh-CN"/>
        </w:rPr>
        <w:t>1</w:t>
      </w:r>
      <w:r>
        <w:rPr>
          <w:rFonts w:ascii="宋体" w:hAnsi="宋体" w:cs="宋体"/>
          <w:snapToGrid w:val="0"/>
          <w:color w:val="000000"/>
          <w:kern w:val="0"/>
          <w:sz w:val="24"/>
        </w:rPr>
        <w:t>部分：标准化文件的结构和起草规则</w:t>
      </w:r>
    </w:p>
    <w:p w14:paraId="1580D25B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ascii="宋体" w:hAnsi="宋体" w:cs="宋体"/>
          <w:snapToGrid w:val="0"/>
          <w:color w:val="000000"/>
          <w:kern w:val="0"/>
          <w:sz w:val="24"/>
        </w:rPr>
        <w:t>GB/T 4754-2017 国民经济行业分类</w:t>
      </w:r>
    </w:p>
    <w:p w14:paraId="0A12AB67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  <w:lang w:eastAsia="en-US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GB/T 19001-2016 质量管理体系 要求</w:t>
      </w:r>
    </w:p>
    <w:p w14:paraId="094646B1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  <w:lang w:eastAsia="en-US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GB/T 23331-2020 能源管理体系 要求及使用指南</w:t>
      </w:r>
    </w:p>
    <w:p w14:paraId="6812B796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  <w:lang w:eastAsia="en-US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GB/T 24001-2016 环境管理体系 要求及使用指南</w:t>
      </w:r>
    </w:p>
    <w:p w14:paraId="3119D3AE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  <w:lang w:eastAsia="en-US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GB/T 24353-2022 风险管理指南</w:t>
      </w:r>
    </w:p>
    <w:p w14:paraId="46DA7A0D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  <w:lang w:eastAsia="en-US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GB/T 39001-2019 道路交通安全管理体系 要求及使用指南</w:t>
      </w:r>
    </w:p>
    <w:p w14:paraId="46891545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GB/T 45001-2020 职业健康安全管理体系 要求及使用指南</w:t>
      </w:r>
    </w:p>
    <w:p w14:paraId="1401DC06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中华人民共和国个人信息保护法</w:t>
      </w:r>
    </w:p>
    <w:p w14:paraId="2662917F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缺陷汽车产品召回管理条例 </w:t>
      </w:r>
    </w:p>
    <w:p w14:paraId="2E747B45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新能源汽车废旧动力蓄电池综合利用行业规范条件</w:t>
      </w:r>
    </w:p>
    <w:p w14:paraId="45A9E081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汽车零部件再制造规范管理暂行办法 </w:t>
      </w:r>
    </w:p>
    <w:p w14:paraId="211697EC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可持续行业分类系统</w:t>
      </w:r>
    </w:p>
    <w:p w14:paraId="7ACEF127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全球行业分类标准</w:t>
      </w:r>
    </w:p>
    <w:p w14:paraId="70065CC0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经济合作与发展组织 经合组织负责任商业行为尽责管理指南</w:t>
      </w:r>
    </w:p>
    <w:p w14:paraId="3F212E0E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国际可持续准则理事会 国际财务报告可持续披露准则第2号——气候相关披露、国际财务报告可持续披露准则第1号——可持续相关财务信息披露一般要求</w:t>
      </w:r>
    </w:p>
    <w:p w14:paraId="76F0B61C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上海证券交易所 上市公司自律监管指引第14号——可持续发展报告（试行）</w:t>
      </w:r>
    </w:p>
    <w:p w14:paraId="0B874703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中国上市公司协会 上市公司可持续发展报告工作指南</w:t>
      </w:r>
    </w:p>
    <w:p w14:paraId="5FBBF4DC">
      <w:pPr>
        <w:numPr>
          <w:ilvl w:val="0"/>
          <w:numId w:val="4"/>
        </w:numPr>
        <w:overflowPunct w:val="0"/>
        <w:adjustRightInd w:val="0"/>
        <w:snapToGri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香港联合交易所主板上市规则 附录C2 环境、社会及管治报告守则</w:t>
      </w:r>
    </w:p>
    <w:p w14:paraId="48AD93A8">
      <w:pPr>
        <w:numPr>
          <w:ilvl w:val="0"/>
          <w:numId w:val="4"/>
        </w:numPr>
        <w:overflowPunct w:val="0"/>
        <w:adjustRightInd w:val="0"/>
        <w:spacing w:line="360" w:lineRule="auto"/>
        <w:ind w:right="57" w:firstLine="480" w:firstLineChars="200"/>
        <w:textAlignment w:val="baseline"/>
        <w:rPr>
          <w:rFonts w:hint="eastAsia" w:ascii="宋体" w:hAnsi="宋体" w:cs="宋体"/>
          <w:snapToGrid w:val="0"/>
          <w:color w:val="000000"/>
          <w:kern w:val="0"/>
          <w:sz w:val="24"/>
          <w:lang w:eastAsia="en-US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全球报告倡议组织可持续发展报告标准（GRI Standards）</w:t>
      </w:r>
      <w:bookmarkEnd w:id="6"/>
    </w:p>
    <w:p w14:paraId="460677E9">
      <w:pPr>
        <w:spacing w:line="360" w:lineRule="auto"/>
        <w:rPr>
          <w:rFonts w:hint="eastAsia" w:ascii="宋体" w:hAnsi="宋体"/>
          <w:color w:val="0F1115"/>
          <w:sz w:val="24"/>
        </w:rPr>
      </w:pPr>
    </w:p>
    <w:p w14:paraId="0133045C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7" w:name="_Toc8555"/>
      <w:bookmarkStart w:id="8" w:name="_Toc20712"/>
      <w:r>
        <w:rPr>
          <w:rFonts w:hint="eastAsia" w:ascii="宋体" w:hAnsi="宋体" w:cs="微软雅黑"/>
          <w:b/>
          <w:bCs/>
          <w:sz w:val="28"/>
          <w:szCs w:val="36"/>
        </w:rPr>
        <w:t>主要内容</w:t>
      </w:r>
      <w:bookmarkEnd w:id="7"/>
      <w:bookmarkEnd w:id="8"/>
    </w:p>
    <w:p w14:paraId="1D3AE151">
      <w:pPr>
        <w:numPr>
          <w:ilvl w:val="0"/>
          <w:numId w:val="5"/>
        </w:numPr>
        <w:spacing w:line="360" w:lineRule="auto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基础部分</w:t>
      </w:r>
    </w:p>
    <w:p w14:paraId="76E29420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对评价指南的使用范围、所涉及规范性引用文件、术语定义进行规定。</w:t>
      </w:r>
    </w:p>
    <w:p w14:paraId="6D5981B3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本标准适用于汽车行业的整车企业及零部件企业，供汽车产业链供应链相关企业参考使用。</w:t>
      </w:r>
    </w:p>
    <w:p w14:paraId="1DD1B22E">
      <w:pPr>
        <w:widowControl/>
        <w:numPr>
          <w:ilvl w:val="0"/>
          <w:numId w:val="5"/>
        </w:numPr>
        <w:spacing w:line="360" w:lineRule="auto"/>
        <w:rPr>
          <w:rFonts w:hint="eastAsia" w:ascii="宋体" w:hAnsi="宋体" w:cs="微软雅黑"/>
          <w:b/>
          <w:bCs/>
          <w:sz w:val="24"/>
          <w:szCs w:val="32"/>
        </w:rPr>
      </w:pPr>
      <w:r>
        <w:rPr>
          <w:rFonts w:hint="eastAsia" w:ascii="宋体" w:hAnsi="宋体" w:cs="微软雅黑"/>
          <w:b/>
          <w:bCs/>
          <w:sz w:val="24"/>
          <w:szCs w:val="32"/>
        </w:rPr>
        <w:t>指标体系分类</w:t>
      </w:r>
    </w:p>
    <w:p w14:paraId="10AD55D2">
      <w:pPr>
        <w:spacing w:line="360" w:lineRule="auto"/>
        <w:ind w:firstLine="480" w:firstLineChars="200"/>
        <w:rPr>
          <w:rFonts w:hint="eastAsia" w:ascii="宋体" w:hAnsi="宋体"/>
          <w:color w:val="0F1115"/>
          <w:sz w:val="24"/>
        </w:rPr>
      </w:pPr>
      <w:r>
        <w:rPr>
          <w:rFonts w:hint="eastAsia" w:ascii="宋体" w:hAnsi="宋体"/>
          <w:color w:val="0F1115"/>
          <w:sz w:val="24"/>
        </w:rPr>
        <w:t>与T/CAAMTB 172—2023相比，除结构调整和编辑性改动外，主要技术变化如下：</w:t>
      </w:r>
    </w:p>
    <w:p w14:paraId="64C21B39">
      <w:pPr>
        <w:spacing w:line="360" w:lineRule="auto"/>
        <w:ind w:firstLine="480" w:firstLineChars="200"/>
        <w:rPr>
          <w:rFonts w:hint="eastAsia" w:ascii="宋体" w:hAnsi="宋体"/>
          <w:color w:val="0F1115"/>
          <w:sz w:val="24"/>
        </w:rPr>
      </w:pPr>
      <w:r>
        <w:rPr>
          <w:rFonts w:hint="eastAsia" w:ascii="宋体" w:hAnsi="宋体"/>
          <w:color w:val="0F1115"/>
          <w:sz w:val="24"/>
        </w:rPr>
        <w:t>（1）指标体系框架由“一级指标—二级指标—三级指标”三级结构调整为“维度—议题—支柱—指标—</w:t>
      </w:r>
      <w:r>
        <w:rPr>
          <w:rFonts w:ascii="宋体" w:hAnsi="宋体"/>
          <w:color w:val="0F1115"/>
          <w:sz w:val="24"/>
        </w:rPr>
        <w:t>数据</w:t>
      </w:r>
      <w:r>
        <w:rPr>
          <w:rFonts w:hint="eastAsia" w:ascii="宋体" w:hAnsi="宋体"/>
          <w:color w:val="0F1115"/>
          <w:sz w:val="24"/>
        </w:rPr>
        <w:t>点”五级结构，各议题统一按“治理、战略、影响、风险和机遇管理、指标与目标”四个支柱组织。</w:t>
      </w:r>
    </w:p>
    <w:p w14:paraId="059B53EB">
      <w:pPr>
        <w:spacing w:line="360" w:lineRule="auto"/>
        <w:ind w:firstLine="480" w:firstLineChars="200"/>
        <w:rPr>
          <w:rFonts w:hint="eastAsia" w:ascii="宋体" w:hAnsi="宋体"/>
          <w:color w:val="0F1115"/>
          <w:sz w:val="24"/>
        </w:rPr>
      </w:pPr>
      <w:r>
        <w:rPr>
          <w:rFonts w:hint="eastAsia" w:ascii="宋体" w:hAnsi="宋体"/>
          <w:color w:val="0F1115"/>
          <w:sz w:val="24"/>
        </w:rPr>
        <w:t>（2）评价议题由15个调整为18个：环境维度设立环境合规管理、应对气候变化、污染物排放、废弃物、循环经济、能源利用、水资源、生态系统和生物多样性8个议题；社会维度设立产品服务安全与质量、创新驱动、数据安全与隐私保护、员工权益、社会贡献、可持续供应链管理6个议题；治理维度设立ESG治理、ESG合规管理、反商业贿赂及反贪污、反不正当竞争4个议题。</w:t>
      </w:r>
    </w:p>
    <w:p w14:paraId="32EF1BAA">
      <w:pPr>
        <w:spacing w:line="360" w:lineRule="auto"/>
        <w:ind w:firstLine="480" w:firstLineChars="200"/>
        <w:rPr>
          <w:rFonts w:hint="eastAsia" w:ascii="宋体" w:hAnsi="宋体"/>
          <w:color w:val="0F1115"/>
          <w:sz w:val="24"/>
        </w:rPr>
      </w:pPr>
      <w:r>
        <w:rPr>
          <w:rFonts w:hint="eastAsia" w:ascii="宋体" w:hAnsi="宋体" w:cs="宋体"/>
          <w:sz w:val="24"/>
          <w:lang w:bidi="ar"/>
        </w:rPr>
        <w:t>（3）指标和数据点进一步细化，更加贴合汽车行业实际。例如，环境维度下应对气候变化议题中，除碳排放总量外，进一步细化到单车碳排放强度、范围三碳排放等具体数据点；社会维度下可持续供应链管理议题中，细化至供应链尽职调查、冲突矿产等指标；产品与服务议题中，增加车辆安全召回情况、产品质量投诉率等贴近行业特点的得分点。通过指标和数据点的精细化设置，使评价结果能更客观、准确地反映汽车行业企业在ESG各维度的实际表现，有效提升了评价体系的可操作性和行业适用性。</w:t>
      </w:r>
    </w:p>
    <w:p w14:paraId="1A051291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9" w:name="_Toc21418"/>
      <w:bookmarkStart w:id="10" w:name="_Toc31637"/>
      <w:bookmarkStart w:id="11" w:name="_Toc84929434"/>
      <w:r>
        <w:rPr>
          <w:rFonts w:ascii="宋体" w:hAnsi="宋体" w:cs="微软雅黑"/>
          <w:b/>
          <w:bCs/>
          <w:sz w:val="28"/>
          <w:szCs w:val="36"/>
        </w:rPr>
        <w:t>与现行法律、法规和政策及相关标准的协调性</w:t>
      </w:r>
      <w:bookmarkEnd w:id="9"/>
      <w:bookmarkEnd w:id="10"/>
      <w:bookmarkEnd w:id="11"/>
      <w:r>
        <w:rPr>
          <w:rFonts w:ascii="宋体" w:hAnsi="宋体" w:cs="微软雅黑"/>
          <w:b/>
          <w:bCs/>
          <w:sz w:val="28"/>
          <w:szCs w:val="36"/>
        </w:rPr>
        <w:t xml:space="preserve"> </w:t>
      </w:r>
    </w:p>
    <w:p w14:paraId="4FA5F4EE">
      <w:pPr>
        <w:spacing w:line="360" w:lineRule="auto"/>
        <w:ind w:firstLine="480" w:firstLineChars="200"/>
        <w:rPr>
          <w:rFonts w:hint="eastAsia" w:ascii="宋体" w:hAnsi="宋体" w:cs="微软雅黑"/>
          <w:sz w:val="24"/>
          <w:szCs w:val="32"/>
        </w:rPr>
      </w:pPr>
      <w:r>
        <w:rPr>
          <w:rFonts w:ascii="宋体" w:hAnsi="宋体" w:cs="微软雅黑"/>
          <w:sz w:val="24"/>
          <w:szCs w:val="32"/>
        </w:rPr>
        <w:t>本</w:t>
      </w:r>
      <w:r>
        <w:rPr>
          <w:rFonts w:hint="eastAsia" w:ascii="宋体" w:hAnsi="宋体" w:cs="微软雅黑"/>
          <w:sz w:val="24"/>
          <w:szCs w:val="32"/>
        </w:rPr>
        <w:t>指标体系</w:t>
      </w:r>
      <w:r>
        <w:rPr>
          <w:rFonts w:ascii="宋体" w:hAnsi="宋体" w:cs="微软雅黑"/>
          <w:sz w:val="24"/>
          <w:szCs w:val="32"/>
        </w:rPr>
        <w:t>与现有的法律、法规和强制性国家标准无冲突。</w:t>
      </w:r>
    </w:p>
    <w:p w14:paraId="2CB22767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12" w:name="_Toc9628"/>
      <w:bookmarkStart w:id="13" w:name="_Toc84929435"/>
      <w:bookmarkStart w:id="14" w:name="_Toc22002"/>
      <w:r>
        <w:rPr>
          <w:rFonts w:ascii="宋体" w:hAnsi="宋体" w:cs="微软雅黑"/>
          <w:b/>
          <w:bCs/>
          <w:sz w:val="28"/>
          <w:szCs w:val="36"/>
        </w:rPr>
        <w:t>贯彻标准的要求和措施</w:t>
      </w:r>
      <w:bookmarkEnd w:id="12"/>
      <w:bookmarkEnd w:id="13"/>
      <w:bookmarkEnd w:id="14"/>
    </w:p>
    <w:p w14:paraId="499E6532">
      <w:pPr>
        <w:spacing w:line="360" w:lineRule="auto"/>
        <w:ind w:firstLine="480" w:firstLineChars="200"/>
        <w:rPr>
          <w:rFonts w:hint="eastAsia" w:ascii="宋体" w:hAnsi="宋体" w:cs="微软雅黑"/>
          <w:b/>
          <w:bCs/>
          <w:sz w:val="28"/>
          <w:szCs w:val="36"/>
        </w:rPr>
      </w:pPr>
      <w:r>
        <w:rPr>
          <w:rFonts w:ascii="宋体" w:hAnsi="宋体" w:cs="微软雅黑"/>
          <w:sz w:val="24"/>
          <w:szCs w:val="32"/>
        </w:rPr>
        <w:t>建议本指标体系</w:t>
      </w:r>
      <w:r>
        <w:rPr>
          <w:rFonts w:hint="eastAsia" w:ascii="宋体" w:hAnsi="宋体" w:cs="微软雅黑"/>
          <w:sz w:val="24"/>
          <w:szCs w:val="32"/>
        </w:rPr>
        <w:t>修改</w:t>
      </w:r>
      <w:r>
        <w:rPr>
          <w:rFonts w:ascii="宋体" w:hAnsi="宋体" w:cs="微软雅黑"/>
          <w:sz w:val="24"/>
          <w:szCs w:val="32"/>
        </w:rPr>
        <w:t>后</w:t>
      </w:r>
      <w:r>
        <w:rPr>
          <w:rFonts w:hint="eastAsia" w:ascii="宋体" w:hAnsi="宋体" w:cs="微软雅黑"/>
          <w:sz w:val="24"/>
          <w:szCs w:val="32"/>
        </w:rPr>
        <w:t>，供标准起草单位、中国汽车工业协会会员单位和行业单位自愿采用。中国汽车工业协会同其他标准起草单位</w:t>
      </w:r>
      <w:r>
        <w:rPr>
          <w:rFonts w:ascii="宋体" w:hAnsi="宋体" w:cs="微软雅黑"/>
          <w:sz w:val="24"/>
          <w:szCs w:val="32"/>
        </w:rPr>
        <w:t>组织标准</w:t>
      </w:r>
      <w:r>
        <w:rPr>
          <w:rFonts w:hint="eastAsia" w:ascii="宋体" w:hAnsi="宋体" w:cs="微软雅黑"/>
          <w:sz w:val="24"/>
          <w:szCs w:val="32"/>
        </w:rPr>
        <w:t>宣贯会，进行推广应用</w:t>
      </w:r>
      <w:r>
        <w:rPr>
          <w:rFonts w:ascii="宋体" w:hAnsi="宋体" w:cs="微软雅黑"/>
          <w:sz w:val="24"/>
          <w:szCs w:val="32"/>
        </w:rPr>
        <w:t>，促进</w:t>
      </w:r>
      <w:r>
        <w:rPr>
          <w:rFonts w:hint="eastAsia" w:ascii="宋体" w:hAnsi="宋体" w:cs="微软雅黑"/>
          <w:sz w:val="24"/>
          <w:szCs w:val="32"/>
        </w:rPr>
        <w:t>指标体系</w:t>
      </w:r>
      <w:r>
        <w:rPr>
          <w:rFonts w:ascii="宋体" w:hAnsi="宋体" w:cs="微软雅黑"/>
          <w:sz w:val="24"/>
          <w:szCs w:val="32"/>
        </w:rPr>
        <w:t>的顺利实施。</w:t>
      </w:r>
    </w:p>
    <w:p w14:paraId="5C9D13A4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 w:cs="微软雅黑"/>
          <w:b/>
          <w:bCs/>
          <w:sz w:val="28"/>
          <w:szCs w:val="36"/>
        </w:rPr>
      </w:pPr>
      <w:bookmarkStart w:id="15" w:name="_Toc84929436"/>
      <w:bookmarkStart w:id="16" w:name="_Toc17762"/>
      <w:bookmarkStart w:id="17" w:name="_Toc17640"/>
      <w:r>
        <w:rPr>
          <w:rFonts w:ascii="宋体" w:hAnsi="宋体" w:cs="微软雅黑"/>
          <w:b/>
          <w:bCs/>
          <w:sz w:val="28"/>
          <w:szCs w:val="36"/>
        </w:rPr>
        <w:t>其他需要说明的事项</w:t>
      </w:r>
      <w:bookmarkEnd w:id="15"/>
      <w:bookmarkEnd w:id="16"/>
      <w:bookmarkEnd w:id="17"/>
      <w:r>
        <w:rPr>
          <w:rFonts w:ascii="宋体" w:hAnsi="宋体" w:cs="微软雅黑"/>
          <w:b/>
          <w:bCs/>
          <w:sz w:val="28"/>
          <w:szCs w:val="36"/>
        </w:rPr>
        <w:t xml:space="preserve"> </w:t>
      </w:r>
    </w:p>
    <w:p w14:paraId="11076AAD">
      <w:pPr>
        <w:spacing w:line="360" w:lineRule="auto"/>
        <w:ind w:firstLine="480" w:firstLineChars="200"/>
        <w:rPr>
          <w:rFonts w:hint="eastAsia" w:ascii="宋体" w:hAnsi="宋体" w:cs="微软雅黑"/>
          <w:color w:val="0F1115"/>
          <w:sz w:val="24"/>
          <w:szCs w:val="32"/>
        </w:rPr>
      </w:pPr>
      <w:r>
        <w:rPr>
          <w:rFonts w:ascii="宋体" w:hAnsi="宋体" w:cs="微软雅黑"/>
          <w:color w:val="0F1115"/>
          <w:sz w:val="24"/>
          <w:szCs w:val="32"/>
        </w:rPr>
        <w:t>本次修订充分征求了行业专家和企业代表的意见，修订内容已经专家审查通过。</w:t>
      </w:r>
    </w:p>
    <w:p w14:paraId="64941822">
      <w:pPr>
        <w:spacing w:line="360" w:lineRule="auto"/>
        <w:ind w:firstLine="480" w:firstLineChars="200"/>
        <w:rPr>
          <w:rFonts w:hint="eastAsia" w:ascii="宋体" w:hAnsi="宋体" w:cs="微软雅黑"/>
          <w:color w:val="0F1115"/>
          <w:sz w:val="24"/>
          <w:szCs w:val="32"/>
        </w:rPr>
      </w:pPr>
      <w:r>
        <w:rPr>
          <w:rFonts w:ascii="宋体" w:hAnsi="宋体" w:cs="微软雅黑"/>
          <w:color w:val="0F1115"/>
          <w:sz w:val="24"/>
          <w:szCs w:val="32"/>
        </w:rPr>
        <w:t>本次修订不改变标准的适用范围和基本框架，主要是在原有基础上进行补充、完善和优化，确保标准的连续性、稳定性和前瞻性。</w:t>
      </w:r>
    </w:p>
    <w:p w14:paraId="206EAD6A">
      <w:pPr>
        <w:spacing w:line="360" w:lineRule="auto"/>
        <w:ind w:firstLine="480" w:firstLineChars="200"/>
        <w:jc w:val="right"/>
        <w:rPr>
          <w:rFonts w:hint="eastAsia" w:ascii="宋体" w:hAnsi="宋体" w:cs="微软雅黑"/>
          <w:sz w:val="24"/>
          <w:szCs w:val="32"/>
        </w:rPr>
      </w:pPr>
    </w:p>
    <w:p w14:paraId="50FF85E9">
      <w:pPr>
        <w:spacing w:line="360" w:lineRule="auto"/>
        <w:ind w:firstLine="480" w:firstLineChars="200"/>
        <w:jc w:val="right"/>
        <w:rPr>
          <w:rFonts w:hint="eastAsia" w:ascii="宋体" w:hAnsi="宋体" w:cs="微软雅黑"/>
          <w:sz w:val="24"/>
          <w:szCs w:val="32"/>
        </w:rPr>
      </w:pPr>
      <w:r>
        <w:rPr>
          <w:rFonts w:ascii="宋体" w:hAnsi="宋体" w:cs="微软雅黑"/>
          <w:sz w:val="24"/>
          <w:szCs w:val="32"/>
        </w:rPr>
        <w:t>《</w:t>
      </w:r>
      <w:r>
        <w:rPr>
          <w:rFonts w:hint="eastAsia" w:ascii="宋体" w:hAnsi="宋体" w:cs="微软雅黑"/>
          <w:sz w:val="24"/>
          <w:szCs w:val="32"/>
        </w:rPr>
        <w:t>中国汽车行业E</w:t>
      </w:r>
      <w:r>
        <w:rPr>
          <w:rFonts w:ascii="宋体" w:hAnsi="宋体" w:cs="微软雅黑"/>
          <w:sz w:val="24"/>
          <w:szCs w:val="32"/>
        </w:rPr>
        <w:t>SG</w:t>
      </w:r>
      <w:r>
        <w:rPr>
          <w:rFonts w:hint="eastAsia" w:ascii="宋体" w:hAnsi="宋体" w:cs="微软雅黑"/>
          <w:sz w:val="24"/>
          <w:szCs w:val="32"/>
        </w:rPr>
        <w:t>评价指南</w:t>
      </w:r>
      <w:r>
        <w:rPr>
          <w:rFonts w:ascii="宋体" w:hAnsi="宋体" w:cs="微软雅黑"/>
          <w:sz w:val="24"/>
          <w:szCs w:val="32"/>
        </w:rPr>
        <w:t>》标准起草工作组</w:t>
      </w:r>
    </w:p>
    <w:p w14:paraId="75C123A4">
      <w:pPr>
        <w:spacing w:line="360" w:lineRule="auto"/>
        <w:ind w:firstLine="480" w:firstLineChars="200"/>
        <w:jc w:val="right"/>
        <w:rPr>
          <w:rFonts w:hint="eastAsia" w:ascii="宋体" w:hAnsi="宋体" w:cs="微软雅黑"/>
          <w:sz w:val="24"/>
          <w:szCs w:val="32"/>
        </w:rPr>
      </w:pPr>
      <w:r>
        <w:rPr>
          <w:rFonts w:ascii="宋体" w:hAnsi="宋体" w:cs="微软雅黑"/>
          <w:sz w:val="24"/>
          <w:szCs w:val="32"/>
        </w:rPr>
        <w:t>202</w:t>
      </w:r>
      <w:r>
        <w:rPr>
          <w:rFonts w:hint="eastAsia" w:ascii="宋体" w:hAnsi="宋体" w:cs="微软雅黑"/>
          <w:sz w:val="24"/>
          <w:szCs w:val="32"/>
        </w:rPr>
        <w:t>6</w:t>
      </w:r>
      <w:r>
        <w:rPr>
          <w:rFonts w:ascii="宋体" w:hAnsi="宋体" w:cs="微软雅黑"/>
          <w:sz w:val="24"/>
          <w:szCs w:val="32"/>
        </w:rPr>
        <w:t>年</w:t>
      </w:r>
      <w:r>
        <w:rPr>
          <w:rFonts w:hint="eastAsia" w:ascii="宋体" w:hAnsi="宋体" w:cs="微软雅黑"/>
          <w:sz w:val="24"/>
          <w:szCs w:val="32"/>
        </w:rPr>
        <w:t>9</w:t>
      </w:r>
      <w:r>
        <w:rPr>
          <w:rFonts w:ascii="宋体" w:hAnsi="宋体" w:cs="微软雅黑"/>
          <w:sz w:val="24"/>
          <w:szCs w:val="32"/>
        </w:rPr>
        <w:t>月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C177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CE69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4C486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OepaY8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4C486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A19CA"/>
    <w:multiLevelType w:val="multilevel"/>
    <w:tmpl w:val="080A19C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6F4D7F"/>
    <w:multiLevelType w:val="singleLevel"/>
    <w:tmpl w:val="166F4D7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795693A"/>
    <w:multiLevelType w:val="singleLevel"/>
    <w:tmpl w:val="2795693A"/>
    <w:lvl w:ilvl="0" w:tentative="0">
      <w:start w:val="1"/>
      <w:numFmt w:val="decimal"/>
      <w:suff w:val="nothing"/>
      <w:lvlText w:val="[%1]"/>
      <w:lvlJc w:val="left"/>
    </w:lvl>
  </w:abstractNum>
  <w:abstractNum w:abstractNumId="3">
    <w:nsid w:val="48F7705A"/>
    <w:multiLevelType w:val="multilevel"/>
    <w:tmpl w:val="48F7705A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B4B8BBA"/>
    <w:multiLevelType w:val="singleLevel"/>
    <w:tmpl w:val="6B4B8BB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2NGZmOGUwOGRmNzJhMDc3N2IxOGUyZjE3MzI5OTAifQ=="/>
  </w:docVars>
  <w:rsids>
    <w:rsidRoot w:val="00A143E1"/>
    <w:rsid w:val="0002704E"/>
    <w:rsid w:val="00047071"/>
    <w:rsid w:val="00073443"/>
    <w:rsid w:val="000945F7"/>
    <w:rsid w:val="000B111D"/>
    <w:rsid w:val="000F511C"/>
    <w:rsid w:val="001229BD"/>
    <w:rsid w:val="00123647"/>
    <w:rsid w:val="001339D8"/>
    <w:rsid w:val="00134366"/>
    <w:rsid w:val="00156791"/>
    <w:rsid w:val="001A4B56"/>
    <w:rsid w:val="001C52D0"/>
    <w:rsid w:val="001E354D"/>
    <w:rsid w:val="0021474F"/>
    <w:rsid w:val="002576C4"/>
    <w:rsid w:val="00294473"/>
    <w:rsid w:val="002B4097"/>
    <w:rsid w:val="003048A5"/>
    <w:rsid w:val="0034239D"/>
    <w:rsid w:val="00351E29"/>
    <w:rsid w:val="00356632"/>
    <w:rsid w:val="00374F7F"/>
    <w:rsid w:val="003A0671"/>
    <w:rsid w:val="003D28F9"/>
    <w:rsid w:val="003F235E"/>
    <w:rsid w:val="00410E3F"/>
    <w:rsid w:val="00455E24"/>
    <w:rsid w:val="004A2DD7"/>
    <w:rsid w:val="004E5D0F"/>
    <w:rsid w:val="00503032"/>
    <w:rsid w:val="005830E3"/>
    <w:rsid w:val="005870CB"/>
    <w:rsid w:val="005A3F22"/>
    <w:rsid w:val="005E2A53"/>
    <w:rsid w:val="0063248F"/>
    <w:rsid w:val="00634AE7"/>
    <w:rsid w:val="006719AE"/>
    <w:rsid w:val="006F4493"/>
    <w:rsid w:val="00752523"/>
    <w:rsid w:val="007F1967"/>
    <w:rsid w:val="00846367"/>
    <w:rsid w:val="00876D45"/>
    <w:rsid w:val="00883330"/>
    <w:rsid w:val="008E3147"/>
    <w:rsid w:val="00901E0A"/>
    <w:rsid w:val="00917DEB"/>
    <w:rsid w:val="00964BD7"/>
    <w:rsid w:val="009930DC"/>
    <w:rsid w:val="00997C34"/>
    <w:rsid w:val="009A6147"/>
    <w:rsid w:val="009B0AED"/>
    <w:rsid w:val="00A143E1"/>
    <w:rsid w:val="00A76B9D"/>
    <w:rsid w:val="00A80691"/>
    <w:rsid w:val="00AA3429"/>
    <w:rsid w:val="00AE120F"/>
    <w:rsid w:val="00B2471C"/>
    <w:rsid w:val="00B400B5"/>
    <w:rsid w:val="00BC7136"/>
    <w:rsid w:val="00C35F06"/>
    <w:rsid w:val="00C57F01"/>
    <w:rsid w:val="00CC1B54"/>
    <w:rsid w:val="00D0119E"/>
    <w:rsid w:val="00D42131"/>
    <w:rsid w:val="00D559E1"/>
    <w:rsid w:val="00E92031"/>
    <w:rsid w:val="00ED2948"/>
    <w:rsid w:val="00EE5E03"/>
    <w:rsid w:val="00EF5E46"/>
    <w:rsid w:val="00EF7945"/>
    <w:rsid w:val="00F308AA"/>
    <w:rsid w:val="00F32342"/>
    <w:rsid w:val="00F37BC5"/>
    <w:rsid w:val="00F41730"/>
    <w:rsid w:val="00F53D7C"/>
    <w:rsid w:val="00F54C54"/>
    <w:rsid w:val="00F569E8"/>
    <w:rsid w:val="00F6154F"/>
    <w:rsid w:val="00F61DFB"/>
    <w:rsid w:val="00FE4E44"/>
    <w:rsid w:val="035661EC"/>
    <w:rsid w:val="040C3C52"/>
    <w:rsid w:val="051200B1"/>
    <w:rsid w:val="05AA2098"/>
    <w:rsid w:val="08495004"/>
    <w:rsid w:val="08E04023"/>
    <w:rsid w:val="0CFE2CC9"/>
    <w:rsid w:val="0F4A0448"/>
    <w:rsid w:val="0FE9445C"/>
    <w:rsid w:val="11EE77B0"/>
    <w:rsid w:val="12C66037"/>
    <w:rsid w:val="158C17BA"/>
    <w:rsid w:val="196565AA"/>
    <w:rsid w:val="1D3C6DCE"/>
    <w:rsid w:val="215869F4"/>
    <w:rsid w:val="22CF2CE6"/>
    <w:rsid w:val="25007EA8"/>
    <w:rsid w:val="265C2D3C"/>
    <w:rsid w:val="266D2F42"/>
    <w:rsid w:val="27A90ACA"/>
    <w:rsid w:val="2A1A71B7"/>
    <w:rsid w:val="2AEC1810"/>
    <w:rsid w:val="2BDD46C6"/>
    <w:rsid w:val="2D0A05D2"/>
    <w:rsid w:val="2E60513A"/>
    <w:rsid w:val="2EAC7B3D"/>
    <w:rsid w:val="301C2DEE"/>
    <w:rsid w:val="30756D3C"/>
    <w:rsid w:val="38194CD8"/>
    <w:rsid w:val="3B581673"/>
    <w:rsid w:val="3FF13AE0"/>
    <w:rsid w:val="479819B6"/>
    <w:rsid w:val="4B1B26BD"/>
    <w:rsid w:val="4CB30DFF"/>
    <w:rsid w:val="50992F99"/>
    <w:rsid w:val="526112FD"/>
    <w:rsid w:val="53DD2C05"/>
    <w:rsid w:val="541303D5"/>
    <w:rsid w:val="54547EB3"/>
    <w:rsid w:val="565C6063"/>
    <w:rsid w:val="5985277F"/>
    <w:rsid w:val="5A93717C"/>
    <w:rsid w:val="5B9A1748"/>
    <w:rsid w:val="6190259A"/>
    <w:rsid w:val="619B38D9"/>
    <w:rsid w:val="63A1155A"/>
    <w:rsid w:val="679D0F04"/>
    <w:rsid w:val="6ABC311D"/>
    <w:rsid w:val="6C92081A"/>
    <w:rsid w:val="6F6303CE"/>
    <w:rsid w:val="6F6C6C26"/>
    <w:rsid w:val="7137174F"/>
    <w:rsid w:val="73C05A2C"/>
    <w:rsid w:val="740542B2"/>
    <w:rsid w:val="77732DB5"/>
    <w:rsid w:val="77F73F61"/>
    <w:rsid w:val="78292E20"/>
    <w:rsid w:val="78BC4028"/>
    <w:rsid w:val="79154F14"/>
    <w:rsid w:val="7A6A66F1"/>
    <w:rsid w:val="7C5E584A"/>
    <w:rsid w:val="7F5259A6"/>
    <w:rsid w:val="B8EB4955"/>
    <w:rsid w:val="EDBDF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Date"/>
    <w:basedOn w:val="1"/>
    <w:next w:val="1"/>
    <w:link w:val="17"/>
    <w:qFormat/>
    <w:uiPriority w:val="0"/>
    <w:pPr>
      <w:ind w:left="100" w:leftChars="2500"/>
    </w:p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annotation subject"/>
    <w:basedOn w:val="2"/>
    <w:next w:val="2"/>
    <w:link w:val="19"/>
    <w:qFormat/>
    <w:uiPriority w:val="0"/>
    <w:rPr>
      <w:b/>
      <w:bCs/>
    </w:rPr>
  </w:style>
  <w:style w:type="character" w:styleId="13">
    <w:name w:val="Emphasis"/>
    <w:qFormat/>
    <w:uiPriority w:val="0"/>
    <w:rPr>
      <w:i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annotation reference"/>
    <w:qFormat/>
    <w:uiPriority w:val="0"/>
    <w:rPr>
      <w:sz w:val="21"/>
      <w:szCs w:val="21"/>
    </w:rPr>
  </w:style>
  <w:style w:type="character" w:customStyle="1" w:styleId="16">
    <w:name w:val="批注文字 字符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">
    <w:name w:val="日期 字符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8">
    <w:name w:val="批注框文本 字符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批注主题 字符"/>
    <w:link w:val="10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20">
    <w:name w:val="段 Char"/>
    <w:link w:val="21"/>
    <w:qFormat/>
    <w:uiPriority w:val="0"/>
    <w:rPr>
      <w:rFonts w:ascii="宋体"/>
      <w:sz w:val="21"/>
    </w:rPr>
  </w:style>
  <w:style w:type="paragraph" w:customStyle="1" w:styleId="21">
    <w:name w:val="段"/>
    <w:link w:val="20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2">
    <w:name w:val="msolistparagraph"/>
    <w:basedOn w:val="1"/>
    <w:qFormat/>
    <w:uiPriority w:val="0"/>
    <w:pPr>
      <w:ind w:left="840" w:leftChars="400"/>
    </w:pPr>
  </w:style>
  <w:style w:type="paragraph" w:customStyle="1" w:styleId="2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标准文件_目录标题"/>
    <w:basedOn w:val="1"/>
    <w:qFormat/>
    <w:uiPriority w:val="0"/>
    <w:pPr>
      <w:spacing w:after="150" w:afterLines="150"/>
      <w:jc w:val="center"/>
    </w:pPr>
    <w:rPr>
      <w:rFonts w:ascii="黑体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3251</Words>
  <Characters>3492</Characters>
  <Lines>28</Lines>
  <Paragraphs>8</Paragraphs>
  <TotalTime>7</TotalTime>
  <ScaleCrop>false</ScaleCrop>
  <LinksUpToDate>false</LinksUpToDate>
  <CharactersWithSpaces>3550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2023-11-03T05:49:00Z</dcterms:created>
  <dc:creator>Administrator</dc:creator>
  <cp:lastModifiedBy>文琦</cp:lastModifiedBy>
  <dcterms:modified xsi:type="dcterms:W3CDTF">2026-09-10T09:13:17Z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EFD1B03990A1422391E40541A48B45B8_13</vt:lpwstr>
  </property>
  <property fmtid="{D5CDD505-2E9C-101B-9397-08002B2CF9AE}" pid="4" name="KSOTemplateDocerSaveRecord">
    <vt:lpwstr>eyJoZGlkIjoiZjM0N2FiNDFiNzA2Y2VkZmJiZDRkMThmZjdjNzVjOTQiLCJ1c2VySWQiOiIzNTcwOTAzNDgifQ==</vt:lpwstr>
  </property>
</Properties>
</file>