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558D" w14:textId="77777777" w:rsidR="008A1688" w:rsidRDefault="00000000">
      <w:pPr>
        <w:pStyle w:val="a4"/>
        <w:kinsoku/>
        <w:overflowPunct w:val="0"/>
        <w:autoSpaceDE/>
        <w:autoSpaceDN/>
        <w:spacing w:before="43" w:line="360" w:lineRule="auto"/>
        <w:ind w:left="30" w:right="8259" w:hanging="2"/>
        <w:rPr>
          <w:rFonts w:hint="eastAsia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position w:val="1"/>
          <w:sz w:val="21"/>
          <w:szCs w:val="21"/>
        </w:rPr>
        <w:t>ICS</w:t>
      </w:r>
      <w:r>
        <w:rPr>
          <w:rFonts w:ascii="Times New Roman" w:eastAsia="Times New Roman" w:hAnsi="Times New Roman" w:cs="Times New Roman"/>
          <w:spacing w:val="11"/>
          <w:position w:val="1"/>
          <w:sz w:val="21"/>
          <w:szCs w:val="21"/>
        </w:rPr>
        <w:t xml:space="preserve">   </w:t>
      </w:r>
      <w:r>
        <w:rPr>
          <w:spacing w:val="-1"/>
          <w:sz w:val="21"/>
          <w:szCs w:val="21"/>
        </w:rPr>
        <w:t>03.100.01</w:t>
      </w:r>
      <w:r>
        <w:rPr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position w:val="1"/>
          <w:sz w:val="21"/>
          <w:szCs w:val="21"/>
        </w:rPr>
        <w:t>CCS</w:t>
      </w:r>
      <w:r>
        <w:rPr>
          <w:rFonts w:ascii="Times New Roman" w:eastAsia="Times New Roman" w:hAnsi="Times New Roman" w:cs="Times New Roman"/>
          <w:spacing w:val="4"/>
          <w:position w:val="1"/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A</w:t>
      </w:r>
      <w:proofErr w:type="gramEnd"/>
      <w:r>
        <w:rPr>
          <w:spacing w:val="7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02</w:t>
      </w:r>
    </w:p>
    <w:p w14:paraId="1F7AB986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422BFF1B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2CE675D8" w14:textId="77777777" w:rsidR="008A1688" w:rsidRDefault="00000000">
      <w:pPr>
        <w:pStyle w:val="a4"/>
        <w:kinsoku/>
        <w:overflowPunct w:val="0"/>
        <w:autoSpaceDE/>
        <w:autoSpaceDN/>
        <w:spacing w:before="234" w:line="360" w:lineRule="auto"/>
        <w:rPr>
          <w:rFonts w:hint="eastAsia"/>
          <w:sz w:val="72"/>
          <w:szCs w:val="72"/>
        </w:rPr>
      </w:pPr>
      <w:r>
        <w:rPr>
          <w:spacing w:val="-28"/>
          <w:sz w:val="72"/>
          <w:szCs w:val="72"/>
        </w:rPr>
        <w:t>团</w:t>
      </w:r>
      <w:r>
        <w:rPr>
          <w:spacing w:val="20"/>
          <w:sz w:val="72"/>
          <w:szCs w:val="72"/>
        </w:rPr>
        <w:t xml:space="preserve">      </w:t>
      </w:r>
      <w:r>
        <w:rPr>
          <w:spacing w:val="-28"/>
          <w:sz w:val="72"/>
          <w:szCs w:val="72"/>
        </w:rPr>
        <w:t>体</w:t>
      </w:r>
      <w:r>
        <w:rPr>
          <w:spacing w:val="18"/>
          <w:sz w:val="72"/>
          <w:szCs w:val="72"/>
        </w:rPr>
        <w:t xml:space="preserve">      </w:t>
      </w:r>
      <w:r>
        <w:rPr>
          <w:spacing w:val="-28"/>
          <w:sz w:val="72"/>
          <w:szCs w:val="72"/>
        </w:rPr>
        <w:t>标</w:t>
      </w:r>
      <w:r>
        <w:rPr>
          <w:spacing w:val="21"/>
          <w:sz w:val="72"/>
          <w:szCs w:val="72"/>
        </w:rPr>
        <w:t xml:space="preserve">      </w:t>
      </w:r>
      <w:r>
        <w:rPr>
          <w:spacing w:val="-28"/>
          <w:sz w:val="72"/>
          <w:szCs w:val="72"/>
        </w:rPr>
        <w:t>准</w:t>
      </w:r>
    </w:p>
    <w:p w14:paraId="20439A71" w14:textId="77777777" w:rsidR="008A1688" w:rsidRDefault="00000000">
      <w:pPr>
        <w:pStyle w:val="a4"/>
        <w:kinsoku/>
        <w:overflowPunct w:val="0"/>
        <w:autoSpaceDE/>
        <w:autoSpaceDN/>
        <w:spacing w:before="323" w:line="360" w:lineRule="auto"/>
        <w:ind w:left="6919"/>
        <w:rPr>
          <w:rFonts w:hint="eastAsia"/>
        </w:rPr>
      </w:pPr>
      <w:r>
        <w:rPr>
          <w:spacing w:val="-3"/>
        </w:rPr>
        <w:t>T/</w:t>
      </w:r>
      <w:r>
        <w:rPr>
          <w:rFonts w:hint="eastAsia"/>
          <w:spacing w:val="-3"/>
          <w:lang w:eastAsia="zh-CN"/>
        </w:rPr>
        <w:t>XXX</w:t>
      </w:r>
      <w:r>
        <w:rPr>
          <w:spacing w:val="37"/>
        </w:rPr>
        <w:t xml:space="preserve"> </w:t>
      </w:r>
      <w:r>
        <w:rPr>
          <w:rFonts w:hint="eastAsia"/>
          <w:spacing w:val="-3"/>
          <w:lang w:eastAsia="zh-CN"/>
        </w:rPr>
        <w:t>XXXX</w:t>
      </w:r>
      <w:r>
        <w:rPr>
          <w:spacing w:val="-3"/>
        </w:rPr>
        <w:t>—</w:t>
      </w:r>
      <w:r>
        <w:rPr>
          <w:rFonts w:hint="eastAsia"/>
          <w:spacing w:val="-3"/>
          <w:lang w:eastAsia="zh-CN"/>
        </w:rPr>
        <w:t>XXXX</w:t>
      </w:r>
    </w:p>
    <w:p w14:paraId="5C8892A7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7E6EF3F2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01917E9C" w14:textId="77777777" w:rsidR="008A1688" w:rsidRDefault="00000000">
      <w:pPr>
        <w:kinsoku/>
        <w:overflowPunct w:val="0"/>
        <w:autoSpaceDE/>
        <w:autoSpaceDN/>
        <w:spacing w:line="360" w:lineRule="auto"/>
      </w:pPr>
      <w:r>
        <w:pict w14:anchorId="0B2C8F1A">
          <v:shape id="_x0000_s1026" style="position:absolute;margin-left:3.9pt;margin-top:6.8pt;width:481.9pt;height:.75pt;z-index:251660288;mso-width-relative:page;mso-height-relative:page" coordsize="9637,15" path="m,7r9637,e" filled="f">
            <v:stroke miterlimit="10"/>
          </v:shape>
        </w:pict>
      </w:r>
    </w:p>
    <w:p w14:paraId="45B2C52B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7642D9B0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7DA61CC9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68AB41EE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0D0D2B7E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4D4A470E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3594CC76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2874A5AF" w14:textId="77777777" w:rsidR="008A1688" w:rsidRDefault="00000000">
      <w:pPr>
        <w:pStyle w:val="a4"/>
        <w:kinsoku/>
        <w:overflowPunct w:val="0"/>
        <w:autoSpaceDE/>
        <w:autoSpaceDN/>
        <w:spacing w:before="169" w:line="360" w:lineRule="auto"/>
        <w:ind w:left="1310"/>
        <w:outlineLvl w:val="0"/>
        <w:rPr>
          <w:rFonts w:hint="eastAsia"/>
          <w:sz w:val="52"/>
          <w:szCs w:val="52"/>
        </w:rPr>
      </w:pPr>
      <w:bookmarkStart w:id="0" w:name="_Toc18000"/>
      <w:bookmarkStart w:id="1" w:name="_Toc11615"/>
      <w:bookmarkStart w:id="2" w:name="_Toc4551"/>
      <w:proofErr w:type="spellStart"/>
      <w:r>
        <w:rPr>
          <w:spacing w:val="-7"/>
          <w:sz w:val="52"/>
          <w:szCs w:val="52"/>
        </w:rPr>
        <w:t>中国汽车行业ESG信息披露指南</w:t>
      </w:r>
      <w:bookmarkEnd w:id="0"/>
      <w:bookmarkEnd w:id="1"/>
      <w:bookmarkEnd w:id="2"/>
      <w:proofErr w:type="spellEnd"/>
    </w:p>
    <w:p w14:paraId="1E04E3BF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3CA1E091" w14:textId="77777777" w:rsidR="008A1688" w:rsidRDefault="00000000">
      <w:pPr>
        <w:kinsoku/>
        <w:overflowPunct w:val="0"/>
        <w:autoSpaceDE/>
        <w:autoSpaceDN/>
        <w:spacing w:before="80" w:line="360" w:lineRule="auto"/>
        <w:ind w:left="86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Guidance on ESG information disclosure for </w:t>
      </w:r>
      <w:r>
        <w:rPr>
          <w:rFonts w:ascii="Times New Roman" w:eastAsia="宋体" w:hAnsi="Times New Roman" w:cs="Times New Roman" w:hint="eastAsia"/>
          <w:sz w:val="28"/>
          <w:szCs w:val="28"/>
          <w:lang w:eastAsia="zh-CN"/>
        </w:rPr>
        <w:t>the China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automotive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industry</w:t>
      </w:r>
    </w:p>
    <w:p w14:paraId="2930EDC6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551E8943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0F84C25C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7320EFED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51A15341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3503BDB4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6B917B1A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472C970C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14AB71EA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103DED96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32D04339" w14:textId="77777777" w:rsidR="008A1688" w:rsidRDefault="00000000">
      <w:pPr>
        <w:spacing w:before="91" w:line="360" w:lineRule="auto"/>
        <w:ind w:firstLineChars="500" w:firstLine="1030"/>
        <w:rPr>
          <w:rFonts w:ascii="宋体" w:eastAsia="宋体" w:hAnsi="宋体" w:cs="宋体" w:hint="eastAsia"/>
          <w:spacing w:val="-5"/>
          <w:lang w:eastAsia="zh-CN"/>
        </w:rPr>
      </w:pPr>
      <w:r>
        <w:rPr>
          <w:rFonts w:ascii="宋体" w:eastAsia="宋体" w:hAnsi="宋体" w:cs="宋体" w:hint="eastAsia"/>
          <w:spacing w:val="-4"/>
          <w:lang w:eastAsia="zh-CN"/>
        </w:rPr>
        <w:t xml:space="preserve">XXXX - XX - XX发布                    </w:t>
      </w:r>
      <w:r>
        <w:rPr>
          <w:rFonts w:ascii="宋体" w:eastAsia="宋体" w:hAnsi="宋体" w:cs="宋体" w:hint="eastAsia"/>
          <w:spacing w:val="-5"/>
          <w:lang w:eastAsia="zh-CN"/>
        </w:rPr>
        <w:t xml:space="preserve">                XXXX - XX - XX实施</w:t>
      </w:r>
    </w:p>
    <w:p w14:paraId="7AAFB03B" w14:textId="77777777" w:rsidR="008A1688" w:rsidRDefault="008A1688">
      <w:pPr>
        <w:spacing w:before="91" w:line="360" w:lineRule="auto"/>
        <w:rPr>
          <w:rFonts w:ascii="宋体" w:eastAsia="宋体" w:hAnsi="宋体" w:cs="宋体" w:hint="eastAsia"/>
          <w:spacing w:val="-5"/>
          <w:lang w:eastAsia="zh-CN"/>
        </w:rPr>
      </w:pPr>
    </w:p>
    <w:p w14:paraId="4108AF0F" w14:textId="77777777" w:rsidR="008A1688" w:rsidRDefault="00000000">
      <w:pPr>
        <w:spacing w:before="91" w:line="360" w:lineRule="auto"/>
        <w:jc w:val="center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F5CB06" wp14:editId="027A8624">
                <wp:simplePos x="0" y="0"/>
                <wp:positionH relativeFrom="column">
                  <wp:posOffset>135255</wp:posOffset>
                </wp:positionH>
                <wp:positionV relativeFrom="paragraph">
                  <wp:posOffset>13335</wp:posOffset>
                </wp:positionV>
                <wp:extent cx="6120130" cy="9525"/>
                <wp:effectExtent l="0" t="0" r="0" b="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37" h="15">
                              <a:moveTo>
                                <a:pt x="0" y="7"/>
                              </a:moveTo>
                              <a:lnTo>
                                <a:pt x="9637" y="7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576C75B" id="任意多边形 1" o:spid="_x0000_s1026" style="position:absolute;margin-left:10.65pt;margin-top:1.05pt;width:481.9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3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" path="m,7r9637,e" filled="f">
                <v:path arrowok="t" textboxrect="0,0,9637,15"/>
              </v:shape>
            </w:pict>
          </mc:Fallback>
        </mc:AlternateContent>
      </w:r>
      <w:r>
        <w:rPr>
          <w:rFonts w:ascii="宋体" w:eastAsia="宋体" w:hAnsi="宋体" w:cs="宋体" w:hint="eastAsia"/>
          <w:spacing w:val="-3"/>
          <w:lang w:eastAsia="zh-CN"/>
        </w:rPr>
        <w:t>中国汽车工业</w:t>
      </w:r>
      <w:proofErr w:type="gramStart"/>
      <w:r>
        <w:rPr>
          <w:rFonts w:ascii="宋体" w:eastAsia="宋体" w:hAnsi="宋体" w:cs="宋体" w:hint="eastAsia"/>
          <w:spacing w:val="-3"/>
          <w:lang w:eastAsia="zh-CN"/>
        </w:rPr>
        <w:t>协会    发</w:t>
      </w:r>
      <w:r>
        <w:rPr>
          <w:rFonts w:ascii="宋体" w:eastAsia="宋体" w:hAnsi="宋体" w:cs="宋体" w:hint="eastAsia"/>
          <w:spacing w:val="46"/>
          <w:lang w:eastAsia="zh-CN"/>
        </w:rPr>
        <w:t xml:space="preserve"> </w:t>
      </w:r>
      <w:proofErr w:type="gramEnd"/>
      <w:r>
        <w:rPr>
          <w:rFonts w:ascii="宋体" w:eastAsia="宋体" w:hAnsi="宋体" w:cs="宋体" w:hint="eastAsia"/>
          <w:spacing w:val="-3"/>
          <w:lang w:eastAsia="zh-CN"/>
        </w:rPr>
        <w:t>布</w:t>
      </w:r>
    </w:p>
    <w:p w14:paraId="0530B462" w14:textId="77777777" w:rsidR="008A1688" w:rsidRDefault="008A1688">
      <w:pPr>
        <w:spacing w:line="360" w:lineRule="auto"/>
        <w:jc w:val="both"/>
        <w:rPr>
          <w:rFonts w:ascii="宋体" w:eastAsia="宋体" w:hAnsi="宋体" w:cs="宋体" w:hint="eastAsia"/>
          <w:lang w:eastAsia="zh-CN"/>
        </w:rPr>
        <w:sectPr w:rsidR="008A1688">
          <w:pgSz w:w="11907" w:h="16839"/>
          <w:pgMar w:top="553" w:right="610" w:bottom="0" w:left="1210" w:header="0" w:footer="0" w:gutter="0"/>
          <w:cols w:space="720"/>
        </w:sectPr>
      </w:pPr>
    </w:p>
    <w:sdt>
      <w:sdtPr>
        <w:rPr>
          <w:rFonts w:ascii="宋体" w:eastAsia="宋体" w:hAnsi="宋体"/>
        </w:rPr>
        <w:id w:val="147454039"/>
        <w15:color w:val="DBDBDB"/>
        <w:docPartObj>
          <w:docPartGallery w:val="Table of Contents"/>
          <w:docPartUnique/>
        </w:docPartObj>
      </w:sdtPr>
      <w:sdtEndPr>
        <w:rPr>
          <w:rFonts w:cs="宋体"/>
        </w:rPr>
      </w:sdtEndPr>
      <w:sdtContent>
        <w:p w14:paraId="3884D697" w14:textId="77777777" w:rsidR="008A1688" w:rsidRDefault="00000000">
          <w:pPr>
            <w:jc w:val="center"/>
            <w:rPr>
              <w:lang w:eastAsia="zh-CN"/>
            </w:rPr>
          </w:pPr>
          <w:r>
            <w:rPr>
              <w:rFonts w:ascii="宋体" w:eastAsia="宋体" w:hAnsi="宋体"/>
              <w:lang w:eastAsia="zh-CN"/>
            </w:rPr>
            <w:t>目录</w:t>
          </w:r>
        </w:p>
        <w:p w14:paraId="5B29212A" w14:textId="77777777" w:rsidR="008A1688" w:rsidRDefault="00000000">
          <w:pPr>
            <w:pStyle w:val="TOC1"/>
            <w:tabs>
              <w:tab w:val="right" w:leader="dot" w:pos="9351"/>
            </w:tabs>
            <w:rPr>
              <w:lang w:eastAsia="zh-CN"/>
            </w:rPr>
          </w:pPr>
          <w:r>
            <w:rPr>
              <w:rFonts w:ascii="宋体" w:eastAsia="宋体" w:hAnsi="宋体" w:cs="宋体"/>
            </w:rPr>
            <w:fldChar w:fldCharType="begin"/>
          </w:r>
          <w:r>
            <w:rPr>
              <w:rFonts w:ascii="宋体" w:eastAsia="宋体" w:hAnsi="宋体" w:cs="宋体"/>
              <w:lang w:eastAsia="zh-CN"/>
            </w:rPr>
            <w:instrText xml:space="preserve">TOC \o "1-3" \h \u </w:instrText>
          </w:r>
          <w:r>
            <w:rPr>
              <w:rFonts w:ascii="宋体" w:eastAsia="宋体" w:hAnsi="宋体" w:cs="宋体"/>
            </w:rPr>
            <w:fldChar w:fldCharType="separate"/>
          </w:r>
        </w:p>
        <w:p w14:paraId="53EA3EF1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14742" w:history="1">
            <w:r>
              <w:rPr>
                <w:spacing w:val="-2"/>
                <w:szCs w:val="31"/>
              </w:rPr>
              <w:t>前</w:t>
            </w:r>
            <w:r>
              <w:rPr>
                <w:spacing w:val="10"/>
                <w:szCs w:val="31"/>
              </w:rPr>
              <w:t xml:space="preserve">    </w:t>
            </w:r>
            <w:r>
              <w:rPr>
                <w:spacing w:val="-2"/>
                <w:szCs w:val="31"/>
              </w:rPr>
              <w:t>言</w:t>
            </w:r>
            <w:r>
              <w:tab/>
            </w:r>
            <w:r>
              <w:fldChar w:fldCharType="begin"/>
            </w:r>
            <w:r>
              <w:instrText xml:space="preserve"> PAGEREF _Toc14742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C7D98F6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31028" w:history="1">
            <w:r>
              <w:rPr>
                <w:spacing w:val="-16"/>
                <w:szCs w:val="31"/>
              </w:rPr>
              <w:t>引</w:t>
            </w:r>
            <w:r>
              <w:rPr>
                <w:spacing w:val="10"/>
                <w:szCs w:val="31"/>
              </w:rPr>
              <w:t xml:space="preserve">    </w:t>
            </w:r>
            <w:r>
              <w:rPr>
                <w:spacing w:val="-16"/>
                <w:szCs w:val="31"/>
              </w:rPr>
              <w:t>言</w:t>
            </w:r>
            <w:r>
              <w:tab/>
            </w:r>
            <w:r>
              <w:fldChar w:fldCharType="begin"/>
            </w:r>
            <w:r>
              <w:instrText xml:space="preserve"> PAGEREF _Toc31028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59620768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9785" w:history="1">
            <w:r>
              <w:rPr>
                <w:spacing w:val="-8"/>
              </w:rPr>
              <w:t>1</w:t>
            </w:r>
            <w:r>
              <w:rPr>
                <w:spacing w:val="5"/>
              </w:rPr>
              <w:t xml:space="preserve">  </w:t>
            </w:r>
            <w:r>
              <w:rPr>
                <w:spacing w:val="-8"/>
              </w:rPr>
              <w:t>范围</w:t>
            </w:r>
            <w:r>
              <w:tab/>
            </w:r>
            <w:r>
              <w:fldChar w:fldCharType="begin"/>
            </w:r>
            <w:r>
              <w:instrText xml:space="preserve"> PAGEREF _Toc9785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20C30C28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29435" w:history="1">
            <w:r>
              <w:rPr>
                <w:spacing w:val="-1"/>
              </w:rPr>
              <w:t>2  规范性引用文件</w:t>
            </w:r>
            <w:r>
              <w:tab/>
            </w:r>
            <w:r>
              <w:fldChar w:fldCharType="begin"/>
            </w:r>
            <w:r>
              <w:instrText xml:space="preserve"> PAGEREF _Toc29435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75B6192B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2798" w:history="1">
            <w:r>
              <w:rPr>
                <w:spacing w:val="-1"/>
              </w:rPr>
              <w:t>3  术语和定义</w:t>
            </w:r>
            <w:r>
              <w:tab/>
            </w:r>
            <w:r>
              <w:fldChar w:fldCharType="begin"/>
            </w:r>
            <w:r>
              <w:instrText xml:space="preserve"> PAGEREF _Toc2798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65F08120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7006" w:history="1">
            <w:r>
              <w:rPr>
                <w:spacing w:val="-1"/>
              </w:rPr>
              <w:t>4  基本原则</w:t>
            </w:r>
            <w:r>
              <w:tab/>
            </w:r>
            <w:r>
              <w:fldChar w:fldCharType="begin"/>
            </w:r>
            <w:r>
              <w:instrText xml:space="preserve"> PAGEREF _Toc7006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5696A83A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10340" w:history="1">
            <w:r>
              <w:rPr>
                <w:spacing w:val="-1"/>
              </w:rPr>
              <w:t>5  信息披露策划</w:t>
            </w:r>
            <w:r>
              <w:tab/>
            </w:r>
            <w:r>
              <w:fldChar w:fldCharType="begin"/>
            </w:r>
            <w:r>
              <w:instrText xml:space="preserve"> PAGEREF _Toc10340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6CC09FB8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12475" w:history="1">
            <w:r>
              <w:rPr>
                <w:spacing w:val="-1"/>
              </w:rPr>
              <w:t>6  信息披露流程</w:t>
            </w:r>
            <w:r>
              <w:tab/>
            </w:r>
            <w:r>
              <w:fldChar w:fldCharType="begin"/>
            </w:r>
            <w:r>
              <w:instrText xml:space="preserve"> PAGEREF _Toc12475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34BC5034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2607" w:history="1">
            <w:r>
              <w:rPr>
                <w:spacing w:val="-1"/>
              </w:rPr>
              <w:t>7  提升信息披露的可信性</w:t>
            </w:r>
            <w:r>
              <w:tab/>
            </w:r>
            <w:r>
              <w:fldChar w:fldCharType="begin"/>
            </w:r>
            <w:r>
              <w:instrText xml:space="preserve"> PAGEREF _Toc2607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375DA632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25695" w:history="1">
            <w:r>
              <w:rPr>
                <w:spacing w:val="-6"/>
              </w:rPr>
              <w:t>附录</w:t>
            </w:r>
            <w:r>
              <w:rPr>
                <w:spacing w:val="-50"/>
              </w:rPr>
              <w:t xml:space="preserve"> </w:t>
            </w:r>
            <w:r>
              <w:rPr>
                <w:spacing w:val="-6"/>
              </w:rPr>
              <w:t>A</w:t>
            </w:r>
            <w:r>
              <w:tab/>
            </w:r>
            <w:r>
              <w:fldChar w:fldCharType="begin"/>
            </w:r>
            <w:r>
              <w:instrText xml:space="preserve"> PAGEREF _Toc25695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1EBD94B2" w14:textId="77777777" w:rsidR="008A1688" w:rsidRDefault="00000000">
          <w:pPr>
            <w:pStyle w:val="TOC1"/>
            <w:tabs>
              <w:tab w:val="right" w:leader="dot" w:pos="9351"/>
            </w:tabs>
            <w:spacing w:line="360" w:lineRule="auto"/>
          </w:pPr>
          <w:hyperlink w:anchor="_Toc10330" w:history="1">
            <w:r>
              <w:rPr>
                <w:spacing w:val="-6"/>
              </w:rPr>
              <w:t>参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考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文</w:t>
            </w:r>
            <w:r>
              <w:rPr>
                <w:spacing w:val="5"/>
              </w:rPr>
              <w:t xml:space="preserve">  </w:t>
            </w:r>
            <w:r>
              <w:rPr>
                <w:spacing w:val="-6"/>
              </w:rPr>
              <w:t>献</w:t>
            </w:r>
            <w:r>
              <w:tab/>
            </w:r>
            <w:r>
              <w:fldChar w:fldCharType="begin"/>
            </w:r>
            <w:r>
              <w:instrText xml:space="preserve"> PAGEREF _Toc10330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69FE43E8" w14:textId="77777777" w:rsidR="008A1688" w:rsidRDefault="00000000">
          <w:pPr>
            <w:kinsoku/>
            <w:overflowPunct w:val="0"/>
            <w:autoSpaceDE/>
            <w:autoSpaceDN/>
            <w:spacing w:line="360" w:lineRule="auto"/>
            <w:rPr>
              <w:rFonts w:ascii="宋体" w:eastAsia="宋体" w:hAnsi="宋体" w:cs="宋体" w:hint="eastAsia"/>
            </w:rPr>
          </w:pPr>
          <w:r>
            <w:rPr>
              <w:rFonts w:ascii="宋体" w:eastAsia="宋体" w:hAnsi="宋体" w:cs="宋体"/>
            </w:rPr>
            <w:fldChar w:fldCharType="end"/>
          </w:r>
        </w:p>
      </w:sdtContent>
    </w:sdt>
    <w:p w14:paraId="5A8013EA" w14:textId="77777777" w:rsidR="008A1688" w:rsidRDefault="008A1688">
      <w:pPr>
        <w:kinsoku/>
        <w:overflowPunct w:val="0"/>
        <w:autoSpaceDE/>
        <w:autoSpaceDN/>
        <w:spacing w:line="360" w:lineRule="auto"/>
        <w:rPr>
          <w:rFonts w:ascii="宋体" w:eastAsia="宋体" w:hAnsi="宋体" w:cs="宋体" w:hint="eastAsia"/>
        </w:rPr>
        <w:sectPr w:rsidR="008A1688">
          <w:headerReference w:type="default" r:id="rId9"/>
          <w:footerReference w:type="default" r:id="rId10"/>
          <w:pgSz w:w="11907" w:h="16839"/>
          <w:pgMar w:top="1716" w:right="1130" w:bottom="1340" w:left="1426" w:header="1391" w:footer="1105" w:gutter="0"/>
          <w:cols w:space="720"/>
        </w:sectPr>
      </w:pPr>
    </w:p>
    <w:p w14:paraId="7E88E2C7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6470E646" w14:textId="77777777" w:rsidR="008A1688" w:rsidRDefault="008A1688">
      <w:pPr>
        <w:kinsoku/>
        <w:overflowPunct w:val="0"/>
        <w:autoSpaceDE/>
        <w:autoSpaceDN/>
        <w:spacing w:line="360" w:lineRule="auto"/>
      </w:pPr>
    </w:p>
    <w:p w14:paraId="5A3F008B" w14:textId="77777777" w:rsidR="008A1688" w:rsidRDefault="00000000">
      <w:pPr>
        <w:pStyle w:val="a4"/>
        <w:kinsoku/>
        <w:overflowPunct w:val="0"/>
        <w:autoSpaceDE/>
        <w:autoSpaceDN/>
        <w:spacing w:before="100" w:line="360" w:lineRule="auto"/>
        <w:ind w:left="4251"/>
        <w:outlineLvl w:val="0"/>
        <w:rPr>
          <w:rFonts w:hint="eastAsia"/>
          <w:sz w:val="31"/>
          <w:szCs w:val="31"/>
          <w:lang w:eastAsia="zh-CN"/>
        </w:rPr>
      </w:pPr>
      <w:bookmarkStart w:id="3" w:name="_Toc14742"/>
      <w:proofErr w:type="gramStart"/>
      <w:r>
        <w:rPr>
          <w:spacing w:val="-2"/>
          <w:sz w:val="31"/>
          <w:szCs w:val="31"/>
          <w:lang w:eastAsia="zh-CN"/>
        </w:rPr>
        <w:t>前</w:t>
      </w:r>
      <w:r>
        <w:rPr>
          <w:spacing w:val="10"/>
          <w:sz w:val="31"/>
          <w:szCs w:val="31"/>
          <w:lang w:eastAsia="zh-CN"/>
        </w:rPr>
        <w:t xml:space="preserve">    </w:t>
      </w:r>
      <w:r>
        <w:rPr>
          <w:spacing w:val="-2"/>
          <w:sz w:val="31"/>
          <w:szCs w:val="31"/>
          <w:lang w:eastAsia="zh-CN"/>
        </w:rPr>
        <w:t>言</w:t>
      </w:r>
      <w:bookmarkEnd w:id="3"/>
      <w:proofErr w:type="gramEnd"/>
    </w:p>
    <w:p w14:paraId="3E04AAAA" w14:textId="77777777" w:rsidR="008A1688" w:rsidRDefault="008A1688">
      <w:pPr>
        <w:kinsoku/>
        <w:overflowPunct w:val="0"/>
        <w:autoSpaceDE/>
        <w:autoSpaceDN/>
        <w:spacing w:line="360" w:lineRule="auto"/>
        <w:rPr>
          <w:lang w:eastAsia="zh-CN"/>
        </w:rPr>
      </w:pPr>
    </w:p>
    <w:p w14:paraId="54141140" w14:textId="77777777" w:rsidR="008A1688" w:rsidRDefault="00000000">
      <w:pPr>
        <w:kinsoku/>
        <w:overflowPunct w:val="0"/>
        <w:autoSpaceDE/>
        <w:autoSpaceDN/>
        <w:spacing w:before="68" w:line="360" w:lineRule="auto"/>
        <w:ind w:left="2" w:right="74" w:firstLine="419"/>
        <w:rPr>
          <w:rFonts w:ascii="宋体" w:eastAsia="宋体" w:hAnsi="宋体" w:cs="宋体" w:hint="eastAsia"/>
          <w:spacing w:val="-10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本文件按照GB/T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1.1—2020《</w:t>
      </w:r>
      <w:r>
        <w:rPr>
          <w:rFonts w:ascii="宋体" w:eastAsia="宋体" w:hAnsi="宋体" w:cs="宋体" w:hint="eastAsia"/>
          <w:spacing w:val="-1"/>
          <w:lang w:eastAsia="zh-CN"/>
        </w:rPr>
        <w:t>标准化工作导</w:t>
      </w:r>
      <w:proofErr w:type="gramStart"/>
      <w:r>
        <w:rPr>
          <w:rFonts w:ascii="宋体" w:eastAsia="宋体" w:hAnsi="宋体" w:cs="宋体" w:hint="eastAsia"/>
          <w:spacing w:val="-1"/>
          <w:lang w:eastAsia="zh-CN"/>
        </w:rPr>
        <w:t>则 第1</w:t>
      </w:r>
      <w:proofErr w:type="gramEnd"/>
      <w:r>
        <w:rPr>
          <w:rFonts w:ascii="宋体" w:eastAsia="宋体" w:hAnsi="宋体" w:cs="宋体" w:hint="eastAsia"/>
          <w:spacing w:val="-1"/>
          <w:lang w:eastAsia="zh-CN"/>
        </w:rPr>
        <w:t>部分：标准化文件的结构和起草规则</w:t>
      </w:r>
      <w:r>
        <w:rPr>
          <w:rFonts w:ascii="宋体" w:eastAsia="宋体" w:hAnsi="宋体" w:cs="宋体"/>
          <w:spacing w:val="-2"/>
          <w:lang w:eastAsia="zh-CN"/>
        </w:rPr>
        <w:t>》的规定起</w:t>
      </w:r>
      <w:r>
        <w:rPr>
          <w:rFonts w:ascii="宋体" w:eastAsia="宋体" w:hAnsi="宋体" w:cs="宋体"/>
          <w:spacing w:val="-10"/>
          <w:lang w:eastAsia="zh-CN"/>
        </w:rPr>
        <w:t>草。</w:t>
      </w:r>
    </w:p>
    <w:p w14:paraId="20E6A7C2" w14:textId="77777777" w:rsidR="008A1688" w:rsidRDefault="00000000">
      <w:pPr>
        <w:kinsoku/>
        <w:overflowPunct w:val="0"/>
        <w:autoSpaceDE/>
        <w:autoSpaceDN/>
        <w:spacing w:before="68" w:line="360" w:lineRule="auto"/>
        <w:ind w:left="2" w:right="74" w:firstLine="419"/>
        <w:rPr>
          <w:rFonts w:ascii="宋体" w:eastAsia="宋体" w:hAnsi="宋体" w:cs="宋体" w:hint="eastAsia"/>
          <w:spacing w:val="-10"/>
          <w:lang w:eastAsia="zh-CN"/>
        </w:rPr>
      </w:pPr>
      <w:r>
        <w:rPr>
          <w:rFonts w:ascii="宋体" w:eastAsia="宋体" w:hAnsi="宋体" w:cs="宋体" w:hint="eastAsia"/>
          <w:spacing w:val="-10"/>
          <w:lang w:eastAsia="zh-CN"/>
        </w:rPr>
        <w:t>本文件代替 T/CAAMTB 171—2023《中国汽车行业ESG信息披露指南》，与 T/CAAMTB 171—</w:t>
      </w:r>
      <w:proofErr w:type="gramStart"/>
      <w:r>
        <w:rPr>
          <w:rFonts w:ascii="宋体" w:eastAsia="宋体" w:hAnsi="宋体" w:cs="宋体" w:hint="eastAsia"/>
          <w:spacing w:val="-10"/>
          <w:lang w:eastAsia="zh-CN"/>
        </w:rPr>
        <w:t>2023 相比</w:t>
      </w:r>
      <w:proofErr w:type="gramEnd"/>
      <w:r>
        <w:rPr>
          <w:rFonts w:ascii="宋体" w:eastAsia="宋体" w:hAnsi="宋体" w:cs="宋体" w:hint="eastAsia"/>
          <w:spacing w:val="-10"/>
          <w:lang w:eastAsia="zh-CN"/>
        </w:rPr>
        <w:t>，除结构调整和编辑性改动外，主要技术变化如下：</w:t>
      </w:r>
    </w:p>
    <w:p w14:paraId="4BBE7958" w14:textId="77777777" w:rsidR="008A1688" w:rsidRDefault="00000000">
      <w:pPr>
        <w:kinsoku/>
        <w:overflowPunct w:val="0"/>
        <w:autoSpaceDE/>
        <w:autoSpaceDN/>
        <w:spacing w:before="68" w:line="360" w:lineRule="auto"/>
        <w:ind w:left="2" w:right="74" w:firstLine="419"/>
        <w:rPr>
          <w:rFonts w:ascii="宋体" w:eastAsia="宋体" w:hAnsi="宋体" w:cs="宋体" w:hint="eastAsia"/>
          <w:spacing w:val="-10"/>
          <w:lang w:eastAsia="zh-CN"/>
        </w:rPr>
      </w:pPr>
      <w:r>
        <w:rPr>
          <w:rFonts w:ascii="宋体" w:eastAsia="宋体" w:hAnsi="宋体" w:cs="宋体" w:hint="eastAsia"/>
          <w:spacing w:val="-10"/>
          <w:lang w:eastAsia="zh-CN"/>
        </w:rPr>
        <w:t>a</w:t>
      </w:r>
      <w:proofErr w:type="gramStart"/>
      <w:r>
        <w:rPr>
          <w:rFonts w:ascii="宋体" w:eastAsia="宋体" w:hAnsi="宋体" w:cs="宋体" w:hint="eastAsia"/>
          <w:spacing w:val="-10"/>
          <w:lang w:eastAsia="zh-CN"/>
        </w:rPr>
        <w:t>) 调整</w:t>
      </w:r>
      <w:proofErr w:type="gramEnd"/>
      <w:r>
        <w:rPr>
          <w:rFonts w:ascii="宋体" w:eastAsia="宋体" w:hAnsi="宋体" w:cs="宋体" w:hint="eastAsia"/>
          <w:spacing w:val="-10"/>
          <w:lang w:eastAsia="zh-CN"/>
        </w:rPr>
        <w:t>了信息披露指标体系，按环境、社会、治理3个维度18个议题、69个一级指标、164个二级指标组织披露内容；</w:t>
      </w:r>
    </w:p>
    <w:p w14:paraId="654203D3" w14:textId="77777777" w:rsidR="008A1688" w:rsidRDefault="00000000">
      <w:pPr>
        <w:kinsoku/>
        <w:overflowPunct w:val="0"/>
        <w:autoSpaceDE/>
        <w:autoSpaceDN/>
        <w:spacing w:before="68" w:line="360" w:lineRule="auto"/>
        <w:ind w:left="2" w:right="74" w:firstLine="419"/>
        <w:rPr>
          <w:rFonts w:ascii="宋体" w:eastAsia="宋体" w:hAnsi="宋体" w:cs="宋体" w:hint="eastAsia"/>
          <w:spacing w:val="-10"/>
          <w:lang w:eastAsia="zh-CN"/>
        </w:rPr>
      </w:pPr>
      <w:r>
        <w:rPr>
          <w:rFonts w:ascii="宋体" w:eastAsia="宋体" w:hAnsi="宋体" w:cs="宋体" w:hint="eastAsia"/>
          <w:spacing w:val="-10"/>
          <w:lang w:eastAsia="zh-CN"/>
        </w:rPr>
        <w:t>b</w:t>
      </w:r>
      <w:proofErr w:type="gramStart"/>
      <w:r>
        <w:rPr>
          <w:rFonts w:ascii="宋体" w:eastAsia="宋体" w:hAnsi="宋体" w:cs="宋体" w:hint="eastAsia"/>
          <w:spacing w:val="-10"/>
          <w:lang w:eastAsia="zh-CN"/>
        </w:rPr>
        <w:t>) 优化</w:t>
      </w:r>
      <w:proofErr w:type="gramEnd"/>
      <w:r>
        <w:rPr>
          <w:rFonts w:ascii="宋体" w:eastAsia="宋体" w:hAnsi="宋体" w:cs="宋体" w:hint="eastAsia"/>
          <w:spacing w:val="-10"/>
          <w:lang w:eastAsia="zh-CN"/>
        </w:rPr>
        <w:t>了信息披露策划（第5章）与信息披露流程（第6章）的内容及衔接。</w:t>
      </w:r>
    </w:p>
    <w:p w14:paraId="3099B435" w14:textId="77777777" w:rsidR="008A1688" w:rsidRDefault="00000000">
      <w:pPr>
        <w:kinsoku/>
        <w:overflowPunct w:val="0"/>
        <w:autoSpaceDE/>
        <w:autoSpaceDN/>
        <w:spacing w:line="360" w:lineRule="auto"/>
        <w:ind w:firstLineChars="200" w:firstLine="418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-1"/>
          <w:lang w:eastAsia="zh-CN"/>
        </w:rPr>
        <w:t>T/XXX XXXX—XXXX</w:t>
      </w:r>
      <w:r>
        <w:rPr>
          <w:rFonts w:ascii="宋体" w:eastAsia="宋体" w:hAnsi="宋体" w:cs="宋体"/>
          <w:spacing w:val="-1"/>
          <w:lang w:eastAsia="zh-CN"/>
        </w:rPr>
        <w:t>《中国汽车行业ESG信息披露指南》与</w:t>
      </w:r>
      <w:r>
        <w:rPr>
          <w:rFonts w:ascii="宋体" w:eastAsia="宋体" w:hAnsi="宋体" w:cs="宋体" w:hint="eastAsia"/>
          <w:spacing w:val="-1"/>
          <w:lang w:eastAsia="zh-CN"/>
        </w:rPr>
        <w:t>T/XXX XXXX—XXXX</w:t>
      </w:r>
      <w:r>
        <w:rPr>
          <w:rFonts w:ascii="宋体" w:eastAsia="宋体" w:hAnsi="宋体" w:cs="宋体"/>
          <w:spacing w:val="-1"/>
          <w:lang w:eastAsia="zh-CN"/>
        </w:rPr>
        <w:t>《中国汽车行业ESG评价指南》和</w:t>
      </w:r>
      <w:r>
        <w:rPr>
          <w:rFonts w:ascii="宋体" w:eastAsia="宋体" w:hAnsi="宋体" w:cs="宋体" w:hint="eastAsia"/>
          <w:spacing w:val="-1"/>
          <w:lang w:eastAsia="zh-CN"/>
        </w:rPr>
        <w:t>T/XXX XXXX—XXXX</w:t>
      </w:r>
      <w:r>
        <w:rPr>
          <w:rFonts w:ascii="宋体" w:eastAsia="宋体" w:hAnsi="宋体" w:cs="宋体"/>
          <w:spacing w:val="-1"/>
          <w:lang w:eastAsia="zh-CN"/>
        </w:rPr>
        <w:t>《中国汽车行业ESG管理</w:t>
      </w:r>
      <w:proofErr w:type="gramStart"/>
      <w:r>
        <w:rPr>
          <w:rFonts w:ascii="宋体" w:eastAsia="宋体" w:hAnsi="宋体" w:cs="宋体"/>
          <w:spacing w:val="-2"/>
          <w:lang w:eastAsia="zh-CN"/>
        </w:rPr>
        <w:t>体系 要求</w:t>
      </w:r>
      <w:proofErr w:type="gramEnd"/>
      <w:r>
        <w:rPr>
          <w:rFonts w:ascii="宋体" w:eastAsia="宋体" w:hAnsi="宋体" w:cs="宋体"/>
          <w:spacing w:val="-2"/>
          <w:lang w:eastAsia="zh-CN"/>
        </w:rPr>
        <w:t>及使用指南》共同构成支撑中国汽</w:t>
      </w:r>
      <w:r>
        <w:rPr>
          <w:rFonts w:ascii="宋体" w:eastAsia="宋体" w:hAnsi="宋体" w:cs="宋体"/>
          <w:spacing w:val="-1"/>
          <w:lang w:eastAsia="zh-CN"/>
        </w:rPr>
        <w:t>车行业ESG管理和实践的基础性系列团体标准。</w:t>
      </w:r>
    </w:p>
    <w:p w14:paraId="13A32714" w14:textId="77777777" w:rsidR="008A1688" w:rsidRDefault="00000000">
      <w:pPr>
        <w:kinsoku/>
        <w:overflowPunct w:val="0"/>
        <w:autoSpaceDE/>
        <w:autoSpaceDN/>
        <w:spacing w:line="360" w:lineRule="auto"/>
        <w:ind w:left="419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请注意本文件的某些内容可能涉及专利。本文件的发布机构不承担识别专利的责任。</w:t>
      </w:r>
    </w:p>
    <w:p w14:paraId="751EEB3A" w14:textId="77777777" w:rsidR="008A1688" w:rsidRDefault="00000000">
      <w:pPr>
        <w:kinsoku/>
        <w:overflowPunct w:val="0"/>
        <w:autoSpaceDE/>
        <w:autoSpaceDN/>
        <w:spacing w:line="360" w:lineRule="auto"/>
        <w:ind w:firstLineChars="200" w:firstLine="416"/>
        <w:rPr>
          <w:rFonts w:ascii="宋体" w:eastAsia="宋体" w:hAnsi="宋体" w:cs="宋体" w:hint="eastAsia"/>
          <w:spacing w:val="-2"/>
          <w:lang w:eastAsia="zh-CN"/>
        </w:rPr>
      </w:pPr>
      <w:r>
        <w:rPr>
          <w:rFonts w:ascii="宋体" w:eastAsia="宋体" w:hAnsi="宋体" w:cs="宋体" w:hint="eastAsia"/>
          <w:spacing w:val="-2"/>
          <w:lang w:eastAsia="zh-CN"/>
        </w:rPr>
        <w:t>本文件由中国汽车工业协会提出并归口。</w:t>
      </w:r>
      <w:r>
        <w:rPr>
          <w:rFonts w:ascii="宋体" w:eastAsia="宋体" w:hAnsi="宋体" w:cs="宋体"/>
          <w:spacing w:val="-2"/>
          <w:lang w:eastAsia="zh-CN"/>
        </w:rPr>
        <w:t xml:space="preserve"> </w:t>
      </w:r>
    </w:p>
    <w:p w14:paraId="450A6186" w14:textId="6CF05B6B" w:rsidR="008A1688" w:rsidRDefault="00000000" w:rsidP="00E141A8">
      <w:pPr>
        <w:kinsoku/>
        <w:overflowPunct w:val="0"/>
        <w:autoSpaceDE/>
        <w:autoSpaceDN/>
        <w:spacing w:line="360" w:lineRule="auto"/>
        <w:ind w:firstLineChars="200" w:firstLine="416"/>
        <w:jc w:val="both"/>
        <w:rPr>
          <w:rFonts w:ascii="宋体" w:eastAsia="宋体" w:hAnsi="宋体" w:cs="宋体" w:hint="eastAsia"/>
          <w:spacing w:val="-2"/>
          <w:lang w:eastAsia="zh-CN"/>
        </w:rPr>
      </w:pPr>
      <w:r>
        <w:rPr>
          <w:rFonts w:ascii="宋体" w:eastAsia="宋体" w:hAnsi="宋体" w:cs="宋体" w:hint="eastAsia"/>
          <w:spacing w:val="-2"/>
          <w:lang w:eastAsia="zh-CN"/>
        </w:rPr>
        <w:t>本文件起草单位：中国汽车工业协会、浙江吉利控股集团有限公司、广州汽车集团股份有限公司、中国汽车工程研究院股份有限公司、责扬天下（北京）管理顾问有限公司、中国第一汽车集团有限公司、重庆长安汽车股份有限公司、上海汽车集团股份有限公司、北京汽车集团有限公司、奇瑞控股集团有限公司、理想汽车、上海蔚来汽车有限公司、厦门金龙汽车集团股份有限公司、广汽本田汽车有限公司、沃尔沃汽车（亚太）投资控股有限公司、宁德时代新能源科技有限公司、米其林（中国</w:t>
      </w:r>
      <w:proofErr w:type="gramStart"/>
      <w:r>
        <w:rPr>
          <w:rFonts w:ascii="宋体" w:eastAsia="宋体" w:hAnsi="宋体" w:cs="宋体" w:hint="eastAsia"/>
          <w:spacing w:val="-2"/>
          <w:lang w:eastAsia="zh-CN"/>
        </w:rPr>
        <w:t>）</w:t>
      </w:r>
      <w:r>
        <w:rPr>
          <w:rFonts w:ascii="宋体" w:eastAsia="宋体" w:hAnsi="宋体" w:cs="宋体"/>
          <w:spacing w:val="-2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2"/>
          <w:lang w:eastAsia="zh-CN"/>
        </w:rPr>
        <w:t>投资</w:t>
      </w:r>
      <w:proofErr w:type="gramEnd"/>
      <w:r>
        <w:rPr>
          <w:rFonts w:ascii="宋体" w:eastAsia="宋体" w:hAnsi="宋体" w:cs="宋体" w:hint="eastAsia"/>
          <w:spacing w:val="-2"/>
          <w:lang w:eastAsia="zh-CN"/>
        </w:rPr>
        <w:t>有限公司、贝卡尔特（中国）技术研发有限公司、上海国际汽车城（集团）有限公司、中国汽车技术研究中心有限公司、中国乡村发展基金会、中国标准化研究院、中国信息通信研究院、北京车之家信息技术有限公司、三花控股集团有限公司。</w:t>
      </w:r>
      <w:r>
        <w:rPr>
          <w:rFonts w:ascii="宋体" w:eastAsia="宋体" w:hAnsi="宋体" w:cs="宋体"/>
          <w:spacing w:val="-2"/>
          <w:lang w:eastAsia="zh-CN"/>
        </w:rPr>
        <w:t xml:space="preserve"> </w:t>
      </w:r>
    </w:p>
    <w:p w14:paraId="3A4C248D" w14:textId="77777777" w:rsidR="008A1688" w:rsidRDefault="00000000" w:rsidP="00E141A8">
      <w:pPr>
        <w:kinsoku/>
        <w:overflowPunct w:val="0"/>
        <w:autoSpaceDE/>
        <w:autoSpaceDN/>
        <w:spacing w:line="360" w:lineRule="auto"/>
        <w:ind w:firstLineChars="200" w:firstLine="416"/>
        <w:jc w:val="both"/>
        <w:rPr>
          <w:rFonts w:ascii="宋体" w:eastAsia="宋体" w:hAnsi="宋体" w:cs="宋体" w:hint="eastAsia"/>
          <w:lang w:eastAsia="zh-CN"/>
        </w:rPr>
        <w:sectPr w:rsidR="008A1688">
          <w:footerReference w:type="default" r:id="rId11"/>
          <w:pgSz w:w="11907" w:h="16839"/>
          <w:pgMar w:top="1716" w:right="1053" w:bottom="1340" w:left="1426" w:header="1391" w:footer="1105" w:gutter="0"/>
          <w:pgNumType w:start="1"/>
          <w:cols w:space="720"/>
        </w:sectPr>
      </w:pPr>
      <w:r>
        <w:rPr>
          <w:rFonts w:ascii="宋体" w:eastAsia="宋体" w:hAnsi="宋体" w:cs="宋体" w:hint="eastAsia"/>
          <w:spacing w:val="-2"/>
          <w:lang w:eastAsia="zh-CN"/>
        </w:rPr>
        <w:t>本文件主要起草人：</w:t>
      </w:r>
      <w:r>
        <w:rPr>
          <w:rFonts w:ascii="宋体" w:eastAsia="宋体" w:hAnsi="宋体" w:cs="宋体"/>
          <w:spacing w:val="-2"/>
          <w:lang w:eastAsia="zh-CN"/>
        </w:rPr>
        <w:t>李邵华、伊鸣、尚蛟、黄兴、林波、代奕波、管竹笋、尹捷、张小燕、岳海燕、陈晓宁、姜南、赵贵平、李妍如、刘先、桂飞、王浩然、谢萌、曹政、吕家正、马文雄、杨松玲、郭跃宁、潘学兴、郭佳栋、仲崇毅、吴俊贤、冯会健、丁亚冬、黎钊、李芳、林翎、丁晴、常琳、张炜明、刘鑫、金辉、侯楚卿、陈颖、文琦、贺倩、张蕊、黄石旦、戚伊琳。</w:t>
      </w:r>
    </w:p>
    <w:p w14:paraId="16230B05" w14:textId="77777777" w:rsidR="008A1688" w:rsidRDefault="008A1688">
      <w:pPr>
        <w:kinsoku/>
        <w:overflowPunct w:val="0"/>
        <w:autoSpaceDE/>
        <w:autoSpaceDN/>
        <w:spacing w:line="360" w:lineRule="auto"/>
        <w:rPr>
          <w:lang w:eastAsia="zh-CN"/>
        </w:rPr>
      </w:pPr>
    </w:p>
    <w:p w14:paraId="596A7177" w14:textId="77777777" w:rsidR="008A1688" w:rsidRDefault="00000000">
      <w:pPr>
        <w:pStyle w:val="a4"/>
        <w:kinsoku/>
        <w:overflowPunct w:val="0"/>
        <w:autoSpaceDE/>
        <w:autoSpaceDN/>
        <w:spacing w:before="101" w:line="360" w:lineRule="auto"/>
        <w:ind w:left="4277"/>
        <w:outlineLvl w:val="0"/>
        <w:rPr>
          <w:rFonts w:hint="eastAsia"/>
          <w:sz w:val="31"/>
          <w:szCs w:val="31"/>
          <w:lang w:eastAsia="zh-CN"/>
        </w:rPr>
      </w:pPr>
      <w:bookmarkStart w:id="4" w:name="_Toc31028"/>
      <w:proofErr w:type="gramStart"/>
      <w:r>
        <w:rPr>
          <w:spacing w:val="-16"/>
          <w:sz w:val="31"/>
          <w:szCs w:val="31"/>
          <w:lang w:eastAsia="zh-CN"/>
        </w:rPr>
        <w:t>引</w:t>
      </w:r>
      <w:r>
        <w:rPr>
          <w:spacing w:val="10"/>
          <w:sz w:val="31"/>
          <w:szCs w:val="31"/>
          <w:lang w:eastAsia="zh-CN"/>
        </w:rPr>
        <w:t xml:space="preserve">    </w:t>
      </w:r>
      <w:r>
        <w:rPr>
          <w:spacing w:val="-16"/>
          <w:sz w:val="31"/>
          <w:szCs w:val="31"/>
          <w:lang w:eastAsia="zh-CN"/>
        </w:rPr>
        <w:t>言</w:t>
      </w:r>
      <w:bookmarkEnd w:id="4"/>
      <w:proofErr w:type="gramEnd"/>
    </w:p>
    <w:p w14:paraId="638FDA57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环境、社会和治理（Environmental，Social and Governance，ESG）是一种关注环境、社会和治理等而非单一财务因素的可持续发展观。ESG信息披露是企业为了满足投资者等利益相关方的非财务信息需要，对自身在环境、社会责任和公司治理等方面履行相关义务、承担相关责任、开展风险管理的具体信息进行披露，其披露质量和水平逐渐成为衡量企业竞争力的重要标准。汽车行业是国民经济的支柱产业之一，产业链长，涉及面广、带动性强、国际化程度高，在国民经济和社会发展中</w:t>
      </w:r>
      <w:r>
        <w:rPr>
          <w:rFonts w:ascii="宋体" w:eastAsia="宋体" w:hAnsi="宋体" w:cs="宋体" w:hint="eastAsia"/>
          <w:lang w:eastAsia="zh-CN"/>
        </w:rPr>
        <w:t>占据</w:t>
      </w:r>
      <w:r>
        <w:rPr>
          <w:rFonts w:ascii="宋体" w:eastAsia="宋体" w:hAnsi="宋体" w:cs="宋体"/>
          <w:lang w:eastAsia="zh-CN"/>
        </w:rPr>
        <w:t>重要地位。汽车行业也是可持续发展的重要实践者和贡献者，其关联度高、科技集中性强的特点，催生了大量新技术、新产业、新业态、新模式，已然成为我国推动新一轮科技革命和产业变革的重要力量，是实施制造强国战略、双碳战略，打造双循环新格局的重要支撑。</w:t>
      </w:r>
    </w:p>
    <w:p w14:paraId="20B81BF7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汽车行业企业进行ESG信息披露具有以下诸多益处：</w:t>
      </w:r>
    </w:p>
    <w:p w14:paraId="52159CD5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——满足汽车行业企业有关ESG信息披露的法律法规要求和其他要求；</w:t>
      </w:r>
    </w:p>
    <w:p w14:paraId="222E89DF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——增进汽车行业企业内部和外部对其ESG战略、目标、计划和绩效，以及所面临挑战的了解；</w:t>
      </w:r>
    </w:p>
    <w:p w14:paraId="6E6BF877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——有助于实现汽车行业企业利益相关方的参与，并促进与投资者、社会公众等利益相关方的对话；</w:t>
      </w:r>
    </w:p>
    <w:p w14:paraId="3F27DFDF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——提高汽车行业企业践行ESG理念的透明度，增强利益相关方对汽车行业企业的信任等。</w:t>
      </w:r>
    </w:p>
    <w:p w14:paraId="77C4448D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为推动汽车行业履责水平提升，指导上下游企业完善ESG体系建设，提高ESG管理水平与企业竞争力，持续推动中国汽车行业高质量发展，特制定本文件。</w:t>
      </w:r>
    </w:p>
    <w:p w14:paraId="3F86CD8F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本文件坚持</w:t>
      </w:r>
      <w:r>
        <w:rPr>
          <w:rFonts w:ascii="宋体" w:eastAsia="宋体" w:hAnsi="宋体" w:cs="宋体" w:hint="eastAsia"/>
          <w:lang w:eastAsia="zh-CN"/>
        </w:rPr>
        <w:t>以“创新、协调、绿色、开放、共享”的发展理念为原则</w:t>
      </w:r>
      <w:r>
        <w:rPr>
          <w:rFonts w:ascii="宋体" w:eastAsia="宋体" w:hAnsi="宋体" w:cs="宋体"/>
          <w:lang w:eastAsia="zh-CN"/>
        </w:rPr>
        <w:t>，以推动高质量发展为主题，为汽车行业企业提供一套高质量的具有中国特色的ESG信息披露指标体系，为汽车行业企业进行ESG信息披露提供指导性建议与参考。</w:t>
      </w:r>
    </w:p>
    <w:p w14:paraId="3188B600" w14:textId="77777777" w:rsidR="008A1688" w:rsidRDefault="00000000">
      <w:pPr>
        <w:kinsoku/>
        <w:overflowPunct w:val="0"/>
        <w:autoSpaceDE/>
        <w:autoSpaceDN/>
        <w:spacing w:before="68" w:line="360" w:lineRule="auto"/>
        <w:ind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本文件也鼓励汽车行业企业在使用本文件的同时，结合自身特点和实际需要，在本文件的基础上创新，不断改进和提升其ESG信息披露水平。</w:t>
      </w:r>
    </w:p>
    <w:p w14:paraId="64BAE9AD" w14:textId="77777777" w:rsidR="008A1688" w:rsidRDefault="008A1688">
      <w:pPr>
        <w:kinsoku/>
        <w:overflowPunct w:val="0"/>
        <w:autoSpaceDE/>
        <w:autoSpaceDN/>
        <w:spacing w:line="360" w:lineRule="auto"/>
        <w:ind w:firstLineChars="200" w:firstLine="420"/>
        <w:rPr>
          <w:rFonts w:ascii="宋体" w:eastAsia="宋体" w:hAnsi="宋体" w:cs="宋体" w:hint="eastAsia"/>
          <w:lang w:eastAsia="zh-CN"/>
        </w:rPr>
        <w:sectPr w:rsidR="008A1688">
          <w:headerReference w:type="default" r:id="rId12"/>
          <w:footerReference w:type="default" r:id="rId13"/>
          <w:pgSz w:w="11907" w:h="16839"/>
          <w:pgMar w:top="1716" w:right="1054" w:bottom="1340" w:left="1427" w:header="1391" w:footer="1105" w:gutter="0"/>
          <w:cols w:space="720"/>
        </w:sectPr>
      </w:pPr>
    </w:p>
    <w:p w14:paraId="71A37D38" w14:textId="77777777" w:rsidR="008A1688" w:rsidRDefault="008A1688">
      <w:pPr>
        <w:kinsoku/>
        <w:overflowPunct w:val="0"/>
        <w:autoSpaceDE/>
        <w:autoSpaceDN/>
        <w:spacing w:line="360" w:lineRule="auto"/>
        <w:rPr>
          <w:lang w:eastAsia="zh-CN"/>
        </w:rPr>
      </w:pPr>
    </w:p>
    <w:p w14:paraId="2807B259" w14:textId="77777777" w:rsidR="008A1688" w:rsidRDefault="008A1688">
      <w:pPr>
        <w:kinsoku/>
        <w:overflowPunct w:val="0"/>
        <w:autoSpaceDE/>
        <w:autoSpaceDN/>
        <w:spacing w:line="360" w:lineRule="auto"/>
        <w:rPr>
          <w:lang w:eastAsia="zh-CN"/>
        </w:rPr>
      </w:pPr>
    </w:p>
    <w:p w14:paraId="4A51D47A" w14:textId="77777777" w:rsidR="008A1688" w:rsidRDefault="00000000">
      <w:pPr>
        <w:pStyle w:val="a4"/>
        <w:kinsoku/>
        <w:overflowPunct w:val="0"/>
        <w:autoSpaceDE/>
        <w:autoSpaceDN/>
        <w:spacing w:before="101" w:line="360" w:lineRule="auto"/>
        <w:ind w:left="2466"/>
        <w:rPr>
          <w:rFonts w:hint="eastAsia"/>
          <w:sz w:val="31"/>
          <w:szCs w:val="31"/>
          <w:lang w:eastAsia="zh-CN"/>
        </w:rPr>
      </w:pPr>
      <w:r>
        <w:rPr>
          <w:spacing w:val="5"/>
          <w:sz w:val="31"/>
          <w:szCs w:val="31"/>
          <w:lang w:eastAsia="zh-CN"/>
        </w:rPr>
        <w:t>中国汽车行业</w:t>
      </w:r>
      <w:r>
        <w:rPr>
          <w:sz w:val="31"/>
          <w:szCs w:val="31"/>
          <w:lang w:eastAsia="zh-CN"/>
        </w:rPr>
        <w:t>ESG</w:t>
      </w:r>
      <w:r>
        <w:rPr>
          <w:spacing w:val="5"/>
          <w:sz w:val="31"/>
          <w:szCs w:val="31"/>
          <w:lang w:eastAsia="zh-CN"/>
        </w:rPr>
        <w:t>信息披露指南</w:t>
      </w:r>
    </w:p>
    <w:p w14:paraId="4051257C" w14:textId="77777777" w:rsidR="008A1688" w:rsidRDefault="00000000">
      <w:pPr>
        <w:pStyle w:val="a4"/>
        <w:kinsoku/>
        <w:overflowPunct w:val="0"/>
        <w:autoSpaceDE/>
        <w:autoSpaceDN/>
        <w:spacing w:before="68" w:line="360" w:lineRule="auto"/>
        <w:ind w:left="12"/>
        <w:outlineLvl w:val="0"/>
        <w:rPr>
          <w:rFonts w:hint="eastAsia"/>
          <w:sz w:val="21"/>
          <w:szCs w:val="21"/>
          <w:lang w:eastAsia="zh-CN"/>
        </w:rPr>
      </w:pPr>
      <w:bookmarkStart w:id="5" w:name="bookmark12"/>
      <w:bookmarkStart w:id="6" w:name="_Toc9785"/>
      <w:bookmarkEnd w:id="5"/>
      <w:proofErr w:type="gramStart"/>
      <w:r>
        <w:rPr>
          <w:spacing w:val="-8"/>
          <w:sz w:val="21"/>
          <w:szCs w:val="21"/>
          <w:lang w:eastAsia="zh-CN"/>
        </w:rPr>
        <w:t>1</w:t>
      </w:r>
      <w:r>
        <w:rPr>
          <w:spacing w:val="5"/>
          <w:sz w:val="21"/>
          <w:szCs w:val="21"/>
          <w:lang w:eastAsia="zh-CN"/>
        </w:rPr>
        <w:t xml:space="preserve">  </w:t>
      </w:r>
      <w:r>
        <w:rPr>
          <w:spacing w:val="-8"/>
          <w:sz w:val="21"/>
          <w:szCs w:val="21"/>
          <w:lang w:eastAsia="zh-CN"/>
        </w:rPr>
        <w:t>范围</w:t>
      </w:r>
      <w:bookmarkEnd w:id="6"/>
      <w:proofErr w:type="gramEnd"/>
    </w:p>
    <w:p w14:paraId="0417E5BC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本文件涵盖汽车行业企业ESG信息披露的基本原则、范围、频率、形式、内容及流程，旨在为</w:t>
      </w:r>
      <w:proofErr w:type="gramStart"/>
      <w:r>
        <w:rPr>
          <w:rFonts w:ascii="宋体" w:eastAsia="宋体" w:hAnsi="宋体" w:cs="宋体"/>
          <w:lang w:eastAsia="zh-CN"/>
        </w:rPr>
        <w:t>汽车</w:t>
      </w:r>
      <w:r>
        <w:rPr>
          <w:rFonts w:ascii="宋体" w:eastAsia="宋体" w:hAnsi="宋体" w:cs="宋体"/>
          <w:spacing w:val="3"/>
          <w:lang w:eastAsia="zh-CN"/>
        </w:rPr>
        <w:t xml:space="preserve"> </w:t>
      </w:r>
      <w:r>
        <w:rPr>
          <w:rFonts w:ascii="宋体" w:eastAsia="宋体" w:hAnsi="宋体" w:cs="宋体"/>
          <w:lang w:eastAsia="zh-CN"/>
        </w:rPr>
        <w:t>行业</w:t>
      </w:r>
      <w:proofErr w:type="gramEnd"/>
      <w:r>
        <w:rPr>
          <w:rFonts w:ascii="宋体" w:eastAsia="宋体" w:hAnsi="宋体" w:cs="宋体"/>
          <w:lang w:eastAsia="zh-CN"/>
        </w:rPr>
        <w:t>企业开展</w:t>
      </w:r>
      <w:r>
        <w:rPr>
          <w:rFonts w:ascii="宋体" w:eastAsia="宋体" w:hAnsi="宋体" w:cs="宋体"/>
          <w:spacing w:val="-1"/>
          <w:lang w:eastAsia="zh-CN"/>
        </w:rPr>
        <w:t>ESG</w:t>
      </w:r>
      <w:r>
        <w:rPr>
          <w:rFonts w:ascii="宋体" w:eastAsia="宋体" w:hAnsi="宋体" w:cs="宋体"/>
          <w:lang w:eastAsia="zh-CN"/>
        </w:rPr>
        <w:t>信息披露提供基础框架，促进汽车行业企业实现高质</w:t>
      </w:r>
      <w:r>
        <w:rPr>
          <w:rFonts w:ascii="宋体" w:eastAsia="宋体" w:hAnsi="宋体" w:cs="宋体"/>
          <w:spacing w:val="-1"/>
          <w:lang w:eastAsia="zh-CN"/>
        </w:rPr>
        <w:t>量ESG信息披露。</w:t>
      </w:r>
    </w:p>
    <w:p w14:paraId="23D50F0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8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主要适用于汽车行业整车企业及</w:t>
      </w:r>
      <w:r>
        <w:rPr>
          <w:rFonts w:ascii="宋体" w:eastAsia="宋体" w:hAnsi="宋体" w:cs="宋体" w:hint="eastAsia"/>
          <w:spacing w:val="-1"/>
          <w:lang w:eastAsia="zh-CN"/>
        </w:rPr>
        <w:t>供应链</w:t>
      </w:r>
      <w:r>
        <w:rPr>
          <w:rFonts w:ascii="宋体" w:eastAsia="宋体" w:hAnsi="宋体" w:cs="宋体"/>
          <w:spacing w:val="-1"/>
          <w:lang w:eastAsia="zh-CN"/>
        </w:rPr>
        <w:t>企业（以下</w:t>
      </w:r>
      <w:r>
        <w:rPr>
          <w:rFonts w:ascii="宋体" w:eastAsia="宋体" w:hAnsi="宋体" w:cs="宋体" w:hint="eastAsia"/>
          <w:spacing w:val="-1"/>
          <w:lang w:eastAsia="zh-CN"/>
        </w:rPr>
        <w:t>简称</w:t>
      </w:r>
      <w:r>
        <w:rPr>
          <w:rFonts w:ascii="宋体" w:eastAsia="宋体" w:hAnsi="宋体" w:cs="宋体"/>
          <w:spacing w:val="-1"/>
          <w:lang w:eastAsia="zh-CN"/>
        </w:rPr>
        <w:t>“企业”</w:t>
      </w:r>
      <w:r>
        <w:rPr>
          <w:rFonts w:ascii="宋体" w:eastAsia="宋体" w:hAnsi="宋体" w:cs="宋体"/>
          <w:spacing w:val="-26"/>
          <w:lang w:eastAsia="zh-CN"/>
        </w:rPr>
        <w:t>）</w:t>
      </w:r>
      <w:r>
        <w:rPr>
          <w:rFonts w:ascii="宋体" w:eastAsia="宋体" w:hAnsi="宋体" w:cs="宋体"/>
          <w:lang w:eastAsia="zh-CN"/>
        </w:rPr>
        <w:t>。采用其他形式进行ESG信息披露亦可</w:t>
      </w:r>
      <w:r>
        <w:rPr>
          <w:rFonts w:ascii="宋体" w:eastAsia="宋体" w:hAnsi="宋体" w:cs="宋体"/>
          <w:spacing w:val="-1"/>
          <w:lang w:eastAsia="zh-CN"/>
        </w:rPr>
        <w:t>参照使用本文件。</w:t>
      </w:r>
    </w:p>
    <w:p w14:paraId="3FAF3094" w14:textId="77777777" w:rsidR="008A1688" w:rsidRDefault="00000000">
      <w:pPr>
        <w:pStyle w:val="a4"/>
        <w:kinsoku/>
        <w:overflowPunct w:val="0"/>
        <w:autoSpaceDE/>
        <w:autoSpaceDN/>
        <w:spacing w:before="238" w:line="360" w:lineRule="auto"/>
        <w:outlineLvl w:val="0"/>
        <w:rPr>
          <w:rFonts w:hint="eastAsia"/>
          <w:sz w:val="21"/>
          <w:szCs w:val="21"/>
          <w:lang w:eastAsia="zh-CN"/>
        </w:rPr>
      </w:pPr>
      <w:bookmarkStart w:id="7" w:name="_Toc29435"/>
      <w:proofErr w:type="gramStart"/>
      <w:r>
        <w:rPr>
          <w:spacing w:val="-1"/>
          <w:sz w:val="21"/>
          <w:szCs w:val="21"/>
          <w:lang w:eastAsia="zh-CN"/>
        </w:rPr>
        <w:t>2  规范性引用文件</w:t>
      </w:r>
      <w:bookmarkEnd w:id="7"/>
      <w:proofErr w:type="gramEnd"/>
    </w:p>
    <w:p w14:paraId="3EE762DA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08"/>
        <w:jc w:val="both"/>
        <w:rPr>
          <w:rFonts w:ascii="宋体" w:eastAsia="宋体" w:hAnsi="宋体" w:cs="宋体" w:hint="eastAsia"/>
          <w:spacing w:val="-8"/>
          <w:lang w:eastAsia="zh-CN"/>
        </w:rPr>
      </w:pPr>
      <w:r>
        <w:rPr>
          <w:rFonts w:ascii="宋体" w:eastAsia="宋体" w:hAnsi="宋体" w:cs="宋体"/>
          <w:spacing w:val="-6"/>
          <w:lang w:eastAsia="zh-CN"/>
        </w:rPr>
        <w:t>下列文件中的</w:t>
      </w:r>
      <w:r>
        <w:rPr>
          <w:rFonts w:ascii="宋体" w:eastAsia="宋体" w:hAnsi="宋体" w:cs="宋体"/>
          <w:spacing w:val="-1"/>
          <w:lang w:eastAsia="zh-CN"/>
        </w:rPr>
        <w:t>内容</w:t>
      </w:r>
      <w:r>
        <w:rPr>
          <w:rFonts w:ascii="宋体" w:eastAsia="宋体" w:hAnsi="宋体" w:cs="宋体"/>
          <w:spacing w:val="-6"/>
          <w:lang w:eastAsia="zh-CN"/>
        </w:rPr>
        <w:t>通过文中的规范性引用而构成本文件必不可少的条款。其中，注日期的引用文件，</w:t>
      </w:r>
      <w:r>
        <w:rPr>
          <w:rFonts w:ascii="宋体" w:eastAsia="宋体" w:hAnsi="宋体" w:cs="宋体"/>
          <w:spacing w:val="-2"/>
          <w:lang w:eastAsia="zh-CN"/>
        </w:rPr>
        <w:t>仅该日期对应的版本适用于本文件；不注日期的</w:t>
      </w:r>
      <w:r>
        <w:rPr>
          <w:rFonts w:ascii="宋体" w:eastAsia="宋体" w:hAnsi="宋体" w:cs="宋体"/>
          <w:lang w:eastAsia="zh-CN"/>
        </w:rPr>
        <w:t>引用</w:t>
      </w:r>
      <w:r>
        <w:rPr>
          <w:rFonts w:ascii="宋体" w:eastAsia="宋体" w:hAnsi="宋体" w:cs="宋体"/>
          <w:spacing w:val="-2"/>
          <w:lang w:eastAsia="zh-CN"/>
        </w:rPr>
        <w:t>文件，其最新版本（包</w:t>
      </w:r>
      <w:r>
        <w:rPr>
          <w:rFonts w:ascii="宋体" w:eastAsia="宋体" w:hAnsi="宋体" w:cs="宋体"/>
          <w:spacing w:val="-3"/>
          <w:lang w:eastAsia="zh-CN"/>
        </w:rPr>
        <w:t>括所有的修改单）适用于本</w:t>
      </w:r>
      <w:r>
        <w:rPr>
          <w:rFonts w:ascii="宋体" w:eastAsia="宋体" w:hAnsi="宋体" w:cs="宋体"/>
          <w:spacing w:val="-8"/>
          <w:lang w:eastAsia="zh-CN"/>
        </w:rPr>
        <w:t>文件。</w:t>
      </w:r>
    </w:p>
    <w:p w14:paraId="4DC80ACE" w14:textId="77777777" w:rsidR="008A1688" w:rsidRDefault="00000000">
      <w:pPr>
        <w:kinsoku/>
        <w:overflowPunct w:val="0"/>
        <w:autoSpaceDE/>
        <w:autoSpaceDN/>
        <w:spacing w:line="360" w:lineRule="auto"/>
        <w:ind w:left="5" w:right="58" w:firstLine="418"/>
        <w:rPr>
          <w:rFonts w:ascii="宋体" w:eastAsia="宋体" w:hAnsi="宋体" w:cs="宋体" w:hint="eastAsia"/>
          <w:spacing w:val="-2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GB/T 36000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-2015</w:t>
      </w:r>
      <w:r>
        <w:rPr>
          <w:rFonts w:ascii="宋体" w:eastAsia="宋体" w:hAnsi="宋体" w:cs="宋体" w:hint="eastAsia"/>
          <w:spacing w:val="-1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社会</w:t>
      </w:r>
      <w:proofErr w:type="gramEnd"/>
      <w:r>
        <w:rPr>
          <w:rFonts w:ascii="宋体" w:eastAsia="宋体" w:hAnsi="宋体" w:cs="宋体"/>
          <w:spacing w:val="-2"/>
          <w:lang w:eastAsia="zh-CN"/>
        </w:rPr>
        <w:t>责任指南</w:t>
      </w:r>
    </w:p>
    <w:p w14:paraId="0E5350D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8"/>
        <w:jc w:val="both"/>
        <w:rPr>
          <w:rFonts w:ascii="宋体" w:eastAsia="宋体" w:hAnsi="宋体" w:cs="宋体" w:hint="eastAsia"/>
          <w:spacing w:val="-1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GB/T 39001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-2019</w:t>
      </w:r>
      <w:r>
        <w:rPr>
          <w:rFonts w:ascii="宋体" w:eastAsia="宋体" w:hAnsi="宋体" w:cs="宋体" w:hint="eastAsia"/>
          <w:spacing w:val="-1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道路</w:t>
      </w:r>
      <w:proofErr w:type="gramEnd"/>
      <w:r>
        <w:rPr>
          <w:rFonts w:ascii="宋体" w:eastAsia="宋体" w:hAnsi="宋体" w:cs="宋体"/>
          <w:spacing w:val="-1"/>
          <w:lang w:eastAsia="zh-CN"/>
        </w:rPr>
        <w:t>交通安全</w:t>
      </w:r>
      <w:r>
        <w:rPr>
          <w:rFonts w:ascii="宋体" w:eastAsia="宋体" w:hAnsi="宋体" w:cs="宋体"/>
          <w:lang w:eastAsia="zh-CN"/>
        </w:rPr>
        <w:t>管理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体系 要求</w:t>
      </w:r>
      <w:proofErr w:type="gramEnd"/>
      <w:r>
        <w:rPr>
          <w:rFonts w:ascii="宋体" w:eastAsia="宋体" w:hAnsi="宋体" w:cs="宋体"/>
          <w:spacing w:val="-1"/>
          <w:lang w:eastAsia="zh-CN"/>
        </w:rPr>
        <w:t>及</w:t>
      </w:r>
      <w:r>
        <w:rPr>
          <w:rFonts w:ascii="宋体" w:eastAsia="宋体" w:hAnsi="宋体" w:cs="宋体"/>
          <w:lang w:eastAsia="zh-CN"/>
        </w:rPr>
        <w:t>使用</w:t>
      </w:r>
      <w:r>
        <w:rPr>
          <w:rFonts w:ascii="宋体" w:eastAsia="宋体" w:hAnsi="宋体" w:cs="宋体" w:hint="eastAsia"/>
          <w:spacing w:val="-1"/>
          <w:lang w:eastAsia="zh-CN"/>
        </w:rPr>
        <w:t>指南</w:t>
      </w:r>
    </w:p>
    <w:p w14:paraId="2D51E176" w14:textId="77777777" w:rsidR="008A1688" w:rsidRDefault="00000000">
      <w:pPr>
        <w:kinsoku/>
        <w:overflowPunct w:val="0"/>
        <w:autoSpaceDE/>
        <w:autoSpaceDN/>
        <w:spacing w:line="360" w:lineRule="auto"/>
        <w:ind w:left="5" w:right="58" w:firstLine="418"/>
        <w:rPr>
          <w:rFonts w:ascii="宋体" w:eastAsia="宋体" w:hAnsi="宋体" w:cs="宋体" w:hint="eastAsia"/>
          <w:spacing w:val="-1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GB/T 39061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-2020</w:t>
      </w:r>
      <w:r>
        <w:rPr>
          <w:rFonts w:ascii="宋体" w:eastAsia="宋体" w:hAnsi="宋体" w:cs="宋体" w:hint="eastAsia"/>
          <w:spacing w:val="-1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汽车</w:t>
      </w:r>
      <w:proofErr w:type="gramEnd"/>
      <w:r>
        <w:rPr>
          <w:rFonts w:ascii="宋体" w:eastAsia="宋体" w:hAnsi="宋体" w:cs="宋体"/>
          <w:spacing w:val="-1"/>
          <w:lang w:eastAsia="zh-CN"/>
        </w:rPr>
        <w:t>产品召回编号规则与编号应用</w:t>
      </w:r>
    </w:p>
    <w:p w14:paraId="39434808" w14:textId="77777777" w:rsidR="008A1688" w:rsidRDefault="00000000">
      <w:pPr>
        <w:pStyle w:val="a4"/>
        <w:kinsoku/>
        <w:overflowPunct w:val="0"/>
        <w:autoSpaceDE/>
        <w:autoSpaceDN/>
        <w:spacing w:before="238" w:line="360" w:lineRule="auto"/>
        <w:outlineLvl w:val="0"/>
        <w:rPr>
          <w:rFonts w:hint="eastAsia"/>
          <w:spacing w:val="-1"/>
          <w:sz w:val="21"/>
          <w:szCs w:val="21"/>
          <w:lang w:eastAsia="zh-CN"/>
        </w:rPr>
      </w:pPr>
      <w:bookmarkStart w:id="8" w:name="bookmark13"/>
      <w:bookmarkStart w:id="9" w:name="_Toc2798"/>
      <w:bookmarkEnd w:id="8"/>
      <w:proofErr w:type="gramStart"/>
      <w:r>
        <w:rPr>
          <w:spacing w:val="-1"/>
          <w:sz w:val="21"/>
          <w:szCs w:val="21"/>
          <w:lang w:eastAsia="zh-CN"/>
        </w:rPr>
        <w:t>3  术语和定义</w:t>
      </w:r>
      <w:bookmarkEnd w:id="9"/>
      <w:proofErr w:type="gramEnd"/>
    </w:p>
    <w:p w14:paraId="652F1E6A" w14:textId="77777777" w:rsidR="008A1688" w:rsidRDefault="00000000">
      <w:pPr>
        <w:kinsoku/>
        <w:overflowPunct w:val="0"/>
        <w:autoSpaceDE/>
        <w:autoSpaceDN/>
        <w:spacing w:line="360" w:lineRule="auto"/>
        <w:ind w:left="5" w:right="58" w:firstLine="418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下列术语和定义</w:t>
      </w:r>
      <w:r>
        <w:rPr>
          <w:rFonts w:ascii="宋体" w:eastAsia="宋体" w:hAnsi="宋体" w:cs="宋体"/>
          <w:spacing w:val="-1"/>
          <w:lang w:eastAsia="zh-CN"/>
        </w:rPr>
        <w:t>适用</w:t>
      </w:r>
      <w:r>
        <w:rPr>
          <w:rFonts w:ascii="宋体" w:eastAsia="宋体" w:hAnsi="宋体" w:cs="宋体"/>
          <w:spacing w:val="-3"/>
          <w:lang w:eastAsia="zh-CN"/>
        </w:rPr>
        <w:t>于本文件。</w:t>
      </w:r>
    </w:p>
    <w:p w14:paraId="5BAEBB99" w14:textId="77777777" w:rsidR="008A1688" w:rsidRDefault="00000000">
      <w:pPr>
        <w:pStyle w:val="a4"/>
        <w:kinsoku/>
        <w:overflowPunct w:val="0"/>
        <w:autoSpaceDE/>
        <w:autoSpaceDN/>
        <w:spacing w:before="20" w:line="360" w:lineRule="auto"/>
        <w:ind w:left="1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2"/>
          <w:sz w:val="21"/>
          <w:szCs w:val="21"/>
          <w:lang w:eastAsia="zh-CN"/>
        </w:rPr>
        <w:t>3.1</w:t>
      </w:r>
      <w:r>
        <w:rPr>
          <w:rFonts w:hint="eastAsia"/>
          <w:spacing w:val="-2"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>环境</w:t>
      </w:r>
      <w:proofErr w:type="gramEnd"/>
      <w:r>
        <w:rPr>
          <w:sz w:val="21"/>
          <w:szCs w:val="21"/>
          <w:lang w:eastAsia="zh-CN"/>
        </w:rPr>
        <w:t>、</w:t>
      </w:r>
      <w:proofErr w:type="gramStart"/>
      <w:r>
        <w:rPr>
          <w:sz w:val="21"/>
          <w:szCs w:val="21"/>
          <w:lang w:eastAsia="zh-CN"/>
        </w:rPr>
        <w:t>社会和治理  Environmental</w:t>
      </w:r>
      <w:proofErr w:type="gramEnd"/>
      <w:r>
        <w:rPr>
          <w:sz w:val="21"/>
          <w:szCs w:val="21"/>
          <w:lang w:eastAsia="zh-CN"/>
        </w:rPr>
        <w:t>，Social and Governa</w:t>
      </w:r>
      <w:r>
        <w:rPr>
          <w:spacing w:val="-1"/>
          <w:sz w:val="21"/>
          <w:szCs w:val="21"/>
          <w:lang w:eastAsia="zh-CN"/>
        </w:rPr>
        <w:t>nce，ESG</w:t>
      </w:r>
    </w:p>
    <w:p w14:paraId="595FB66B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是一种关注企业环境、社会和公司治理等而非单一财务因</w:t>
      </w:r>
      <w:r>
        <w:rPr>
          <w:rFonts w:ascii="宋体" w:eastAsia="宋体" w:hAnsi="宋体" w:cs="宋体"/>
          <w:spacing w:val="-3"/>
          <w:lang w:eastAsia="zh-CN"/>
        </w:rPr>
        <w:t>素的可持续发展观，是企业在经营决策中</w:t>
      </w:r>
      <w:r>
        <w:rPr>
          <w:rFonts w:ascii="宋体" w:eastAsia="宋体" w:hAnsi="宋体" w:cs="宋体"/>
          <w:spacing w:val="-2"/>
          <w:lang w:eastAsia="zh-CN"/>
        </w:rPr>
        <w:t>考虑减少环境影响、</w:t>
      </w:r>
      <w:r>
        <w:rPr>
          <w:rFonts w:ascii="宋体" w:eastAsia="宋体" w:hAnsi="宋体" w:cs="宋体"/>
          <w:spacing w:val="-1"/>
          <w:lang w:eastAsia="zh-CN"/>
        </w:rPr>
        <w:t>关注</w:t>
      </w:r>
      <w:r>
        <w:rPr>
          <w:rFonts w:ascii="宋体" w:eastAsia="宋体" w:hAnsi="宋体" w:cs="宋体"/>
          <w:spacing w:val="-2"/>
          <w:lang w:eastAsia="zh-CN"/>
        </w:rPr>
        <w:t>员工和社会福祉、建立透明</w:t>
      </w:r>
      <w:r>
        <w:rPr>
          <w:rFonts w:ascii="宋体" w:eastAsia="宋体" w:hAnsi="宋体" w:cs="宋体"/>
          <w:lang w:eastAsia="zh-CN"/>
        </w:rPr>
        <w:t>治理</w:t>
      </w:r>
      <w:r>
        <w:rPr>
          <w:rFonts w:ascii="宋体" w:eastAsia="宋体" w:hAnsi="宋体" w:cs="宋体"/>
          <w:spacing w:val="-2"/>
          <w:lang w:eastAsia="zh-CN"/>
        </w:rPr>
        <w:t>结构的能力，反</w:t>
      </w:r>
      <w:r>
        <w:rPr>
          <w:rFonts w:ascii="宋体" w:eastAsia="宋体" w:hAnsi="宋体" w:cs="宋体"/>
          <w:spacing w:val="-3"/>
          <w:lang w:eastAsia="zh-CN"/>
        </w:rPr>
        <w:t>映企业可持续性及贡献社会环</w:t>
      </w:r>
      <w:r>
        <w:rPr>
          <w:rFonts w:ascii="宋体" w:eastAsia="宋体" w:hAnsi="宋体" w:cs="宋体"/>
          <w:spacing w:val="-1"/>
          <w:lang w:eastAsia="zh-CN"/>
        </w:rPr>
        <w:t>境的水平，是可持续投资的重要参考标准。</w:t>
      </w:r>
    </w:p>
    <w:p w14:paraId="47E61EE8" w14:textId="77777777" w:rsidR="008A1688" w:rsidRDefault="00000000">
      <w:pPr>
        <w:pStyle w:val="a4"/>
        <w:kinsoku/>
        <w:overflowPunct w:val="0"/>
        <w:autoSpaceDE/>
        <w:autoSpaceDN/>
        <w:spacing w:line="360" w:lineRule="auto"/>
        <w:ind w:left="1"/>
        <w:rPr>
          <w:rFonts w:hint="eastAsia"/>
          <w:sz w:val="21"/>
          <w:szCs w:val="21"/>
          <w:lang w:eastAsia="zh-CN"/>
        </w:rPr>
      </w:pPr>
      <w:r>
        <w:rPr>
          <w:spacing w:val="-2"/>
          <w:sz w:val="21"/>
          <w:szCs w:val="21"/>
          <w:lang w:eastAsia="zh-CN"/>
        </w:rPr>
        <w:t>3.2</w:t>
      </w:r>
      <w:r>
        <w:rPr>
          <w:rFonts w:hint="eastAsia"/>
          <w:spacing w:val="-2"/>
          <w:sz w:val="21"/>
          <w:szCs w:val="21"/>
          <w:lang w:eastAsia="zh-CN"/>
        </w:rPr>
        <w:t xml:space="preserve"> </w:t>
      </w:r>
      <w:proofErr w:type="gramStart"/>
      <w:r>
        <w:rPr>
          <w:spacing w:val="-1"/>
          <w:sz w:val="21"/>
          <w:szCs w:val="21"/>
          <w:lang w:eastAsia="zh-CN"/>
        </w:rPr>
        <w:t>利益相关方  stakeholder</w:t>
      </w:r>
      <w:proofErr w:type="gramEnd"/>
    </w:p>
    <w:p w14:paraId="623C83AB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8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其利益可能会受到决策或活动影响的个人或团体。</w:t>
      </w:r>
    </w:p>
    <w:p w14:paraId="46942BB6" w14:textId="77777777" w:rsidR="008A1688" w:rsidRDefault="00000000">
      <w:pPr>
        <w:kinsoku/>
        <w:overflowPunct w:val="0"/>
        <w:autoSpaceDE/>
        <w:autoSpaceDN/>
        <w:spacing w:line="360" w:lineRule="auto"/>
        <w:ind w:left="5" w:right="58" w:firstLine="418"/>
        <w:rPr>
          <w:rFonts w:ascii="宋体" w:eastAsia="宋体" w:hAnsi="宋体" w:cs="宋体" w:hint="eastAsia"/>
          <w:spacing w:val="11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[来源：GB/T 36000-</w:t>
      </w:r>
      <w:r>
        <w:rPr>
          <w:rFonts w:ascii="宋体" w:eastAsia="宋体" w:hAnsi="宋体" w:cs="宋体"/>
          <w:spacing w:val="-1"/>
          <w:lang w:eastAsia="zh-CN"/>
        </w:rPr>
        <w:t>2015</w:t>
      </w:r>
      <w:r>
        <w:rPr>
          <w:rFonts w:ascii="宋体" w:eastAsia="宋体" w:hAnsi="宋体" w:cs="宋体" w:hint="eastAsia"/>
          <w:spacing w:val="-1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3.13]</w:t>
      </w:r>
      <w:r>
        <w:rPr>
          <w:rFonts w:ascii="宋体" w:eastAsia="宋体" w:hAnsi="宋体" w:cs="宋体"/>
          <w:spacing w:val="11"/>
          <w:lang w:eastAsia="zh-CN"/>
        </w:rPr>
        <w:t xml:space="preserve"> </w:t>
      </w:r>
    </w:p>
    <w:p w14:paraId="3D5DB0DF" w14:textId="77777777" w:rsidR="008A1688" w:rsidRDefault="00000000">
      <w:pPr>
        <w:pStyle w:val="a4"/>
        <w:kinsoku/>
        <w:overflowPunct w:val="0"/>
        <w:autoSpaceDE/>
        <w:autoSpaceDN/>
        <w:spacing w:before="27" w:line="360" w:lineRule="auto"/>
        <w:ind w:left="1"/>
        <w:rPr>
          <w:rFonts w:hint="eastAsia"/>
          <w:sz w:val="21"/>
          <w:szCs w:val="21"/>
          <w:lang w:eastAsia="zh-CN"/>
        </w:rPr>
      </w:pPr>
      <w:r>
        <w:rPr>
          <w:spacing w:val="-2"/>
          <w:sz w:val="21"/>
          <w:szCs w:val="21"/>
          <w:lang w:eastAsia="zh-CN"/>
        </w:rPr>
        <w:t>3.</w:t>
      </w:r>
      <w:r>
        <w:rPr>
          <w:rFonts w:hint="eastAsia"/>
          <w:spacing w:val="-2"/>
          <w:sz w:val="21"/>
          <w:szCs w:val="21"/>
          <w:lang w:eastAsia="zh-CN"/>
        </w:rPr>
        <w:t xml:space="preserve">3 </w:t>
      </w:r>
      <w:proofErr w:type="gramStart"/>
      <w:r>
        <w:rPr>
          <w:spacing w:val="-4"/>
          <w:sz w:val="21"/>
          <w:szCs w:val="21"/>
          <w:lang w:eastAsia="zh-CN"/>
        </w:rPr>
        <w:t>召回</w:t>
      </w:r>
      <w:r>
        <w:rPr>
          <w:spacing w:val="11"/>
          <w:sz w:val="21"/>
          <w:szCs w:val="21"/>
          <w:lang w:eastAsia="zh-CN"/>
        </w:rPr>
        <w:t xml:space="preserve">  </w:t>
      </w:r>
      <w:r>
        <w:rPr>
          <w:spacing w:val="-4"/>
          <w:sz w:val="21"/>
          <w:szCs w:val="21"/>
          <w:lang w:eastAsia="zh-CN"/>
        </w:rPr>
        <w:t>recall</w:t>
      </w:r>
      <w:proofErr w:type="gramEnd"/>
    </w:p>
    <w:p w14:paraId="4E5726F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产品生产者对其已售出的产品，采取措施消除不合理危险或者降低安全风险的活动。</w:t>
      </w:r>
    </w:p>
    <w:p w14:paraId="007F98CC" w14:textId="77777777" w:rsidR="008A1688" w:rsidRDefault="00000000">
      <w:pPr>
        <w:pStyle w:val="a4"/>
        <w:kinsoku/>
        <w:overflowPunct w:val="0"/>
        <w:autoSpaceDE/>
        <w:autoSpaceDN/>
        <w:spacing w:before="23" w:line="360" w:lineRule="auto"/>
        <w:ind w:left="1" w:right="6109" w:firstLine="395"/>
        <w:rPr>
          <w:rFonts w:hint="eastAsia"/>
          <w:sz w:val="21"/>
          <w:szCs w:val="21"/>
          <w:lang w:eastAsia="zh-CN"/>
        </w:rPr>
      </w:pPr>
      <w:r>
        <w:rPr>
          <w:rFonts w:ascii="宋体" w:eastAsia="宋体" w:hAnsi="宋体" w:cs="宋体"/>
          <w:spacing w:val="-2"/>
          <w:sz w:val="21"/>
          <w:szCs w:val="21"/>
          <w:lang w:eastAsia="zh-CN"/>
        </w:rPr>
        <w:t>[来源：GB/T 39061-2020</w:t>
      </w:r>
      <w:r>
        <w:rPr>
          <w:rFonts w:ascii="宋体" w:eastAsia="宋体" w:hAnsi="宋体" w:cs="宋体" w:hint="eastAsia"/>
          <w:spacing w:val="-2"/>
          <w:sz w:val="21"/>
          <w:szCs w:val="21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sz w:val="21"/>
          <w:szCs w:val="21"/>
          <w:lang w:eastAsia="zh-CN"/>
        </w:rPr>
        <w:t>2.1</w:t>
      </w:r>
      <w:proofErr w:type="gramStart"/>
      <w:r>
        <w:rPr>
          <w:rFonts w:ascii="宋体" w:eastAsia="宋体" w:hAnsi="宋体" w:cs="宋体"/>
          <w:spacing w:val="-2"/>
          <w:sz w:val="21"/>
          <w:szCs w:val="21"/>
          <w:lang w:eastAsia="zh-CN"/>
        </w:rPr>
        <w:t>]</w:t>
      </w:r>
      <w:r>
        <w:rPr>
          <w:rFonts w:ascii="宋体" w:eastAsia="宋体" w:hAnsi="宋体" w:cs="宋体"/>
          <w:spacing w:val="11"/>
          <w:sz w:val="21"/>
          <w:szCs w:val="21"/>
          <w:lang w:eastAsia="zh-CN"/>
        </w:rPr>
        <w:t xml:space="preserve"> </w:t>
      </w:r>
      <w:r>
        <w:rPr>
          <w:spacing w:val="-2"/>
          <w:sz w:val="21"/>
          <w:szCs w:val="21"/>
          <w:lang w:eastAsia="zh-CN"/>
        </w:rPr>
        <w:t>3.</w:t>
      </w:r>
      <w:r>
        <w:rPr>
          <w:rFonts w:hint="eastAsia"/>
          <w:spacing w:val="-2"/>
          <w:sz w:val="21"/>
          <w:szCs w:val="21"/>
          <w:lang w:eastAsia="zh-CN"/>
        </w:rPr>
        <w:t xml:space="preserve">4 </w:t>
      </w:r>
      <w:r>
        <w:rPr>
          <w:spacing w:val="-1"/>
          <w:sz w:val="21"/>
          <w:szCs w:val="21"/>
          <w:lang w:eastAsia="zh-CN"/>
        </w:rPr>
        <w:t>气候变化  climate</w:t>
      </w:r>
      <w:proofErr w:type="gramEnd"/>
      <w:r>
        <w:rPr>
          <w:spacing w:val="-1"/>
          <w:sz w:val="21"/>
          <w:szCs w:val="21"/>
          <w:lang w:eastAsia="zh-CN"/>
        </w:rPr>
        <w:t xml:space="preserve"> change</w:t>
      </w:r>
    </w:p>
    <w:p w14:paraId="3A157844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spacing w:val="-4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经过相当一段时间的观察，在自然气候变化之外由人类活动直</w:t>
      </w:r>
      <w:r>
        <w:rPr>
          <w:rFonts w:ascii="宋体" w:eastAsia="宋体" w:hAnsi="宋体" w:cs="宋体"/>
          <w:spacing w:val="-3"/>
          <w:lang w:eastAsia="zh-CN"/>
        </w:rPr>
        <w:t>接或间接地改变全球大气组成所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导致</w:t>
      </w:r>
      <w:r>
        <w:rPr>
          <w:rFonts w:ascii="宋体" w:eastAsia="宋体" w:hAnsi="宋体" w:cs="宋体"/>
          <w:lang w:eastAsia="zh-CN"/>
        </w:rPr>
        <w:t xml:space="preserve"> </w:t>
      </w:r>
      <w:r>
        <w:rPr>
          <w:rFonts w:ascii="宋体" w:eastAsia="宋体" w:hAnsi="宋体" w:cs="宋体"/>
          <w:spacing w:val="-4"/>
          <w:lang w:eastAsia="zh-CN"/>
        </w:rPr>
        <w:t>的</w:t>
      </w:r>
      <w:proofErr w:type="gramEnd"/>
      <w:r>
        <w:rPr>
          <w:rFonts w:ascii="宋体" w:eastAsia="宋体" w:hAnsi="宋体" w:cs="宋体"/>
          <w:spacing w:val="-4"/>
          <w:lang w:eastAsia="zh-CN"/>
        </w:rPr>
        <w:t>气候改变。</w:t>
      </w:r>
    </w:p>
    <w:p w14:paraId="64B39E58" w14:textId="77777777" w:rsidR="008A1688" w:rsidRDefault="00000000">
      <w:pPr>
        <w:pStyle w:val="a4"/>
        <w:kinsoku/>
        <w:overflowPunct w:val="0"/>
        <w:autoSpaceDE/>
        <w:autoSpaceDN/>
        <w:spacing w:before="68" w:line="360" w:lineRule="auto"/>
        <w:ind w:left="5"/>
        <w:rPr>
          <w:rFonts w:hint="eastAsia"/>
          <w:sz w:val="21"/>
          <w:szCs w:val="21"/>
          <w:lang w:eastAsia="zh-CN"/>
        </w:rPr>
      </w:pPr>
      <w:r>
        <w:rPr>
          <w:spacing w:val="-2"/>
          <w:sz w:val="21"/>
          <w:szCs w:val="21"/>
          <w:lang w:eastAsia="zh-CN"/>
        </w:rPr>
        <w:t>3.</w:t>
      </w:r>
      <w:r>
        <w:rPr>
          <w:rFonts w:hint="eastAsia"/>
          <w:spacing w:val="-2"/>
          <w:sz w:val="21"/>
          <w:szCs w:val="21"/>
          <w:lang w:eastAsia="zh-CN"/>
        </w:rPr>
        <w:t xml:space="preserve">5 </w:t>
      </w:r>
      <w:proofErr w:type="gramStart"/>
      <w:r>
        <w:rPr>
          <w:sz w:val="21"/>
          <w:szCs w:val="21"/>
          <w:lang w:eastAsia="zh-CN"/>
        </w:rPr>
        <w:t>生物多样性保护  biodiversity</w:t>
      </w:r>
      <w:proofErr w:type="gramEnd"/>
      <w:r>
        <w:rPr>
          <w:sz w:val="21"/>
          <w:szCs w:val="21"/>
          <w:lang w:eastAsia="zh-CN"/>
        </w:rPr>
        <w:t xml:space="preserve"> conserv</w:t>
      </w:r>
      <w:r>
        <w:rPr>
          <w:spacing w:val="-1"/>
          <w:sz w:val="21"/>
          <w:szCs w:val="21"/>
          <w:lang w:eastAsia="zh-CN"/>
        </w:rPr>
        <w:t>ation</w:t>
      </w:r>
    </w:p>
    <w:p w14:paraId="59CE92D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lastRenderedPageBreak/>
        <w:t>是指对生物及其环境形成的生态复合体以及与此相关的各</w:t>
      </w:r>
      <w:r>
        <w:rPr>
          <w:rFonts w:ascii="宋体" w:eastAsia="宋体" w:hAnsi="宋体" w:cs="宋体"/>
          <w:spacing w:val="-3"/>
          <w:lang w:eastAsia="zh-CN"/>
        </w:rPr>
        <w:t>种</w:t>
      </w:r>
      <w:r>
        <w:rPr>
          <w:rFonts w:ascii="宋体" w:eastAsia="宋体" w:hAnsi="宋体" w:cs="宋体"/>
          <w:lang w:eastAsia="zh-CN"/>
        </w:rPr>
        <w:t>生态</w:t>
      </w:r>
      <w:r>
        <w:rPr>
          <w:rFonts w:ascii="宋体" w:eastAsia="宋体" w:hAnsi="宋体" w:cs="宋体"/>
          <w:spacing w:val="-3"/>
          <w:lang w:eastAsia="zh-CN"/>
        </w:rPr>
        <w:t>过程的保护，也是对人类赖以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生存</w:t>
      </w:r>
      <w:r>
        <w:rPr>
          <w:rFonts w:ascii="宋体" w:eastAsia="宋体" w:hAnsi="宋体" w:cs="宋体"/>
          <w:lang w:eastAsia="zh-CN"/>
        </w:rPr>
        <w:t xml:space="preserve"> </w:t>
      </w:r>
      <w:r>
        <w:rPr>
          <w:rFonts w:ascii="宋体" w:eastAsia="宋体" w:hAnsi="宋体" w:cs="宋体"/>
          <w:spacing w:val="-6"/>
          <w:lang w:eastAsia="zh-CN"/>
        </w:rPr>
        <w:t>的</w:t>
      </w:r>
      <w:proofErr w:type="gramEnd"/>
      <w:r>
        <w:rPr>
          <w:rFonts w:ascii="宋体" w:eastAsia="宋体" w:hAnsi="宋体" w:cs="宋体"/>
          <w:spacing w:val="-6"/>
          <w:lang w:eastAsia="zh-CN"/>
        </w:rPr>
        <w:t>条件的保护。</w:t>
      </w:r>
    </w:p>
    <w:p w14:paraId="64E56D58" w14:textId="77777777" w:rsidR="008A1688" w:rsidRDefault="00000000">
      <w:pPr>
        <w:pStyle w:val="a4"/>
        <w:kinsoku/>
        <w:overflowPunct w:val="0"/>
        <w:autoSpaceDE/>
        <w:autoSpaceDN/>
        <w:spacing w:line="360" w:lineRule="auto"/>
        <w:ind w:left="5"/>
        <w:rPr>
          <w:rFonts w:hint="eastAsia"/>
          <w:sz w:val="21"/>
          <w:szCs w:val="21"/>
          <w:lang w:eastAsia="zh-CN"/>
        </w:rPr>
      </w:pPr>
      <w:r>
        <w:rPr>
          <w:spacing w:val="-2"/>
          <w:sz w:val="21"/>
          <w:szCs w:val="21"/>
          <w:lang w:eastAsia="zh-CN"/>
        </w:rPr>
        <w:t>3.</w:t>
      </w:r>
      <w:r>
        <w:rPr>
          <w:rFonts w:hint="eastAsia"/>
          <w:spacing w:val="-2"/>
          <w:sz w:val="21"/>
          <w:szCs w:val="21"/>
          <w:lang w:eastAsia="zh-CN"/>
        </w:rPr>
        <w:t xml:space="preserve">6 </w:t>
      </w:r>
      <w:proofErr w:type="gramStart"/>
      <w:r>
        <w:rPr>
          <w:spacing w:val="-1"/>
          <w:sz w:val="21"/>
          <w:szCs w:val="21"/>
          <w:lang w:eastAsia="zh-CN"/>
        </w:rPr>
        <w:t>社区  community</w:t>
      </w:r>
      <w:proofErr w:type="gramEnd"/>
    </w:p>
    <w:p w14:paraId="50A0BE3B" w14:textId="77777777" w:rsidR="008A1688" w:rsidRDefault="00000000">
      <w:pPr>
        <w:kinsoku/>
        <w:overflowPunct w:val="0"/>
        <w:autoSpaceDE/>
        <w:autoSpaceDN/>
        <w:spacing w:line="360" w:lineRule="auto"/>
        <w:ind w:left="5" w:right="58" w:firstLine="418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是指在地理位置上接近</w:t>
      </w:r>
      <w:r>
        <w:rPr>
          <w:rFonts w:ascii="宋体" w:eastAsia="宋体" w:hAnsi="宋体" w:cs="宋体"/>
          <w:lang w:eastAsia="zh-CN"/>
        </w:rPr>
        <w:t>组织</w:t>
      </w:r>
      <w:r>
        <w:rPr>
          <w:rFonts w:ascii="宋体" w:eastAsia="宋体" w:hAnsi="宋体" w:cs="宋体"/>
          <w:spacing w:val="-2"/>
          <w:lang w:eastAsia="zh-CN"/>
        </w:rPr>
        <w:t>所在地或组织影响所及区域内</w:t>
      </w:r>
      <w:r>
        <w:rPr>
          <w:rFonts w:ascii="宋体" w:eastAsia="宋体" w:hAnsi="宋体" w:cs="宋体"/>
          <w:spacing w:val="-3"/>
          <w:lang w:eastAsia="zh-CN"/>
        </w:rPr>
        <w:t>的居民点或其它社会定居点，但也可被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理</w:t>
      </w:r>
      <w:r>
        <w:rPr>
          <w:rFonts w:ascii="宋体" w:eastAsia="宋体" w:hAnsi="宋体" w:cs="宋体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解</w:t>
      </w:r>
      <w:proofErr w:type="gramEnd"/>
      <w:r>
        <w:rPr>
          <w:rFonts w:ascii="宋体" w:eastAsia="宋体" w:hAnsi="宋体" w:cs="宋体"/>
          <w:spacing w:val="-1"/>
          <w:lang w:eastAsia="zh-CN"/>
        </w:rPr>
        <w:t>为具有某些共同特点的群体，例如关注某个特殊问题的“虚拟”社区等。</w:t>
      </w:r>
    </w:p>
    <w:p w14:paraId="41AEC18A" w14:textId="77777777" w:rsidR="008A1688" w:rsidRDefault="00000000">
      <w:pPr>
        <w:kinsoku/>
        <w:overflowPunct w:val="0"/>
        <w:autoSpaceDE/>
        <w:autoSpaceDN/>
        <w:spacing w:line="360" w:lineRule="auto"/>
        <w:ind w:left="5" w:right="58" w:firstLine="418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[来源：GB/T 36000-2015，7.8.1]</w:t>
      </w:r>
    </w:p>
    <w:p w14:paraId="68439862" w14:textId="77777777" w:rsidR="008A1688" w:rsidRDefault="00000000">
      <w:pPr>
        <w:pStyle w:val="a4"/>
        <w:kinsoku/>
        <w:overflowPunct w:val="0"/>
        <w:autoSpaceDE/>
        <w:autoSpaceDN/>
        <w:spacing w:before="238" w:line="360" w:lineRule="auto"/>
        <w:outlineLvl w:val="0"/>
        <w:rPr>
          <w:rFonts w:hint="eastAsia"/>
          <w:spacing w:val="-1"/>
          <w:sz w:val="21"/>
          <w:szCs w:val="21"/>
          <w:lang w:eastAsia="zh-CN"/>
        </w:rPr>
      </w:pPr>
      <w:bookmarkStart w:id="10" w:name="bookmark14"/>
      <w:bookmarkStart w:id="11" w:name="_Toc7006"/>
      <w:bookmarkEnd w:id="10"/>
      <w:proofErr w:type="gramStart"/>
      <w:r>
        <w:rPr>
          <w:spacing w:val="-1"/>
          <w:sz w:val="21"/>
          <w:szCs w:val="21"/>
          <w:lang w:eastAsia="zh-CN"/>
        </w:rPr>
        <w:t>4  基本原则</w:t>
      </w:r>
      <w:bookmarkEnd w:id="11"/>
      <w:proofErr w:type="gramEnd"/>
    </w:p>
    <w:p w14:paraId="0439CBDC" w14:textId="77777777" w:rsidR="008A1688" w:rsidRDefault="00000000">
      <w:pPr>
        <w:pStyle w:val="a4"/>
        <w:kinsoku/>
        <w:overflowPunct w:val="0"/>
        <w:autoSpaceDE/>
        <w:autoSpaceDN/>
        <w:spacing w:before="264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4.1  概述</w:t>
      </w:r>
      <w:proofErr w:type="gramEnd"/>
    </w:p>
    <w:p w14:paraId="384E6BB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基于与企业利益相关方进行有效沟通的目的，ESG信息披露应遵循“完整全面、客观准确、实质回应、及时可比、易读易懂、获取方便”的原则。这六项基本原则</w:t>
      </w:r>
      <w:r>
        <w:rPr>
          <w:rFonts w:ascii="宋体" w:eastAsia="宋体" w:hAnsi="宋体" w:cs="宋体"/>
          <w:spacing w:val="-1"/>
          <w:lang w:eastAsia="zh-CN"/>
        </w:rPr>
        <w:t>在4.2至4.7中进行了详细阐述。</w:t>
      </w:r>
    </w:p>
    <w:p w14:paraId="33885A66" w14:textId="77777777" w:rsidR="008A1688" w:rsidRDefault="00000000">
      <w:pPr>
        <w:pStyle w:val="a4"/>
        <w:kinsoku/>
        <w:overflowPunct w:val="0"/>
        <w:autoSpaceDE/>
        <w:autoSpaceDN/>
        <w:spacing w:before="114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4.2  完整全面</w:t>
      </w:r>
      <w:proofErr w:type="gramEnd"/>
    </w:p>
    <w:p w14:paraId="1100D6F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本原则是指，ESG信息披露应覆盖报告范围内企业的环境、社会、治理等重要相关决策和活动，并</w:t>
      </w:r>
      <w:r>
        <w:rPr>
          <w:rFonts w:ascii="宋体" w:eastAsia="宋体" w:hAnsi="宋体" w:cs="宋体"/>
          <w:spacing w:val="-2"/>
          <w:lang w:eastAsia="zh-CN"/>
        </w:rPr>
        <w:t>全面、系统、完整地披露ESG目标、将ESG</w:t>
      </w:r>
      <w:r>
        <w:rPr>
          <w:rFonts w:ascii="宋体" w:eastAsia="宋体" w:hAnsi="宋体" w:cs="宋体"/>
          <w:lang w:eastAsia="zh-CN"/>
        </w:rPr>
        <w:t>理念</w:t>
      </w:r>
      <w:r>
        <w:rPr>
          <w:rFonts w:ascii="宋体" w:eastAsia="宋体" w:hAnsi="宋体" w:cs="宋体"/>
          <w:spacing w:val="-2"/>
          <w:lang w:eastAsia="zh-CN"/>
        </w:rPr>
        <w:t>融入组织的实践及其绩效信息。本原则并不要</w:t>
      </w:r>
      <w:r>
        <w:rPr>
          <w:rFonts w:ascii="宋体" w:eastAsia="宋体" w:hAnsi="宋体" w:cs="宋体"/>
          <w:spacing w:val="-3"/>
          <w:lang w:eastAsia="zh-CN"/>
        </w:rPr>
        <w:t>求公开披露</w:t>
      </w:r>
      <w:r>
        <w:rPr>
          <w:rFonts w:ascii="宋体" w:eastAsia="宋体" w:hAnsi="宋体" w:cs="宋体"/>
          <w:spacing w:val="-2"/>
          <w:lang w:eastAsia="zh-CN"/>
        </w:rPr>
        <w:t>专有信息，也不要求披露特许信息，或者违反法律、商业秘密、安全或个</w:t>
      </w:r>
      <w:r>
        <w:rPr>
          <w:rFonts w:ascii="宋体" w:eastAsia="宋体" w:hAnsi="宋体" w:cs="宋体"/>
          <w:spacing w:val="-3"/>
          <w:lang w:eastAsia="zh-CN"/>
        </w:rPr>
        <w:t>人隐私等保护义务的信息。完</w:t>
      </w:r>
      <w:r>
        <w:rPr>
          <w:rFonts w:ascii="宋体" w:eastAsia="宋体" w:hAnsi="宋体" w:cs="宋体"/>
          <w:lang w:eastAsia="zh-CN"/>
        </w:rPr>
        <w:t>整全面的信息披露是确保与利益相关方进行真诚、有效沟通的基本前提</w:t>
      </w:r>
      <w:r>
        <w:rPr>
          <w:rFonts w:ascii="宋体" w:eastAsia="宋体" w:hAnsi="宋体" w:cs="宋体"/>
          <w:spacing w:val="-1"/>
          <w:lang w:eastAsia="zh-CN"/>
        </w:rPr>
        <w:t>条件。</w:t>
      </w:r>
    </w:p>
    <w:p w14:paraId="6844A33D" w14:textId="77777777" w:rsidR="008A1688" w:rsidRDefault="00000000">
      <w:pPr>
        <w:pStyle w:val="a4"/>
        <w:kinsoku/>
        <w:overflowPunct w:val="0"/>
        <w:autoSpaceDE/>
        <w:autoSpaceDN/>
        <w:spacing w:before="117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4.3  客观准确</w:t>
      </w:r>
      <w:proofErr w:type="gramEnd"/>
    </w:p>
    <w:p w14:paraId="2C375A9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2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4"/>
          <w:lang w:eastAsia="zh-CN"/>
        </w:rPr>
        <w:t>本原则是指，ESG信息披露应客观、真实和准确，披露的ESG</w:t>
      </w:r>
      <w:r>
        <w:rPr>
          <w:rFonts w:ascii="宋体" w:eastAsia="宋体" w:hAnsi="宋体" w:cs="宋体"/>
          <w:spacing w:val="-5"/>
          <w:lang w:eastAsia="zh-CN"/>
        </w:rPr>
        <w:t>信息来源应真实、可靠，信息收集和处</w:t>
      </w:r>
      <w:r>
        <w:rPr>
          <w:rFonts w:ascii="宋体" w:eastAsia="宋体" w:hAnsi="宋体" w:cs="宋体"/>
          <w:spacing w:val="-2"/>
          <w:lang w:eastAsia="zh-CN"/>
        </w:rPr>
        <w:t>理方法应科学、合理，所披露信息应避免人为加工或臆造，如不故意淡化消极</w:t>
      </w:r>
      <w:r>
        <w:rPr>
          <w:rFonts w:ascii="宋体" w:eastAsia="宋体" w:hAnsi="宋体" w:cs="宋体"/>
          <w:spacing w:val="-3"/>
          <w:lang w:eastAsia="zh-CN"/>
        </w:rPr>
        <w:t>影响或夸大积极影响，不</w:t>
      </w:r>
      <w:r>
        <w:rPr>
          <w:rFonts w:ascii="宋体" w:eastAsia="宋体" w:hAnsi="宋体" w:cs="宋体"/>
          <w:spacing w:val="-1"/>
          <w:lang w:eastAsia="zh-CN"/>
        </w:rPr>
        <w:t>捏造数据或事实等。</w:t>
      </w:r>
      <w:r>
        <w:rPr>
          <w:rFonts w:ascii="宋体" w:eastAsia="宋体" w:hAnsi="宋体" w:cs="宋体"/>
          <w:lang w:eastAsia="zh-CN"/>
        </w:rPr>
        <w:t>客观</w:t>
      </w:r>
      <w:r>
        <w:rPr>
          <w:rFonts w:ascii="宋体" w:eastAsia="宋体" w:hAnsi="宋体" w:cs="宋体"/>
          <w:spacing w:val="-1"/>
          <w:lang w:eastAsia="zh-CN"/>
        </w:rPr>
        <w:t>准确是确保披露的ESG信息具有可信性的重要基础。</w:t>
      </w:r>
    </w:p>
    <w:p w14:paraId="629C11C0" w14:textId="77777777" w:rsidR="008A1688" w:rsidRDefault="00000000">
      <w:pPr>
        <w:pStyle w:val="a4"/>
        <w:kinsoku/>
        <w:overflowPunct w:val="0"/>
        <w:autoSpaceDE/>
        <w:autoSpaceDN/>
        <w:spacing w:before="116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2"/>
          <w:sz w:val="21"/>
          <w:szCs w:val="21"/>
          <w:lang w:eastAsia="zh-CN"/>
        </w:rPr>
        <w:t>4.4</w:t>
      </w:r>
      <w:r>
        <w:rPr>
          <w:spacing w:val="7"/>
          <w:sz w:val="21"/>
          <w:szCs w:val="21"/>
          <w:lang w:eastAsia="zh-CN"/>
        </w:rPr>
        <w:t xml:space="preserve">  </w:t>
      </w:r>
      <w:r>
        <w:rPr>
          <w:spacing w:val="-2"/>
          <w:sz w:val="21"/>
          <w:szCs w:val="21"/>
          <w:lang w:eastAsia="zh-CN"/>
        </w:rPr>
        <w:t>实质回应</w:t>
      </w:r>
      <w:proofErr w:type="gramEnd"/>
    </w:p>
    <w:p w14:paraId="1861CEF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本原则是指，ESG信息</w:t>
      </w:r>
      <w:r>
        <w:rPr>
          <w:rFonts w:ascii="宋体" w:eastAsia="宋体" w:hAnsi="宋体" w:cs="宋体"/>
          <w:lang w:eastAsia="zh-CN"/>
        </w:rPr>
        <w:t>披露</w:t>
      </w:r>
      <w:r>
        <w:rPr>
          <w:rFonts w:ascii="宋体" w:eastAsia="宋体" w:hAnsi="宋体" w:cs="宋体"/>
          <w:spacing w:val="-2"/>
          <w:lang w:eastAsia="zh-CN"/>
        </w:rPr>
        <w:t>应披露ESG事宜对投资者、客户、供应商、监管</w:t>
      </w:r>
      <w:r>
        <w:rPr>
          <w:rFonts w:ascii="宋体" w:eastAsia="宋体" w:hAnsi="宋体" w:cs="宋体"/>
          <w:lang w:eastAsia="zh-CN"/>
        </w:rPr>
        <w:t>机构</w:t>
      </w:r>
      <w:r>
        <w:rPr>
          <w:rFonts w:ascii="宋体" w:eastAsia="宋体" w:hAnsi="宋体" w:cs="宋体"/>
          <w:spacing w:val="-3"/>
          <w:lang w:eastAsia="zh-CN"/>
        </w:rPr>
        <w:t>等利益相关方产生的</w:t>
      </w:r>
      <w:r>
        <w:rPr>
          <w:rFonts w:ascii="宋体" w:eastAsia="宋体" w:hAnsi="宋体" w:cs="宋体"/>
          <w:spacing w:val="-2"/>
          <w:lang w:eastAsia="zh-CN"/>
        </w:rPr>
        <w:t>重大影响，详尽回应投资者及利益相关方的重大关切，并</w:t>
      </w:r>
      <w:r>
        <w:rPr>
          <w:rFonts w:ascii="宋体" w:eastAsia="宋体" w:hAnsi="宋体" w:cs="宋体"/>
          <w:lang w:eastAsia="zh-CN"/>
        </w:rPr>
        <w:t>披露</w:t>
      </w:r>
      <w:r>
        <w:rPr>
          <w:rFonts w:ascii="宋体" w:eastAsia="宋体" w:hAnsi="宋体" w:cs="宋体"/>
          <w:spacing w:val="-2"/>
          <w:lang w:eastAsia="zh-CN"/>
        </w:rPr>
        <w:t>重大关切</w:t>
      </w:r>
      <w:r>
        <w:rPr>
          <w:rFonts w:ascii="宋体" w:eastAsia="宋体" w:hAnsi="宋体" w:cs="宋体"/>
          <w:spacing w:val="-3"/>
          <w:lang w:eastAsia="zh-CN"/>
        </w:rPr>
        <w:t>的处理情况。关于回应信息披露</w:t>
      </w:r>
      <w:r>
        <w:rPr>
          <w:rFonts w:ascii="宋体" w:eastAsia="宋体" w:hAnsi="宋体" w:cs="宋体"/>
          <w:lang w:eastAsia="zh-CN"/>
        </w:rPr>
        <w:t>的详尽程度，应以满足投资者、利益相关方及社会的知情需求为基础，视具体情况而</w:t>
      </w:r>
      <w:r>
        <w:rPr>
          <w:rFonts w:ascii="宋体" w:eastAsia="宋体" w:hAnsi="宋体" w:cs="宋体"/>
          <w:spacing w:val="-1"/>
          <w:lang w:eastAsia="zh-CN"/>
        </w:rPr>
        <w:t>定。</w:t>
      </w:r>
    </w:p>
    <w:p w14:paraId="7B4E8A63" w14:textId="77777777" w:rsidR="008A1688" w:rsidRDefault="00000000">
      <w:pPr>
        <w:pStyle w:val="a4"/>
        <w:kinsoku/>
        <w:overflowPunct w:val="0"/>
        <w:autoSpaceDE/>
        <w:autoSpaceDN/>
        <w:spacing w:before="117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4.5  及时可比</w:t>
      </w:r>
      <w:proofErr w:type="gramEnd"/>
    </w:p>
    <w:p w14:paraId="0F1FE6F0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5"/>
          <w:lang w:eastAsia="zh-CN"/>
        </w:rPr>
        <w:t>本原则是指，ESG信息披露应具有较强的时效性和可比性，不仅</w:t>
      </w:r>
      <w:r>
        <w:rPr>
          <w:rFonts w:ascii="宋体" w:eastAsia="宋体" w:hAnsi="宋体" w:cs="宋体"/>
          <w:spacing w:val="-6"/>
          <w:lang w:eastAsia="zh-CN"/>
        </w:rPr>
        <w:t>及时反映最新时段ESG实践及其绩效，</w:t>
      </w:r>
      <w:r>
        <w:rPr>
          <w:rFonts w:ascii="宋体" w:eastAsia="宋体" w:hAnsi="宋体" w:cs="宋体"/>
          <w:spacing w:val="-2"/>
          <w:lang w:eastAsia="zh-CN"/>
        </w:rPr>
        <w:t>而且还反映与企业以往</w:t>
      </w:r>
      <w:r>
        <w:rPr>
          <w:rFonts w:ascii="宋体" w:eastAsia="宋体" w:hAnsi="宋体" w:cs="宋体"/>
          <w:lang w:eastAsia="zh-CN"/>
        </w:rPr>
        <w:t>时段</w:t>
      </w:r>
      <w:r>
        <w:rPr>
          <w:rFonts w:ascii="宋体" w:eastAsia="宋体" w:hAnsi="宋体" w:cs="宋体"/>
          <w:spacing w:val="-2"/>
          <w:lang w:eastAsia="zh-CN"/>
        </w:rPr>
        <w:t>，与汽车行业或类似组织的绩效</w:t>
      </w:r>
      <w:r>
        <w:rPr>
          <w:rFonts w:ascii="宋体" w:eastAsia="宋体" w:hAnsi="宋体" w:cs="宋体"/>
          <w:lang w:eastAsia="zh-CN"/>
        </w:rPr>
        <w:t>比较</w:t>
      </w:r>
      <w:r>
        <w:rPr>
          <w:rFonts w:ascii="宋体" w:eastAsia="宋体" w:hAnsi="宋体" w:cs="宋体"/>
          <w:spacing w:val="-2"/>
          <w:lang w:eastAsia="zh-CN"/>
        </w:rPr>
        <w:t>结果以</w:t>
      </w:r>
      <w:r>
        <w:rPr>
          <w:rFonts w:ascii="宋体" w:eastAsia="宋体" w:hAnsi="宋体" w:cs="宋体"/>
          <w:spacing w:val="-3"/>
          <w:lang w:eastAsia="zh-CN"/>
        </w:rPr>
        <w:t>及发展趋势，以便利益相关方进</w:t>
      </w:r>
      <w:r>
        <w:rPr>
          <w:rFonts w:ascii="宋体" w:eastAsia="宋体" w:hAnsi="宋体" w:cs="宋体"/>
          <w:lang w:eastAsia="zh-CN"/>
        </w:rPr>
        <w:t>行综合比较判断。由于过时信息可能产生误导，在披露不同时段ESG信息时，需特</w:t>
      </w:r>
      <w:r>
        <w:rPr>
          <w:rFonts w:ascii="宋体" w:eastAsia="宋体" w:hAnsi="宋体" w:cs="宋体"/>
          <w:spacing w:val="-1"/>
          <w:lang w:eastAsia="zh-CN"/>
        </w:rPr>
        <w:t>别标明。</w:t>
      </w:r>
    </w:p>
    <w:p w14:paraId="55EB391D" w14:textId="77777777" w:rsidR="008A1688" w:rsidRDefault="00000000">
      <w:pPr>
        <w:pStyle w:val="a4"/>
        <w:kinsoku/>
        <w:overflowPunct w:val="0"/>
        <w:autoSpaceDE/>
        <w:autoSpaceDN/>
        <w:spacing w:before="114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2"/>
          <w:sz w:val="21"/>
          <w:szCs w:val="21"/>
          <w:lang w:eastAsia="zh-CN"/>
        </w:rPr>
        <w:t>4.6</w:t>
      </w:r>
      <w:r>
        <w:rPr>
          <w:spacing w:val="7"/>
          <w:sz w:val="21"/>
          <w:szCs w:val="21"/>
          <w:lang w:eastAsia="zh-CN"/>
        </w:rPr>
        <w:t xml:space="preserve">  </w:t>
      </w:r>
      <w:r>
        <w:rPr>
          <w:spacing w:val="-2"/>
          <w:sz w:val="21"/>
          <w:szCs w:val="21"/>
          <w:lang w:eastAsia="zh-CN"/>
        </w:rPr>
        <w:t>易读易懂</w:t>
      </w:r>
      <w:proofErr w:type="gramEnd"/>
    </w:p>
    <w:p w14:paraId="3BFAE2A7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本原则是指，ESG信息披露应考虑企业利益相关方的文化、社会、教育和经济的不同背景，具有易</w:t>
      </w:r>
      <w:r>
        <w:rPr>
          <w:rFonts w:ascii="宋体" w:eastAsia="宋体" w:hAnsi="宋体" w:cs="宋体"/>
          <w:spacing w:val="-2"/>
          <w:lang w:eastAsia="zh-CN"/>
        </w:rPr>
        <w:t>读性并易于利益相关方理解。尽可能采用通俗易懂的语言，选用图表等多种</w:t>
      </w:r>
      <w:r>
        <w:rPr>
          <w:rFonts w:ascii="宋体" w:eastAsia="宋体" w:hAnsi="宋体" w:cs="宋体"/>
          <w:spacing w:val="-3"/>
          <w:lang w:eastAsia="zh-CN"/>
        </w:rPr>
        <w:t>表达形式等进行阐述。当需</w:t>
      </w:r>
      <w:r>
        <w:rPr>
          <w:rFonts w:ascii="宋体" w:eastAsia="宋体" w:hAnsi="宋体" w:cs="宋体"/>
          <w:spacing w:val="-1"/>
          <w:lang w:eastAsia="zh-CN"/>
        </w:rPr>
        <w:t>使用专业术语或缩略语时，应进行解释说明。</w:t>
      </w:r>
    </w:p>
    <w:p w14:paraId="22D607B2" w14:textId="77777777" w:rsidR="008A1688" w:rsidRDefault="00000000">
      <w:pPr>
        <w:pStyle w:val="a4"/>
        <w:kinsoku/>
        <w:overflowPunct w:val="0"/>
        <w:autoSpaceDE/>
        <w:autoSpaceDN/>
        <w:spacing w:before="116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lastRenderedPageBreak/>
        <w:t>4.7  获取方便</w:t>
      </w:r>
      <w:proofErr w:type="gramEnd"/>
    </w:p>
    <w:p w14:paraId="07F20824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本原则是指，不论以何种形式发布，披露的ESG信息应便于</w:t>
      </w:r>
      <w:r>
        <w:rPr>
          <w:rFonts w:ascii="宋体" w:eastAsia="宋体" w:hAnsi="宋体" w:cs="宋体"/>
          <w:lang w:eastAsia="zh-CN"/>
        </w:rPr>
        <w:t>利益</w:t>
      </w:r>
      <w:r>
        <w:rPr>
          <w:rFonts w:ascii="宋体" w:eastAsia="宋体" w:hAnsi="宋体" w:cs="宋体"/>
          <w:spacing w:val="-2"/>
          <w:lang w:eastAsia="zh-CN"/>
        </w:rPr>
        <w:t>相关方获取</w:t>
      </w:r>
      <w:r>
        <w:rPr>
          <w:rFonts w:ascii="宋体" w:eastAsia="宋体" w:hAnsi="宋体" w:cs="宋体"/>
          <w:spacing w:val="-3"/>
          <w:lang w:eastAsia="zh-CN"/>
        </w:rPr>
        <w:t>，例如ESG报告中应明确</w:t>
      </w:r>
      <w:r>
        <w:rPr>
          <w:rFonts w:ascii="宋体" w:eastAsia="宋体" w:hAnsi="宋体" w:cs="宋体"/>
          <w:spacing w:val="-2"/>
          <w:lang w:eastAsia="zh-CN"/>
        </w:rPr>
        <w:t>标明可获取的途径和方式等。</w:t>
      </w:r>
    </w:p>
    <w:p w14:paraId="6B2F03B3" w14:textId="77777777" w:rsidR="008A1688" w:rsidRDefault="00000000">
      <w:pPr>
        <w:pStyle w:val="a4"/>
        <w:kinsoku/>
        <w:overflowPunct w:val="0"/>
        <w:autoSpaceDE/>
        <w:autoSpaceDN/>
        <w:spacing w:before="238" w:line="360" w:lineRule="auto"/>
        <w:outlineLvl w:val="0"/>
        <w:rPr>
          <w:rFonts w:hint="eastAsia"/>
          <w:spacing w:val="-1"/>
          <w:sz w:val="21"/>
          <w:szCs w:val="21"/>
          <w:lang w:eastAsia="zh-CN"/>
        </w:rPr>
      </w:pPr>
      <w:bookmarkStart w:id="12" w:name="bookmark15"/>
      <w:bookmarkStart w:id="13" w:name="_Toc10340"/>
      <w:bookmarkEnd w:id="12"/>
      <w:proofErr w:type="gramStart"/>
      <w:r>
        <w:rPr>
          <w:spacing w:val="-1"/>
          <w:sz w:val="21"/>
          <w:szCs w:val="21"/>
          <w:lang w:eastAsia="zh-CN"/>
        </w:rPr>
        <w:t>5  信息披露策划</w:t>
      </w:r>
      <w:bookmarkEnd w:id="13"/>
      <w:proofErr w:type="gramEnd"/>
    </w:p>
    <w:p w14:paraId="05ADD3D4" w14:textId="77777777" w:rsidR="008A1688" w:rsidRDefault="00000000">
      <w:pPr>
        <w:pStyle w:val="a4"/>
        <w:kinsoku/>
        <w:overflowPunct w:val="0"/>
        <w:autoSpaceDE/>
        <w:autoSpaceDN/>
        <w:spacing w:before="68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5.1  概述</w:t>
      </w:r>
      <w:proofErr w:type="gramEnd"/>
    </w:p>
    <w:p w14:paraId="78A431C5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企业宜针对信息披露范围、频率、形式、内容等进行相应策划和准备，确保ESG信息披露取得预期</w:t>
      </w:r>
      <w:r>
        <w:rPr>
          <w:rFonts w:ascii="宋体" w:eastAsia="宋体" w:hAnsi="宋体" w:cs="宋体"/>
          <w:spacing w:val="-9"/>
          <w:lang w:eastAsia="zh-CN"/>
        </w:rPr>
        <w:t>成效。</w:t>
      </w:r>
    </w:p>
    <w:p w14:paraId="4E1656E4" w14:textId="77777777" w:rsidR="008A1688" w:rsidRDefault="00000000">
      <w:pPr>
        <w:pStyle w:val="a4"/>
        <w:kinsoku/>
        <w:overflowPunct w:val="0"/>
        <w:autoSpaceDE/>
        <w:autoSpaceDN/>
        <w:spacing w:before="116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5.2  信息披露范围</w:t>
      </w:r>
      <w:proofErr w:type="gramEnd"/>
    </w:p>
    <w:p w14:paraId="4A103A46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企业需要解释ESG报告所汇报的范围和信息边界，并描述ESG报告中</w:t>
      </w:r>
      <w:r>
        <w:rPr>
          <w:rFonts w:ascii="宋体" w:eastAsia="宋体" w:hAnsi="宋体" w:cs="宋体"/>
          <w:spacing w:val="-3"/>
          <w:lang w:eastAsia="zh-CN"/>
        </w:rPr>
        <w:t>所覆盖下属业务、公司、合资公司等的确定过程。由于各种原因（如并购、重</w:t>
      </w:r>
      <w:r>
        <w:rPr>
          <w:rFonts w:ascii="宋体" w:eastAsia="宋体" w:hAnsi="宋体" w:cs="宋体"/>
          <w:spacing w:val="-4"/>
          <w:lang w:eastAsia="zh-CN"/>
        </w:rPr>
        <w:t>组等</w:t>
      </w:r>
      <w:r>
        <w:rPr>
          <w:rFonts w:ascii="宋体" w:eastAsia="宋体" w:hAnsi="宋体" w:cs="宋体"/>
          <w:spacing w:val="-48"/>
          <w:w w:val="87"/>
          <w:lang w:eastAsia="zh-CN"/>
        </w:rPr>
        <w:t>），</w:t>
      </w:r>
      <w:r>
        <w:rPr>
          <w:rFonts w:ascii="宋体" w:eastAsia="宋体" w:hAnsi="宋体" w:cs="宋体"/>
          <w:spacing w:val="-4"/>
          <w:lang w:eastAsia="zh-CN"/>
        </w:rPr>
        <w:t>部分下属公司或合资公司在报告期内无法纳入ESG</w:t>
      </w:r>
      <w:r>
        <w:rPr>
          <w:rFonts w:ascii="宋体" w:eastAsia="宋体" w:hAnsi="宋体" w:cs="宋体"/>
          <w:lang w:eastAsia="zh-CN"/>
        </w:rPr>
        <w:t>报告的信息披露范围，须单独说明。若汇报范围有所改变，企</w:t>
      </w:r>
      <w:r>
        <w:rPr>
          <w:rFonts w:ascii="宋体" w:eastAsia="宋体" w:hAnsi="宋体" w:cs="宋体"/>
          <w:spacing w:val="-1"/>
          <w:lang w:eastAsia="zh-CN"/>
        </w:rPr>
        <w:t>业也应解释不同之处及变动原因。</w:t>
      </w:r>
    </w:p>
    <w:p w14:paraId="6B987A46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对于大型、特大型企业，由于其</w:t>
      </w:r>
      <w:r>
        <w:rPr>
          <w:rFonts w:ascii="宋体" w:eastAsia="宋体" w:hAnsi="宋体" w:cs="宋体"/>
          <w:lang w:eastAsia="zh-CN"/>
        </w:rPr>
        <w:t>规模</w:t>
      </w:r>
      <w:r>
        <w:rPr>
          <w:rFonts w:ascii="宋体" w:eastAsia="宋体" w:hAnsi="宋体" w:cs="宋体"/>
          <w:spacing w:val="-2"/>
          <w:lang w:eastAsia="zh-CN"/>
        </w:rPr>
        <w:t>较大，活动性质相对</w:t>
      </w:r>
      <w:r>
        <w:rPr>
          <w:rFonts w:ascii="宋体" w:eastAsia="宋体" w:hAnsi="宋体" w:cs="宋体"/>
          <w:lang w:eastAsia="zh-CN"/>
        </w:rPr>
        <w:t>复杂</w:t>
      </w:r>
      <w:r>
        <w:rPr>
          <w:rFonts w:ascii="宋体" w:eastAsia="宋体" w:hAnsi="宋体" w:cs="宋体"/>
          <w:spacing w:val="-2"/>
          <w:lang w:eastAsia="zh-CN"/>
        </w:rPr>
        <w:t>，披</w:t>
      </w:r>
      <w:r>
        <w:rPr>
          <w:rFonts w:ascii="宋体" w:eastAsia="宋体" w:hAnsi="宋体" w:cs="宋体"/>
          <w:spacing w:val="-3"/>
          <w:lang w:eastAsia="zh-CN"/>
        </w:rPr>
        <w:t>露范围既可选取组织整体（如集</w:t>
      </w:r>
      <w:r>
        <w:rPr>
          <w:rFonts w:ascii="宋体" w:eastAsia="宋体" w:hAnsi="宋体" w:cs="宋体"/>
          <w:spacing w:val="-1"/>
          <w:lang w:eastAsia="zh-CN"/>
        </w:rPr>
        <w:t>团公司、总公司等</w:t>
      </w:r>
      <w:r>
        <w:rPr>
          <w:rFonts w:ascii="宋体" w:eastAsia="宋体" w:hAnsi="宋体" w:cs="宋体"/>
          <w:spacing w:val="-17"/>
          <w:lang w:eastAsia="zh-CN"/>
        </w:rPr>
        <w:t>），</w:t>
      </w:r>
      <w:r>
        <w:rPr>
          <w:rFonts w:ascii="宋体" w:eastAsia="宋体" w:hAnsi="宋体" w:cs="宋体"/>
          <w:spacing w:val="-1"/>
          <w:lang w:eastAsia="zh-CN"/>
        </w:rPr>
        <w:t>也可选取其某特定部分（如所</w:t>
      </w:r>
      <w:r>
        <w:rPr>
          <w:rFonts w:ascii="宋体" w:eastAsia="宋体" w:hAnsi="宋体" w:cs="宋体"/>
          <w:spacing w:val="-2"/>
          <w:lang w:eastAsia="zh-CN"/>
        </w:rPr>
        <w:t>控股的公司、下属某分公司或机构等）或特定地点</w:t>
      </w:r>
      <w:r>
        <w:rPr>
          <w:rFonts w:ascii="宋体" w:eastAsia="宋体" w:hAnsi="宋体" w:cs="宋体"/>
          <w:lang w:eastAsia="zh-CN"/>
        </w:rPr>
        <w:t>或场所（如汽车整车或零部件制造工厂等）。对于其他规模较小，业务经营范围相对单一的企业，ESG</w:t>
      </w:r>
      <w:r>
        <w:rPr>
          <w:rFonts w:ascii="宋体" w:eastAsia="宋体" w:hAnsi="宋体" w:cs="宋体"/>
          <w:spacing w:val="-1"/>
          <w:lang w:eastAsia="zh-CN"/>
        </w:rPr>
        <w:t>报告范围一般覆盖其整体。</w:t>
      </w:r>
    </w:p>
    <w:p w14:paraId="5397D061" w14:textId="77777777" w:rsidR="008A1688" w:rsidRDefault="00000000">
      <w:pPr>
        <w:pStyle w:val="a4"/>
        <w:kinsoku/>
        <w:overflowPunct w:val="0"/>
        <w:autoSpaceDE/>
        <w:autoSpaceDN/>
        <w:spacing w:before="116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5.3  信息披露频率</w:t>
      </w:r>
      <w:proofErr w:type="gramEnd"/>
    </w:p>
    <w:p w14:paraId="02220A4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企业宜开展常态化ESG信息披露，提高和保持与利益相关方沟通的效果。企</w:t>
      </w:r>
      <w:r>
        <w:rPr>
          <w:rFonts w:ascii="宋体" w:eastAsia="宋体" w:hAnsi="宋体" w:cs="宋体"/>
          <w:spacing w:val="-3"/>
          <w:lang w:eastAsia="zh-CN"/>
        </w:rPr>
        <w:t>业以发布年度ESG报告形</w:t>
      </w:r>
      <w:r>
        <w:rPr>
          <w:rFonts w:ascii="宋体" w:eastAsia="宋体" w:hAnsi="宋体" w:cs="宋体"/>
          <w:spacing w:val="-2"/>
          <w:lang w:eastAsia="zh-CN"/>
        </w:rPr>
        <w:t>式进行的信息披露，宜尽可能采取定期发布的方式，发布时间间隔宜保</w:t>
      </w:r>
      <w:r>
        <w:rPr>
          <w:rFonts w:ascii="宋体" w:eastAsia="宋体" w:hAnsi="宋体" w:cs="宋体"/>
          <w:spacing w:val="-3"/>
          <w:lang w:eastAsia="zh-CN"/>
        </w:rPr>
        <w:t>持相同。如果企业突发引</w:t>
      </w:r>
      <w:r>
        <w:rPr>
          <w:rFonts w:ascii="宋体" w:eastAsia="宋体" w:hAnsi="宋体" w:cs="宋体"/>
          <w:spacing w:val="-5"/>
          <w:lang w:eastAsia="zh-CN"/>
        </w:rPr>
        <w:t>起社会广泛关注的重大事件或重大变化，也可及时</w:t>
      </w:r>
      <w:r>
        <w:rPr>
          <w:rFonts w:ascii="宋体" w:eastAsia="宋体" w:hAnsi="宋体" w:cs="宋体"/>
          <w:spacing w:val="-6"/>
          <w:lang w:eastAsia="zh-CN"/>
        </w:rPr>
        <w:t>发布专项报告或声明。对于初次发布报告的企业来说，</w:t>
      </w:r>
      <w:r>
        <w:rPr>
          <w:rFonts w:ascii="宋体" w:eastAsia="宋体" w:hAnsi="宋体" w:cs="宋体"/>
          <w:lang w:eastAsia="zh-CN"/>
        </w:rPr>
        <w:t>可一次性将其以往多年活动情况及绩效进行综合披露，随后再定</w:t>
      </w:r>
      <w:r>
        <w:rPr>
          <w:rFonts w:ascii="宋体" w:eastAsia="宋体" w:hAnsi="宋体" w:cs="宋体"/>
          <w:spacing w:val="-1"/>
          <w:lang w:eastAsia="zh-CN"/>
        </w:rPr>
        <w:t>期发布。</w:t>
      </w:r>
    </w:p>
    <w:p w14:paraId="6EF22FD8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企业针对发生的对利益相关方有重大影响的ESG事件，应进行临时性披露，包括遵循法律和监管机</w:t>
      </w:r>
      <w:r>
        <w:rPr>
          <w:rFonts w:ascii="宋体" w:eastAsia="宋体" w:hAnsi="宋体" w:cs="宋体"/>
          <w:spacing w:val="-2"/>
          <w:lang w:eastAsia="zh-CN"/>
        </w:rPr>
        <w:t>构的相关披露要求进行即时性披露，具体发布时间、内容和形式以法律法规</w:t>
      </w:r>
      <w:r>
        <w:rPr>
          <w:rFonts w:ascii="宋体" w:eastAsia="宋体" w:hAnsi="宋体" w:cs="宋体"/>
          <w:spacing w:val="-3"/>
          <w:lang w:eastAsia="zh-CN"/>
        </w:rPr>
        <w:t>和监管机构要求为准。企业</w:t>
      </w:r>
      <w:r>
        <w:rPr>
          <w:rFonts w:ascii="宋体" w:eastAsia="宋体" w:hAnsi="宋体" w:cs="宋体"/>
          <w:spacing w:val="-2"/>
          <w:lang w:eastAsia="zh-CN"/>
        </w:rPr>
        <w:t>宜建立重大ESG事件的对外沟通机制，主动、</w:t>
      </w:r>
      <w:r>
        <w:rPr>
          <w:rFonts w:ascii="宋体" w:eastAsia="宋体" w:hAnsi="宋体" w:cs="宋体"/>
          <w:lang w:eastAsia="zh-CN"/>
        </w:rPr>
        <w:t>及时</w:t>
      </w:r>
      <w:r>
        <w:rPr>
          <w:rFonts w:ascii="宋体" w:eastAsia="宋体" w:hAnsi="宋体" w:cs="宋体"/>
          <w:spacing w:val="-2"/>
          <w:lang w:eastAsia="zh-CN"/>
        </w:rPr>
        <w:t>披露重大ESG事件的起因、可能产生的</w:t>
      </w:r>
      <w:r>
        <w:rPr>
          <w:rFonts w:ascii="宋体" w:eastAsia="宋体" w:hAnsi="宋体" w:cs="宋体"/>
          <w:spacing w:val="-3"/>
          <w:lang w:eastAsia="zh-CN"/>
        </w:rPr>
        <w:t>影响、应对措施</w:t>
      </w:r>
      <w:r>
        <w:rPr>
          <w:rFonts w:ascii="宋体" w:eastAsia="宋体" w:hAnsi="宋体" w:cs="宋体"/>
          <w:spacing w:val="-1"/>
          <w:lang w:eastAsia="zh-CN"/>
        </w:rPr>
        <w:t>等信息，积极回应利益相关方关切的重大ESG问题。</w:t>
      </w:r>
    </w:p>
    <w:p w14:paraId="5C2265AF" w14:textId="77777777" w:rsidR="008A1688" w:rsidRDefault="00000000">
      <w:pPr>
        <w:pStyle w:val="a4"/>
        <w:kinsoku/>
        <w:overflowPunct w:val="0"/>
        <w:autoSpaceDE/>
        <w:autoSpaceDN/>
        <w:spacing w:before="116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5.4  信息披露形式</w:t>
      </w:r>
      <w:proofErr w:type="gramEnd"/>
    </w:p>
    <w:p w14:paraId="2EA3D0DA" w14:textId="77777777" w:rsidR="008A1688" w:rsidRDefault="00000000">
      <w:pPr>
        <w:kinsoku/>
        <w:overflowPunct w:val="0"/>
        <w:autoSpaceDE/>
        <w:autoSpaceDN/>
        <w:spacing w:before="140" w:line="360" w:lineRule="auto"/>
        <w:ind w:left="4" w:firstLine="417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5"/>
          <w:lang w:eastAsia="zh-CN"/>
        </w:rPr>
        <w:t>ESG</w:t>
      </w:r>
      <w:r>
        <w:rPr>
          <w:rFonts w:ascii="宋体" w:eastAsia="宋体" w:hAnsi="宋体" w:cs="宋体" w:hint="eastAsia"/>
          <w:spacing w:val="-5"/>
          <w:lang w:eastAsia="zh-CN"/>
        </w:rPr>
        <w:t>/可持续发展</w:t>
      </w:r>
      <w:r>
        <w:rPr>
          <w:rFonts w:ascii="宋体" w:eastAsia="宋体" w:hAnsi="宋体" w:cs="宋体"/>
          <w:spacing w:val="-5"/>
          <w:lang w:eastAsia="zh-CN"/>
        </w:rPr>
        <w:t>报告是ESG信息披露的重要形式，可采取纸质文件、电子文件、网页等载体形式</w:t>
      </w:r>
      <w:r>
        <w:rPr>
          <w:rFonts w:ascii="宋体" w:eastAsia="宋体" w:hAnsi="宋体" w:cs="宋体"/>
          <w:lang w:eastAsia="zh-CN"/>
        </w:rPr>
        <w:t>。ESG报告可按独立报告单独发布，也可作为年度报告、非财务报告或其</w:t>
      </w:r>
      <w:r>
        <w:rPr>
          <w:rFonts w:ascii="宋体" w:eastAsia="宋体" w:hAnsi="宋体" w:cs="宋体"/>
          <w:spacing w:val="-2"/>
          <w:lang w:eastAsia="zh-CN"/>
        </w:rPr>
        <w:t>他报告的组成部分共同发布。</w:t>
      </w:r>
    </w:p>
    <w:p w14:paraId="5D9012B6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企业结合自身情况和实际需要，可以选择多种</w:t>
      </w:r>
      <w:r>
        <w:rPr>
          <w:rFonts w:ascii="宋体" w:eastAsia="宋体" w:hAnsi="宋体" w:cs="宋体"/>
          <w:lang w:eastAsia="zh-CN"/>
        </w:rPr>
        <w:t>渠道</w:t>
      </w:r>
      <w:r>
        <w:rPr>
          <w:rFonts w:ascii="宋体" w:eastAsia="宋体" w:hAnsi="宋体" w:cs="宋体"/>
          <w:spacing w:val="-2"/>
          <w:lang w:eastAsia="zh-CN"/>
        </w:rPr>
        <w:t>进行披</w:t>
      </w:r>
      <w:r>
        <w:rPr>
          <w:rFonts w:ascii="宋体" w:eastAsia="宋体" w:hAnsi="宋体" w:cs="宋体"/>
          <w:spacing w:val="-3"/>
          <w:lang w:eastAsia="zh-CN"/>
        </w:rPr>
        <w:t>露，例如权威媒体、企业官网官微等平台</w:t>
      </w:r>
      <w:r>
        <w:rPr>
          <w:rFonts w:ascii="宋体" w:eastAsia="宋体" w:hAnsi="宋体" w:cs="宋体"/>
          <w:spacing w:val="-2"/>
          <w:lang w:eastAsia="zh-CN"/>
        </w:rPr>
        <w:t>披露相关信息，也可以通过组织开放日、走进企业、利益相关方沟通会等沟通</w:t>
      </w:r>
      <w:r>
        <w:rPr>
          <w:rFonts w:ascii="宋体" w:eastAsia="宋体" w:hAnsi="宋体" w:cs="宋体"/>
          <w:spacing w:val="-3"/>
          <w:lang w:eastAsia="zh-CN"/>
        </w:rPr>
        <w:t>活动与利益相关方进行持</w:t>
      </w:r>
      <w:r>
        <w:rPr>
          <w:rFonts w:ascii="宋体" w:eastAsia="宋体" w:hAnsi="宋体" w:cs="宋体"/>
          <w:spacing w:val="-1"/>
          <w:lang w:eastAsia="zh-CN"/>
        </w:rPr>
        <w:t>续深入沟通。</w:t>
      </w:r>
    </w:p>
    <w:p w14:paraId="7B2AAFF2" w14:textId="77777777" w:rsidR="008A1688" w:rsidRDefault="00000000">
      <w:pPr>
        <w:pStyle w:val="a4"/>
        <w:kinsoku/>
        <w:overflowPunct w:val="0"/>
        <w:autoSpaceDE/>
        <w:autoSpaceDN/>
        <w:spacing w:before="113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lastRenderedPageBreak/>
        <w:t>5.5  信息披露内容</w:t>
      </w:r>
      <w:proofErr w:type="gramEnd"/>
    </w:p>
    <w:p w14:paraId="2FACE355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企业宜结合自身实际情况，基于本文件第6章及《附录A：中国汽车行业ESG信息披露参考指标》的</w:t>
      </w:r>
      <w:r>
        <w:rPr>
          <w:rFonts w:ascii="宋体" w:eastAsia="宋体" w:hAnsi="宋体" w:cs="宋体"/>
          <w:spacing w:val="-2"/>
          <w:lang w:eastAsia="zh-CN"/>
        </w:rPr>
        <w:t>内容，梳理和总结ESG管理、实践及成效，以确定ESG信息披露内容。</w:t>
      </w:r>
    </w:p>
    <w:p w14:paraId="1699F6A5" w14:textId="77777777" w:rsidR="008A1688" w:rsidRDefault="00000000">
      <w:pPr>
        <w:kinsoku/>
        <w:overflowPunct w:val="0"/>
        <w:autoSpaceDE/>
        <w:autoSpaceDN/>
        <w:spacing w:before="1" w:line="360" w:lineRule="auto"/>
        <w:ind w:left="19" w:right="74" w:firstLine="408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企业披露ESG信息，既可针对其整体，也可单独针对其某特定部分，取决于与利益相关方沟通的实际需要。企业还可根据需要，就</w:t>
      </w:r>
      <w:r>
        <w:rPr>
          <w:rFonts w:ascii="宋体" w:eastAsia="宋体" w:hAnsi="宋体" w:cs="宋体" w:hint="eastAsia"/>
          <w:lang w:eastAsia="zh-CN"/>
        </w:rPr>
        <w:t>应对气候变化</w:t>
      </w:r>
      <w:r>
        <w:rPr>
          <w:rFonts w:ascii="宋体" w:eastAsia="宋体" w:hAnsi="宋体" w:cs="宋体"/>
          <w:lang w:eastAsia="zh-CN"/>
        </w:rPr>
        <w:t>、社区沟通等某</w:t>
      </w:r>
      <w:r>
        <w:rPr>
          <w:rFonts w:ascii="宋体" w:eastAsia="宋体" w:hAnsi="宋体" w:cs="宋体"/>
          <w:spacing w:val="-1"/>
          <w:lang w:eastAsia="zh-CN"/>
        </w:rPr>
        <w:t>一特定的ESG专项议题进行专项披露。</w:t>
      </w:r>
    </w:p>
    <w:p w14:paraId="2B97C559" w14:textId="77777777" w:rsidR="008A1688" w:rsidRDefault="00000000">
      <w:pPr>
        <w:pStyle w:val="a4"/>
        <w:kinsoku/>
        <w:overflowPunct w:val="0"/>
        <w:autoSpaceDE/>
        <w:autoSpaceDN/>
        <w:spacing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5.5.1  基本背景信息</w:t>
      </w:r>
      <w:proofErr w:type="gramEnd"/>
    </w:p>
    <w:p w14:paraId="787AC404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基本背景信息是企业与利益相关方有效沟通所必需的信息，主要包括企业概况、最高管理者ESG承</w:t>
      </w:r>
      <w:r>
        <w:rPr>
          <w:rFonts w:ascii="宋体" w:eastAsia="宋体" w:hAnsi="宋体" w:cs="宋体"/>
          <w:spacing w:val="-1"/>
          <w:lang w:eastAsia="zh-CN"/>
        </w:rPr>
        <w:t>诺、ESG战略、ESG治理架构、实质性议题</w:t>
      </w:r>
      <w:r>
        <w:rPr>
          <w:rFonts w:ascii="宋体" w:eastAsia="宋体" w:hAnsi="宋体" w:cs="宋体"/>
          <w:lang w:eastAsia="zh-CN"/>
        </w:rPr>
        <w:t>分析</w:t>
      </w:r>
      <w:r>
        <w:rPr>
          <w:rFonts w:ascii="宋体" w:eastAsia="宋体" w:hAnsi="宋体" w:cs="宋体"/>
          <w:spacing w:val="-1"/>
          <w:lang w:eastAsia="zh-CN"/>
        </w:rPr>
        <w:t>等。</w:t>
      </w:r>
    </w:p>
    <w:p w14:paraId="18BEC1B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企业概况应与ESG相关，旨在帮助利益相关方了解企业的基本信息，主要业务活动、范围、性质和</w:t>
      </w:r>
      <w:r>
        <w:rPr>
          <w:rFonts w:ascii="宋体" w:eastAsia="宋体" w:hAnsi="宋体" w:cs="宋体"/>
          <w:spacing w:val="-1"/>
          <w:lang w:eastAsia="zh-CN"/>
        </w:rPr>
        <w:t>规模，发展历程及业绩等。</w:t>
      </w:r>
    </w:p>
    <w:p w14:paraId="691B6C44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8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最高管理者ESG承诺主要包括将ESG全面融入企业所有决策和活动之中；在遵守</w:t>
      </w:r>
      <w:r>
        <w:rPr>
          <w:rFonts w:ascii="宋体" w:eastAsia="宋体" w:hAnsi="宋体" w:cs="宋体"/>
          <w:spacing w:val="-2"/>
          <w:lang w:eastAsia="zh-CN"/>
        </w:rPr>
        <w:t>法律法规的基础上，</w:t>
      </w:r>
      <w:r>
        <w:rPr>
          <w:rFonts w:ascii="宋体" w:eastAsia="宋体" w:hAnsi="宋体" w:cs="宋体"/>
          <w:lang w:eastAsia="zh-CN"/>
        </w:rPr>
        <w:t>致力于符合更高的ESG道德准则要求；为ESG管理目标的实现提供所需的资源保障。最高管理者的ESG承诺可通过董事长声明或总经理致辞等方式进</w:t>
      </w:r>
      <w:r>
        <w:rPr>
          <w:rFonts w:ascii="宋体" w:eastAsia="宋体" w:hAnsi="宋体" w:cs="宋体"/>
          <w:spacing w:val="-1"/>
          <w:lang w:eastAsia="zh-CN"/>
        </w:rPr>
        <w:t>行披露。</w:t>
      </w:r>
    </w:p>
    <w:p w14:paraId="5C15492A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ESG战略是用于统领和指导企业中长期ESG实践的策略、方案和对策，企业宜首</w:t>
      </w:r>
      <w:r>
        <w:rPr>
          <w:rFonts w:ascii="宋体" w:eastAsia="宋体" w:hAnsi="宋体" w:cs="宋体"/>
          <w:spacing w:val="-3"/>
          <w:lang w:eastAsia="zh-CN"/>
        </w:rPr>
        <w:t>先从其发展战略层面</w:t>
      </w:r>
      <w:r>
        <w:rPr>
          <w:rFonts w:ascii="宋体" w:eastAsia="宋体" w:hAnsi="宋体" w:cs="宋体"/>
          <w:lang w:eastAsia="zh-CN"/>
        </w:rPr>
        <w:t>来考虑和规划ESG战略，既可制定单独的ESG战略，也可将ESG战略整合到企业发展战略之中，并与企业总体发展方针相一致，与其他企业管理方针相协调。在ESG报告中，企业宜披露其ESG战略，并说明ESG 战略与企业发展战略间的关系，以便于利益相关方整体了解</w:t>
      </w:r>
      <w:r>
        <w:rPr>
          <w:rFonts w:ascii="宋体" w:eastAsia="宋体" w:hAnsi="宋体" w:cs="宋体"/>
          <w:spacing w:val="-1"/>
          <w:lang w:eastAsia="zh-CN"/>
        </w:rPr>
        <w:t>企业ESG发展方向及状况。</w:t>
      </w:r>
    </w:p>
    <w:p w14:paraId="37A4AFA4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ESG治理架构是企业在面对ESG治理所展现出的来自企业顶层的驱动力，也是开展ESG治理工作</w:t>
      </w:r>
      <w:proofErr w:type="gramStart"/>
      <w:r>
        <w:rPr>
          <w:rFonts w:ascii="宋体" w:eastAsia="宋体" w:hAnsi="宋体" w:cs="宋体"/>
          <w:lang w:eastAsia="zh-CN"/>
        </w:rPr>
        <w:t>重要</w:t>
      </w:r>
      <w:r>
        <w:rPr>
          <w:rFonts w:ascii="宋体" w:eastAsia="宋体" w:hAnsi="宋体" w:cs="宋体"/>
          <w:spacing w:val="5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的</w:t>
      </w:r>
      <w:proofErr w:type="gramEnd"/>
      <w:r>
        <w:rPr>
          <w:rFonts w:ascii="宋体" w:eastAsia="宋体" w:hAnsi="宋体" w:cs="宋体"/>
          <w:spacing w:val="-2"/>
          <w:lang w:eastAsia="zh-CN"/>
        </w:rPr>
        <w:t>组织保障，这要求</w:t>
      </w:r>
      <w:r>
        <w:rPr>
          <w:rFonts w:ascii="宋体" w:eastAsia="宋体" w:hAnsi="宋体" w:cs="宋体"/>
          <w:lang w:eastAsia="zh-CN"/>
        </w:rPr>
        <w:t>企业</w:t>
      </w:r>
      <w:r>
        <w:rPr>
          <w:rFonts w:ascii="宋体" w:eastAsia="宋体" w:hAnsi="宋体" w:cs="宋体"/>
          <w:spacing w:val="-2"/>
          <w:lang w:eastAsia="zh-CN"/>
        </w:rPr>
        <w:t>具备整合ESG要素的强大领导力。企业因而需要搭建适宜的ES</w:t>
      </w:r>
      <w:r>
        <w:rPr>
          <w:rFonts w:ascii="宋体" w:eastAsia="宋体" w:hAnsi="宋体" w:cs="宋体"/>
          <w:spacing w:val="-3"/>
          <w:lang w:eastAsia="zh-CN"/>
        </w:rPr>
        <w:t>G治理架构，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建立</w:t>
      </w:r>
      <w:r>
        <w:rPr>
          <w:rFonts w:ascii="宋体" w:eastAsia="宋体" w:hAnsi="宋体" w:cs="宋体"/>
          <w:lang w:eastAsia="zh-CN"/>
        </w:rPr>
        <w:t xml:space="preserve"> 覆盖</w:t>
      </w:r>
      <w:proofErr w:type="gramEnd"/>
      <w:r>
        <w:rPr>
          <w:rFonts w:ascii="宋体" w:eastAsia="宋体" w:hAnsi="宋体" w:cs="宋体"/>
          <w:lang w:eastAsia="zh-CN"/>
        </w:rPr>
        <w:t>决策层、监督层、执行层等各个层级，且分工负责、权责清晰的ESG治理架构，保障不同层级的</w:t>
      </w:r>
      <w:proofErr w:type="gramStart"/>
      <w:r>
        <w:rPr>
          <w:rFonts w:ascii="宋体" w:eastAsia="宋体" w:hAnsi="宋体" w:cs="宋体"/>
          <w:lang w:eastAsia="zh-CN"/>
        </w:rPr>
        <w:t>履</w:t>
      </w:r>
      <w:r>
        <w:rPr>
          <w:rFonts w:ascii="宋体" w:eastAsia="宋体" w:hAnsi="宋体" w:cs="宋体"/>
          <w:spacing w:val="4"/>
          <w:lang w:eastAsia="zh-CN"/>
        </w:rPr>
        <w:t xml:space="preserve"> </w:t>
      </w:r>
      <w:r>
        <w:rPr>
          <w:rFonts w:ascii="宋体" w:eastAsia="宋体" w:hAnsi="宋体" w:cs="宋体"/>
          <w:lang w:eastAsia="zh-CN"/>
        </w:rPr>
        <w:t>责</w:t>
      </w:r>
      <w:proofErr w:type="gramEnd"/>
      <w:r>
        <w:rPr>
          <w:rFonts w:ascii="宋体" w:eastAsia="宋体" w:hAnsi="宋体" w:cs="宋体"/>
          <w:lang w:eastAsia="zh-CN"/>
        </w:rPr>
        <w:t>过程都能被有效监督，以便于利益相关方更好地了解企业ESG治理工作的开</w:t>
      </w:r>
      <w:r>
        <w:rPr>
          <w:rFonts w:ascii="宋体" w:eastAsia="宋体" w:hAnsi="宋体" w:cs="宋体"/>
          <w:spacing w:val="-1"/>
          <w:lang w:eastAsia="zh-CN"/>
        </w:rPr>
        <w:t>展成效。</w:t>
      </w:r>
    </w:p>
    <w:p w14:paraId="43F3092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实质性议题分析应遵循双重重要性原则，从影响重要性和财务重要性两个维度展开评估，具体包括以下四个步骤。</w:t>
      </w:r>
    </w:p>
    <w:p w14:paraId="5DB42B69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第一步，了解公司活动和业务关系背景。企业应全面了解内部活动和业务关系、外部客观环境以及主要受影响的利益相关方，包括考虑运营所在地法律法规要求、汽车行业及相关价值链所处的地方、区域和全球层面环境、社会挑战，以及新能源汽车转型、智能网联技术发展等行业趋势。</w:t>
      </w:r>
    </w:p>
    <w:p w14:paraId="63F24517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第二步，建立议题清单并识别影响、风险和机遇。企业应结合汽车行业特点、行业法规及标准，通过政策分析、标准对标、同业分析等方法完善议题清单，并识别各议题对经济、社会和环境的实际和潜在影响（即影响重要性），以及对企业商业模式、业务运营、发展战略、财务状况等产生的影响、风险和机遇（即财务重要性）。</w:t>
      </w:r>
    </w:p>
    <w:p w14:paraId="60517D69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lang w:eastAsia="zh-CN"/>
        </w:rPr>
        <w:lastRenderedPageBreak/>
        <w:t>第三步，评估影响重要性和财务重要性的重大程度。影响重要性评估需从规模、范围、不可补救性（仅限负面影响）和可能性（仅限潜在影响）四个维度，通过利益相关方调研或专家评分等方式，对各议题进行评分并与设置的阈值比较，确定其是否具有影响重要性。财务重要性评估需结合风险和机遇发生的可能性及财务影响程度，从企业对资源和关系的依赖角度分析，通过设定定量或定性阈值，确定各议题是否具有财务重要性。</w:t>
      </w:r>
    </w:p>
    <w:p w14:paraId="3145213A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第四步，整合双重重要性评估结果并进行优先排序与披露。企业应汇总分析各议题的影响重要性和财务重要性评分结果，采用图示法（如矩阵图）直观呈现各议题的双重重要性分类，据此确定优先披露的议题，并按照差异化披露框架进行披露：具有财务重要性的议题按“治理-战略-影响、风险和机遇管理-指标与目标”四要素披露，仅具有影响重要性的议题按具体议题规定披露。</w:t>
      </w:r>
    </w:p>
    <w:p w14:paraId="4418801E" w14:textId="77777777" w:rsidR="008A1688" w:rsidRDefault="00000000">
      <w:pPr>
        <w:pStyle w:val="a4"/>
        <w:kinsoku/>
        <w:overflowPunct w:val="0"/>
        <w:autoSpaceDE/>
        <w:autoSpaceDN/>
        <w:spacing w:line="360" w:lineRule="auto"/>
        <w:ind w:left="116"/>
        <w:rPr>
          <w:rFonts w:hint="eastAsia"/>
          <w:sz w:val="21"/>
          <w:szCs w:val="21"/>
          <w:lang w:eastAsia="zh-CN"/>
        </w:rPr>
      </w:pPr>
      <w:proofErr w:type="gramStart"/>
      <w:r>
        <w:rPr>
          <w:sz w:val="21"/>
          <w:szCs w:val="21"/>
          <w:lang w:eastAsia="zh-CN"/>
        </w:rPr>
        <w:t>5.5.2  ESG</w:t>
      </w:r>
      <w:proofErr w:type="gramEnd"/>
      <w:r>
        <w:rPr>
          <w:sz w:val="21"/>
          <w:szCs w:val="21"/>
          <w:lang w:eastAsia="zh-CN"/>
        </w:rPr>
        <w:t>绩效信息</w:t>
      </w:r>
    </w:p>
    <w:p w14:paraId="7AF7D4C3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ESG绩效信息是企业ESG管理目标的实现程度，在ESG报告的披露中通常是利益相关方所期望了解的</w:t>
      </w:r>
      <w:r>
        <w:rPr>
          <w:rFonts w:ascii="宋体" w:eastAsia="宋体" w:hAnsi="宋体" w:cs="宋体"/>
          <w:spacing w:val="-5"/>
          <w:lang w:eastAsia="zh-CN"/>
        </w:rPr>
        <w:t>重要信息。</w:t>
      </w:r>
    </w:p>
    <w:p w14:paraId="10AA4331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企业宜</w:t>
      </w:r>
      <w:r>
        <w:rPr>
          <w:rFonts w:ascii="宋体" w:eastAsia="宋体" w:hAnsi="宋体" w:cs="宋体" w:hint="eastAsia"/>
          <w:lang w:eastAsia="zh-CN"/>
        </w:rPr>
        <w:t>基于</w:t>
      </w:r>
      <w:r>
        <w:rPr>
          <w:rFonts w:ascii="宋体" w:eastAsia="宋体" w:hAnsi="宋体" w:cs="宋体"/>
          <w:lang w:eastAsia="zh-CN"/>
        </w:rPr>
        <w:t>实质性议题分析，结合中国汽车行业ESG核心主题及议题</w:t>
      </w:r>
      <w:r>
        <w:rPr>
          <w:rFonts w:ascii="宋体" w:eastAsia="宋体" w:hAnsi="宋体" w:cs="宋体"/>
          <w:spacing w:val="-52"/>
          <w:lang w:eastAsia="zh-CN"/>
        </w:rPr>
        <w:t>，</w:t>
      </w:r>
      <w:r>
        <w:rPr>
          <w:rFonts w:ascii="宋体" w:eastAsia="宋体" w:hAnsi="宋体" w:cs="宋体"/>
          <w:lang w:eastAsia="zh-CN"/>
        </w:rPr>
        <w:t>综合考量企业自身运营对社会、环境的影响，以及主要利益相关方期望，明确与其相关且重要的ESG议题，并有针对性地</w:t>
      </w:r>
      <w:r>
        <w:rPr>
          <w:rFonts w:ascii="宋体" w:eastAsia="宋体" w:hAnsi="宋体" w:cs="宋体"/>
          <w:spacing w:val="-3"/>
          <w:lang w:eastAsia="zh-CN"/>
        </w:rPr>
        <w:t>进行ESG绩效信息披露。披露内容可参考《附录A：中国汽车行业ESG信息披露参考指标》。</w:t>
      </w:r>
    </w:p>
    <w:p w14:paraId="6EE05623" w14:textId="77777777" w:rsidR="008A1688" w:rsidRDefault="00000000">
      <w:pPr>
        <w:pStyle w:val="a4"/>
        <w:kinsoku/>
        <w:overflowPunct w:val="0"/>
        <w:autoSpaceDE/>
        <w:autoSpaceDN/>
        <w:spacing w:before="238" w:line="360" w:lineRule="auto"/>
        <w:outlineLvl w:val="0"/>
        <w:rPr>
          <w:rFonts w:hint="eastAsia"/>
          <w:spacing w:val="-1"/>
          <w:sz w:val="21"/>
          <w:szCs w:val="21"/>
          <w:lang w:eastAsia="zh-CN"/>
        </w:rPr>
      </w:pPr>
      <w:bookmarkStart w:id="14" w:name="_Toc12475"/>
      <w:proofErr w:type="gramStart"/>
      <w:r>
        <w:rPr>
          <w:spacing w:val="-1"/>
          <w:sz w:val="21"/>
          <w:szCs w:val="21"/>
          <w:lang w:eastAsia="zh-CN"/>
        </w:rPr>
        <w:t>6  信息披露流程</w:t>
      </w:r>
      <w:bookmarkEnd w:id="14"/>
      <w:proofErr w:type="gramEnd"/>
    </w:p>
    <w:p w14:paraId="2F55646B" w14:textId="77777777" w:rsidR="008A1688" w:rsidRDefault="00000000">
      <w:pPr>
        <w:pStyle w:val="a4"/>
        <w:kinsoku/>
        <w:overflowPunct w:val="0"/>
        <w:autoSpaceDE/>
        <w:autoSpaceDN/>
        <w:spacing w:before="262" w:line="360" w:lineRule="auto"/>
        <w:ind w:left="120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6.1  概述</w:t>
      </w:r>
      <w:proofErr w:type="gramEnd"/>
    </w:p>
    <w:p w14:paraId="79FA1F54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ESG信息披露通常包括ESG报告和其他ESG信息披露。ESG报告作为企业ESG信息披露的重要形式，其编制和发布流程具有一定的代表性。其他ESG信息披露可以根据实际需要，参考ESG报</w:t>
      </w:r>
      <w:r>
        <w:rPr>
          <w:rFonts w:ascii="宋体" w:eastAsia="宋体" w:hAnsi="宋体" w:cs="宋体"/>
          <w:spacing w:val="-1"/>
          <w:lang w:eastAsia="zh-CN"/>
        </w:rPr>
        <w:t>告流程进行。</w:t>
      </w:r>
    </w:p>
    <w:p w14:paraId="0B90DE24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ESG报告主要编制和发布流程包括：组建报告编制小组、制定工作计划、策划报告内容、收集整理</w:t>
      </w:r>
      <w:r>
        <w:rPr>
          <w:rFonts w:ascii="宋体" w:eastAsia="宋体" w:hAnsi="宋体" w:cs="宋体"/>
          <w:spacing w:val="-1"/>
          <w:lang w:eastAsia="zh-CN"/>
        </w:rPr>
        <w:t>报告信息、编制报告、发布</w:t>
      </w:r>
      <w:r>
        <w:rPr>
          <w:rFonts w:ascii="宋体" w:eastAsia="宋体" w:hAnsi="宋体" w:cs="宋体"/>
          <w:lang w:eastAsia="zh-CN"/>
        </w:rPr>
        <w:t>报告</w:t>
      </w:r>
      <w:r>
        <w:rPr>
          <w:rFonts w:ascii="宋体" w:eastAsia="宋体" w:hAnsi="宋体" w:cs="宋体"/>
          <w:spacing w:val="-1"/>
          <w:lang w:eastAsia="zh-CN"/>
        </w:rPr>
        <w:t>。相关流程在6.2至6.7中进行了详细阐述。</w:t>
      </w:r>
    </w:p>
    <w:p w14:paraId="4FA6D209" w14:textId="77777777" w:rsidR="008A1688" w:rsidRDefault="00000000">
      <w:pPr>
        <w:pStyle w:val="a4"/>
        <w:kinsoku/>
        <w:overflowPunct w:val="0"/>
        <w:autoSpaceDE/>
        <w:autoSpaceDN/>
        <w:spacing w:before="119" w:line="360" w:lineRule="auto"/>
        <w:ind w:left="120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6.2  组建报告编制小组</w:t>
      </w:r>
      <w:proofErr w:type="gramEnd"/>
    </w:p>
    <w:p w14:paraId="4DD47DA2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企业应组建报告编制小组，以便全面负责ESG报告的编制和发布工作。为确保报告编制工作顺利开展并取得成功，报告编制小组负责人应由组织最高管理层中专门负责ESG工作的人员担任。报告编制小</w:t>
      </w:r>
      <w:r>
        <w:rPr>
          <w:rFonts w:ascii="宋体" w:eastAsia="宋体" w:hAnsi="宋体" w:cs="宋体"/>
          <w:spacing w:val="-1"/>
          <w:lang w:eastAsia="zh-CN"/>
        </w:rPr>
        <w:t>组成员应包含内部的ESG专业管理人员、职能部门和业务部门的代表等，必要时还可包含外部ESG专家。对于大中型企业，报告编制小组成员还应包含其下属组织的代表。</w:t>
      </w:r>
    </w:p>
    <w:p w14:paraId="6BE48BF0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报告编制小组既可直接编写ESG报告，也可将报告编写工作委托外部专业技术机构承担。当委托外部专业技术机构承担编写工作时，报告编制小</w:t>
      </w:r>
      <w:r>
        <w:rPr>
          <w:rFonts w:ascii="宋体" w:eastAsia="宋体" w:hAnsi="宋体" w:cs="宋体"/>
          <w:spacing w:val="-1"/>
          <w:lang w:eastAsia="zh-CN"/>
        </w:rPr>
        <w:t>组成员应包含外部专业技术机构指定的代表。</w:t>
      </w:r>
    </w:p>
    <w:p w14:paraId="39D95918" w14:textId="77777777" w:rsidR="008A1688" w:rsidRDefault="00000000">
      <w:pPr>
        <w:pStyle w:val="a4"/>
        <w:kinsoku/>
        <w:overflowPunct w:val="0"/>
        <w:autoSpaceDE/>
        <w:autoSpaceDN/>
        <w:spacing w:before="114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6.3  制定工作计划</w:t>
      </w:r>
      <w:proofErr w:type="gramEnd"/>
    </w:p>
    <w:p w14:paraId="623BBE91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spacing w:val="-2"/>
          <w:lang w:eastAsia="zh-CN"/>
        </w:rPr>
      </w:pPr>
      <w:r>
        <w:rPr>
          <w:rFonts w:ascii="宋体" w:eastAsia="宋体" w:hAnsi="宋体" w:cs="宋体" w:hint="eastAsia"/>
          <w:spacing w:val="-2"/>
          <w:lang w:eastAsia="zh-CN"/>
        </w:rPr>
        <w:t>为确保报告编制工作有序开展，报告编制小组应为报告编制工作制定工作计划。工作计划应包含报告编制小组成员的工作任务分工及相关职责、报告编制和发布的工作时间进度、关键工作控制点</w:t>
      </w:r>
      <w:r>
        <w:rPr>
          <w:rFonts w:ascii="宋体" w:eastAsia="宋体" w:hAnsi="宋体" w:cs="宋体" w:hint="eastAsia"/>
          <w:spacing w:val="-2"/>
          <w:lang w:eastAsia="zh-CN"/>
        </w:rPr>
        <w:lastRenderedPageBreak/>
        <w:t>等。对于强制披露主体，应当根据交易所规定，在每个会计年度结束后4个月内完成报告的编制并经董事会审议通过后披露，披露时间不早于年度报告；对于自愿披露主体，建议参照上述时间要求按期发布，以确保报告的及时性和可比性。</w:t>
      </w:r>
    </w:p>
    <w:p w14:paraId="290A9A24" w14:textId="77777777" w:rsidR="008A1688" w:rsidRDefault="00000000">
      <w:pPr>
        <w:pStyle w:val="a4"/>
        <w:kinsoku/>
        <w:overflowPunct w:val="0"/>
        <w:autoSpaceDE/>
        <w:autoSpaceDN/>
        <w:spacing w:before="115" w:line="360" w:lineRule="auto"/>
        <w:ind w:firstLineChars="200" w:firstLine="418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6.4  策划报告内容</w:t>
      </w:r>
      <w:proofErr w:type="gramEnd"/>
    </w:p>
    <w:p w14:paraId="16C82C46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报告编制小组应按照本文件第</w:t>
      </w:r>
      <w:r>
        <w:rPr>
          <w:rFonts w:ascii="宋体" w:eastAsia="宋体" w:hAnsi="宋体" w:cs="宋体" w:hint="eastAsia"/>
          <w:lang w:eastAsia="zh-CN"/>
        </w:rPr>
        <w:t>5</w:t>
      </w:r>
      <w:r>
        <w:rPr>
          <w:rFonts w:ascii="宋体" w:eastAsia="宋体" w:hAnsi="宋体" w:cs="宋体"/>
          <w:lang w:eastAsia="zh-CN"/>
        </w:rPr>
        <w:t>章所述的策划方法来确定报告内容，包括报告主题、报告框架和报</w:t>
      </w:r>
      <w:r>
        <w:rPr>
          <w:rFonts w:ascii="宋体" w:eastAsia="宋体" w:hAnsi="宋体" w:cs="宋体"/>
          <w:spacing w:val="-2"/>
          <w:lang w:eastAsia="zh-CN"/>
        </w:rPr>
        <w:t>告信息等。在各报告期，ESG报告的</w:t>
      </w:r>
      <w:r>
        <w:rPr>
          <w:rFonts w:ascii="宋体" w:eastAsia="宋体" w:hAnsi="宋体" w:cs="宋体"/>
          <w:lang w:eastAsia="zh-CN"/>
        </w:rPr>
        <w:t>框架</w:t>
      </w:r>
      <w:r>
        <w:rPr>
          <w:rFonts w:ascii="宋体" w:eastAsia="宋体" w:hAnsi="宋体" w:cs="宋体"/>
          <w:spacing w:val="-2"/>
          <w:lang w:eastAsia="zh-CN"/>
        </w:rPr>
        <w:t>和主题通常保持连续性。如果本报告期组织的ES</w:t>
      </w:r>
      <w:r>
        <w:rPr>
          <w:rFonts w:ascii="宋体" w:eastAsia="宋体" w:hAnsi="宋体" w:cs="宋体"/>
          <w:spacing w:val="-3"/>
          <w:lang w:eastAsia="zh-CN"/>
        </w:rPr>
        <w:t>G实践发生重大</w:t>
      </w:r>
      <w:r>
        <w:rPr>
          <w:rFonts w:ascii="宋体" w:eastAsia="宋体" w:hAnsi="宋体" w:cs="宋体"/>
          <w:lang w:eastAsia="zh-CN"/>
        </w:rPr>
        <w:t>变化或调整，或者为了对ESG报告做出重大改进，那么报告的框架和主题也可随之进行调整或</w:t>
      </w:r>
      <w:r>
        <w:rPr>
          <w:rFonts w:ascii="宋体" w:eastAsia="宋体" w:hAnsi="宋体" w:cs="宋体"/>
          <w:spacing w:val="-1"/>
          <w:lang w:eastAsia="zh-CN"/>
        </w:rPr>
        <w:t>改进。</w:t>
      </w:r>
    </w:p>
    <w:p w14:paraId="18574110" w14:textId="77777777" w:rsidR="008A1688" w:rsidRDefault="00000000">
      <w:pPr>
        <w:pStyle w:val="a4"/>
        <w:kinsoku/>
        <w:overflowPunct w:val="0"/>
        <w:autoSpaceDE/>
        <w:autoSpaceDN/>
        <w:spacing w:before="118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6.5  收集整理报告信息</w:t>
      </w:r>
      <w:proofErr w:type="gramEnd"/>
    </w:p>
    <w:p w14:paraId="6667CF2A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企业可以通过资料清单、问卷调查、访谈等多种形式收集信息。此外，企业宜对本报告期的ESG表</w:t>
      </w:r>
      <w:r>
        <w:rPr>
          <w:rFonts w:ascii="宋体" w:eastAsia="宋体" w:hAnsi="宋体" w:cs="宋体"/>
          <w:spacing w:val="-3"/>
          <w:lang w:eastAsia="zh-CN"/>
        </w:rPr>
        <w:t>现进行评价（参见</w:t>
      </w:r>
      <w:r>
        <w:rPr>
          <w:rFonts w:ascii="宋体" w:eastAsia="宋体" w:hAnsi="宋体" w:cs="宋体" w:hint="eastAsia"/>
          <w:spacing w:val="-3"/>
          <w:lang w:eastAsia="zh-CN"/>
        </w:rPr>
        <w:t>T/XXX XXXX—XXXX</w:t>
      </w:r>
      <w:r>
        <w:rPr>
          <w:rFonts w:ascii="宋体" w:eastAsia="宋体" w:hAnsi="宋体" w:cs="宋体"/>
          <w:spacing w:val="-3"/>
          <w:lang w:eastAsia="zh-CN"/>
        </w:rPr>
        <w:t>《中国汽车行业ESG评价指南》</w:t>
      </w:r>
      <w:r>
        <w:rPr>
          <w:rFonts w:ascii="宋体" w:eastAsia="宋体" w:hAnsi="宋体" w:cs="宋体"/>
          <w:spacing w:val="-39"/>
          <w:lang w:eastAsia="zh-CN"/>
        </w:rPr>
        <w:t>），</w:t>
      </w:r>
      <w:r>
        <w:rPr>
          <w:rFonts w:ascii="宋体" w:eastAsia="宋体" w:hAnsi="宋体" w:cs="宋体"/>
          <w:spacing w:val="-3"/>
          <w:lang w:eastAsia="zh-CN"/>
        </w:rPr>
        <w:t>作为收集整理报告信息的重要</w:t>
      </w:r>
      <w:r>
        <w:rPr>
          <w:rFonts w:ascii="宋体" w:eastAsia="宋体" w:hAnsi="宋体" w:cs="宋体"/>
          <w:spacing w:val="-2"/>
          <w:lang w:eastAsia="zh-CN"/>
        </w:rPr>
        <w:t>途径之一。</w:t>
      </w:r>
    </w:p>
    <w:p w14:paraId="37835B9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报告信息既可包括文字信息，又可包括图片、视频、音频等信息；报</w:t>
      </w:r>
      <w:r>
        <w:rPr>
          <w:rFonts w:ascii="宋体" w:eastAsia="宋体" w:hAnsi="宋体" w:cs="宋体"/>
          <w:spacing w:val="-3"/>
          <w:lang w:eastAsia="zh-CN"/>
        </w:rPr>
        <w:t>告载体既可是纸质的，也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可是</w:t>
      </w:r>
      <w:r>
        <w:rPr>
          <w:rFonts w:ascii="宋体" w:eastAsia="宋体" w:hAnsi="宋体" w:cs="宋体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电子</w:t>
      </w:r>
      <w:proofErr w:type="gramEnd"/>
      <w:r>
        <w:rPr>
          <w:rFonts w:ascii="宋体" w:eastAsia="宋体" w:hAnsi="宋体" w:cs="宋体"/>
          <w:spacing w:val="-2"/>
          <w:lang w:eastAsia="zh-CN"/>
        </w:rPr>
        <w:t>的。为了增强说服力，报告信息可能还包括实践总结、典型案例等</w:t>
      </w:r>
      <w:r>
        <w:rPr>
          <w:rFonts w:ascii="宋体" w:eastAsia="宋体" w:hAnsi="宋体" w:cs="宋体"/>
          <w:spacing w:val="-3"/>
          <w:lang w:eastAsia="zh-CN"/>
        </w:rPr>
        <w:t>。对于所收集到的信息，报告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编</w:t>
      </w:r>
      <w:r>
        <w:rPr>
          <w:rFonts w:ascii="宋体" w:eastAsia="宋体" w:hAnsi="宋体" w:cs="宋体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制</w:t>
      </w:r>
      <w:proofErr w:type="gramEnd"/>
      <w:r>
        <w:rPr>
          <w:rFonts w:ascii="宋体" w:eastAsia="宋体" w:hAnsi="宋体" w:cs="宋体"/>
          <w:spacing w:val="-2"/>
          <w:lang w:eastAsia="zh-CN"/>
        </w:rPr>
        <w:t>小组宜分类整理，并评审其时效性、完整性和准确性。如果条件允许</w:t>
      </w:r>
      <w:r>
        <w:rPr>
          <w:rFonts w:ascii="宋体" w:eastAsia="宋体" w:hAnsi="宋体" w:cs="宋体"/>
          <w:spacing w:val="-3"/>
          <w:lang w:eastAsia="zh-CN"/>
        </w:rPr>
        <w:t>，企业也可建立相关数据库或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系</w:t>
      </w:r>
      <w:r>
        <w:rPr>
          <w:rFonts w:ascii="宋体" w:eastAsia="宋体" w:hAnsi="宋体" w:cs="宋体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统</w:t>
      </w:r>
      <w:proofErr w:type="gramEnd"/>
      <w:r>
        <w:rPr>
          <w:rFonts w:ascii="宋体" w:eastAsia="宋体" w:hAnsi="宋体" w:cs="宋体"/>
          <w:spacing w:val="-1"/>
          <w:lang w:eastAsia="zh-CN"/>
        </w:rPr>
        <w:t>对所收集整理的信息进行有效管理。</w:t>
      </w:r>
    </w:p>
    <w:p w14:paraId="455EA2AD" w14:textId="77777777" w:rsidR="008A1688" w:rsidRDefault="00000000">
      <w:pPr>
        <w:pStyle w:val="a4"/>
        <w:kinsoku/>
        <w:overflowPunct w:val="0"/>
        <w:autoSpaceDE/>
        <w:autoSpaceDN/>
        <w:spacing w:before="117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6.6  编制报告</w:t>
      </w:r>
      <w:proofErr w:type="gramEnd"/>
    </w:p>
    <w:p w14:paraId="5A939E5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基于所收集整理的报告信息，报告编制小组宜根据报告内容的策</w:t>
      </w:r>
      <w:r>
        <w:rPr>
          <w:rFonts w:ascii="宋体" w:eastAsia="宋体" w:hAnsi="宋体" w:cs="宋体"/>
          <w:spacing w:val="-3"/>
          <w:lang w:eastAsia="zh-CN"/>
        </w:rPr>
        <w:t>划结果撰写报告草案。在报告撰写</w:t>
      </w:r>
      <w:r>
        <w:rPr>
          <w:rFonts w:ascii="宋体" w:eastAsia="宋体" w:hAnsi="宋体" w:cs="宋体"/>
          <w:spacing w:val="-2"/>
          <w:lang w:eastAsia="zh-CN"/>
        </w:rPr>
        <w:t>阶段，报告编制小组可视情况将报告草案在企业内部征求意</w:t>
      </w:r>
      <w:r>
        <w:rPr>
          <w:rFonts w:ascii="宋体" w:eastAsia="宋体" w:hAnsi="宋体" w:cs="宋体"/>
          <w:spacing w:val="-3"/>
          <w:lang w:eastAsia="zh-CN"/>
        </w:rPr>
        <w:t>见，亦可向企业外部的主要利益相关方征求</w:t>
      </w:r>
      <w:r>
        <w:rPr>
          <w:rFonts w:ascii="宋体" w:eastAsia="宋体" w:hAnsi="宋体" w:cs="宋体"/>
          <w:spacing w:val="-2"/>
          <w:lang w:eastAsia="zh-CN"/>
        </w:rPr>
        <w:t>意见，以使报告草案的内容和质量更加完善。</w:t>
      </w:r>
    </w:p>
    <w:p w14:paraId="6C2F359E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为了增强报告的可读性，并使报告更易于理解，报告编制小</w:t>
      </w:r>
      <w:r>
        <w:rPr>
          <w:rFonts w:ascii="宋体" w:eastAsia="宋体" w:hAnsi="宋体" w:cs="宋体"/>
          <w:spacing w:val="-3"/>
          <w:lang w:eastAsia="zh-CN"/>
        </w:rPr>
        <w:t>组可基于报告读者群的现状、报告具体</w:t>
      </w:r>
      <w:r>
        <w:rPr>
          <w:rFonts w:ascii="宋体" w:eastAsia="宋体" w:hAnsi="宋体" w:cs="宋体"/>
          <w:spacing w:val="-2"/>
          <w:lang w:eastAsia="zh-CN"/>
        </w:rPr>
        <w:t>内容和传播需要，根据报告发布载体（如纸件、电子文档等）的特点，综合</w:t>
      </w:r>
      <w:r>
        <w:rPr>
          <w:rFonts w:ascii="宋体" w:eastAsia="宋体" w:hAnsi="宋体" w:cs="宋体"/>
          <w:spacing w:val="-3"/>
          <w:lang w:eastAsia="zh-CN"/>
        </w:rPr>
        <w:t>考虑实用性和审美需要，对</w:t>
      </w:r>
      <w:r>
        <w:rPr>
          <w:rFonts w:ascii="宋体" w:eastAsia="宋体" w:hAnsi="宋体" w:cs="宋体"/>
          <w:spacing w:val="-2"/>
          <w:lang w:eastAsia="zh-CN"/>
        </w:rPr>
        <w:t>报告版式进行设计，包括文字、图片和表格的合理搭配等。</w:t>
      </w:r>
      <w:r>
        <w:rPr>
          <w:rFonts w:ascii="宋体" w:eastAsia="宋体" w:hAnsi="宋体" w:cs="宋体"/>
          <w:lang w:eastAsia="zh-CN"/>
        </w:rPr>
        <w:t>ESG报告的版式风格可采取多种多样的形式，本文件无意确定某种统一的固定</w:t>
      </w:r>
      <w:r>
        <w:rPr>
          <w:rFonts w:ascii="宋体" w:eastAsia="宋体" w:hAnsi="宋体" w:cs="宋体"/>
          <w:spacing w:val="-8"/>
          <w:lang w:eastAsia="zh-CN"/>
        </w:rPr>
        <w:t>模式。</w:t>
      </w:r>
    </w:p>
    <w:p w14:paraId="6A28D473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为便于读者反馈意见，ESG报告应在适当位置醒目地标明意见反馈的便捷</w:t>
      </w:r>
      <w:r>
        <w:rPr>
          <w:rFonts w:ascii="宋体" w:eastAsia="宋体" w:hAnsi="宋体" w:cs="宋体"/>
          <w:spacing w:val="-1"/>
          <w:lang w:eastAsia="zh-CN"/>
        </w:rPr>
        <w:t>方式和渠道。</w:t>
      </w:r>
    </w:p>
    <w:p w14:paraId="3B6B28E7" w14:textId="77777777" w:rsidR="008A1688" w:rsidRDefault="00000000">
      <w:pPr>
        <w:pStyle w:val="a4"/>
        <w:kinsoku/>
        <w:overflowPunct w:val="0"/>
        <w:autoSpaceDE/>
        <w:autoSpaceDN/>
        <w:spacing w:before="142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1"/>
          <w:sz w:val="21"/>
          <w:szCs w:val="21"/>
          <w:lang w:eastAsia="zh-CN"/>
        </w:rPr>
        <w:t>6.7  发布报告</w:t>
      </w:r>
      <w:proofErr w:type="gramEnd"/>
    </w:p>
    <w:p w14:paraId="190CF9B1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企业ESG报告发布可采取多种形式，如新闻发布会、电话会议、网络会议、电视直播、向目标利益</w:t>
      </w:r>
      <w:r>
        <w:rPr>
          <w:rFonts w:ascii="宋体" w:eastAsia="宋体" w:hAnsi="宋体" w:cs="宋体"/>
          <w:spacing w:val="-3"/>
          <w:lang w:eastAsia="zh-CN"/>
        </w:rPr>
        <w:t>相关方邮寄报告等。</w:t>
      </w:r>
    </w:p>
    <w:p w14:paraId="21D3B1A0" w14:textId="77777777" w:rsidR="008A1688" w:rsidRDefault="00000000">
      <w:pPr>
        <w:pStyle w:val="a4"/>
        <w:kinsoku/>
        <w:overflowPunct w:val="0"/>
        <w:autoSpaceDE/>
        <w:autoSpaceDN/>
        <w:spacing w:before="119" w:line="360" w:lineRule="auto"/>
        <w:rPr>
          <w:rFonts w:hint="eastAsia"/>
          <w:sz w:val="21"/>
          <w:szCs w:val="21"/>
          <w:lang w:eastAsia="zh-CN"/>
        </w:rPr>
      </w:pPr>
      <w:proofErr w:type="gramStart"/>
      <w:r>
        <w:rPr>
          <w:spacing w:val="-2"/>
          <w:sz w:val="21"/>
          <w:szCs w:val="21"/>
          <w:lang w:eastAsia="zh-CN"/>
        </w:rPr>
        <w:t>6.8  其他</w:t>
      </w:r>
      <w:proofErr w:type="gramEnd"/>
      <w:r>
        <w:rPr>
          <w:spacing w:val="-2"/>
          <w:sz w:val="21"/>
          <w:szCs w:val="21"/>
          <w:lang w:eastAsia="zh-CN"/>
        </w:rPr>
        <w:t>ESG信息披露</w:t>
      </w:r>
    </w:p>
    <w:p w14:paraId="5152150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其他ESG信息披露的一般流程包括披露目的确定、实质性议题的确定、披露形式的选择、披露框架</w:t>
      </w:r>
      <w:r>
        <w:rPr>
          <w:rFonts w:ascii="宋体" w:eastAsia="宋体" w:hAnsi="宋体" w:cs="宋体"/>
          <w:spacing w:val="-4"/>
          <w:lang w:eastAsia="zh-CN"/>
        </w:rPr>
        <w:t>的选择、信息搜集整理、披露。</w:t>
      </w:r>
    </w:p>
    <w:p w14:paraId="54FE69F7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lastRenderedPageBreak/>
        <w:t>企业确定披露目的，应考虑ESG信息披露对象，如监管机构、投资者等相关需求，以便匹配开展披</w:t>
      </w:r>
      <w:r>
        <w:rPr>
          <w:rFonts w:ascii="宋体" w:eastAsia="宋体" w:hAnsi="宋体" w:cs="宋体"/>
          <w:spacing w:val="-2"/>
          <w:lang w:eastAsia="zh-CN"/>
        </w:rPr>
        <w:t>露工作的具体内容。根据披露目的，确定利益相关方所关注的环境、社会</w:t>
      </w:r>
      <w:r>
        <w:rPr>
          <w:rFonts w:ascii="宋体" w:eastAsia="宋体" w:hAnsi="宋体" w:cs="宋体"/>
          <w:spacing w:val="-3"/>
          <w:lang w:eastAsia="zh-CN"/>
        </w:rPr>
        <w:t>责任、公司治理方面的实质性</w:t>
      </w:r>
      <w:r>
        <w:rPr>
          <w:rFonts w:ascii="宋体" w:eastAsia="宋体" w:hAnsi="宋体" w:cs="宋体"/>
          <w:spacing w:val="-2"/>
          <w:lang w:eastAsia="zh-CN"/>
        </w:rPr>
        <w:t>议题。根据自身的实际情况，选择不同的披露形式对外披露，搭建适用的</w:t>
      </w:r>
      <w:r>
        <w:rPr>
          <w:rFonts w:ascii="宋体" w:eastAsia="宋体" w:hAnsi="宋体" w:cs="宋体"/>
          <w:spacing w:val="-3"/>
          <w:lang w:eastAsia="zh-CN"/>
        </w:rPr>
        <w:t>、特色化的信息披露框架并收</w:t>
      </w:r>
      <w:r>
        <w:rPr>
          <w:rFonts w:ascii="宋体" w:eastAsia="宋体" w:hAnsi="宋体" w:cs="宋体"/>
          <w:spacing w:val="-1"/>
          <w:lang w:eastAsia="zh-CN"/>
        </w:rPr>
        <w:t>集计划披露信息的文字、图片、视频等素材，进行整理、编制和披露。</w:t>
      </w:r>
    </w:p>
    <w:p w14:paraId="3F340531" w14:textId="77777777" w:rsidR="008A1688" w:rsidRDefault="00000000">
      <w:pPr>
        <w:pStyle w:val="a4"/>
        <w:kinsoku/>
        <w:overflowPunct w:val="0"/>
        <w:autoSpaceDE/>
        <w:autoSpaceDN/>
        <w:spacing w:before="238" w:line="360" w:lineRule="auto"/>
        <w:outlineLvl w:val="0"/>
        <w:rPr>
          <w:rFonts w:hint="eastAsia"/>
          <w:spacing w:val="-1"/>
          <w:sz w:val="21"/>
          <w:szCs w:val="21"/>
          <w:lang w:eastAsia="zh-CN"/>
        </w:rPr>
      </w:pPr>
      <w:bookmarkStart w:id="15" w:name="_Toc2607"/>
      <w:proofErr w:type="gramStart"/>
      <w:r>
        <w:rPr>
          <w:spacing w:val="-1"/>
          <w:sz w:val="21"/>
          <w:szCs w:val="21"/>
          <w:lang w:eastAsia="zh-CN"/>
        </w:rPr>
        <w:t>7  提升信息披露的可信性</w:t>
      </w:r>
      <w:bookmarkEnd w:id="15"/>
      <w:proofErr w:type="gramEnd"/>
    </w:p>
    <w:p w14:paraId="49B8082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16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从本质上说，ESG信息披露的可信性主要取决于企业ESG活动本身的可信性</w:t>
      </w:r>
      <w:r>
        <w:rPr>
          <w:rFonts w:ascii="宋体" w:eastAsia="宋体" w:hAnsi="宋体" w:cs="宋体"/>
          <w:spacing w:val="-3"/>
          <w:lang w:eastAsia="zh-CN"/>
        </w:rPr>
        <w:t>。企业可从提升活动</w:t>
      </w:r>
      <w:proofErr w:type="gramStart"/>
      <w:r>
        <w:rPr>
          <w:rFonts w:ascii="宋体" w:eastAsia="宋体" w:hAnsi="宋体" w:cs="宋体"/>
          <w:spacing w:val="-3"/>
          <w:lang w:eastAsia="zh-CN"/>
        </w:rPr>
        <w:t>本身</w:t>
      </w:r>
      <w:r>
        <w:rPr>
          <w:rFonts w:ascii="宋体" w:eastAsia="宋体" w:hAnsi="宋体" w:cs="宋体"/>
          <w:lang w:eastAsia="zh-CN"/>
        </w:rPr>
        <w:t xml:space="preserve"> </w:t>
      </w:r>
      <w:r>
        <w:rPr>
          <w:rFonts w:ascii="宋体" w:eastAsia="宋体" w:hAnsi="宋体" w:cs="宋体"/>
          <w:spacing w:val="-4"/>
          <w:lang w:eastAsia="zh-CN"/>
        </w:rPr>
        <w:t>的</w:t>
      </w:r>
      <w:proofErr w:type="gramEnd"/>
      <w:r>
        <w:rPr>
          <w:rFonts w:ascii="宋体" w:eastAsia="宋体" w:hAnsi="宋体" w:cs="宋体"/>
          <w:spacing w:val="-4"/>
          <w:lang w:eastAsia="zh-CN"/>
        </w:rPr>
        <w:t>可信性入手：</w:t>
      </w:r>
    </w:p>
    <w:p w14:paraId="341ED5AE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——通过加强利益相关方参与提升可信性。利益相关方参与包含了与利益相关</w:t>
      </w:r>
      <w:r>
        <w:rPr>
          <w:rFonts w:ascii="宋体" w:eastAsia="宋体" w:hAnsi="宋体" w:cs="宋体"/>
          <w:spacing w:val="-1"/>
          <w:lang w:eastAsia="zh-CN"/>
        </w:rPr>
        <w:t>方之间的对话。利</w:t>
      </w:r>
      <w:r>
        <w:rPr>
          <w:rFonts w:ascii="宋体" w:eastAsia="宋体" w:hAnsi="宋体" w:cs="宋体"/>
          <w:lang w:eastAsia="zh-CN"/>
        </w:rPr>
        <w:t>益相关方参与是将利益相关方加入对企业绩效声明进行验证的基础。组织和利益相关方能够共同做出安排，让利益相关方定期评审或监控组织的绩</w:t>
      </w:r>
      <w:r>
        <w:rPr>
          <w:rFonts w:ascii="宋体" w:eastAsia="宋体" w:hAnsi="宋体" w:cs="宋体"/>
          <w:spacing w:val="-1"/>
          <w:lang w:eastAsia="zh-CN"/>
        </w:rPr>
        <w:t>效；</w:t>
      </w:r>
    </w:p>
    <w:p w14:paraId="1DF84F8D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——参加特定认证来增强有关议题的可信性。例如：产品安全认证、过程或产品的环境影响认证</w:t>
      </w:r>
      <w:r>
        <w:rPr>
          <w:rFonts w:ascii="宋体" w:eastAsia="宋体" w:hAnsi="宋体" w:cs="宋体"/>
          <w:spacing w:val="-1"/>
          <w:lang w:eastAsia="zh-CN"/>
        </w:rPr>
        <w:t>等。此类认证计划应确保独立且可靠；</w:t>
      </w:r>
    </w:p>
    <w:p w14:paraId="5A1097CF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——纳入独立相关方为可信性提供保证，例如建立由可信的人士组成的咨询委员会或评审委员会</w:t>
      </w:r>
      <w:r>
        <w:rPr>
          <w:rFonts w:ascii="宋体" w:eastAsia="宋体" w:hAnsi="宋体" w:cs="宋体"/>
          <w:spacing w:val="-10"/>
          <w:lang w:eastAsia="zh-CN"/>
        </w:rPr>
        <w:t>等。</w:t>
      </w:r>
    </w:p>
    <w:p w14:paraId="499CB3E5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——可加入同业公会或协会，或者以在各自活动领域或各自社区中倡导符合ESG</w:t>
      </w:r>
      <w:r>
        <w:rPr>
          <w:rFonts w:ascii="宋体" w:eastAsia="宋体" w:hAnsi="宋体" w:cs="宋体"/>
          <w:spacing w:val="-1"/>
          <w:lang w:eastAsia="zh-CN"/>
        </w:rPr>
        <w:t>理念的行为为宗</w:t>
      </w:r>
      <w:r>
        <w:rPr>
          <w:rFonts w:ascii="宋体" w:eastAsia="宋体" w:hAnsi="宋体" w:cs="宋体"/>
          <w:spacing w:val="-5"/>
          <w:lang w:eastAsia="zh-CN"/>
        </w:rPr>
        <w:t>旨的协会之中；</w:t>
      </w:r>
    </w:p>
    <w:p w14:paraId="1BAE2DE9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——对企业影响做出相关承诺，采取适当措施并评价其绩效，披露所取得的进</w:t>
      </w:r>
      <w:r>
        <w:rPr>
          <w:rFonts w:ascii="宋体" w:eastAsia="宋体" w:hAnsi="宋体" w:cs="宋体"/>
          <w:spacing w:val="-1"/>
          <w:lang w:eastAsia="zh-CN"/>
        </w:rPr>
        <w:t>展和存在的不足。</w:t>
      </w:r>
    </w:p>
    <w:p w14:paraId="042415B2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除了从提升ESG活动本身可信性入手外，企业在信</w:t>
      </w:r>
      <w:r>
        <w:rPr>
          <w:rFonts w:ascii="宋体" w:eastAsia="宋体" w:hAnsi="宋体" w:cs="宋体"/>
          <w:spacing w:val="-1"/>
          <w:lang w:eastAsia="zh-CN"/>
        </w:rPr>
        <w:t>息披露时可采用以下方法提升可信性：</w:t>
      </w:r>
    </w:p>
    <w:p w14:paraId="7760FD2A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——提高披露绩效的可比性。披露的绩效应具有不</w:t>
      </w:r>
      <w:r>
        <w:rPr>
          <w:rFonts w:ascii="宋体" w:eastAsia="宋体" w:hAnsi="宋体" w:cs="宋体"/>
          <w:spacing w:val="-1"/>
          <w:lang w:eastAsia="zh-CN"/>
        </w:rPr>
        <w:t>同时期的可比性，以及与同行的可比性；</w:t>
      </w:r>
    </w:p>
    <w:p w14:paraId="5EDD3A9A" w14:textId="77777777" w:rsidR="008A1688" w:rsidRDefault="00000000">
      <w:pPr>
        <w:kinsoku/>
        <w:overflowPunct w:val="0"/>
        <w:autoSpaceDE/>
        <w:autoSpaceDN/>
        <w:spacing w:before="23" w:line="360" w:lineRule="auto"/>
        <w:ind w:left="405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——简要说明企业未涵盖某个（些）主题的原因，以此表明组织希望涵盖所有重要事项；</w:t>
      </w:r>
    </w:p>
    <w:p w14:paraId="681E1A02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——采用严格且负责任的验证程序，</w:t>
      </w:r>
      <w:r>
        <w:rPr>
          <w:rFonts w:ascii="宋体" w:eastAsia="宋体" w:hAnsi="宋体" w:cs="宋体" w:hint="eastAsia"/>
          <w:lang w:eastAsia="zh-CN"/>
        </w:rPr>
        <w:t>以便</w:t>
      </w:r>
      <w:r>
        <w:rPr>
          <w:rFonts w:ascii="宋体" w:eastAsia="宋体" w:hAnsi="宋体" w:cs="宋体"/>
          <w:lang w:eastAsia="zh-CN"/>
        </w:rPr>
        <w:t>追溯数</w:t>
      </w:r>
      <w:r>
        <w:rPr>
          <w:rFonts w:ascii="宋体" w:eastAsia="宋体" w:hAnsi="宋体" w:cs="宋体"/>
          <w:spacing w:val="-1"/>
          <w:lang w:eastAsia="zh-CN"/>
        </w:rPr>
        <w:t>据和信息的可靠来源，并验证其准确性；</w:t>
      </w:r>
    </w:p>
    <w:p w14:paraId="65D8A66D" w14:textId="77777777" w:rsidR="008A1688" w:rsidRDefault="00000000">
      <w:pPr>
        <w:kinsoku/>
        <w:overflowPunct w:val="0"/>
        <w:autoSpaceDE/>
        <w:autoSpaceDN/>
        <w:spacing w:before="24" w:line="360" w:lineRule="auto"/>
        <w:ind w:left="851" w:right="98" w:hanging="446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——通过利益相关方证实披露的信息是否反映了组织的重大和相关议题，是否回应了利益相关方</w:t>
      </w:r>
      <w:r>
        <w:rPr>
          <w:rFonts w:ascii="宋体" w:eastAsia="宋体" w:hAnsi="宋体" w:cs="宋体"/>
          <w:spacing w:val="-7"/>
          <w:lang w:eastAsia="zh-CN"/>
        </w:rPr>
        <w:t>的关切和需求；</w:t>
      </w:r>
    </w:p>
    <w:p w14:paraId="43758C6C" w14:textId="77777777" w:rsidR="008A1688" w:rsidRDefault="00000000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lang w:eastAsia="zh-CN"/>
        </w:rPr>
        <w:t>——通过对报告部分或全部内容进行第三方审验，提高ESG</w:t>
      </w:r>
      <w:r>
        <w:rPr>
          <w:rFonts w:ascii="宋体" w:eastAsia="宋体" w:hAnsi="宋体" w:cs="宋体"/>
          <w:spacing w:val="-1"/>
          <w:lang w:eastAsia="zh-CN"/>
        </w:rPr>
        <w:t>资料的可信性。报告中应明确列出审验范围和依据；</w:t>
      </w:r>
    </w:p>
    <w:p w14:paraId="0F98E97F" w14:textId="77777777" w:rsidR="008A1688" w:rsidRDefault="00000000">
      <w:pPr>
        <w:kinsoku/>
        <w:overflowPunct w:val="0"/>
        <w:autoSpaceDE/>
        <w:autoSpaceDN/>
        <w:spacing w:before="1" w:line="360" w:lineRule="auto"/>
        <w:ind w:left="405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——依据相关</w:t>
      </w:r>
      <w:r>
        <w:rPr>
          <w:rFonts w:ascii="宋体" w:eastAsia="宋体" w:hAnsi="宋体" w:cs="宋体"/>
          <w:spacing w:val="-40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ESG</w:t>
      </w:r>
      <w:r>
        <w:rPr>
          <w:rFonts w:ascii="宋体" w:eastAsia="宋体" w:hAnsi="宋体" w:cs="宋体"/>
          <w:spacing w:val="-43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标准进行信息披露。</w:t>
      </w:r>
    </w:p>
    <w:p w14:paraId="784273F1" w14:textId="77777777" w:rsidR="008A1688" w:rsidRDefault="008A1688">
      <w:pPr>
        <w:kinsoku/>
        <w:overflowPunct w:val="0"/>
        <w:autoSpaceDE/>
        <w:autoSpaceDN/>
        <w:spacing w:line="360" w:lineRule="auto"/>
        <w:ind w:right="57" w:firstLineChars="200" w:firstLine="420"/>
        <w:jc w:val="both"/>
        <w:rPr>
          <w:rFonts w:ascii="宋体" w:eastAsia="宋体" w:hAnsi="宋体" w:cs="宋体" w:hint="eastAsia"/>
          <w:lang w:eastAsia="zh-CN"/>
        </w:rPr>
        <w:sectPr w:rsidR="008A1688">
          <w:headerReference w:type="default" r:id="rId14"/>
          <w:footerReference w:type="default" r:id="rId15"/>
          <w:pgSz w:w="11907" w:h="16839"/>
          <w:pgMar w:top="1716" w:right="1128" w:bottom="1340" w:left="1444" w:header="1391" w:footer="1106" w:gutter="0"/>
          <w:cols w:space="720"/>
        </w:sectPr>
      </w:pPr>
    </w:p>
    <w:p w14:paraId="2866D758" w14:textId="77777777" w:rsidR="008A1688" w:rsidRDefault="00000000">
      <w:pPr>
        <w:pStyle w:val="a4"/>
        <w:kinsoku/>
        <w:overflowPunct w:val="0"/>
        <w:autoSpaceDE/>
        <w:autoSpaceDN/>
        <w:spacing w:before="68" w:line="360" w:lineRule="auto"/>
        <w:ind w:left="4655" w:hangingChars="2282" w:hanging="4655"/>
        <w:jc w:val="center"/>
        <w:outlineLvl w:val="0"/>
        <w:rPr>
          <w:rFonts w:hint="eastAsia"/>
          <w:sz w:val="21"/>
          <w:szCs w:val="21"/>
          <w:lang w:eastAsia="zh-CN"/>
        </w:rPr>
      </w:pPr>
      <w:bookmarkStart w:id="16" w:name="_Toc25695"/>
      <w:r>
        <w:rPr>
          <w:spacing w:val="-6"/>
          <w:sz w:val="21"/>
          <w:szCs w:val="21"/>
          <w:lang w:eastAsia="zh-CN"/>
        </w:rPr>
        <w:lastRenderedPageBreak/>
        <w:t>附录</w:t>
      </w:r>
      <w:r>
        <w:rPr>
          <w:spacing w:val="-50"/>
          <w:sz w:val="21"/>
          <w:szCs w:val="21"/>
          <w:lang w:eastAsia="zh-CN"/>
        </w:rPr>
        <w:t xml:space="preserve"> </w:t>
      </w:r>
      <w:r>
        <w:rPr>
          <w:spacing w:val="-6"/>
          <w:sz w:val="21"/>
          <w:szCs w:val="21"/>
          <w:lang w:eastAsia="zh-CN"/>
        </w:rPr>
        <w:t>A</w:t>
      </w:r>
      <w:bookmarkEnd w:id="16"/>
    </w:p>
    <w:p w14:paraId="0C6008F0" w14:textId="77777777" w:rsidR="008A1688" w:rsidRDefault="00000000">
      <w:pPr>
        <w:kinsoku/>
        <w:overflowPunct w:val="0"/>
        <w:autoSpaceDE/>
        <w:autoSpaceDN/>
        <w:spacing w:before="144" w:line="360" w:lineRule="auto"/>
        <w:ind w:left="2931" w:hangingChars="1416" w:hanging="2931"/>
        <w:jc w:val="center"/>
        <w:rPr>
          <w:rFonts w:ascii="黑体" w:eastAsia="黑体" w:hAnsi="黑体" w:cs="黑体" w:hint="eastAsia"/>
          <w:spacing w:val="-3"/>
          <w:lang w:eastAsia="zh-CN"/>
        </w:rPr>
      </w:pPr>
      <w:r>
        <w:rPr>
          <w:rFonts w:ascii="黑体" w:eastAsia="黑体" w:hAnsi="黑体" w:cs="黑体"/>
          <w:spacing w:val="-3"/>
          <w:lang w:eastAsia="zh-CN"/>
        </w:rPr>
        <w:t>（</w:t>
      </w:r>
      <w:r>
        <w:rPr>
          <w:rFonts w:ascii="黑体" w:eastAsia="黑体" w:hAnsi="黑体" w:cs="黑体" w:hint="eastAsia"/>
          <w:spacing w:val="-3"/>
          <w:lang w:eastAsia="zh-CN"/>
        </w:rPr>
        <w:t>资料性</w:t>
      </w:r>
      <w:r>
        <w:rPr>
          <w:rFonts w:ascii="黑体" w:eastAsia="黑体" w:hAnsi="黑体" w:cs="黑体"/>
          <w:spacing w:val="-3"/>
          <w:lang w:eastAsia="zh-CN"/>
        </w:rPr>
        <w:t>）</w:t>
      </w:r>
    </w:p>
    <w:p w14:paraId="5B439AFB" w14:textId="77777777" w:rsidR="008A1688" w:rsidRDefault="00000000">
      <w:pPr>
        <w:kinsoku/>
        <w:overflowPunct w:val="0"/>
        <w:autoSpaceDE/>
        <w:autoSpaceDN/>
        <w:spacing w:before="144" w:line="360" w:lineRule="auto"/>
        <w:ind w:left="2931" w:hangingChars="1416" w:hanging="2931"/>
        <w:jc w:val="center"/>
        <w:rPr>
          <w:rFonts w:ascii="黑体" w:eastAsia="黑体" w:hAnsi="黑体" w:cs="黑体" w:hint="eastAsia"/>
          <w:spacing w:val="-3"/>
          <w:lang w:eastAsia="zh-CN"/>
        </w:rPr>
      </w:pPr>
      <w:bookmarkStart w:id="17" w:name="bookmark10"/>
      <w:bookmarkEnd w:id="17"/>
      <w:r>
        <w:rPr>
          <w:rFonts w:ascii="黑体" w:eastAsia="黑体" w:hAnsi="黑体" w:cs="黑体"/>
          <w:spacing w:val="-3"/>
          <w:lang w:eastAsia="zh-CN"/>
        </w:rPr>
        <w:t>中国汽车行业 ESG 信息披露参考指标</w:t>
      </w:r>
    </w:p>
    <w:p w14:paraId="4B9D6713" w14:textId="77777777" w:rsidR="008A1688" w:rsidRDefault="00000000">
      <w:pPr>
        <w:kinsoku/>
        <w:overflowPunct w:val="0"/>
        <w:autoSpaceDE/>
        <w:autoSpaceDN/>
        <w:spacing w:before="144" w:line="360" w:lineRule="auto"/>
        <w:ind w:left="2889"/>
        <w:jc w:val="both"/>
        <w:rPr>
          <w:rFonts w:ascii="黑体" w:eastAsia="黑体" w:hAnsi="黑体" w:cs="黑体" w:hint="eastAsia"/>
          <w:spacing w:val="-3"/>
          <w:lang w:eastAsia="zh-CN"/>
        </w:rPr>
      </w:pPr>
      <w:r>
        <w:rPr>
          <w:rFonts w:ascii="黑体" w:eastAsia="黑体" w:hAnsi="黑体" w:cs="黑体"/>
          <w:spacing w:val="-3"/>
          <w:lang w:eastAsia="zh-CN"/>
        </w:rPr>
        <w:t>表A.</w:t>
      </w:r>
      <w:proofErr w:type="gramStart"/>
      <w:r>
        <w:rPr>
          <w:rFonts w:ascii="黑体" w:eastAsia="黑体" w:hAnsi="黑体" w:cs="黑体"/>
          <w:spacing w:val="-3"/>
          <w:lang w:eastAsia="zh-CN"/>
        </w:rPr>
        <w:t>1 中国</w:t>
      </w:r>
      <w:proofErr w:type="gramEnd"/>
      <w:r>
        <w:rPr>
          <w:rFonts w:ascii="黑体" w:eastAsia="黑体" w:hAnsi="黑体" w:cs="黑体"/>
          <w:spacing w:val="-3"/>
          <w:lang w:eastAsia="zh-CN"/>
        </w:rPr>
        <w:t>汽车行业 ESG 信息披露参考指标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658"/>
        <w:gridCol w:w="1976"/>
        <w:gridCol w:w="2260"/>
        <w:gridCol w:w="4388"/>
      </w:tblGrid>
      <w:tr w:rsidR="008A1688" w14:paraId="732E35E1" w14:textId="77777777">
        <w:trPr>
          <w:trHeight w:val="325"/>
        </w:trPr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70882036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维度</w:t>
            </w: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3148AF6E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议题</w:t>
            </w:r>
          </w:p>
        </w:tc>
        <w:tc>
          <w:tcPr>
            <w:tcW w:w="1293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4C7ED38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一级指标</w:t>
            </w:r>
          </w:p>
        </w:tc>
        <w:tc>
          <w:tcPr>
            <w:tcW w:w="24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8576E0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2"/>
                <w:lang w:eastAsia="zh-CN" w:bidi="ar"/>
              </w:rPr>
              <w:t>二级指标</w:t>
            </w:r>
          </w:p>
        </w:tc>
      </w:tr>
      <w:tr w:rsidR="008A1688" w14:paraId="404CBE86" w14:textId="77777777">
        <w:trPr>
          <w:trHeight w:val="325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4ED5F60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014BEC4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293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8B3CD5C" w14:textId="77777777" w:rsidR="008A1688" w:rsidRDefault="008A1688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2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A286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8A1688" w14:paraId="1724D093" w14:textId="77777777">
        <w:trPr>
          <w:trHeight w:val="1770"/>
        </w:trPr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602FB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</w:t>
            </w: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2B07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应对气候变化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88F32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应对气候变化治理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615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气候相关治理机构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气候相关治理机构（人员）专业技能和能力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气候相关治理机构（人员）获取信息的机制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气候相关治理机构（人员）监督情况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气候相关治理机构将气候相关因素纳入决策的情况</w:t>
            </w:r>
          </w:p>
        </w:tc>
      </w:tr>
      <w:tr w:rsidR="008A1688" w14:paraId="027E862C" w14:textId="77777777">
        <w:trPr>
          <w:trHeight w:val="309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250F2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40F0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F5C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应对气候变化战略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BA4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气候相关重大影响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气候相关风险和机遇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气候相关风险和机遇对商业模式和价值链的影响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气候相关影响、风险和机遇对公司战略和决策的影响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气候相关转型计划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当期气候相关财务影响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预期气候相关财务影响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气候适应性评估</w:t>
            </w:r>
          </w:p>
        </w:tc>
      </w:tr>
      <w:tr w:rsidR="008A1688" w14:paraId="2809D868" w14:textId="77777777">
        <w:trPr>
          <w:trHeight w:val="111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FEE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9CC1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D18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气候变化相关影响、风险和机遇管理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EA20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温室气体减排举措及举措成效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产品碳足迹管理工作情况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供应链协同降碳管理工作情况</w:t>
            </w:r>
          </w:p>
        </w:tc>
      </w:tr>
      <w:tr w:rsidR="008A1688" w14:paraId="647AE164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D1AB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B5654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B99C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应对气候变化的指标与目标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2E4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气候相关目标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气候相关目标进展</w:t>
            </w:r>
          </w:p>
        </w:tc>
      </w:tr>
      <w:tr w:rsidR="008A1688" w14:paraId="30DCCE05" w14:textId="77777777">
        <w:trPr>
          <w:trHeight w:val="111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939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CE98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753F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温室气体排放情况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D94A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范围一温室气体排放量（吨二氧化碳当量）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范围二温室气体排放量（吨二氧化碳当量）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范围三温室气体排放量（吨二氧化碳当量）</w:t>
            </w:r>
          </w:p>
        </w:tc>
      </w:tr>
      <w:tr w:rsidR="008A1688" w14:paraId="2218839A" w14:textId="77777777">
        <w:trPr>
          <w:trHeight w:val="111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8594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4D860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污染物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927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污染物减排措施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FD42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大气污染物减排举措及措施成效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水污染物减排举措及措施成效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噪声减排举措及措施成效</w:t>
            </w:r>
          </w:p>
        </w:tc>
      </w:tr>
      <w:tr w:rsidR="008A1688" w14:paraId="0FFF0A8B" w14:textId="77777777">
        <w:trPr>
          <w:trHeight w:val="111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6E62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6B5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866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污染物减排目标与进展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2EE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大气污染物减排目标及目标完成情况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水污染物减排目标及目标完成情况</w:t>
            </w:r>
          </w:p>
        </w:tc>
      </w:tr>
      <w:tr w:rsidR="008A1688" w14:paraId="0250F395" w14:textId="77777777">
        <w:trPr>
          <w:trHeight w:val="111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39E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4B9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711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污染物处理措施及成效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50A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大气污染物监测、收集、处置措施及成效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水污染物监测、收集、处置措施及成效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污染物排放应急管理</w:t>
            </w:r>
          </w:p>
        </w:tc>
      </w:tr>
      <w:tr w:rsidR="008A1688" w14:paraId="325E32D8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579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6527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6D8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污染物合规处理情况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CD2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披露污染物合规处置情况，如有重大行政处罚应说明原因及事件处置情况。</w:t>
            </w:r>
          </w:p>
        </w:tc>
      </w:tr>
      <w:tr w:rsidR="008A1688" w14:paraId="7566A3B9" w14:textId="77777777">
        <w:trPr>
          <w:trHeight w:val="276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69B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D592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B031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污染物排放情况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E33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氮氧化物排放量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(吨)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悬浮粒子与颗粒物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(PM)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排放量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(吨)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挥发性有机化合物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(VOCs)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排放量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(吨)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非甲烷总烃排放量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(吨)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氨氮排放量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(吨)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化学需氧量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(吨)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生化需氧量排放量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(吨)</w:t>
            </w:r>
            <w:proofErr w:type="gramEnd"/>
          </w:p>
        </w:tc>
      </w:tr>
      <w:tr w:rsidR="008A1688" w14:paraId="1BF20A69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DBE0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2154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废弃物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5E3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废弃物减排措施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967D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一般废弃物减排措施及措施成效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有害废弃物减排措施及措施成效</w:t>
            </w:r>
          </w:p>
        </w:tc>
      </w:tr>
      <w:tr w:rsidR="008A1688" w14:paraId="6457C867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2D6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4274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73B2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废弃物减排目标与进展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06E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一般废弃物减排目标及目标完成情况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有害废弃物减排目标及目标完成情况</w:t>
            </w:r>
          </w:p>
        </w:tc>
      </w:tr>
      <w:tr w:rsidR="008A1688" w14:paraId="54AC8B8F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FFF7F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6A13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74AE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废弃物处置措施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87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废弃物收集、分类、处置的具体措施及措施的成效</w:t>
            </w:r>
          </w:p>
        </w:tc>
      </w:tr>
      <w:tr w:rsidR="008A1688" w14:paraId="52D2D489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2D93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253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8493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废弃物排放情况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FF6D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产生无害废弃物总量（吨）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产生有害废弃物总量（吨）</w:t>
            </w:r>
          </w:p>
        </w:tc>
      </w:tr>
      <w:tr w:rsidR="008A1688" w14:paraId="2EA8C1F7" w14:textId="77777777">
        <w:trPr>
          <w:trHeight w:val="177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60B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0BC0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循环经济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9D8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资源循环利用举措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9A5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源头减少资源利用情况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再生资源利用情况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包装使用情况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废弃物循环再利用情况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废水循环再利用情况</w:t>
            </w:r>
          </w:p>
        </w:tc>
      </w:tr>
      <w:tr w:rsidR="008A1688" w14:paraId="0A0953DF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E9B7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C1D0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021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资源循环利用目标与进展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B2D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循环经济目标及目标完成情况</w:t>
            </w:r>
          </w:p>
        </w:tc>
      </w:tr>
      <w:tr w:rsidR="008A1688" w14:paraId="5DEB1875" w14:textId="77777777">
        <w:trPr>
          <w:trHeight w:val="177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583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54BF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BEA03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资源循环利用情况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1CE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废弃物回收量（吨）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报废材料回收量（吨）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整车设计可回收利用率（%）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可回收产品的销售比例（%）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产品来自回收或再生材料的百分比（%）</w:t>
            </w:r>
          </w:p>
        </w:tc>
      </w:tr>
      <w:tr w:rsidR="008A1688" w14:paraId="5E6484C5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638BB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0F3D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能源利用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5E92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能源节约举措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BE7D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减少生产运营能源消耗的措施及措施成效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减少产品使用能源消耗的措施及措施成效</w:t>
            </w:r>
          </w:p>
        </w:tc>
      </w:tr>
      <w:tr w:rsidR="008A1688" w14:paraId="102C4753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65EB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C9AE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0470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能源节约目标与进展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16B3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能源节约目标及目标完成情况</w:t>
            </w:r>
          </w:p>
        </w:tc>
      </w:tr>
      <w:tr w:rsidR="008A1688" w14:paraId="1E5A18FC" w14:textId="77777777">
        <w:trPr>
          <w:trHeight w:val="144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90350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0C47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F01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能源使用情况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124B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直接能源消耗量（吨标煤）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间接能源消耗量（吨标煤）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能源消费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总量 （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吨标煤）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单位产品综合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能耗 （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吨标煤）</w:t>
            </w:r>
          </w:p>
        </w:tc>
      </w:tr>
      <w:tr w:rsidR="008A1688" w14:paraId="6C75B0B7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3E3D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509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5DE6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清洁能源使用情况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17B5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清洁能源使用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量 （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吨标煤）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清洁能源使用占比（%）</w:t>
            </w:r>
          </w:p>
        </w:tc>
      </w:tr>
      <w:tr w:rsidR="008A1688" w14:paraId="4F7CE10B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93CD6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CE5C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水资源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799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水资源节约举措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508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Style w:val="font21"/>
                <w:rFonts w:ascii="宋体" w:eastAsia="宋体" w:hAnsi="宋体" w:cs="宋体" w:hint="default"/>
                <w:lang w:eastAsia="zh-CN" w:bidi="ar"/>
              </w:rPr>
              <w:t>减少水资源消耗措施及措施成效</w:t>
            </w:r>
            <w:r>
              <w:rPr>
                <w:rStyle w:val="font21"/>
                <w:rFonts w:ascii="宋体" w:eastAsia="宋体" w:hAnsi="宋体" w:cs="宋体" w:hint="default"/>
                <w:lang w:eastAsia="zh-CN" w:bidi="ar"/>
              </w:rPr>
              <w:br/>
            </w:r>
            <w:r>
              <w:rPr>
                <w:rStyle w:val="font31"/>
                <w:rFonts w:ascii="宋体" w:eastAsia="宋体" w:hAnsi="宋体" w:cs="宋体" w:hint="default"/>
                <w:lang w:eastAsia="zh-CN" w:bidi="ar"/>
              </w:rPr>
              <w:t>水风险评估</w:t>
            </w:r>
          </w:p>
        </w:tc>
      </w:tr>
      <w:tr w:rsidR="008A1688" w14:paraId="3D608098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32B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0A0E0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77A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水资源节约目标与进展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5069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水资源节约目标及目标完成情况</w:t>
            </w:r>
          </w:p>
        </w:tc>
      </w:tr>
      <w:tr w:rsidR="008A1688" w14:paraId="57AE44FD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26C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844B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045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水资源使用情况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684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总用水量（吨）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总取水量（吨）</w:t>
            </w:r>
          </w:p>
        </w:tc>
      </w:tr>
      <w:tr w:rsidR="008A1688" w14:paraId="0F5F1522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70C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7E73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生态系统和生物多样性保护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DAC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减轻生态系统和生物多样性影响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6F7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减轻生态系统和生物多样性影响的措施及措施成效</w:t>
            </w:r>
          </w:p>
        </w:tc>
      </w:tr>
      <w:tr w:rsidR="008A1688" w14:paraId="4D8E855D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837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EBA3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6E4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保护生态系统和生物多样性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998F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保护生态系统和生物多样性的措施及措施成效</w:t>
            </w:r>
          </w:p>
        </w:tc>
      </w:tr>
      <w:tr w:rsidR="008A1688" w14:paraId="1F3D7F79" w14:textId="77777777">
        <w:trPr>
          <w:trHeight w:val="7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12C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6B60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环境合规管理</w:t>
            </w: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260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环境管理体系建设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BB4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环境管理组织架构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环境管理体系认证及认证覆盖情况</w:t>
            </w:r>
          </w:p>
        </w:tc>
      </w:tr>
      <w:tr w:rsidR="008A1688" w14:paraId="796623CD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FA2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A906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128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环境应急管理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C026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环境应急预案建设及演练</w:t>
            </w:r>
          </w:p>
        </w:tc>
      </w:tr>
      <w:tr w:rsidR="008A1688" w14:paraId="11FEE8C1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7AC3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A7E74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0C6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环境保护投入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59E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环境保护投入（万元）</w:t>
            </w:r>
          </w:p>
        </w:tc>
      </w:tr>
      <w:tr w:rsidR="008A1688" w14:paraId="14668417" w14:textId="77777777">
        <w:trPr>
          <w:trHeight w:val="45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E9AF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D9E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728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环境保护培训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3EF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环境培训（人次）</w:t>
            </w:r>
          </w:p>
        </w:tc>
      </w:tr>
      <w:tr w:rsidR="008A1688" w14:paraId="6DDEC890" w14:textId="77777777">
        <w:trPr>
          <w:trHeight w:val="1840"/>
        </w:trPr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E63196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社会</w:t>
            </w: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09090F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产品与服务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D357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产品质量、产品安全认证或评价</w:t>
            </w:r>
          </w:p>
        </w:tc>
        <w:tc>
          <w:tcPr>
            <w:tcW w:w="24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750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获得的质量管理体系认证情况和认证覆盖范围，如ISO 9001，IATF 16949等认证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主要产品获得的安全认证或评级情况。例如NCAP 5星安全评级，新能源汽车电池安全认证、ISO 26262功能安全等</w:t>
            </w:r>
          </w:p>
        </w:tc>
      </w:tr>
      <w:tr w:rsidR="008A1688" w14:paraId="602EEC96" w14:textId="77777777">
        <w:trPr>
          <w:trHeight w:val="651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C1248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A38F16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5076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产品召回</w:t>
            </w:r>
          </w:p>
        </w:tc>
        <w:tc>
          <w:tcPr>
            <w:tcW w:w="24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B33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产品召回流程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报告期内召回产品数量及处理措施</w:t>
            </w:r>
          </w:p>
        </w:tc>
      </w:tr>
      <w:tr w:rsidR="008A1688" w14:paraId="30230718" w14:textId="77777777">
        <w:trPr>
          <w:trHeight w:val="651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37208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E7429D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F378F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客户服务</w:t>
            </w:r>
          </w:p>
        </w:tc>
        <w:tc>
          <w:tcPr>
            <w:tcW w:w="24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B81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负责任的营销承诺及落实情况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客户投诉处理流程</w:t>
            </w:r>
          </w:p>
        </w:tc>
      </w:tr>
      <w:tr w:rsidR="008A1688" w14:paraId="2D71BC4A" w14:textId="77777777">
        <w:trPr>
          <w:trHeight w:val="651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3EFE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8002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AED0D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产品与服务相关的重大责任事故</w:t>
            </w:r>
          </w:p>
        </w:tc>
        <w:tc>
          <w:tcPr>
            <w:tcW w:w="24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4E27D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报告期内发生的产品和服务相关的安全与质量重大责任事故，包括事件总数、事件</w:t>
            </w:r>
            <w:proofErr w:type="gramStart"/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性质 、</w:t>
            </w:r>
            <w:proofErr w:type="gramEnd"/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造成的影响及损害涉及的金额、采取的应对措施及进展</w:t>
            </w:r>
          </w:p>
        </w:tc>
      </w:tr>
      <w:tr w:rsidR="008A1688" w14:paraId="6D9616DD" w14:textId="77777777">
        <w:trPr>
          <w:trHeight w:val="326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51256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155F19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创新驱动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EE2B3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科技伦理</w:t>
            </w:r>
          </w:p>
        </w:tc>
        <w:tc>
          <w:tcPr>
            <w:tcW w:w="243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C640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科技活动领域及遵守的伦理规范</w:t>
            </w:r>
          </w:p>
        </w:tc>
      </w:tr>
      <w:tr w:rsidR="008A1688" w14:paraId="237C5762" w14:textId="77777777">
        <w:trPr>
          <w:trHeight w:val="651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81094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A0B930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D1B7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研发创新管理体系认证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454F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通过研发创新管理与知识产权管理体系相关认证的情况，包括ISO 56002、ISO 56005或GB/T 29490等认证</w:t>
            </w:r>
          </w:p>
        </w:tc>
      </w:tr>
      <w:tr w:rsidR="008A1688" w14:paraId="6A585FC8" w14:textId="77777777">
        <w:trPr>
          <w:trHeight w:val="326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31014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0BB16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097F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研发与创新激励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2A9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鼓励研发与创新的措施</w:t>
            </w:r>
          </w:p>
        </w:tc>
      </w:tr>
      <w:tr w:rsidR="008A1688" w14:paraId="3FBD49CF" w14:textId="77777777">
        <w:trPr>
          <w:trHeight w:val="326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5F6AB3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8D363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57FA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研发投入情况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C87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研发投入占营业收入比例</w:t>
            </w:r>
          </w:p>
        </w:tc>
      </w:tr>
      <w:tr w:rsidR="008A1688" w14:paraId="1D1E863B" w14:textId="77777777">
        <w:trPr>
          <w:trHeight w:val="651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C5561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4FD5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F88B1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研发创新方向与成果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BBA1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在汽车新四化/清洁技术/安全驾驶等行业前沿领域开展研发创新的情况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获得发明专利、创新奖项、专业资质等情况</w:t>
            </w:r>
          </w:p>
        </w:tc>
      </w:tr>
      <w:tr w:rsidR="008A1688" w14:paraId="31218D22" w14:textId="77777777">
        <w:trPr>
          <w:trHeight w:val="128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104DA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507F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数据安全与隐私保护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CD48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保障数据安全与隐私保护的措施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285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企业自身针对数据安全与隐私保护采取信息分类管理、升级安全技术等相关保护措施；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将供应商及商业伙伴纳入数据安全与隐私保护管理体系的措施，如协议签署、安全评估、持续监控等</w:t>
            </w:r>
          </w:p>
        </w:tc>
      </w:tr>
      <w:tr w:rsidR="008A1688" w14:paraId="5DF889EA" w14:textId="77777777">
        <w:trPr>
          <w:trHeight w:val="94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025CB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D1C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4ADB5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数据安全与隐私保护培训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8CB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针对员工、供应商开展数据安全与隐私保护培训的情况，包括培训内容、培训覆盖率等</w:t>
            </w:r>
          </w:p>
        </w:tc>
      </w:tr>
      <w:tr w:rsidR="008A1688" w14:paraId="3B715B38" w14:textId="77777777">
        <w:trPr>
          <w:trHeight w:val="166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CFBC83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B3A7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1BBAC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数据安全与隐私保护相关认证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251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通过信息安全与隐私保护管理体系相关认证的情况，包括信息安全、隐私管理或云服务相关认证等</w:t>
            </w:r>
          </w:p>
        </w:tc>
      </w:tr>
      <w:tr w:rsidR="008A1688" w14:paraId="6C1D05FA" w14:textId="77777777">
        <w:trPr>
          <w:trHeight w:val="166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54817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5E8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6B93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数据与隐私泄露事件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C27B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发生的数据与隐私泄露事件，包括事件总数、事件</w:t>
            </w:r>
            <w:proofErr w:type="gramStart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性质 、</w:t>
            </w:r>
            <w:proofErr w:type="gramEnd"/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造成的影响及损害涉及的金额、采取的应对措施及进展</w:t>
            </w:r>
          </w:p>
        </w:tc>
      </w:tr>
      <w:tr w:rsidR="008A1688" w14:paraId="4DC9FC85" w14:textId="77777777">
        <w:trPr>
          <w:trHeight w:val="82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7B27E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B5B77B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员工权益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CD43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反歧视与骚扰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76C0A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歧视骚扰行为的举报途径和处理机制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反歧视与骚扰培训情况</w:t>
            </w:r>
          </w:p>
        </w:tc>
      </w:tr>
      <w:tr w:rsidR="008A1688" w14:paraId="57C9F677" w14:textId="77777777">
        <w:trPr>
          <w:trHeight w:val="166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E94E16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657EAF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B9A72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薪酬与福利关怀</w:t>
            </w:r>
          </w:p>
        </w:tc>
        <w:tc>
          <w:tcPr>
            <w:tcW w:w="243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4DBFF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员工依法获得合理薪酬及社会保险的情况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女职工权益保障措施实施情况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法定保障之外的员工福利关怀措施实施情况，例如帮助员工平衡工作与家庭生活，提供补充医疗保险等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员工满意度调查实施情况</w:t>
            </w:r>
          </w:p>
        </w:tc>
      </w:tr>
      <w:tr w:rsidR="008A1688" w14:paraId="6D3079B2" w14:textId="77777777">
        <w:trPr>
          <w:trHeight w:val="2320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01129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633F3A5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16B5E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职业健康与安全管理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DBBF5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职业安全风险及来源的识别与评估开展情况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职业健康安全管理体系建立情况，获得职业健康安全管理体系认证的运营点数量和比例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职业健康安全培训与应急演练情况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职业健康安全保险投入与保障情况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职业健康与安全目标及进展</w:t>
            </w:r>
          </w:p>
        </w:tc>
      </w:tr>
      <w:tr w:rsidR="008A1688" w14:paraId="0B79EB8A" w14:textId="77777777">
        <w:trPr>
          <w:trHeight w:val="130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B99DB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57A6F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96CA4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员工发展与培训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A79A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为员工提供职业培训的情况，包括培训类型、覆盖员工比例、人均培训时长等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员工技能转型与数字素养提升相关措施实施情况</w:t>
            </w: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br/>
              <w:t>员工晋升、选拔与职业发展机制</w:t>
            </w:r>
          </w:p>
        </w:tc>
      </w:tr>
      <w:tr w:rsidR="008A1688" w14:paraId="3BBEECDA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4DC7E0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5F9C5CD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2612C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员工权益相关绩效指标</w:t>
            </w:r>
          </w:p>
        </w:tc>
        <w:tc>
          <w:tcPr>
            <w:tcW w:w="2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A425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百万工时工伤率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员工流失率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集体谈判协议覆盖率</w:t>
            </w:r>
          </w:p>
        </w:tc>
      </w:tr>
      <w:tr w:rsidR="008A1688" w14:paraId="6F6E7AF6" w14:textId="77777777">
        <w:trPr>
          <w:trHeight w:val="325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12F5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D26677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社会贡献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B1A3B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社区协商</w:t>
            </w:r>
          </w:p>
        </w:tc>
        <w:tc>
          <w:tcPr>
            <w:tcW w:w="24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398ED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社区沟通与利益相关方参与机制建设情况</w:t>
            </w:r>
          </w:p>
        </w:tc>
      </w:tr>
      <w:tr w:rsidR="008A1688" w14:paraId="3B0CD80A" w14:textId="77777777">
        <w:trPr>
          <w:trHeight w:val="549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70186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658DD2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FEA01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社区参与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1E8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开展助力社区发展的实践，包括环境保护、交通安全意识提升、扶弱救困、乡村振兴等</w:t>
            </w:r>
          </w:p>
        </w:tc>
      </w:tr>
      <w:tr w:rsidR="008A1688" w14:paraId="767AA8BC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C8DDE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F60B2A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可持续供应链管理</w:t>
            </w: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1703B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可持续采购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6DCA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优先采购和使用有利于环境保护的原材料、产品和服务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在仓储和物流运输等环节，推行节能减排措施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建立产品可追溯体系</w:t>
            </w:r>
          </w:p>
        </w:tc>
      </w:tr>
      <w:tr w:rsidR="008A1688" w14:paraId="2EDC49DF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A8207F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F37DC7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2D2CB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供应商ESG评估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7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供应商ESG准入机制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供应商ESG评价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供应商ESG激励</w:t>
            </w:r>
          </w:p>
        </w:tc>
      </w:tr>
      <w:tr w:rsidR="008A1688" w14:paraId="529BAE48" w14:textId="77777777">
        <w:trPr>
          <w:trHeight w:val="1646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AB8EB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64DF1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CF7FB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供应链尽职调查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4AF09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识别供应链实际及潜在不利影响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终止、防范与减缓不利影响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监督和跟踪不利影响补救措施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尽职调查相关信息披露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提供条件或开展合作以消除不利影响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供应链尽职调查申诉机制</w:t>
            </w:r>
          </w:p>
        </w:tc>
      </w:tr>
      <w:tr w:rsidR="008A1688" w14:paraId="110FD0AE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79DAF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23BA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4659A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避免使用冲突矿产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C83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避免使用冲突矿产声明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遵循国际指南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第三方冲突矿产调查</w:t>
            </w:r>
          </w:p>
        </w:tc>
      </w:tr>
      <w:tr w:rsidR="008A1688" w14:paraId="0E6E703E" w14:textId="77777777">
        <w:trPr>
          <w:trHeight w:val="325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C56FDD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614427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08853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扶持供应商成长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AB13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供应商可持续发展能力建设情况</w:t>
            </w:r>
          </w:p>
        </w:tc>
      </w:tr>
      <w:tr w:rsidR="008A1688" w14:paraId="41134882" w14:textId="77777777">
        <w:trPr>
          <w:trHeight w:val="325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D4B066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800389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46761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平等对待中小企业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A81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中小企业逾期款项支付情况</w:t>
            </w:r>
          </w:p>
        </w:tc>
      </w:tr>
      <w:tr w:rsidR="008A1688" w14:paraId="538BD4ED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D17384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9474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0F411F3B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可持续供应链管理情况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57CE22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可持续供应链管理目标及目标完成情况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供应链认证/审核/评价情况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供应商培训情况</w:t>
            </w:r>
          </w:p>
        </w:tc>
      </w:tr>
      <w:tr w:rsidR="008A1688" w14:paraId="72FEB476" w14:textId="77777777">
        <w:trPr>
          <w:trHeight w:val="1097"/>
        </w:trPr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747B7D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治理</w:t>
            </w: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B239C3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ESG治理</w:t>
            </w: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EAF0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利益相关方管理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7A6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利益相关方识别、评估流程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利益相关方参与方针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利益相关方沟通机制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议题识别、评估、优先排序与管理机制与流程</w:t>
            </w:r>
          </w:p>
        </w:tc>
      </w:tr>
      <w:tr w:rsidR="008A1688" w14:paraId="3F7C552E" w14:textId="77777777">
        <w:trPr>
          <w:trHeight w:val="325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5DFF4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178D6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997CB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培训与能力建设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35F4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ESG能力建设活动开展情况</w:t>
            </w:r>
          </w:p>
        </w:tc>
      </w:tr>
      <w:tr w:rsidR="008A1688" w14:paraId="665B3C9F" w14:textId="77777777">
        <w:trPr>
          <w:trHeight w:val="325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DCACBD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DB9F2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4B856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报告鉴证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0A51E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ESG报告鉴证情况</w:t>
            </w:r>
          </w:p>
        </w:tc>
      </w:tr>
      <w:tr w:rsidR="008A1688" w14:paraId="47972838" w14:textId="77777777">
        <w:trPr>
          <w:trHeight w:val="549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319FF7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D29866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ESG合规管理</w:t>
            </w: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D80D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ESG合规义务管理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35380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ESG合规义务监测机制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ESG合规义务调整情况</w:t>
            </w:r>
          </w:p>
        </w:tc>
      </w:tr>
      <w:tr w:rsidR="008A1688" w14:paraId="1145D870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EEDA9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43A792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805D0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ESG合规风险评估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09AC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ESG合规风险评估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专项风险应对计划或预案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ESG合规风险控制措施</w:t>
            </w:r>
          </w:p>
        </w:tc>
      </w:tr>
      <w:tr w:rsidR="008A1688" w14:paraId="7C2F4302" w14:textId="77777777">
        <w:trPr>
          <w:trHeight w:val="325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8D0912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1BCDA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D6AB58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ESG合规能力培训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38F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ESG合规培训情况</w:t>
            </w:r>
          </w:p>
        </w:tc>
      </w:tr>
      <w:tr w:rsidR="008A1688" w14:paraId="3712D7F5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AA2A8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E0DF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反商业贿赂及反贪污</w:t>
            </w: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59CA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举报与调查机制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BEF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举报渠道建设情况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举报者保护机制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举报与投诉处理流程</w:t>
            </w:r>
          </w:p>
        </w:tc>
      </w:tr>
      <w:tr w:rsidR="008A1688" w14:paraId="224958AC" w14:textId="77777777">
        <w:trPr>
          <w:trHeight w:val="1097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F39DC1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7E774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772E0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风险管控举措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70B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风险内部控制措施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内部审核机制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政策或制度覆盖供应商范围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供应商政策遵守定期审计情况</w:t>
            </w:r>
          </w:p>
        </w:tc>
      </w:tr>
      <w:tr w:rsidR="008A1688" w14:paraId="10489D88" w14:textId="77777777">
        <w:trPr>
          <w:trHeight w:val="549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B898F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334D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71F0A9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培训与能力建设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353A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反商业贿赂及反贪污政策培训情况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接受反商业贿赂及反贪污培训的董事、管理层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lastRenderedPageBreak/>
              <w:t>、员工总数和百分比</w:t>
            </w:r>
          </w:p>
        </w:tc>
      </w:tr>
      <w:tr w:rsidR="008A1688" w14:paraId="189A10A1" w14:textId="77777777">
        <w:trPr>
          <w:trHeight w:val="823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D02B5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1CA17E" w14:textId="77777777" w:rsidR="008A1688" w:rsidRDefault="00000000">
            <w:pPr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lang w:eastAsia="zh-CN" w:bidi="ar"/>
              </w:rPr>
              <w:t>反不正当竞争</w:t>
            </w: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6C51A4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举报与调查机制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C582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举报渠道建设情况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举报者保护机制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举报与投诉处理流程</w:t>
            </w:r>
          </w:p>
        </w:tc>
      </w:tr>
      <w:tr w:rsidR="008A1688" w14:paraId="02E098D8" w14:textId="77777777">
        <w:trPr>
          <w:trHeight w:val="1371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7CA277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718EFD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875EFF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风险管控举措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2372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公平竞争合规审查机制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宣传材料预先审核机制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商业秘密管理机制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有奖销售信息披露情况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不正当竞争行为合规清单</w:t>
            </w:r>
          </w:p>
        </w:tc>
      </w:tr>
      <w:tr w:rsidR="008A1688" w14:paraId="0FD23941" w14:textId="77777777">
        <w:trPr>
          <w:trHeight w:val="549"/>
        </w:trPr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54546E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9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8087C" w14:textId="77777777" w:rsidR="008A1688" w:rsidRDefault="008A1688">
            <w:pPr>
              <w:jc w:val="center"/>
              <w:rPr>
                <w:rFonts w:ascii="宋体" w:eastAsia="宋体" w:hAnsi="宋体" w:cs="宋体" w:hint="eastAsia"/>
                <w:sz w:val="22"/>
                <w:szCs w:val="22"/>
                <w:lang w:eastAsia="zh-CN"/>
              </w:rPr>
            </w:pPr>
          </w:p>
        </w:tc>
        <w:tc>
          <w:tcPr>
            <w:tcW w:w="129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A45A7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培训与能力建设</w:t>
            </w:r>
          </w:p>
        </w:tc>
        <w:tc>
          <w:tcPr>
            <w:tcW w:w="2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EF1E2" w14:textId="77777777" w:rsidR="008A1688" w:rsidRDefault="00000000">
            <w:pPr>
              <w:textAlignment w:val="center"/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t>反不正当竞争的宣导、培训活动开展情况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 w:bidi="ar"/>
              </w:rPr>
              <w:br/>
              <w:t>接受反不正当竞争培训的董事、管理层、员工总数和百分比</w:t>
            </w:r>
          </w:p>
        </w:tc>
      </w:tr>
    </w:tbl>
    <w:p w14:paraId="0EEB3767" w14:textId="77777777" w:rsidR="008A1688" w:rsidRDefault="008A1688">
      <w:pPr>
        <w:kinsoku/>
        <w:overflowPunct w:val="0"/>
        <w:autoSpaceDE/>
        <w:autoSpaceDN/>
        <w:spacing w:line="360" w:lineRule="auto"/>
        <w:rPr>
          <w:lang w:eastAsia="zh-CN"/>
        </w:rPr>
      </w:pPr>
    </w:p>
    <w:p w14:paraId="70B91426" w14:textId="77777777" w:rsidR="008A1688" w:rsidRDefault="00000000">
      <w:pPr>
        <w:rPr>
          <w:spacing w:val="-6"/>
          <w:lang w:eastAsia="zh-CN"/>
        </w:rPr>
      </w:pPr>
      <w:r>
        <w:rPr>
          <w:spacing w:val="-6"/>
          <w:lang w:eastAsia="zh-CN"/>
        </w:rPr>
        <w:br w:type="page"/>
      </w:r>
    </w:p>
    <w:p w14:paraId="0746FCAE" w14:textId="77777777" w:rsidR="008A1688" w:rsidRDefault="00000000">
      <w:pPr>
        <w:pStyle w:val="a4"/>
        <w:kinsoku/>
        <w:overflowPunct w:val="0"/>
        <w:autoSpaceDE/>
        <w:autoSpaceDN/>
        <w:spacing w:before="68" w:line="360" w:lineRule="auto"/>
        <w:ind w:left="3798"/>
        <w:outlineLvl w:val="0"/>
        <w:rPr>
          <w:rFonts w:hint="eastAsia"/>
          <w:sz w:val="21"/>
          <w:szCs w:val="21"/>
          <w:lang w:eastAsia="zh-CN"/>
        </w:rPr>
      </w:pPr>
      <w:bookmarkStart w:id="18" w:name="_Toc10330"/>
      <w:proofErr w:type="gramStart"/>
      <w:r>
        <w:rPr>
          <w:spacing w:val="-6"/>
          <w:sz w:val="21"/>
          <w:szCs w:val="21"/>
          <w:lang w:eastAsia="zh-CN"/>
        </w:rPr>
        <w:lastRenderedPageBreak/>
        <w:t>参</w:t>
      </w:r>
      <w:r>
        <w:rPr>
          <w:spacing w:val="3"/>
          <w:sz w:val="21"/>
          <w:szCs w:val="21"/>
          <w:lang w:eastAsia="zh-CN"/>
        </w:rPr>
        <w:t xml:space="preserve">  </w:t>
      </w:r>
      <w:r>
        <w:rPr>
          <w:spacing w:val="-6"/>
          <w:sz w:val="21"/>
          <w:szCs w:val="21"/>
          <w:lang w:eastAsia="zh-CN"/>
        </w:rPr>
        <w:t>考</w:t>
      </w:r>
      <w:proofErr w:type="gramEnd"/>
      <w:r>
        <w:rPr>
          <w:spacing w:val="4"/>
          <w:sz w:val="21"/>
          <w:szCs w:val="21"/>
          <w:lang w:eastAsia="zh-CN"/>
        </w:rPr>
        <w:t xml:space="preserve">  </w:t>
      </w:r>
      <w:proofErr w:type="gramStart"/>
      <w:r>
        <w:rPr>
          <w:spacing w:val="-6"/>
          <w:sz w:val="21"/>
          <w:szCs w:val="21"/>
          <w:lang w:eastAsia="zh-CN"/>
        </w:rPr>
        <w:t>文</w:t>
      </w:r>
      <w:r>
        <w:rPr>
          <w:spacing w:val="5"/>
          <w:sz w:val="21"/>
          <w:szCs w:val="21"/>
          <w:lang w:eastAsia="zh-CN"/>
        </w:rPr>
        <w:t xml:space="preserve">  </w:t>
      </w:r>
      <w:r>
        <w:rPr>
          <w:spacing w:val="-6"/>
          <w:sz w:val="21"/>
          <w:szCs w:val="21"/>
          <w:lang w:eastAsia="zh-CN"/>
        </w:rPr>
        <w:t>献</w:t>
      </w:r>
      <w:bookmarkEnd w:id="18"/>
      <w:proofErr w:type="gramEnd"/>
    </w:p>
    <w:p w14:paraId="495850E3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143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GB/T</w:t>
      </w:r>
      <w:r>
        <w:rPr>
          <w:rFonts w:ascii="宋体" w:eastAsia="宋体" w:hAnsi="宋体" w:cs="宋体"/>
          <w:spacing w:val="24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19001</w:t>
      </w:r>
      <w:proofErr w:type="gramStart"/>
      <w:r>
        <w:rPr>
          <w:rFonts w:ascii="宋体" w:eastAsia="宋体" w:hAnsi="宋体" w:cs="宋体"/>
          <w:spacing w:val="-2"/>
          <w:lang w:eastAsia="zh-CN"/>
        </w:rPr>
        <w:t>-2016 质量</w:t>
      </w:r>
      <w:proofErr w:type="gramEnd"/>
      <w:r>
        <w:rPr>
          <w:rFonts w:ascii="宋体" w:eastAsia="宋体" w:hAnsi="宋体" w:cs="宋体"/>
          <w:spacing w:val="-2"/>
          <w:lang w:eastAsia="zh-CN"/>
        </w:rPr>
        <w:t>管理</w:t>
      </w:r>
      <w:proofErr w:type="gramStart"/>
      <w:r>
        <w:rPr>
          <w:rFonts w:ascii="宋体" w:eastAsia="宋体" w:hAnsi="宋体" w:cs="宋体"/>
          <w:spacing w:val="-2"/>
          <w:lang w:eastAsia="zh-CN"/>
        </w:rPr>
        <w:t>体系</w:t>
      </w:r>
      <w:r>
        <w:rPr>
          <w:rFonts w:ascii="宋体" w:eastAsia="宋体" w:hAnsi="宋体" w:cs="宋体"/>
          <w:spacing w:val="-3"/>
          <w:lang w:eastAsia="zh-CN"/>
        </w:rPr>
        <w:t xml:space="preserve"> 要求</w:t>
      </w:r>
      <w:proofErr w:type="gramEnd"/>
    </w:p>
    <w:p w14:paraId="5C23FEB6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19" w:line="360" w:lineRule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/>
          <w:spacing w:val="-1"/>
        </w:rPr>
        <w:t xml:space="preserve">GB/T 23331-2020 </w:t>
      </w:r>
      <w:proofErr w:type="spellStart"/>
      <w:r>
        <w:rPr>
          <w:rFonts w:ascii="宋体" w:eastAsia="宋体" w:hAnsi="宋体" w:cs="宋体"/>
          <w:spacing w:val="-1"/>
        </w:rPr>
        <w:t>能</w:t>
      </w:r>
      <w:r>
        <w:rPr>
          <w:rFonts w:ascii="宋体" w:eastAsia="宋体" w:hAnsi="宋体" w:cs="宋体"/>
          <w:spacing w:val="-2"/>
        </w:rPr>
        <w:t>源管理体系</w:t>
      </w:r>
      <w:proofErr w:type="spellEnd"/>
      <w:r>
        <w:rPr>
          <w:rFonts w:ascii="宋体" w:eastAsia="宋体" w:hAnsi="宋体" w:cs="宋体"/>
          <w:spacing w:val="7"/>
        </w:rPr>
        <w:t xml:space="preserve"> </w:t>
      </w:r>
      <w:proofErr w:type="spellStart"/>
      <w:r>
        <w:rPr>
          <w:rFonts w:ascii="宋体" w:eastAsia="宋体" w:hAnsi="宋体" w:cs="宋体"/>
          <w:spacing w:val="-2"/>
        </w:rPr>
        <w:t>要求及使用指南</w:t>
      </w:r>
      <w:proofErr w:type="spellEnd"/>
    </w:p>
    <w:p w14:paraId="6BEF7BAF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2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GB/T 24001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-2016 环境</w:t>
      </w:r>
      <w:proofErr w:type="gramEnd"/>
      <w:r>
        <w:rPr>
          <w:rFonts w:ascii="宋体" w:eastAsia="宋体" w:hAnsi="宋体" w:cs="宋体"/>
          <w:spacing w:val="-1"/>
          <w:lang w:eastAsia="zh-CN"/>
        </w:rPr>
        <w:t>管理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体系 要求</w:t>
      </w:r>
      <w:proofErr w:type="gramEnd"/>
      <w:r>
        <w:rPr>
          <w:rFonts w:ascii="宋体" w:eastAsia="宋体" w:hAnsi="宋体" w:cs="宋体"/>
          <w:spacing w:val="-1"/>
          <w:lang w:eastAsia="zh-CN"/>
        </w:rPr>
        <w:t>及</w:t>
      </w:r>
      <w:r>
        <w:rPr>
          <w:rFonts w:ascii="宋体" w:eastAsia="宋体" w:hAnsi="宋体" w:cs="宋体"/>
          <w:spacing w:val="-2"/>
          <w:lang w:eastAsia="zh-CN"/>
        </w:rPr>
        <w:t>使用指南</w:t>
      </w:r>
    </w:p>
    <w:p w14:paraId="5D68D42B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19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GB/T 24353</w:t>
      </w:r>
      <w:proofErr w:type="gramStart"/>
      <w:r>
        <w:rPr>
          <w:rFonts w:ascii="宋体" w:eastAsia="宋体" w:hAnsi="宋体" w:cs="宋体"/>
          <w:spacing w:val="-2"/>
          <w:lang w:eastAsia="zh-CN"/>
        </w:rPr>
        <w:t>-2022</w:t>
      </w:r>
      <w:r>
        <w:rPr>
          <w:rFonts w:ascii="宋体" w:eastAsia="宋体" w:hAnsi="宋体" w:cs="宋体"/>
          <w:spacing w:val="12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风险</w:t>
      </w:r>
      <w:proofErr w:type="gramEnd"/>
      <w:r>
        <w:rPr>
          <w:rFonts w:ascii="宋体" w:eastAsia="宋体" w:hAnsi="宋体" w:cs="宋体"/>
          <w:spacing w:val="-2"/>
          <w:lang w:eastAsia="zh-CN"/>
        </w:rPr>
        <w:t>管理指南</w:t>
      </w:r>
    </w:p>
    <w:p w14:paraId="19A06F88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3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GB/T 36001—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2015 社</w:t>
      </w:r>
      <w:r>
        <w:rPr>
          <w:rFonts w:ascii="宋体" w:eastAsia="宋体" w:hAnsi="宋体" w:cs="宋体"/>
          <w:spacing w:val="-2"/>
          <w:lang w:eastAsia="zh-CN"/>
        </w:rPr>
        <w:t>会</w:t>
      </w:r>
      <w:proofErr w:type="gramEnd"/>
      <w:r>
        <w:rPr>
          <w:rFonts w:ascii="宋体" w:eastAsia="宋体" w:hAnsi="宋体" w:cs="宋体"/>
          <w:spacing w:val="-2"/>
          <w:lang w:eastAsia="zh-CN"/>
        </w:rPr>
        <w:t>责任报告编写指南</w:t>
      </w:r>
    </w:p>
    <w:p w14:paraId="3AE37C30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1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GB/T 36002—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2015 社</w:t>
      </w:r>
      <w:r>
        <w:rPr>
          <w:rFonts w:ascii="宋体" w:eastAsia="宋体" w:hAnsi="宋体" w:cs="宋体"/>
          <w:spacing w:val="-2"/>
          <w:lang w:eastAsia="zh-CN"/>
        </w:rPr>
        <w:t>会</w:t>
      </w:r>
      <w:proofErr w:type="gramEnd"/>
      <w:r>
        <w:rPr>
          <w:rFonts w:ascii="宋体" w:eastAsia="宋体" w:hAnsi="宋体" w:cs="宋体"/>
          <w:spacing w:val="-2"/>
          <w:lang w:eastAsia="zh-CN"/>
        </w:rPr>
        <w:t>责任绩效分类指引</w:t>
      </w:r>
    </w:p>
    <w:p w14:paraId="442017BA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4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GB/T 45001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-2020 职业</w:t>
      </w:r>
      <w:proofErr w:type="gramEnd"/>
      <w:r>
        <w:rPr>
          <w:rFonts w:ascii="宋体" w:eastAsia="宋体" w:hAnsi="宋体" w:cs="宋体"/>
          <w:spacing w:val="-1"/>
          <w:lang w:eastAsia="zh-CN"/>
        </w:rPr>
        <w:t>健康安全管理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体系 要求</w:t>
      </w:r>
      <w:proofErr w:type="gramEnd"/>
      <w:r>
        <w:rPr>
          <w:rFonts w:ascii="宋体" w:eastAsia="宋体" w:hAnsi="宋体" w:cs="宋体"/>
          <w:spacing w:val="-1"/>
          <w:lang w:eastAsia="zh-CN"/>
        </w:rPr>
        <w:t>及使用指南</w:t>
      </w:r>
    </w:p>
    <w:p w14:paraId="1E3B0FB1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0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ISO</w:t>
      </w:r>
      <w:r>
        <w:rPr>
          <w:rFonts w:ascii="宋体" w:eastAsia="宋体" w:hAnsi="宋体" w:cs="宋体"/>
          <w:spacing w:val="24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14001:</w:t>
      </w:r>
      <w:proofErr w:type="gramStart"/>
      <w:r>
        <w:rPr>
          <w:rFonts w:ascii="宋体" w:eastAsia="宋体" w:hAnsi="宋体" w:cs="宋体"/>
          <w:spacing w:val="-2"/>
          <w:lang w:eastAsia="zh-CN"/>
        </w:rPr>
        <w:t>2015 环境</w:t>
      </w:r>
      <w:proofErr w:type="gramEnd"/>
      <w:r>
        <w:rPr>
          <w:rFonts w:ascii="宋体" w:eastAsia="宋体" w:hAnsi="宋体" w:cs="宋体"/>
          <w:spacing w:val="-2"/>
          <w:lang w:eastAsia="zh-CN"/>
        </w:rPr>
        <w:t>管理</w:t>
      </w:r>
      <w:proofErr w:type="gramStart"/>
      <w:r>
        <w:rPr>
          <w:rFonts w:ascii="宋体" w:eastAsia="宋体" w:hAnsi="宋体" w:cs="宋体"/>
          <w:spacing w:val="-2"/>
          <w:lang w:eastAsia="zh-CN"/>
        </w:rPr>
        <w:t>体系 要求</w:t>
      </w:r>
      <w:proofErr w:type="gramEnd"/>
      <w:r>
        <w:rPr>
          <w:rFonts w:ascii="宋体" w:eastAsia="宋体" w:hAnsi="宋体" w:cs="宋体"/>
          <w:spacing w:val="-2"/>
          <w:lang w:eastAsia="zh-CN"/>
        </w:rPr>
        <w:t>及使用指南</w:t>
      </w:r>
    </w:p>
    <w:p w14:paraId="5AD5B9F6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0" w:line="360" w:lineRule="auto"/>
        <w:rPr>
          <w:rFonts w:ascii="宋体" w:eastAsia="宋体" w:hAnsi="宋体" w:cs="宋体" w:hint="eastAsia"/>
          <w:spacing w:val="-3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T/CAAMTB 67</w:t>
      </w:r>
      <w:proofErr w:type="gramStart"/>
      <w:r>
        <w:rPr>
          <w:rFonts w:ascii="宋体" w:eastAsia="宋体" w:hAnsi="宋体" w:cs="宋体"/>
          <w:spacing w:val="-2"/>
          <w:lang w:eastAsia="zh-CN"/>
        </w:rPr>
        <w:t>-2022</w:t>
      </w:r>
      <w:r>
        <w:rPr>
          <w:rFonts w:ascii="宋体" w:eastAsia="宋体" w:hAnsi="宋体" w:cs="宋体"/>
          <w:spacing w:val="27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lang w:eastAsia="zh-CN"/>
        </w:rPr>
        <w:t>中国</w:t>
      </w:r>
      <w:proofErr w:type="gramEnd"/>
      <w:r>
        <w:rPr>
          <w:rFonts w:ascii="宋体" w:eastAsia="宋体" w:hAnsi="宋体" w:cs="宋体"/>
          <w:spacing w:val="-2"/>
          <w:lang w:eastAsia="zh-CN"/>
        </w:rPr>
        <w:t>汽车行业社会责任</w:t>
      </w:r>
      <w:r>
        <w:rPr>
          <w:rFonts w:ascii="宋体" w:eastAsia="宋体" w:hAnsi="宋体" w:cs="宋体"/>
          <w:spacing w:val="-3"/>
          <w:lang w:eastAsia="zh-CN"/>
        </w:rPr>
        <w:t>指南</w:t>
      </w:r>
    </w:p>
    <w:p w14:paraId="544C0934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0" w:line="360" w:lineRule="auto"/>
        <w:rPr>
          <w:rFonts w:ascii="宋体" w:eastAsia="宋体" w:hAnsi="宋体" w:cs="宋体" w:hint="eastAsia"/>
          <w:spacing w:val="-3"/>
          <w:lang w:eastAsia="zh-CN"/>
        </w:rPr>
      </w:pPr>
      <w:r>
        <w:rPr>
          <w:rFonts w:ascii="宋体" w:eastAsia="宋体" w:hAnsi="宋体" w:cs="宋体" w:hint="eastAsia"/>
          <w:spacing w:val="-3"/>
          <w:lang w:eastAsia="zh-CN"/>
        </w:rPr>
        <w:t>中华人民共和国生态环境法典</w:t>
      </w:r>
    </w:p>
    <w:p w14:paraId="0409ECE1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0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]中华人民共和国劳动法</w:t>
      </w:r>
    </w:p>
    <w:p w14:paraId="0BD1372D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2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中华人民共和国公司法</w:t>
      </w:r>
    </w:p>
    <w:p w14:paraId="743E7F1A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0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中华人民共和国反不正当竞争法</w:t>
      </w:r>
    </w:p>
    <w:p w14:paraId="1C9F0CC5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2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中华人民共和国反垄断法</w:t>
      </w:r>
    </w:p>
    <w:p w14:paraId="1CB9B304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0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缺陷汽车产品召回管理条例</w:t>
      </w:r>
    </w:p>
    <w:p w14:paraId="1B1564F1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2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缺陷汽车产品召回管理条例实施办法</w:t>
      </w:r>
    </w:p>
    <w:p w14:paraId="1ECE25C7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1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 w:hint="eastAsia"/>
          <w:spacing w:val="-2"/>
          <w:lang w:eastAsia="zh-CN"/>
        </w:rPr>
        <w:t>全球报告倡议组织可持续发展报告标准（GRI Standards）</w:t>
      </w:r>
    </w:p>
    <w:p w14:paraId="658C0DEB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0" w:line="360" w:lineRule="auto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联合国气候变化框架公约</w:t>
      </w:r>
    </w:p>
    <w:p w14:paraId="48FEED47" w14:textId="77777777" w:rsidR="008A1688" w:rsidRDefault="00000000">
      <w:pPr>
        <w:numPr>
          <w:ilvl w:val="0"/>
          <w:numId w:val="1"/>
        </w:numPr>
        <w:kinsoku/>
        <w:overflowPunct w:val="0"/>
        <w:autoSpaceDE/>
        <w:autoSpaceDN/>
        <w:spacing w:before="22" w:line="360" w:lineRule="auto"/>
        <w:ind w:right="2"/>
        <w:rPr>
          <w:rFonts w:ascii="宋体" w:eastAsia="宋体" w:hAnsi="宋体" w:cs="宋体" w:hint="eastAsia"/>
          <w:spacing w:val="-1"/>
          <w:lang w:eastAsia="zh-CN"/>
        </w:rPr>
      </w:pPr>
      <w:r>
        <w:rPr>
          <w:rFonts w:ascii="宋体" w:eastAsia="宋体" w:hAnsi="宋体" w:cs="宋体"/>
          <w:spacing w:val="-1"/>
          <w:lang w:eastAsia="zh-CN"/>
        </w:rPr>
        <w:t>国际可持续准则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理事会</w:t>
      </w:r>
      <w:r>
        <w:rPr>
          <w:rFonts w:ascii="宋体" w:eastAsia="宋体" w:hAnsi="宋体" w:cs="宋体"/>
          <w:spacing w:val="45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国际</w:t>
      </w:r>
      <w:proofErr w:type="gramEnd"/>
      <w:r>
        <w:rPr>
          <w:rFonts w:ascii="宋体" w:eastAsia="宋体" w:hAnsi="宋体" w:cs="宋体"/>
          <w:spacing w:val="-1"/>
          <w:lang w:eastAsia="zh-CN"/>
        </w:rPr>
        <w:t>财务报告可持续披露准则第1号——可持续相关财务信息披露</w:t>
      </w:r>
      <w:proofErr w:type="gramStart"/>
      <w:r>
        <w:rPr>
          <w:rFonts w:ascii="宋体" w:eastAsia="宋体" w:hAnsi="宋体" w:cs="宋体"/>
          <w:spacing w:val="-1"/>
          <w:lang w:eastAsia="zh-CN"/>
        </w:rPr>
        <w:t>一般</w:t>
      </w:r>
      <w:r>
        <w:rPr>
          <w:rFonts w:ascii="宋体" w:eastAsia="宋体" w:hAnsi="宋体" w:cs="宋体"/>
          <w:lang w:eastAsia="zh-CN"/>
        </w:rPr>
        <w:t xml:space="preserve"> 要求</w:t>
      </w:r>
      <w:proofErr w:type="gramEnd"/>
      <w:r>
        <w:rPr>
          <w:rFonts w:ascii="宋体" w:eastAsia="宋体" w:hAnsi="宋体" w:cs="宋体"/>
          <w:lang w:eastAsia="zh-CN"/>
        </w:rPr>
        <w:t>、国际财务报告可持续披露准则第2号——</w:t>
      </w:r>
      <w:r>
        <w:rPr>
          <w:rFonts w:ascii="宋体" w:eastAsia="宋体" w:hAnsi="宋体" w:cs="宋体"/>
          <w:spacing w:val="-1"/>
          <w:lang w:eastAsia="zh-CN"/>
        </w:rPr>
        <w:t>气候相关披露</w:t>
      </w:r>
    </w:p>
    <w:p w14:paraId="76E18EC3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napToGrid w:val="0"/>
        <w:spacing w:line="360" w:lineRule="auto"/>
        <w:ind w:firstLineChars="0"/>
        <w:jc w:val="left"/>
      </w:pPr>
      <w:r>
        <w:rPr>
          <w:rFonts w:eastAsia="宋体" w:hAnsi="宋体" w:cs="宋体" w:hint="eastAsia"/>
          <w:color w:val="000000" w:themeColor="text1"/>
          <w:szCs w:val="21"/>
        </w:rPr>
        <w:t>上海证券</w:t>
      </w:r>
      <w:proofErr w:type="gramStart"/>
      <w:r>
        <w:rPr>
          <w:rFonts w:eastAsia="宋体" w:hAnsi="宋体" w:cs="宋体" w:hint="eastAsia"/>
          <w:color w:val="000000" w:themeColor="text1"/>
          <w:szCs w:val="21"/>
        </w:rPr>
        <w:t>交易所 上市公司</w:t>
      </w:r>
      <w:proofErr w:type="gramEnd"/>
      <w:r>
        <w:rPr>
          <w:rFonts w:eastAsia="宋体" w:hAnsi="宋体" w:cs="宋体" w:hint="eastAsia"/>
          <w:color w:val="000000" w:themeColor="text1"/>
          <w:szCs w:val="21"/>
        </w:rPr>
        <w:t>自律监管指引第14号——可持续发展报告（试行）</w:t>
      </w:r>
    </w:p>
    <w:p w14:paraId="462EC41A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napToGrid w:val="0"/>
        <w:spacing w:line="360" w:lineRule="auto"/>
        <w:ind w:firstLineChars="0"/>
        <w:jc w:val="left"/>
      </w:pPr>
      <w:r>
        <w:rPr>
          <w:rFonts w:hint="eastAsia"/>
        </w:rPr>
        <w:t>深圳证券交易所上市公司自律监管</w:t>
      </w:r>
      <w:proofErr w:type="gramStart"/>
      <w:r>
        <w:rPr>
          <w:rFonts w:hint="eastAsia"/>
        </w:rPr>
        <w:t>指引 第17</w:t>
      </w:r>
      <w:proofErr w:type="gramEnd"/>
      <w:r>
        <w:rPr>
          <w:rFonts w:hint="eastAsia"/>
        </w:rPr>
        <w:t>号——可持续发展报告（试行）</w:t>
      </w:r>
    </w:p>
    <w:p w14:paraId="0B25FDA1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napToGrid w:val="0"/>
        <w:spacing w:line="360" w:lineRule="auto"/>
        <w:ind w:firstLineChars="0"/>
        <w:jc w:val="left"/>
      </w:pPr>
      <w:r>
        <w:rPr>
          <w:rFonts w:hint="eastAsia"/>
        </w:rPr>
        <w:t>北京证券交易所上市公司持续监管指引第11号——可持续发展报告（试行）</w:t>
      </w:r>
    </w:p>
    <w:p w14:paraId="4B7FB758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napToGrid w:val="0"/>
        <w:spacing w:line="360" w:lineRule="auto"/>
        <w:ind w:firstLineChars="0"/>
        <w:jc w:val="left"/>
      </w:pPr>
      <w:r>
        <w:rPr>
          <w:rFonts w:hint="eastAsia"/>
        </w:rPr>
        <w:t>上海证券交易所上市公司自律监管指南第4号——可持续发展报告编制</w:t>
      </w:r>
    </w:p>
    <w:p w14:paraId="7DA98B19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napToGrid w:val="0"/>
        <w:spacing w:line="360" w:lineRule="auto"/>
        <w:ind w:firstLineChars="0"/>
        <w:jc w:val="left"/>
      </w:pPr>
      <w:r>
        <w:t>深圳证券交易所上市公司自律监管指南-第3号</w:t>
      </w:r>
      <w:r>
        <w:t>——</w:t>
      </w:r>
      <w:r>
        <w:t>可持续发展报告编制</w:t>
      </w:r>
    </w:p>
    <w:p w14:paraId="6C4A4001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napToGrid w:val="0"/>
        <w:spacing w:line="360" w:lineRule="auto"/>
        <w:ind w:firstLineChars="0"/>
        <w:jc w:val="left"/>
      </w:pPr>
      <w:r>
        <w:rPr>
          <w:rFonts w:hint="eastAsia"/>
        </w:rPr>
        <w:t>北京证券交易所上市公司可持续发展报告编制指南</w:t>
      </w:r>
    </w:p>
    <w:p w14:paraId="7786655D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pacing w:before="22" w:line="360" w:lineRule="auto"/>
        <w:ind w:right="2" w:firstLineChars="0"/>
        <w:rPr>
          <w:rFonts w:eastAsia="宋体" w:hAnsi="宋体" w:cs="宋体" w:hint="eastAsia"/>
          <w:spacing w:val="-1"/>
          <w:szCs w:val="21"/>
        </w:rPr>
      </w:pPr>
      <w:r>
        <w:rPr>
          <w:rFonts w:eastAsia="宋体" w:hAnsi="宋体" w:cs="宋体" w:hint="eastAsia"/>
          <w:spacing w:val="-1"/>
          <w:szCs w:val="21"/>
        </w:rPr>
        <w:t>香港联合交易所主板上市</w:t>
      </w:r>
      <w:proofErr w:type="gramStart"/>
      <w:r>
        <w:rPr>
          <w:rFonts w:eastAsia="宋体" w:hAnsi="宋体" w:cs="宋体" w:hint="eastAsia"/>
          <w:spacing w:val="-1"/>
          <w:szCs w:val="21"/>
        </w:rPr>
        <w:t>规则 附录</w:t>
      </w:r>
      <w:proofErr w:type="gramEnd"/>
      <w:r>
        <w:rPr>
          <w:rFonts w:eastAsia="宋体" w:hAnsi="宋体" w:cs="宋体" w:hint="eastAsia"/>
          <w:spacing w:val="-1"/>
          <w:szCs w:val="21"/>
        </w:rPr>
        <w:t>C2 环境、社会及管治报告守则</w:t>
      </w:r>
    </w:p>
    <w:p w14:paraId="79EB9C7D" w14:textId="77777777" w:rsidR="008A1688" w:rsidRDefault="00000000">
      <w:pPr>
        <w:pStyle w:val="a7"/>
        <w:numPr>
          <w:ilvl w:val="0"/>
          <w:numId w:val="1"/>
        </w:numPr>
        <w:overflowPunct w:val="0"/>
        <w:autoSpaceDE/>
        <w:autoSpaceDN/>
        <w:spacing w:before="22" w:line="360" w:lineRule="auto"/>
        <w:ind w:right="2" w:firstLineChars="0"/>
        <w:rPr>
          <w:rFonts w:eastAsia="宋体" w:hAnsi="宋体" w:cs="宋体" w:hint="eastAsia"/>
          <w:spacing w:val="-1"/>
          <w:szCs w:val="21"/>
        </w:rPr>
      </w:pPr>
      <w:r>
        <w:rPr>
          <w:rFonts w:eastAsia="宋体" w:hAnsi="宋体" w:cs="宋体" w:hint="eastAsia"/>
          <w:color w:val="000000" w:themeColor="text1"/>
          <w:szCs w:val="21"/>
        </w:rPr>
        <w:t>中国上市公司</w:t>
      </w:r>
      <w:proofErr w:type="gramStart"/>
      <w:r>
        <w:rPr>
          <w:rFonts w:eastAsia="宋体" w:hAnsi="宋体" w:cs="宋体" w:hint="eastAsia"/>
          <w:color w:val="000000" w:themeColor="text1"/>
          <w:szCs w:val="21"/>
        </w:rPr>
        <w:t>协会 上市公司</w:t>
      </w:r>
      <w:proofErr w:type="gramEnd"/>
      <w:r>
        <w:rPr>
          <w:rFonts w:eastAsia="宋体" w:hAnsi="宋体" w:cs="宋体" w:hint="eastAsia"/>
          <w:color w:val="000000" w:themeColor="text1"/>
          <w:szCs w:val="21"/>
        </w:rPr>
        <w:t>可持续发展报告工作指南</w:t>
      </w:r>
    </w:p>
    <w:p w14:paraId="5EDF636A" w14:textId="77777777" w:rsidR="008A1688" w:rsidRDefault="008A1688">
      <w:pPr>
        <w:kinsoku/>
        <w:overflowPunct w:val="0"/>
        <w:autoSpaceDE/>
        <w:autoSpaceDN/>
        <w:spacing w:before="22" w:line="360" w:lineRule="auto"/>
        <w:ind w:left="32"/>
        <w:rPr>
          <w:rFonts w:ascii="宋体" w:eastAsia="宋体" w:hAnsi="宋体" w:cs="宋体" w:hint="eastAsia"/>
          <w:spacing w:val="-2"/>
          <w:lang w:eastAsia="zh-CN"/>
        </w:rPr>
      </w:pPr>
    </w:p>
    <w:sectPr w:rsidR="008A1688">
      <w:headerReference w:type="default" r:id="rId16"/>
      <w:footerReference w:type="default" r:id="rId17"/>
      <w:pgSz w:w="11907" w:h="16839"/>
      <w:pgMar w:top="1716" w:right="1128" w:bottom="1340" w:left="1711" w:header="1391" w:footer="11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3CC45" w14:textId="77777777" w:rsidR="007319D6" w:rsidRDefault="007319D6">
      <w:r>
        <w:separator/>
      </w:r>
    </w:p>
  </w:endnote>
  <w:endnote w:type="continuationSeparator" w:id="0">
    <w:p w14:paraId="23C283FD" w14:textId="77777777" w:rsidR="007319D6" w:rsidRDefault="00731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4A5ED" w14:textId="77777777" w:rsidR="008A1688" w:rsidRDefault="008A1688">
    <w:pPr>
      <w:spacing w:line="230" w:lineRule="auto"/>
      <w:ind w:left="9047"/>
      <w:rPr>
        <w:rFonts w:ascii="宋体" w:eastAsia="宋体" w:hAnsi="宋体" w:cs="宋体" w:hint="eastAsia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6EF5" w14:textId="77777777" w:rsidR="008A1688" w:rsidRDefault="00000000">
    <w:pPr>
      <w:spacing w:line="230" w:lineRule="auto"/>
      <w:ind w:left="8958"/>
      <w:rPr>
        <w:rFonts w:ascii="宋体" w:eastAsia="宋体" w:hAnsi="宋体" w:cs="宋体" w:hint="eastAsia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22B121" wp14:editId="1FF22AD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7D291A" w14:textId="77777777" w:rsidR="008A1688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2B121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87D291A" w14:textId="77777777" w:rsidR="008A1688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BF04" w14:textId="77777777" w:rsidR="008A1688" w:rsidRDefault="00000000">
    <w:pPr>
      <w:spacing w:line="230" w:lineRule="auto"/>
      <w:ind w:left="8866"/>
      <w:rPr>
        <w:rFonts w:ascii="宋体" w:eastAsia="宋体" w:hAnsi="宋体" w:cs="宋体" w:hint="eastAsia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13B44" wp14:editId="352B610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86D9DE" w14:textId="77777777" w:rsidR="008A1688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613B44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5786D9DE" w14:textId="77777777" w:rsidR="008A1688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75AF" w14:textId="77777777" w:rsidR="008A1688" w:rsidRDefault="00000000">
    <w:pPr>
      <w:spacing w:line="229" w:lineRule="auto"/>
      <w:ind w:left="9023"/>
      <w:rPr>
        <w:rFonts w:ascii="宋体" w:eastAsia="宋体" w:hAnsi="宋体" w:cs="宋体" w:hint="eastAsia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36A575" wp14:editId="377657C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131570" w14:textId="77777777" w:rsidR="008A1688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6A575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8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04131570" w14:textId="77777777" w:rsidR="008A1688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eastAsia="宋体" w:hAnsi="宋体" w:cs="宋体"/>
        <w:sz w:val="18"/>
        <w:szCs w:val="18"/>
      </w:rPr>
      <w:t>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682AE" w14:textId="77777777" w:rsidR="008A1688" w:rsidRDefault="00000000">
    <w:pPr>
      <w:spacing w:line="229" w:lineRule="auto"/>
      <w:ind w:left="8676"/>
      <w:rPr>
        <w:rFonts w:ascii="宋体" w:eastAsia="宋体" w:hAnsi="宋体" w:cs="宋体" w:hint="eastAsia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11C102" wp14:editId="0E265C8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FBC4F8" w14:textId="77777777" w:rsidR="008A1688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1C102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9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/VQQIAAOsEAAAOAAAAZHJzL2Uyb0RvYy54bWysVFGP0zAMfkfiP0R5Z+124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7n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Cl5F/V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46FBC4F8" w14:textId="77777777" w:rsidR="008A1688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eastAsia="宋体" w:hAnsi="宋体" w:cs="宋体"/>
        <w:spacing w:val="-5"/>
        <w:sz w:val="18"/>
        <w:szCs w:val="18"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80C3B" w14:textId="77777777" w:rsidR="007319D6" w:rsidRDefault="007319D6">
      <w:r>
        <w:separator/>
      </w:r>
    </w:p>
  </w:footnote>
  <w:footnote w:type="continuationSeparator" w:id="0">
    <w:p w14:paraId="71A1F35A" w14:textId="77777777" w:rsidR="007319D6" w:rsidRDefault="00731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869F" w14:textId="77777777" w:rsidR="008A1688" w:rsidRDefault="00000000">
    <w:pPr>
      <w:pStyle w:val="a6"/>
      <w:jc w:val="right"/>
      <w:rPr>
        <w:spacing w:val="-2"/>
        <w:sz w:val="21"/>
      </w:rPr>
    </w:pPr>
    <w:r>
      <w:rPr>
        <w:rFonts w:hint="eastAsia"/>
        <w:spacing w:val="-2"/>
        <w:sz w:val="21"/>
      </w:rPr>
      <w:t>T/XXX XXXX—XXXX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30794" w14:textId="77777777" w:rsidR="008A1688" w:rsidRDefault="00000000">
    <w:pPr>
      <w:pStyle w:val="a6"/>
      <w:jc w:val="right"/>
      <w:rPr>
        <w:spacing w:val="-2"/>
        <w:sz w:val="21"/>
      </w:rPr>
    </w:pPr>
    <w:r>
      <w:rPr>
        <w:rFonts w:hint="eastAsia"/>
        <w:spacing w:val="-2"/>
        <w:sz w:val="21"/>
      </w:rPr>
      <w:t>T/XXX XXXX—XXXX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56CD" w14:textId="77777777" w:rsidR="008A1688" w:rsidRDefault="00000000">
    <w:pPr>
      <w:pStyle w:val="a6"/>
      <w:jc w:val="right"/>
      <w:rPr>
        <w:spacing w:val="-2"/>
        <w:sz w:val="21"/>
      </w:rPr>
    </w:pPr>
    <w:r>
      <w:rPr>
        <w:rFonts w:hint="eastAsia"/>
        <w:spacing w:val="-2"/>
        <w:sz w:val="21"/>
      </w:rPr>
      <w:t>T/XXX XXXX—XXXX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0D789" w14:textId="77777777" w:rsidR="008A1688" w:rsidRDefault="00000000">
    <w:pPr>
      <w:pStyle w:val="a6"/>
      <w:jc w:val="right"/>
      <w:rPr>
        <w:spacing w:val="-2"/>
        <w:sz w:val="21"/>
      </w:rPr>
    </w:pPr>
    <w:r>
      <w:rPr>
        <w:rFonts w:hint="eastAsia"/>
        <w:spacing w:val="-2"/>
        <w:sz w:val="21"/>
      </w:rPr>
      <w:t>T/XXX XXXX—XXXX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22FC"/>
    <w:multiLevelType w:val="multilevel"/>
    <w:tmpl w:val="153322FC"/>
    <w:lvl w:ilvl="0">
      <w:start w:val="1"/>
      <w:numFmt w:val="decimal"/>
      <w:suff w:val="nothing"/>
      <w:lvlText w:val="[%1]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 w16cid:durableId="134207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4014"/>
    <w:rsid w:val="00280733"/>
    <w:rsid w:val="00326A28"/>
    <w:rsid w:val="005E499F"/>
    <w:rsid w:val="007319D6"/>
    <w:rsid w:val="008A1688"/>
    <w:rsid w:val="009D2C55"/>
    <w:rsid w:val="009E211F"/>
    <w:rsid w:val="00C6470E"/>
    <w:rsid w:val="00E141A8"/>
    <w:rsid w:val="00E44014"/>
    <w:rsid w:val="00FF7358"/>
    <w:rsid w:val="088F6869"/>
    <w:rsid w:val="09FE655E"/>
    <w:rsid w:val="0F515C7A"/>
    <w:rsid w:val="141F6347"/>
    <w:rsid w:val="17AF353E"/>
    <w:rsid w:val="20427DB5"/>
    <w:rsid w:val="273D2460"/>
    <w:rsid w:val="2838502B"/>
    <w:rsid w:val="329B63F6"/>
    <w:rsid w:val="35341CE4"/>
    <w:rsid w:val="35B01A49"/>
    <w:rsid w:val="575D22A6"/>
    <w:rsid w:val="59FD5DAF"/>
    <w:rsid w:val="5E462F0F"/>
    <w:rsid w:val="64855FCB"/>
    <w:rsid w:val="67B86D26"/>
    <w:rsid w:val="6E10312D"/>
    <w:rsid w:val="6E8403F6"/>
    <w:rsid w:val="72B55021"/>
    <w:rsid w:val="782B7681"/>
    <w:rsid w:val="7E0A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2409B3C0"/>
  <w15:docId w15:val="{50F2D909-68B0-4CDD-93F3-56E7E46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黑体" w:eastAsia="黑体" w:hAnsi="黑体" w:cs="黑体"/>
      <w:sz w:val="28"/>
      <w:szCs w:val="2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TOC1">
    <w:name w:val="toc 1"/>
    <w:basedOn w:val="a"/>
    <w:next w:val="a"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8"/>
      <w:szCs w:val="18"/>
    </w:rPr>
  </w:style>
  <w:style w:type="paragraph" w:customStyle="1" w:styleId="a7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Theme="minorEastAsia" w:hAnsiTheme="minorHAnsi" w:cstheme="minorBidi"/>
      <w:kern w:val="2"/>
      <w:sz w:val="21"/>
      <w:szCs w:val="22"/>
    </w:rPr>
  </w:style>
  <w:style w:type="paragraph" w:customStyle="1" w:styleId="a8">
    <w:name w:val="标准文件_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font11">
    <w:name w:val="font11"/>
    <w:basedOn w:val="a0"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微软雅黑" w:eastAsia="微软雅黑" w:hAnsi="微软雅黑" w:cs="微软雅黑" w:hint="eastAsia"/>
      <w:color w:val="FF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e22988d6-c1b6-49a5-9a5e-dbce45ec35e7</errorID>
      <errorWord>占据着</errorWord>
      <group>L1_Word</group>
      <groupName>字词问题</groupName>
      <ability>L2_Typo</ability>
      <abilityName>字词错误</abilityName>
      <candidateList>
        <item>占据</item>
      </candidateList>
      <explain/>
      <paraID>7EBBA672</paraID>
      <start>235</start>
      <end>237</end>
      <status>modified</status>
      <modifiedWord>占据</modifiedWord>
      <trackRevisions>false</trackRevisions>
    </reviewItem>
    <reviewItem>
      <errorID>8e4236fa-9371-4680-9346-4ec960204698</errorID>
      <errorWord>创新、协调、绿色、开放、共享”发展理念</errorWord>
      <group>L1_Political</group>
      <groupName>政治性问题</groupName>
      <ability>L2_Keyword</ability>
      <abilityName>固定表述</abilityName>
      <candidateList>
        <item>创新、协调、绿色、开放、共享的发展理念</item>
      </candidateList>
      <explain>词汇“创新、协调、绿色、开放、共享的发展理念”在特定场景下为固定表述形式，请确认此处的“创新、协调、绿色、开放、共享”发展理念”是否存在不当。</explain>
      <paraID>3DA1E58E</paraID>
      <start>7</start>
      <end>26</end>
      <status>modified</status>
      <modifiedWord>创新、协调、绿色、开放、共享的发展理念</modifiedWord>
      <trackRevisions>false</trackRevisions>
    </reviewItem>
    <reviewItem>
      <errorID>891d6d70-04e0-4402-9507-581b6b3e4ea0</errorID>
      <errorWord>简称为</errorWord>
      <group>L1_Word</group>
      <groupName>字词问题</groupName>
      <ability>L2_Typo</ability>
      <abilityName>字词错误</abilityName>
      <candidateList>
        <item>简称</item>
      </candidateList>
      <explain/>
      <paraID>3F890793</paraID>
      <start>25</start>
      <end>27</end>
      <status>modified</status>
      <modifiedWord>简称</modifiedWord>
      <trackRevisions>false</trackRevisions>
    </reviewItem>
    <reviewItem>
      <errorID>21697f9f-0bb6-42ad-bada-2ca8743e79ea</errorID>
      <errorWord>以便能</errorWord>
      <group>L1_Word</group>
      <groupName>字词问题</groupName>
      <ability>L2_Typo</ability>
      <abilityName>字词错误</abilityName>
      <candidateList>
        <item>以便</item>
      </candidateList>
      <explain/>
      <paraID>73969CC6</paraID>
      <start>16</start>
      <end>18</end>
      <status>modified</status>
      <modifiedWord>以便</modifiedWord>
      <trackRevisions>false</trackRevisions>
    </reviewItem>
    <reviewItem>
      <errorID>d9b2cdf7-7868-4845-aeeb-1dc182e726e1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7</start>
      <end>8</end>
      <status>modified</status>
      <modifiedWord>（</modifiedWord>
      <trackRevisions>false</trackRevisions>
    </reviewItem>
    <reviewItem>
      <errorID>41d16a81-5e4a-4f4c-a7af-370e8162e60c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18</start>
      <end>19</end>
      <status>modified</status>
      <modifiedWord>（</modifiedWord>
      <trackRevisions>false</trackRevisions>
    </reviewItem>
    <reviewItem>
      <errorID>cf4942e7-c2b6-497d-bc12-0a752b43d63c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30</start>
      <end>31</end>
      <status>modified</status>
      <modifiedWord>（</modifiedWord>
      <trackRevisions>false</trackRevisions>
    </reviewItem>
    <reviewItem>
      <errorID>ed230a8d-1ea6-4755-af78-96586b8e0d12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37</start>
      <end>38</end>
      <status>modified</status>
      <modifiedWord>（</modifiedWord>
      <trackRevisions>false</trackRevisions>
    </reviewItem>
    <reviewItem>
      <errorID>950110ea-cf7d-406e-b702-1e0528c3bb9c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49</start>
      <end>50</end>
      <status>modified</status>
      <modifiedWord>（</modifiedWord>
      <trackRevisions>false</trackRevisions>
    </reviewItem>
    <reviewItem>
      <errorID>b3786de8-fda2-4f23-b590-af7a2cb536a2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58</start>
      <end>59</end>
      <status>modified</status>
      <modifiedWord>（</modifiedWord>
      <trackRevisions>false</trackRevisions>
    </reviewItem>
    <reviewItem>
      <errorID>0d0cc4d9-4bb9-49da-90ae-e11afd7d023a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70</start>
      <end>71</end>
      <status>modified</status>
      <modifiedWord>（</modifiedWord>
      <trackRevisions>false</trackRevisions>
    </reviewItem>
    <reviewItem>
      <errorID>ed32d266-3517-4ea7-8fec-c99e6ad077dc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79</start>
      <end>80</end>
      <status>modified</status>
      <modifiedWord>（</modifiedWord>
      <trackRevisions>false</trackRevisions>
    </reviewItem>
    <reviewItem>
      <errorID>fe770276-6754-4252-b77f-031a8e587bd5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88</start>
      <end>89</end>
      <status>modified</status>
      <modifiedWord>（</modifiedWord>
      <trackRevisions>false</trackRevisions>
    </reviewItem>
    <reviewItem>
      <errorID>924337f0-6ede-4f93-8392-f4e2a9768ef9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1DEA2C89</paraID>
      <start>100</start>
      <end>101</end>
      <status>modified</status>
      <modifiedWord>（</modifiedWord>
      <trackRevisions>false</trackRevisions>
    </reviewItem>
    <reviewItem>
      <errorID>f271d98e-7073-45f2-a42e-3ecff7dbfe20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58F95235</paraID>
      <start>37</start>
      <end>38</end>
      <status>modified</status>
      <modifiedWord>（</modifiedWord>
      <trackRevisions>false</trackRevisions>
    </reviewItem>
    <reviewItem>
      <errorID>050c7c83-948b-4ded-a0f0-b2cbf50277ba</errorID>
      <errorWord>车</errorWord>
      <group>L1_Word</group>
      <groupName>字词问题</groupName>
      <ability>L2_Typo</ability>
      <abilityName>字词错误</abilityName>
      <candidateList>
        <item>车和</item>
      </candidateList>
      <explain/>
      <paraID>58F95235</paraID>
      <start>48</start>
      <end>50</end>
      <status>modified</status>
      <modifiedWord>车和</modifiedWord>
      <trackRevisions>false</trackRevisions>
    </reviewItem>
    <reviewItem>
      <errorID>818a39c5-1bcb-4326-a67e-756e762339e5</errorID>
      <errorWord>保护治</errorWord>
      <group>L1_Word</group>
      <groupName>字词问题</groupName>
      <ability>L2_Typo</ability>
      <abilityName>字词错误</abilityName>
      <candidateList>
        <item>保护</item>
      </candidateList>
      <explain/>
      <paraID>19899076</paraID>
      <start>7</start>
      <end>9</end>
      <status>modified</status>
      <modifiedWord>保护</modifiedWord>
      <trackRevisions>false</trackRevisions>
    </reviewItem>
    <reviewItem>
      <errorID>a16c80a4-49e3-45cf-abab-3a7091ceeaf1</errorID>
      <errorWord>策</errorWord>
      <group>L1_Word</group>
      <groupName>字词问题</groupName>
      <ability>L2_Typo</ability>
      <abilityName>字词错误</abilityName>
      <candidateList>
        <item>策和</item>
      </candidateList>
      <explain/>
      <paraID>17ADDC5C</paraID>
      <start>7</start>
      <end>8</end>
      <status>ignored</status>
      <modifiedWord/>
      <trackRevisions>false</trackRevisions>
    </reviewItem>
    <reviewItem>
      <errorID>b13f0b9f-e667-4322-9c8a-e8e92d442255</errorID>
      <errorWord>成语</errorWord>
      <group>L1_Word</group>
      <groupName>字词问题</groupName>
      <ability>L2_Typo</ability>
      <abilityName>字词错误</abilityName>
      <candidateList>
        <item>成员</item>
      </candidateList>
      <explain/>
      <paraID>3D62E322</paraID>
      <start>5</start>
      <end>7</end>
      <status>modified</status>
      <modifiedWord>成员</modifiedWord>
      <trackRevisions>false</trackRevisions>
    </reviewItem>
    <reviewItem>
      <errorID>3b690c0a-6e0e-4b00-b638-5d14a8a87e7e</errorID>
      <errorWord>缺陷汽车产品召回管理条例</errorWord>
      <group>L1_Knowledge</group>
      <groupName>知识性问题</groupName>
      <ability>L2_Knowledge</ability>
      <abilityName>其他知识</abilityName>
      <candidateList>
        <item>《缺陷汽车产品召回管理条例》</item>
      </candidateList>
      <explain>完整法律法规名称需要加书名号，请注意检查。</explain>
      <paraID>3F71D4CB</paraID>
      <start>4</start>
      <end>16</end>
      <status>ignored</status>
      <modifiedWord/>
      <trackRevisions>false</trackRevisions>
    </reviewItem>
    <reviewItem>
      <errorID>f76be510-cbee-4130-a5c9-38f103da758c</errorID>
      <errorWord>缺陷汽车产品召回管理条例</errorWord>
      <group>L1_Knowledge</group>
      <groupName>知识性问题</groupName>
      <ability>L2_Knowledge</ability>
      <abilityName>其他知识</abilityName>
      <candidateList>
        <item>《缺陷汽车产品召回管理条例》</item>
      </candidateList>
      <explain>完整法律法规名称需要加书名号，请注意检查。</explain>
      <paraID>32EF3E6C</paraID>
      <start>4</start>
      <end>16</end>
      <status>ignored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C3340D7D-C8E4-493F-82EE-5D6B4A86544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2098</Words>
  <Characters>11960</Characters>
  <Application>Microsoft Office Word</Application>
  <DocSecurity>0</DocSecurity>
  <Lines>99</Lines>
  <Paragraphs>28</Paragraphs>
  <ScaleCrop>false</ScaleCrop>
  <Company/>
  <LinksUpToDate>false</LinksUpToDate>
  <CharactersWithSpaces>14030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团体标准</dc:title>
  <dc:creator>hx</dc:creator>
  <cp:lastModifiedBy>松岩 王</cp:lastModifiedBy>
  <cp:revision>7</cp:revision>
  <dcterms:created xsi:type="dcterms:W3CDTF">2025-09-28T15:41:00Z</dcterms:created>
  <dcterms:modified xsi:type="dcterms:W3CDTF">2026-09-11T00:48:00Z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2025-10-13T09:16:57Z</vt:filetime>
  </property>
  <property fmtid="{D5CDD505-2E9C-101B-9397-08002B2CF9AE}" pid="4" name="KSOTemplateDocerSaveRecord">
    <vt:lpwstr>eyJoZGlkIjoiZjM0N2FiNDFiNzA2Y2VkZmJiZDRkMThmZjdjNzVjOTQiLCJ1c2VySWQiOiIzNTcwOTAzNDgifQ==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4981D5373D4A417C89EE37C8E33BE03D_12</vt:lpwstr>
  </property>
</Properties>
</file>