
<file path=[Content_Types].xml><?xml version="1.0" encoding="utf-8"?>
<Types xmlns="http://schemas.openxmlformats.org/package/2006/content-types">
  <Default Extension="wmf" ContentType="image/x-wmf"/>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CED7F">
      <w:pPr>
        <w:widowControl/>
        <w:jc w:val="center"/>
        <w:rPr>
          <w:rFonts w:ascii="黑体" w:hAnsi="黑体" w:eastAsia="黑体" w:cs="黑体"/>
          <w:color w:val="000000" w:themeColor="text1"/>
          <w:sz w:val="30"/>
          <w:szCs w:val="30"/>
          <w14:textFill>
            <w14:solidFill>
              <w14:schemeClr w14:val="tx1"/>
            </w14:solidFill>
          </w14:textFill>
        </w:rPr>
      </w:pPr>
      <w:r>
        <w:rPr>
          <w:rFonts w:hint="eastAsia" w:eastAsia="黑体"/>
          <w:sz w:val="28"/>
          <w:szCs w:val="28"/>
        </w:rPr>
        <w:t>中汽协会《压缩天然气（CNG）轻型商用车燃料消耗量限值》团体标准编制说明</w:t>
      </w:r>
    </w:p>
    <w:p w14:paraId="6FC3C3FC">
      <w:pPr>
        <w:numPr>
          <w:ilvl w:val="0"/>
          <w:numId w:val="1"/>
        </w:num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工作简要过程</w:t>
      </w:r>
    </w:p>
    <w:p w14:paraId="73E996C1">
      <w:pPr>
        <w:numPr>
          <w:ilvl w:val="0"/>
          <w:numId w:val="2"/>
        </w:num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任务来源</w:t>
      </w:r>
    </w:p>
    <w:p w14:paraId="48F2C6EB">
      <w:pPr>
        <w:ind w:left="3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中国汽车工业协会于2025年10月发布《关于《汽车测试场地划分与评定》等八项团体标准立项公示的函》立项批复函，中汽协函字(2025) 482号，其中包含了《天然气商用车燃料消耗量限值》标准的立项批复。</w:t>
      </w:r>
    </w:p>
    <w:p w14:paraId="7BC16039">
      <w:pPr>
        <w:numPr>
          <w:ilvl w:val="0"/>
          <w:numId w:val="2"/>
        </w:numP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主要起草单位及任务分工</w:t>
      </w:r>
    </w:p>
    <w:p w14:paraId="320DE913">
      <w:pPr>
        <w:ind w:left="36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《压缩天然气（CNG）轻型商用车燃料消耗量限值》标准由中国汽车工程研究院股份有限公司负责，中国汽车工程研究院股份有限公司、江铃汽车股份有限公司、奇瑞汽车股份有限公司</w:t>
      </w:r>
      <w:r>
        <w:rPr>
          <w:rFonts w:hint="eastAsia" w:ascii="仿宋" w:hAnsi="仿宋" w:eastAsia="仿宋" w:cs="仿宋"/>
          <w:color w:val="000000" w:themeColor="text1"/>
          <w:sz w:val="24"/>
          <w:lang w:eastAsia="zh-CN"/>
          <w14:textFill>
            <w14:solidFill>
              <w14:schemeClr w14:val="tx1"/>
            </w14:solidFill>
          </w14:textFill>
        </w:rPr>
        <w:t>、赛力斯集团股份有限公司</w:t>
      </w:r>
      <w:r>
        <w:rPr>
          <w:rFonts w:hint="eastAsia" w:ascii="仿宋" w:hAnsi="仿宋" w:eastAsia="仿宋" w:cs="仿宋"/>
          <w:color w:val="000000" w:themeColor="text1"/>
          <w:sz w:val="24"/>
          <w14:textFill>
            <w14:solidFill>
              <w14:schemeClr w14:val="tx1"/>
            </w14:solidFill>
          </w14:textFill>
        </w:rPr>
        <w:t>参与编写。</w:t>
      </w:r>
    </w:p>
    <w:p w14:paraId="508982E4">
      <w:pPr>
        <w:numPr>
          <w:ilvl w:val="0"/>
          <w:numId w:val="2"/>
        </w:numPr>
        <w:rPr>
          <w:rFonts w:ascii="仿宋" w:hAnsi="仿宋" w:eastAsia="仿宋" w:cs="仿宋"/>
          <w:b/>
          <w:bCs/>
          <w:color w:val="000000" w:themeColor="text1"/>
          <w:sz w:val="24"/>
          <w14:textFill>
            <w14:solidFill>
              <w14:schemeClr w14:val="tx1"/>
            </w14:solidFill>
          </w14:textFill>
        </w:rPr>
      </w:pPr>
      <w:bookmarkStart w:id="0" w:name="OLE_LINK1"/>
      <w:bookmarkStart w:id="1" w:name="OLE_LINK2"/>
      <w:r>
        <w:rPr>
          <w:rFonts w:hint="eastAsia" w:ascii="仿宋" w:hAnsi="仿宋" w:eastAsia="仿宋" w:cs="仿宋"/>
          <w:b/>
          <w:bCs/>
          <w:color w:val="000000" w:themeColor="text1"/>
          <w:sz w:val="24"/>
          <w14:textFill>
            <w14:solidFill>
              <w14:schemeClr w14:val="tx1"/>
            </w14:solidFill>
          </w14:textFill>
        </w:rPr>
        <w:t>标准研讨情况</w:t>
      </w:r>
    </w:p>
    <w:p w14:paraId="7ECB4A01">
      <w:pPr>
        <w:ind w:left="3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立项后，起草工作组严格按照团体标准编制要求，分阶段组织专题研讨，核心会议及成果如下：</w:t>
      </w:r>
    </w:p>
    <w:bookmarkEnd w:id="0"/>
    <w:bookmarkEnd w:id="1"/>
    <w:p w14:paraId="7E1291AC">
      <w:pPr>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2025年1</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月12日，标准编制启动暨工作方案研讨会</w:t>
      </w:r>
    </w:p>
    <w:p w14:paraId="5666E7D5">
      <w:pPr>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牵头单位组织参编单位召开首次编制工作会，会议重点围绕本标准项目整体实施步骤开展研讨，明确标准编制分为：前期调研与数据收集、标准框架搭建、核心指标确定、试验验证、草案编制、征求意见、专家审查、报批发布八个阶段；同时确定各单位任务分工、时间节点计划，形成《标准编制工作计划书》，为项目全流程推进奠定基础。</w:t>
      </w:r>
    </w:p>
    <w:p w14:paraId="59C8C106">
      <w:pPr>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2. 202</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年</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月</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日，核心技术指标专题研讨会</w:t>
      </w:r>
    </w:p>
    <w:p w14:paraId="4983D893">
      <w:pPr>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工作组聚焦燃料消耗量限值核算核心问题，针对压缩天然气（CNG）轻型商用车燃料消耗量限值公式转换过程中天然气低位发热量选值，开展专项讨论。参会单位结合国家标准、行业实测试验结果，对低位发热量推荐取值区间进行了充分论证，最终统一取值为：</w:t>
      </w:r>
      <m:oMath>
        <m:sSub>
          <m:sSubPr>
            <m:ctrlPr>
              <w:rPr>
                <w:rFonts w:ascii="Cambria Math" w:hAnsi="Cambria Math" w:eastAsia="仿宋" w:cs="仿宋"/>
                <w:color w:val="000000" w:themeColor="text1"/>
                <w:sz w:val="24"/>
                <w14:textFill>
                  <w14:solidFill>
                    <w14:schemeClr w14:val="tx1"/>
                  </w14:solidFill>
                </w14:textFill>
              </w:rPr>
            </m:ctrlPr>
          </m:sSubPr>
          <m:e>
            <m:r>
              <m:rPr>
                <m:sty m:val="p"/>
              </m:rPr>
              <w:rPr>
                <w:rFonts w:ascii="Cambria Math" w:hAnsi="Cambria Math" w:eastAsia="仿宋" w:cs="仿宋"/>
                <w:color w:val="000000" w:themeColor="text1"/>
                <w:sz w:val="24"/>
                <w14:textFill>
                  <w14:solidFill>
                    <w14:schemeClr w14:val="tx1"/>
                  </w14:solidFill>
                </w14:textFill>
              </w:rPr>
              <m:t>H</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low</m:t>
            </m:r>
            <m:ctrlPr>
              <w:rPr>
                <w:rFonts w:ascii="Cambria Math" w:hAnsi="Cambria Math" w:eastAsia="仿宋" w:cs="仿宋"/>
                <w:color w:val="000000" w:themeColor="text1"/>
                <w:sz w:val="24"/>
                <w14:textFill>
                  <w14:solidFill>
                    <w14:schemeClr w14:val="tx1"/>
                  </w14:solidFill>
                </w14:textFill>
              </w:rPr>
            </m:ctrlPr>
          </m:sub>
        </m:sSub>
      </m:oMath>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38.979</w:t>
      </w:r>
      <w:r>
        <w:rPr>
          <w:rFonts w:hint="eastAsia" w:ascii="仿宋" w:hAnsi="仿宋" w:eastAsia="仿宋" w:cs="仿宋"/>
          <w:color w:val="000000" w:themeColor="text1"/>
          <w:sz w:val="24"/>
          <w14:textFill>
            <w14:solidFill>
              <w14:schemeClr w14:val="tx1"/>
            </w14:solidFill>
          </w14:textFill>
        </w:rPr>
        <w:t>MJ/m3，解决了标准限值核算的关键技术难点，形成技术指标统一意见稿。</w:t>
      </w:r>
    </w:p>
    <w:p w14:paraId="0DE07D33">
      <w:pPr>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2026年</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月22日，验证试验方案细节研讨会</w:t>
      </w:r>
    </w:p>
    <w:p w14:paraId="1AC6F2FD">
      <w:pPr>
        <w:ind w:left="3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为保障标准数据严谨客观，工作组专题研讨压缩天然气燃料消耗量验证试验过程细节，明确试验车辆选取要求及数量、试验工况、试验燃料要求、环境条件控制要求、异常数据判定与处理方式等细节，确定整车验证试验方案，确保试验过程规范、数据有效，支撑标准条款的实证性与客观性。</w:t>
      </w:r>
    </w:p>
    <w:p w14:paraId="07CCFDBE">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二、标准编制原则和主要内容</w:t>
      </w:r>
    </w:p>
    <w:p w14:paraId="1648EC65">
      <w:pPr>
        <w:ind w:left="424" w:leftChars="202"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本标准</w:t>
      </w:r>
      <w:r>
        <w:rPr>
          <w:rFonts w:hint="eastAsia" w:ascii="仿宋" w:hAnsi="仿宋" w:eastAsia="仿宋" w:cs="仿宋"/>
          <w:color w:val="000000" w:themeColor="text1"/>
          <w:sz w:val="24"/>
          <w14:textFill>
            <w14:solidFill>
              <w14:schemeClr w14:val="tx1"/>
            </w14:solidFill>
          </w14:textFill>
        </w:rPr>
        <w:t>按照 GB/T 1.1-2020《标准化工作导则 第1部分：标准化文件的结构和起草规则》的规定起草。</w:t>
      </w:r>
    </w:p>
    <w:p w14:paraId="702D386F">
      <w:pPr>
        <w:ind w:left="424" w:leftChars="202"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按照GB/T</w:t>
      </w:r>
      <w:r>
        <w:rPr>
          <w:rFonts w:ascii="仿宋" w:hAnsi="仿宋" w:eastAsia="仿宋" w:cs="仿宋"/>
          <w:color w:val="000000" w:themeColor="text1"/>
          <w:sz w:val="24"/>
          <w14:textFill>
            <w14:solidFill>
              <w14:schemeClr w14:val="tx1"/>
            </w14:solidFill>
          </w14:textFill>
        </w:rPr>
        <w:t xml:space="preserve"> 2912-2012</w:t>
      </w:r>
      <w:r>
        <w:rPr>
          <w:rFonts w:hint="eastAsia" w:ascii="仿宋" w:hAnsi="仿宋" w:eastAsia="仿宋" w:cs="仿宋"/>
          <w:color w:val="000000" w:themeColor="text1"/>
          <w:sz w:val="24"/>
          <w14:textFill>
            <w14:solidFill>
              <w14:schemeClr w14:val="tx1"/>
            </w14:solidFill>
          </w14:textFill>
        </w:rPr>
        <w:t>中5</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规定，轻型商用车采用底盘测功机试验或碳平衡法</w:t>
      </w:r>
      <w:r>
        <w:rPr>
          <w:rFonts w:ascii="仿宋" w:hAnsi="仿宋" w:eastAsia="仿宋" w:cs="仿宋"/>
          <w:color w:val="000000" w:themeColor="text1"/>
          <w:sz w:val="24"/>
          <w14:textFill>
            <w14:solidFill>
              <w14:schemeClr w14:val="tx1"/>
            </w14:solidFill>
          </w14:textFill>
        </w:rPr>
        <w:t>确定气体燃料消耗量</w:t>
      </w:r>
      <w:r>
        <w:rPr>
          <w:rFonts w:hint="eastAsia" w:ascii="仿宋" w:hAnsi="仿宋" w:eastAsia="仿宋" w:cs="仿宋"/>
          <w:color w:val="000000" w:themeColor="text1"/>
          <w:sz w:val="24"/>
          <w14:textFill>
            <w14:solidFill>
              <w14:schemeClr w14:val="tx1"/>
            </w14:solidFill>
          </w14:textFill>
        </w:rPr>
        <w:t>时，应符合</w:t>
      </w:r>
      <w:r>
        <w:rPr>
          <w:rFonts w:ascii="仿宋" w:hAnsi="仿宋" w:eastAsia="仿宋" w:cs="仿宋"/>
          <w:color w:val="000000" w:themeColor="text1"/>
          <w:sz w:val="24"/>
          <w14:textFill>
            <w14:solidFill>
              <w14:schemeClr w14:val="tx1"/>
            </w14:solidFill>
          </w14:textFill>
        </w:rPr>
        <w:t>GB/T19233和GB18352.3规定</w:t>
      </w: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并按照</w:t>
      </w:r>
      <w:r>
        <w:rPr>
          <w:rFonts w:hint="eastAsia" w:ascii="仿宋" w:hAnsi="仿宋" w:eastAsia="仿宋" w:cs="仿宋"/>
          <w:color w:val="000000" w:themeColor="text1"/>
          <w:sz w:val="24"/>
          <w14:textFill>
            <w14:solidFill>
              <w14:schemeClr w14:val="tx1"/>
            </w14:solidFill>
          </w14:textFill>
        </w:rPr>
        <w:t>GB/T 29125-2012中附录D换算为汽油燃料消耗量。</w:t>
      </w:r>
    </w:p>
    <w:p w14:paraId="6C44B261">
      <w:pPr>
        <w:ind w:left="424" w:leftChars="202"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依据</w:t>
      </w:r>
      <w:r>
        <w:rPr>
          <w:rFonts w:hint="eastAsia" w:ascii="仿宋" w:hAnsi="仿宋" w:eastAsia="仿宋" w:cs="仿宋"/>
          <w:color w:val="000000" w:themeColor="text1"/>
          <w:sz w:val="24"/>
          <w14:textFill>
            <w14:solidFill>
              <w14:schemeClr w14:val="tx1"/>
            </w14:solidFill>
          </w14:textFill>
        </w:rPr>
        <w:t>GB 29125-2012条款7.1.2中试验项目及试验方法中规定，试验方法可按照GB/T 19233规定进行，即试验工况采用WLTC工况。</w:t>
      </w:r>
    </w:p>
    <w:p w14:paraId="6FCCFB4C">
      <w:pPr>
        <w:ind w:left="424" w:leftChars="202" w:firstLine="480" w:firstLineChars="200"/>
        <w:jc w:val="left"/>
        <w:rPr>
          <w:rFonts w:ascii="宋体" w:hAnsi="宋体"/>
          <w:sz w:val="24"/>
        </w:rPr>
      </w:pPr>
      <w:r>
        <w:rPr>
          <w:rFonts w:hint="eastAsia" w:ascii="仿宋" w:hAnsi="仿宋" w:eastAsia="仿宋" w:cs="仿宋"/>
          <w:color w:val="000000" w:themeColor="text1"/>
          <w:sz w:val="24"/>
          <w14:textFill>
            <w14:solidFill>
              <w14:schemeClr w14:val="tx1"/>
            </w14:solidFill>
          </w14:textFill>
        </w:rPr>
        <w:t>标准 GB/T 29125-2012《压缩天然气汽车燃料消耗量试验方法》附录 D 规定了基于等效热值原理的换算规则，可将压缩天然气车辆的燃气消耗量折算为等效液体燃料消耗量，对应的换算计算公式具体如下。</w:t>
      </w:r>
    </w:p>
    <w:p w14:paraId="10AB0DB8">
      <w:pPr>
        <w:wordWrap w:val="0"/>
        <w:ind w:firstLine="480" w:firstLineChars="200"/>
        <w:jc w:val="right"/>
        <w:rPr>
          <w:rFonts w:ascii="宋体" w:hAnsi="宋体"/>
          <w:sz w:val="24"/>
        </w:rPr>
      </w:pPr>
      <w:r>
        <w:rPr>
          <w:rFonts w:ascii="宋体" w:hAnsi="宋体"/>
          <w:sz w:val="24"/>
        </w:rPr>
        <w:object>
          <v:shape id="_x0000_i1025" o:spt="75" type="#_x0000_t75" style="height:36pt;width:140.25pt;" o:ole="t" filled="f" coordsize="21600,21600">
            <v:path/>
            <v:fill on="f" focussize="0,0"/>
            <v:stroke/>
            <v:imagedata r:id="rId5" o:title=""/>
            <o:lock v:ext="edit" aspectratio="t"/>
            <w10:wrap type="none"/>
            <w10:anchorlock/>
          </v:shape>
          <o:OLEObject Type="Embed" ProgID="Equation.3" ShapeID="_x0000_i1025" DrawAspect="Content" ObjectID="_1468075725" r:id="rId4">
            <o:LockedField>false</o:LockedField>
          </o:OLEObject>
        </w:object>
      </w:r>
      <w:r>
        <w:rPr>
          <w:rFonts w:hint="eastAsia" w:ascii="宋体" w:hAnsi="宋体"/>
          <w:sz w:val="24"/>
        </w:rPr>
        <w:t xml:space="preserve">     </w:t>
      </w:r>
      <w:r>
        <w:rPr>
          <w:rFonts w:ascii="宋体" w:hAnsi="宋体"/>
          <w:sz w:val="24"/>
        </w:rPr>
        <w:t xml:space="preserve">  </w:t>
      </w:r>
      <w:r>
        <w:rPr>
          <w:rFonts w:hint="eastAsia" w:ascii="宋体" w:hAnsi="宋体"/>
          <w:sz w:val="24"/>
        </w:rPr>
        <w:t xml:space="preserve">     （1）</w:t>
      </w:r>
    </w:p>
    <w:p w14:paraId="7AD699CC">
      <w:pPr>
        <w:ind w:firstLine="480" w:firstLineChars="200"/>
        <w:jc w:val="right"/>
        <w:rPr>
          <w:rFonts w:ascii="宋体" w:hAnsi="宋体"/>
          <w:sz w:val="24"/>
        </w:rPr>
      </w:pPr>
      <w:r>
        <w:rPr>
          <w:rFonts w:hint="eastAsia" w:ascii="宋体" w:hAnsi="宋体"/>
          <w:sz w:val="24"/>
        </w:rPr>
        <w:object>
          <v:shape id="_x0000_i1026" o:spt="75" type="#_x0000_t75" style="height:36pt;width:91.35pt;" o:ole="t" filled="f" coordsize="21600,21600">
            <v:path/>
            <v:fill on="f" focussize="0,0"/>
            <v:stroke/>
            <v:imagedata r:id="rId7" o:title=""/>
            <o:lock v:ext="edit" aspectratio="t"/>
            <w10:wrap type="none"/>
            <w10:anchorlock/>
          </v:shape>
          <o:OLEObject Type="Embed" ProgID="Equation.3" ShapeID="_x0000_i1026" DrawAspect="Content" ObjectID="_1468075726" r:id="rId6">
            <o:LockedField>false</o:LockedField>
          </o:OLEObject>
        </w:object>
      </w:r>
      <w:r>
        <w:rPr>
          <w:rFonts w:ascii="宋体" w:hAnsi="宋体"/>
          <w:sz w:val="24"/>
        </w:rPr>
        <w:t xml:space="preserve">                </w:t>
      </w:r>
      <w:r>
        <w:rPr>
          <w:rFonts w:hint="eastAsia" w:ascii="宋体" w:hAnsi="宋体"/>
          <w:sz w:val="24"/>
        </w:rPr>
        <w:t>（2）</w:t>
      </w:r>
    </w:p>
    <w:p w14:paraId="4FBF4A68">
      <w:pPr>
        <w:ind w:left="424" w:leftChars="202" w:firstLine="480" w:firstLineChars="200"/>
        <w:jc w:val="left"/>
        <w:rPr>
          <w:rFonts w:ascii="仿宋" w:hAnsi="仿宋" w:eastAsia="仿宋" w:cs="仿宋"/>
          <w:color w:val="000000" w:themeColor="text1"/>
          <w:sz w:val="24"/>
          <w14:textFill>
            <w14:solidFill>
              <w14:schemeClr w14:val="tx1"/>
            </w14:solidFill>
          </w14:textFill>
        </w:rPr>
      </w:pPr>
      <w:bookmarkStart w:id="2" w:name="OLE_LINK11"/>
      <w:bookmarkStart w:id="3" w:name="OLE_LINK12"/>
      <w:r>
        <w:rPr>
          <w:rFonts w:ascii="仿宋" w:hAnsi="仿宋" w:eastAsia="仿宋" w:cs="仿宋"/>
          <w:color w:val="000000" w:themeColor="text1"/>
          <w:sz w:val="24"/>
          <w14:textFill>
            <w14:solidFill>
              <w14:schemeClr w14:val="tx1"/>
            </w14:solidFill>
          </w14:textFill>
        </w:rPr>
        <w:drawing>
          <wp:inline distT="0" distB="0" distL="0" distR="0">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5775" cy="228600"/>
                    </a:xfrm>
                    <a:prstGeom prst="rect">
                      <a:avLst/>
                    </a:prstGeom>
                    <a:noFill/>
                    <a:ln>
                      <a:noFill/>
                    </a:ln>
                  </pic:spPr>
                </pic:pic>
              </a:graphicData>
            </a:graphic>
          </wp:inline>
        </w:drawing>
      </w:r>
      <w:r>
        <w:rPr>
          <w:rFonts w:hint="eastAsia" w:ascii="仿宋" w:hAnsi="仿宋" w:eastAsia="仿宋" w:cs="仿宋"/>
          <w:color w:val="000000" w:themeColor="text1"/>
          <w:sz w:val="24"/>
          <w14:textFill>
            <w14:solidFill>
              <w14:schemeClr w14:val="tx1"/>
            </w14:solidFill>
          </w14:textFill>
        </w:rPr>
        <w:t>:天然气燃料消耗量换算的当量液体燃料消耗量，L/100km；</w:t>
      </w:r>
    </w:p>
    <w:bookmarkEnd w:id="2"/>
    <w:bookmarkEnd w:id="3"/>
    <w:p w14:paraId="45B7C71F">
      <w:pPr>
        <w:ind w:left="424" w:leftChars="202" w:firstLine="424" w:firstLineChars="177"/>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drawing>
          <wp:inline distT="0" distB="0" distL="0" distR="0">
            <wp:extent cx="371475" cy="2286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71475" cy="228600"/>
                    </a:xfrm>
                    <a:prstGeom prst="rect">
                      <a:avLst/>
                    </a:prstGeom>
                    <a:noFill/>
                    <a:ln>
                      <a:noFill/>
                    </a:ln>
                  </pic:spPr>
                </pic:pic>
              </a:graphicData>
            </a:graphic>
          </wp:inline>
        </w:drawing>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天然气燃料消耗量（15℃、101.325kPa），m3/100km；</w:t>
      </w:r>
    </w:p>
    <w:p w14:paraId="06E88A2A">
      <w:pPr>
        <w:ind w:left="424" w:leftChars="202" w:firstLine="424" w:firstLineChars="177"/>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drawing>
          <wp:inline distT="0" distB="0" distL="0" distR="0">
            <wp:extent cx="466725" cy="2381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66725" cy="238125"/>
                    </a:xfrm>
                    <a:prstGeom prst="rect">
                      <a:avLst/>
                    </a:prstGeom>
                    <a:noFill/>
                    <a:ln>
                      <a:noFill/>
                    </a:ln>
                  </pic:spPr>
                </pic:pic>
              </a:graphicData>
            </a:graphic>
          </wp:inline>
        </w:drawing>
      </w:r>
      <w:r>
        <w:rPr>
          <w:rFonts w:hint="eastAsia" w:ascii="仿宋" w:hAnsi="仿宋" w:eastAsia="仿宋" w:cs="仿宋"/>
          <w:color w:val="000000" w:themeColor="text1"/>
          <w:sz w:val="24"/>
          <w14:textFill>
            <w14:solidFill>
              <w14:schemeClr w14:val="tx1"/>
            </w14:solidFill>
          </w14:textFill>
        </w:rPr>
        <w:t>:天然气标准参比条件（15℃、101.325kPa）低位发热量，MJ/m3。按照标准 GB/T 2589-2020附录A给出的规定，在15℃、101.325kPa的标准参比工况下，天然气低位发热量取值区间为 32.238MJ/m</w:t>
      </w:r>
      <w:r>
        <w:rPr>
          <w:rFonts w:ascii="Calibri" w:hAnsi="Calibri" w:eastAsia="仿宋" w:cs="Calibri"/>
          <w:color w:val="000000" w:themeColor="text1"/>
          <w:sz w:val="24"/>
          <w14:textFill>
            <w14:solidFill>
              <w14:schemeClr w14:val="tx1"/>
            </w14:solidFill>
          </w14:textFill>
        </w:rPr>
        <w:t>³</w:t>
      </w:r>
      <w:r>
        <w:rPr>
          <w:rFonts w:hint="eastAsia" w:ascii="仿宋" w:hAnsi="仿宋" w:eastAsia="仿宋" w:cs="仿宋"/>
          <w:color w:val="000000" w:themeColor="text1"/>
          <w:sz w:val="24"/>
          <w14:textFill>
            <w14:solidFill>
              <w14:schemeClr w14:val="tx1"/>
            </w14:solidFill>
          </w14:textFill>
        </w:rPr>
        <w:t>至38.979MJ/m</w:t>
      </w:r>
      <w:r>
        <w:rPr>
          <w:rFonts w:ascii="Calibri" w:hAnsi="Calibri" w:eastAsia="仿宋" w:cs="Calibri"/>
          <w:color w:val="000000" w:themeColor="text1"/>
          <w:sz w:val="24"/>
          <w14:textFill>
            <w14:solidFill>
              <w14:schemeClr w14:val="tx1"/>
            </w14:solidFill>
          </w14:textFill>
        </w:rPr>
        <w:t>³</w:t>
      </w:r>
      <w:r>
        <w:rPr>
          <w:rFonts w:hint="eastAsia" w:ascii="仿宋" w:hAnsi="仿宋" w:eastAsia="仿宋" w:cs="仿宋"/>
          <w:color w:val="000000" w:themeColor="text1"/>
          <w:sz w:val="24"/>
          <w14:textFill>
            <w14:solidFill>
              <w14:schemeClr w14:val="tx1"/>
            </w14:solidFill>
          </w14:textFill>
        </w:rPr>
        <w:t>。</w:t>
      </w:r>
    </w:p>
    <w:p w14:paraId="008B489B">
      <w:pPr>
        <w:ind w:left="424" w:leftChars="202" w:firstLine="424" w:firstLineChars="177"/>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drawing>
          <wp:inline distT="0" distB="0" distL="0" distR="0">
            <wp:extent cx="390525" cy="2381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90525" cy="238125"/>
                    </a:xfrm>
                    <a:prstGeom prst="rect">
                      <a:avLst/>
                    </a:prstGeom>
                    <a:noFill/>
                    <a:ln>
                      <a:noFill/>
                    </a:ln>
                  </pic:spPr>
                </pic:pic>
              </a:graphicData>
            </a:graphic>
          </wp:inline>
        </w:drawing>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液体燃料标准参比条件（15℃、101.325kPa）低位发热量，MJ/kg。依据GB/T 2589-2020附录A，汽油的平均汽油标准参比条件（15℃、101.325kPa）低位发热量为43.124MJ/kg。</w:t>
      </w:r>
    </w:p>
    <w:p w14:paraId="51E47BA5">
      <w:pPr>
        <w:pStyle w:val="5"/>
        <w:numPr>
          <w:ilvl w:val="0"/>
          <w:numId w:val="3"/>
        </w:numPr>
        <w:ind w:firstLine="429" w:firstLineChars="179"/>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液体燃料在基准状态下（15℃、101.325kPa）的密度，kg/L。依据GB 18352.6-2016附录K，汽油燃料在基准状态（15℃、101.325kPa）下的密度</w:t>
      </w:r>
      <w:r>
        <w:rPr>
          <w:rFonts w:ascii="仿宋" w:hAnsi="仿宋" w:eastAsia="仿宋" w:cs="仿宋"/>
          <w:color w:val="000000" w:themeColor="text1"/>
          <w:sz w:val="24"/>
          <w14:textFill>
            <w14:solidFill>
              <w14:schemeClr w14:val="tx1"/>
            </w14:solidFill>
          </w14:textFill>
        </w:rPr>
        <w:t>存在上下限区间，</w:t>
      </w:r>
      <w:r>
        <w:rPr>
          <w:rFonts w:hint="eastAsia" w:ascii="仿宋" w:hAnsi="仿宋" w:eastAsia="仿宋" w:cs="仿宋"/>
          <w:color w:val="000000" w:themeColor="text1"/>
          <w:sz w:val="24"/>
          <w14:textFill>
            <w14:solidFill>
              <w14:schemeClr w14:val="tx1"/>
            </w14:solidFill>
          </w14:textFill>
        </w:rPr>
        <w:t>该参数直接左右等效油耗限值核算结果的严苛程度。若标准制定目标为收紧燃料消耗限值、提升节能管控要求，则选取区间上限参与换算；若以扶持天然气汽车产业推广、放宽准入门槛为导向，则选用区间下限高热值进行测算。为</w:t>
      </w:r>
      <w:r>
        <w:rPr>
          <w:rFonts w:ascii="仿宋" w:hAnsi="仿宋" w:eastAsia="仿宋" w:cs="仿宋"/>
          <w:color w:val="000000" w:themeColor="text1"/>
          <w:sz w:val="24"/>
          <w14:textFill>
            <w14:solidFill>
              <w14:schemeClr w14:val="tx1"/>
            </w14:solidFill>
          </w14:textFill>
        </w:rPr>
        <w:t>推动天然气</w:t>
      </w:r>
      <w:r>
        <w:rPr>
          <w:rFonts w:hint="eastAsia" w:ascii="仿宋" w:hAnsi="仿宋" w:eastAsia="仿宋" w:cs="仿宋"/>
          <w:color w:val="000000" w:themeColor="text1"/>
          <w:sz w:val="24"/>
          <w14:textFill>
            <w14:solidFill>
              <w14:schemeClr w14:val="tx1"/>
            </w14:solidFill>
          </w14:textFill>
        </w:rPr>
        <w:t>商</w:t>
      </w:r>
      <w:r>
        <w:rPr>
          <w:rFonts w:ascii="仿宋" w:hAnsi="仿宋" w:eastAsia="仿宋" w:cs="仿宋"/>
          <w:color w:val="000000" w:themeColor="text1"/>
          <w:sz w:val="24"/>
          <w14:textFill>
            <w14:solidFill>
              <w14:schemeClr w14:val="tx1"/>
            </w14:solidFill>
          </w14:textFill>
        </w:rPr>
        <w:t>用车产业普及</w:t>
      </w:r>
      <w:r>
        <w:rPr>
          <w:rFonts w:hint="eastAsia" w:ascii="仿宋" w:hAnsi="仿宋" w:eastAsia="仿宋" w:cs="仿宋"/>
          <w:color w:val="000000" w:themeColor="text1"/>
          <w:sz w:val="24"/>
          <w14:textFill>
            <w14:solidFill>
              <w14:schemeClr w14:val="tx1"/>
            </w14:solidFill>
          </w14:textFill>
        </w:rPr>
        <w:t>，汽油燃料密度取0.755 kg/L。</w:t>
      </w:r>
    </w:p>
    <w:p w14:paraId="1E29D7BD">
      <w:pPr>
        <w:ind w:left="424" w:leftChars="202" w:firstLine="480" w:firstLineChars="200"/>
        <w:jc w:val="left"/>
        <w:rPr>
          <w:rFonts w:ascii="宋体" w:hAnsi="宋体"/>
          <w:sz w:val="24"/>
        </w:rPr>
      </w:pPr>
      <w:bookmarkStart w:id="4" w:name="OLE_LINK14"/>
      <w:bookmarkStart w:id="5" w:name="OLE_LINK13"/>
      <w:r>
        <w:rPr>
          <w:rFonts w:hint="eastAsia" w:ascii="仿宋" w:hAnsi="仿宋" w:eastAsia="仿宋" w:cs="仿宋"/>
          <w:color w:val="000000" w:themeColor="text1"/>
          <w:sz w:val="24"/>
          <w14:textFill>
            <w14:solidFill>
              <w14:schemeClr w14:val="tx1"/>
            </w14:solidFill>
          </w14:textFill>
        </w:rPr>
        <w:t>由式（1）和式（2）可得：</w:t>
      </w:r>
      <w:r>
        <w:rPr>
          <w:rFonts w:hint="eastAsia" w:ascii="宋体" w:hAnsi="宋体"/>
          <w:sz w:val="24"/>
        </w:rPr>
        <w:t xml:space="preserve"> </w:t>
      </w:r>
    </w:p>
    <w:p w14:paraId="6639FBE1">
      <w:pPr>
        <w:wordWrap w:val="0"/>
        <w:ind w:firstLine="480" w:firstLineChars="200"/>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m:sty m:val="p"/>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f>
          <m:fPr>
            <m:ctrlPr>
              <w:rPr>
                <w:rFonts w:ascii="Cambria Math" w:hAnsi="Cambria Math" w:eastAsia="仿宋" w:cs="仿宋"/>
                <w:color w:val="000000" w:themeColor="text1"/>
                <w:sz w:val="24"/>
                <w14:textFill>
                  <w14:solidFill>
                    <w14:schemeClr w14:val="tx1"/>
                  </w14:solidFill>
                </w14:textFill>
              </w:rPr>
            </m:ctrlPr>
          </m:fPr>
          <m:num>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ctrlPr>
              <w:rPr>
                <w:rFonts w:ascii="Cambria Math" w:hAnsi="Cambria Math" w:eastAsia="仿宋" w:cs="仿宋"/>
                <w:color w:val="000000" w:themeColor="text1"/>
                <w:sz w:val="24"/>
                <w14:textFill>
                  <w14:solidFill>
                    <w14:schemeClr w14:val="tx1"/>
                  </w14:solidFill>
                </w14:textFill>
              </w:rPr>
            </m:ctrlPr>
          </m:num>
          <m:den>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k</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ctrlPr>
              <w:rPr>
                <w:rFonts w:ascii="Cambria Math" w:hAnsi="Cambria Math" w:eastAsia="仿宋" w:cs="仿宋"/>
                <w:color w:val="000000" w:themeColor="text1"/>
                <w:sz w:val="24"/>
                <w14:textFill>
                  <w14:solidFill>
                    <w14:schemeClr w14:val="tx1"/>
                  </w14:solidFill>
                </w14:textFill>
              </w:rPr>
            </m:ctrlPr>
          </m:den>
        </m:f>
      </m:oMath>
      <w:r>
        <w:rPr>
          <w:rFonts w:ascii="仿宋" w:hAnsi="仿宋" w:eastAsia="仿宋" w:cs="仿宋"/>
          <w:color w:val="000000" w:themeColor="text1"/>
          <w:sz w:val="24"/>
          <w14:textFill>
            <w14:solidFill>
              <w14:schemeClr w14:val="tx1"/>
            </w14:solidFill>
          </w14:textFill>
        </w:rPr>
        <w:t xml:space="preserve"> </w:t>
      </w:r>
      <w:r>
        <w:rPr>
          <w:rFonts w:ascii="宋体" w:hAnsi="宋体"/>
          <w:sz w:val="24"/>
        </w:rPr>
        <w:t xml:space="preserve">                </w:t>
      </w:r>
      <w:r>
        <w:rPr>
          <w:rFonts w:hint="eastAsia" w:ascii="宋体" w:hAnsi="宋体"/>
          <w:sz w:val="24"/>
        </w:rPr>
        <w:t>（3）</w:t>
      </w:r>
    </w:p>
    <w:p w14:paraId="53617837">
      <w:pPr>
        <w:ind w:left="424" w:leftChars="202"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设</w:t>
      </w: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oMath>
      <w:r>
        <w:rPr>
          <w:rFonts w:hint="eastAsia" w:ascii="仿宋" w:hAnsi="仿宋" w:eastAsia="仿宋" w:cs="仿宋"/>
          <w:color w:val="000000" w:themeColor="text1"/>
          <w:sz w:val="24"/>
          <w14:textFill>
            <w14:solidFill>
              <w14:schemeClr w14:val="tx1"/>
            </w14:solidFill>
          </w14:textFill>
        </w:rPr>
        <w:t>=</w:t>
      </w:r>
      <m:oMath>
        <m:sSub>
          <m:sSubPr>
            <m:ctrlPr>
              <w:rPr>
                <w:rFonts w:ascii="Cambria Math" w:hAnsi="Cambria Math" w:eastAsia="仿宋" w:cs="仿宋"/>
                <w:color w:val="000000" w:themeColor="text1"/>
                <w:sz w:val="24"/>
                <w14:textFill>
                  <w14:solidFill>
                    <w14:schemeClr w14:val="tx1"/>
                  </w14:solidFill>
                </w14:textFill>
              </w:rPr>
            </m:ctrlPr>
          </m:sSubPr>
          <m:e>
            <m:r>
              <m:rPr>
                <m:sty m:val="p"/>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oMath>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则根据</w:t>
      </w:r>
      <w:r>
        <w:rPr>
          <w:rFonts w:hint="eastAsia" w:ascii="仿宋" w:hAnsi="仿宋" w:eastAsia="仿宋" w:cs="仿宋"/>
          <w:color w:val="000000" w:themeColor="text1"/>
          <w:sz w:val="24"/>
          <w14:textFill>
            <w14:solidFill>
              <w14:schemeClr w14:val="tx1"/>
            </w14:solidFill>
          </w14:textFill>
        </w:rPr>
        <w:t xml:space="preserve">GB </w:t>
      </w:r>
      <w:r>
        <w:rPr>
          <w:rFonts w:ascii="仿宋" w:hAnsi="仿宋" w:eastAsia="仿宋" w:cs="仿宋"/>
          <w:color w:val="000000" w:themeColor="text1"/>
          <w:sz w:val="24"/>
          <w14:textFill>
            <w14:solidFill>
              <w14:schemeClr w14:val="tx1"/>
            </w14:solidFill>
          </w14:textFill>
        </w:rPr>
        <w:t>20997-2024</w:t>
      </w:r>
      <w:r>
        <w:rPr>
          <w:rFonts w:hint="eastAsia" w:ascii="仿宋" w:hAnsi="仿宋" w:eastAsia="仿宋" w:cs="仿宋"/>
          <w:color w:val="000000" w:themeColor="text1"/>
          <w:sz w:val="24"/>
          <w14:textFill>
            <w14:solidFill>
              <w14:schemeClr w14:val="tx1"/>
            </w14:solidFill>
          </w14:textFill>
        </w:rPr>
        <w:t>条款</w:t>
      </w:r>
      <w:r>
        <w:rPr>
          <w:rFonts w:ascii="仿宋" w:hAnsi="仿宋" w:eastAsia="仿宋" w:cs="仿宋"/>
          <w:color w:val="000000" w:themeColor="text1"/>
          <w:sz w:val="24"/>
          <w14:textFill>
            <w14:solidFill>
              <w14:schemeClr w14:val="tx1"/>
            </w14:solidFill>
          </w14:textFill>
        </w:rPr>
        <w:t>6.2</w:t>
      </w:r>
      <w:r>
        <w:rPr>
          <w:rFonts w:hint="eastAsia" w:ascii="仿宋" w:hAnsi="仿宋" w:eastAsia="仿宋" w:cs="仿宋"/>
          <w:color w:val="000000" w:themeColor="text1"/>
          <w:sz w:val="24"/>
          <w14:textFill>
            <w14:solidFill>
              <w14:schemeClr w14:val="tx1"/>
            </w14:solidFill>
          </w14:textFill>
        </w:rPr>
        <w:t>可得：</w:t>
      </w:r>
    </w:p>
    <w:p w14:paraId="4F140FFD">
      <w:pPr>
        <w:ind w:left="424" w:leftChars="202" w:right="24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N1</w:t>
      </w:r>
      <w:r>
        <w:rPr>
          <w:rFonts w:hint="eastAsia" w:ascii="仿宋" w:hAnsi="仿宋" w:eastAsia="仿宋" w:cs="仿宋"/>
          <w:color w:val="000000" w:themeColor="text1"/>
          <w:sz w:val="24"/>
          <w14:textFill>
            <w14:solidFill>
              <w14:schemeClr w14:val="tx1"/>
            </w14:solidFill>
          </w14:textFill>
        </w:rPr>
        <w:t>类商用</w:t>
      </w:r>
      <w:r>
        <w:rPr>
          <w:rFonts w:ascii="仿宋" w:hAnsi="仿宋" w:eastAsia="仿宋" w:cs="仿宋"/>
          <w:color w:val="000000" w:themeColor="text1"/>
          <w:sz w:val="24"/>
          <w14:textFill>
            <w14:solidFill>
              <w14:schemeClr w14:val="tx1"/>
            </w14:solidFill>
          </w14:textFill>
        </w:rPr>
        <w:t>车辆的燃料消耗量限值应按式（4）~式（6）计算，计算结果圆整（四舍五入）至小数点后两位：</w:t>
      </w:r>
    </w:p>
    <w:p w14:paraId="4C4983C2">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如果整车</w:t>
      </w:r>
      <w:r>
        <w:rPr>
          <w:rFonts w:hint="eastAsia" w:ascii="仿宋" w:hAnsi="仿宋" w:eastAsia="仿宋" w:cs="仿宋"/>
          <w:color w:val="000000" w:themeColor="text1"/>
          <w:sz w:val="24"/>
          <w14:textFill>
            <w14:solidFill>
              <w14:schemeClr w14:val="tx1"/>
            </w14:solidFill>
          </w14:textFill>
        </w:rPr>
        <w:t>测试</w:t>
      </w:r>
      <w:r>
        <w:rPr>
          <w:rFonts w:ascii="仿宋" w:hAnsi="仿宋" w:eastAsia="仿宋" w:cs="仿宋"/>
          <w:color w:val="000000" w:themeColor="text1"/>
          <w:sz w:val="24"/>
          <w14:textFill>
            <w14:solidFill>
              <w14:schemeClr w14:val="tx1"/>
            </w14:solidFill>
          </w14:textFill>
        </w:rPr>
        <w:t>质量TM</w:t>
      </w:r>
      <m:oMath>
        <m:r>
          <m:rPr>
            <m:sty m:val="p"/>
          </m:rPr>
          <w:rPr>
            <w:rFonts w:ascii="Cambria Math" w:hAnsi="Cambria Math" w:eastAsia="仿宋" w:cs="仿宋"/>
            <w:color w:val="000000" w:themeColor="text1"/>
            <w:sz w:val="24"/>
            <w14:textFill>
              <w14:solidFill>
                <w14:schemeClr w14:val="tx1"/>
              </w14:solidFill>
            </w14:textFill>
          </w:rPr>
          <m:t xml:space="preserve">  ≤ </m:t>
        </m:r>
      </m:oMath>
      <w:r>
        <w:rPr>
          <w:rFonts w:ascii="仿宋" w:hAnsi="仿宋" w:eastAsia="仿宋" w:cs="仿宋"/>
          <w:color w:val="000000" w:themeColor="text1"/>
          <w:sz w:val="24"/>
          <w14:textFill>
            <w14:solidFill>
              <w14:schemeClr w14:val="tx1"/>
            </w14:solidFill>
          </w14:textFill>
        </w:rPr>
        <w:t>1190 ，则</w:t>
      </w:r>
      <w:r>
        <w:rPr>
          <w:rFonts w:hint="eastAsia" w:ascii="仿宋" w:hAnsi="仿宋" w:eastAsia="仿宋" w:cs="仿宋"/>
          <w:color w:val="000000" w:themeColor="text1"/>
          <w:sz w:val="24"/>
          <w14:textFill>
            <w14:solidFill>
              <w14:schemeClr w14:val="tx1"/>
            </w14:solidFill>
          </w14:textFill>
        </w:rPr>
        <w:t>：</w:t>
      </w:r>
    </w:p>
    <w:p w14:paraId="44A58192">
      <w:pPr>
        <w:wordWrap w:val="0"/>
        <w:spacing w:before="48"/>
        <w:ind w:left="758" w:right="279" w:rightChars="133"/>
        <w:jc w:val="right"/>
        <w:rPr>
          <w:rFonts w:ascii="宋体" w:hAnsi="宋体"/>
          <w:sz w:val="24"/>
        </w:rPr>
      </w:pPr>
      <w:bookmarkStart w:id="6" w:name="OLE_LINK9"/>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6.09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w:t>
      </w:r>
    </w:p>
    <w:bookmarkEnd w:id="6"/>
    <w:p w14:paraId="7C5AA452">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如果1190 </w:t>
      </w:r>
      <m:oMath>
        <m:r>
          <m:rPr>
            <m:sty m:val="p"/>
          </m:rPr>
          <w:rPr>
            <w:rFonts w:ascii="Cambria Math" w:hAnsi="Cambria Math" w:eastAsia="仿宋" w:cs="仿宋"/>
            <w:color w:val="000000" w:themeColor="text1"/>
            <w:sz w:val="24"/>
            <w14:textFill>
              <w14:solidFill>
                <w14:schemeClr w14:val="tx1"/>
              </w14:solidFill>
            </w14:textFill>
          </w:rPr>
          <m:t xml:space="preserve">≤ </m:t>
        </m:r>
      </m:oMath>
      <w:r>
        <w:rPr>
          <w:rFonts w:ascii="仿宋" w:hAnsi="仿宋" w:eastAsia="仿宋" w:cs="仿宋"/>
          <w:color w:val="000000" w:themeColor="text1"/>
          <w:sz w:val="24"/>
          <w14:textFill>
            <w14:solidFill>
              <w14:schemeClr w14:val="tx1"/>
            </w14:solidFill>
          </w14:textFill>
        </w:rPr>
        <w:t>TM</w:t>
      </w:r>
      <m:oMath>
        <m:r>
          <m:rPr>
            <m:sty m:val="p"/>
          </m:rPr>
          <w:rPr>
            <w:rFonts w:ascii="Cambria Math" w:hAnsi="Cambria Math" w:eastAsia="仿宋" w:cs="仿宋"/>
            <w:color w:val="000000" w:themeColor="text1"/>
            <w:sz w:val="24"/>
            <w14:textFill>
              <w14:solidFill>
                <w14:schemeClr w14:val="tx1"/>
              </w14:solidFill>
            </w14:textFill>
          </w:rPr>
          <m:t xml:space="preserve">  ≤2850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0F79D1B8">
      <w:pPr>
        <w:ind w:right="281" w:firstLine="480" w:firstLineChars="200"/>
        <w:jc w:val="right"/>
        <w:rPr>
          <w:rFonts w:ascii="宋体" w:hAnsi="宋体"/>
          <w:color w:val="000000" w:themeColor="text1"/>
          <w:sz w:val="24"/>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0.00375×</m:t>
        </m:r>
        <m:d>
          <m:dPr>
            <m:ctrlPr>
              <w:rPr>
                <w:rFonts w:ascii="Cambria Math" w:hAnsi="Cambria Math" w:eastAsia="仿宋" w:cs="仿宋"/>
                <w:color w:val="000000" w:themeColor="text1"/>
                <w:sz w:val="24"/>
                <w14:textFill>
                  <w14:solidFill>
                    <w14:schemeClr w14:val="tx1"/>
                  </w14:solidFill>
                </w14:textFill>
              </w:rPr>
            </m:ctrlPr>
          </m:dPr>
          <m:e>
            <m:r>
              <m:rPr/>
              <w:rPr>
                <w:rFonts w:ascii="Cambria Math" w:hAnsi="Cambria Math" w:eastAsia="仿宋" w:cs="仿宋"/>
                <w:color w:val="000000" w:themeColor="text1"/>
                <w:sz w:val="24"/>
                <w14:textFill>
                  <w14:solidFill>
                    <w14:schemeClr w14:val="tx1"/>
                  </w14:solidFill>
                </w14:textFill>
              </w:rPr>
              <m:t>TM</m:t>
            </m:r>
            <m:r>
              <m:rPr>
                <m:sty m:val="p"/>
              </m:rPr>
              <w:rPr>
                <w:rFonts w:ascii="Cambria Math" w:hAnsi="Cambria Math" w:eastAsia="仿宋" w:cs="仿宋"/>
                <w:color w:val="000000" w:themeColor="text1"/>
                <w:sz w:val="24"/>
                <w14:textFill>
                  <w14:solidFill>
                    <w14:schemeClr w14:val="tx1"/>
                  </w14:solidFill>
                </w14:textFill>
              </w:rPr>
              <m:t>−1733</m:t>
            </m:r>
            <m:ctrlPr>
              <w:rPr>
                <w:rFonts w:ascii="Cambria Math" w:hAnsi="Cambria Math" w:eastAsia="仿宋" w:cs="仿宋"/>
                <w:color w:val="000000" w:themeColor="text1"/>
                <w:sz w:val="24"/>
                <w14:textFill>
                  <w14:solidFill>
                    <w14:schemeClr w14:val="tx1"/>
                  </w14:solidFill>
                </w14:textFill>
              </w:rPr>
            </m:ctrlPr>
          </m:e>
        </m:d>
        <m:r>
          <m:rPr>
            <m:sty m:val="p"/>
          </m:rPr>
          <w:rPr>
            <w:rFonts w:ascii="Cambria Math" w:hAnsi="Cambria Math" w:eastAsia="仿宋" w:cs="仿宋"/>
            <w:color w:val="000000" w:themeColor="text1"/>
            <w:sz w:val="24"/>
            <w14:textFill>
              <w14:solidFill>
                <w14:schemeClr w14:val="tx1"/>
              </w14:solidFill>
            </w14:textFill>
          </w:rPr>
          <m:t>+8.13</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w:t>
      </w:r>
    </w:p>
    <w:p w14:paraId="2BAEE3BB">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如果TM</w:t>
      </w:r>
      <m:oMath>
        <m:r>
          <m:rPr>
            <m:sty m:val="p"/>
          </m:rPr>
          <w:rPr>
            <w:rFonts w:ascii="Cambria Math" w:hAnsi="Cambria Math" w:eastAsia="仿宋" w:cs="仿宋"/>
            <w:color w:val="000000" w:themeColor="text1"/>
            <w:sz w:val="24"/>
            <w14:textFill>
              <w14:solidFill>
                <w14:schemeClr w14:val="tx1"/>
              </w14:solidFill>
            </w14:textFill>
          </w:rPr>
          <m:t xml:space="preserve">  &gt;2850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5E38D71F">
      <w:pPr>
        <w:wordWrap w:val="0"/>
        <w:spacing w:before="48"/>
        <w:ind w:left="758" w:right="279" w:rightChars="133"/>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12.32</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6</w:t>
      </w:r>
      <w:r>
        <w:rPr>
          <w:rFonts w:hint="eastAsia" w:ascii="宋体" w:hAnsi="宋体"/>
          <w:color w:val="000000" w:themeColor="text1"/>
          <w:sz w:val="24"/>
          <w14:textFill>
            <w14:solidFill>
              <w14:schemeClr w14:val="tx1"/>
            </w14:solidFill>
          </w14:textFill>
        </w:rPr>
        <w:t>）</w:t>
      </w:r>
    </w:p>
    <w:p w14:paraId="6B4425A3">
      <w:pPr>
        <w:ind w:left="424" w:leftChars="202" w:right="240" w:firstLine="480" w:firstLineChars="200"/>
        <w:rPr>
          <w:rFonts w:ascii="仿宋" w:hAnsi="仿宋" w:eastAsia="仿宋" w:cs="仿宋"/>
          <w:color w:val="000000" w:themeColor="text1"/>
          <w:sz w:val="24"/>
          <w14:textFill>
            <w14:solidFill>
              <w14:schemeClr w14:val="tx1"/>
            </w14:solidFill>
          </w14:textFill>
        </w:rPr>
      </w:pPr>
      <w:bookmarkStart w:id="7" w:name="OLE_LINK21"/>
      <w:r>
        <w:rPr>
          <w:rFonts w:hint="eastAsia" w:ascii="仿宋" w:hAnsi="仿宋" w:eastAsia="仿宋" w:cs="仿宋"/>
          <w:color w:val="000000" w:themeColor="text1"/>
          <w:sz w:val="24"/>
          <w14:textFill>
            <w14:solidFill>
              <w14:schemeClr w14:val="tx1"/>
            </w14:solidFill>
          </w14:textFill>
        </w:rPr>
        <w:t>M</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类商用车</w:t>
      </w:r>
      <w:r>
        <w:rPr>
          <w:rFonts w:ascii="仿宋" w:hAnsi="仿宋" w:eastAsia="仿宋" w:cs="仿宋"/>
          <w:color w:val="000000" w:themeColor="text1"/>
          <w:sz w:val="24"/>
          <w14:textFill>
            <w14:solidFill>
              <w14:schemeClr w14:val="tx1"/>
            </w14:solidFill>
          </w14:textFill>
        </w:rPr>
        <w:t>车辆的燃料消耗量限值</w:t>
      </w:r>
      <w:bookmarkEnd w:id="7"/>
      <w:r>
        <w:rPr>
          <w:rFonts w:ascii="仿宋" w:hAnsi="仿宋" w:eastAsia="仿宋" w:cs="仿宋"/>
          <w:color w:val="000000" w:themeColor="text1"/>
          <w:sz w:val="24"/>
          <w14:textFill>
            <w14:solidFill>
              <w14:schemeClr w14:val="tx1"/>
            </w14:solidFill>
          </w14:textFill>
        </w:rPr>
        <w:t>应按式（7）~式（9）计算，计算结果圆整（四舍五入）至小数点后两位</w:t>
      </w:r>
      <w:r>
        <w:rPr>
          <w:rFonts w:hint="eastAsia" w:ascii="仿宋" w:hAnsi="仿宋" w:eastAsia="仿宋" w:cs="仿宋"/>
          <w:color w:val="000000" w:themeColor="text1"/>
          <w:sz w:val="24"/>
          <w14:textFill>
            <w14:solidFill>
              <w14:schemeClr w14:val="tx1"/>
            </w14:solidFill>
          </w14:textFill>
        </w:rPr>
        <w:t>:</w:t>
      </w:r>
    </w:p>
    <w:p w14:paraId="4B6F7728">
      <w:pPr>
        <w:spacing w:before="48"/>
        <w:ind w:firstLine="960" w:firstLineChars="400"/>
        <w:rPr>
          <w:rFonts w:ascii="宋体" w:hAnsi="宋体"/>
          <w:sz w:val="24"/>
        </w:rPr>
      </w:pPr>
      <w:r>
        <w:rPr>
          <w:rFonts w:ascii="仿宋" w:hAnsi="仿宋" w:eastAsia="仿宋" w:cs="仿宋"/>
          <w:color w:val="000000" w:themeColor="text1"/>
          <w:sz w:val="24"/>
          <w14:textFill>
            <w14:solidFill>
              <w14:schemeClr w14:val="tx1"/>
            </w14:solidFill>
          </w14:textFill>
        </w:rPr>
        <w:t>如果整车整备质量TM</w:t>
      </w:r>
      <m:oMath>
        <m:r>
          <m:rPr>
            <m:sty m:val="p"/>
          </m:rPr>
          <w:rPr>
            <w:rFonts w:ascii="Cambria Math" w:hAnsi="Cambria Math" w:eastAsia="仿宋" w:cs="仿宋"/>
            <w:color w:val="000000" w:themeColor="text1"/>
            <w:sz w:val="24"/>
            <w14:textFill>
              <w14:solidFill>
                <w14:schemeClr w14:val="tx1"/>
              </w14:solidFill>
            </w14:textFill>
          </w:rPr>
          <m:t xml:space="preserve">  ≤ </m:t>
        </m:r>
      </m:oMath>
      <w:r>
        <w:rPr>
          <w:rFonts w:ascii="仿宋" w:hAnsi="仿宋" w:eastAsia="仿宋" w:cs="仿宋"/>
          <w:color w:val="000000" w:themeColor="text1"/>
          <w:sz w:val="24"/>
          <w14:textFill>
            <w14:solidFill>
              <w14:schemeClr w14:val="tx1"/>
            </w14:solidFill>
          </w14:textFill>
        </w:rPr>
        <w:t>1190 ，则</w:t>
      </w:r>
      <w:r>
        <w:rPr>
          <w:rFonts w:hint="eastAsia" w:ascii="仿宋" w:hAnsi="仿宋" w:eastAsia="仿宋" w:cs="仿宋"/>
          <w:color w:val="000000" w:themeColor="text1"/>
          <w:sz w:val="24"/>
          <w14:textFill>
            <w14:solidFill>
              <w14:schemeClr w14:val="tx1"/>
            </w14:solidFill>
          </w14:textFill>
        </w:rPr>
        <w:t>：</w:t>
      </w:r>
    </w:p>
    <w:p w14:paraId="193794D1">
      <w:pPr>
        <w:wordWrap w:val="0"/>
        <w:spacing w:before="48"/>
        <w:ind w:left="758" w:right="279" w:rightChars="133"/>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5.85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7</w:t>
      </w:r>
      <w:r>
        <w:rPr>
          <w:rFonts w:hint="eastAsia" w:ascii="宋体" w:hAnsi="宋体"/>
          <w:color w:val="000000" w:themeColor="text1"/>
          <w:sz w:val="24"/>
          <w14:textFill>
            <w14:solidFill>
              <w14:schemeClr w14:val="tx1"/>
            </w14:solidFill>
          </w14:textFill>
        </w:rPr>
        <w:t>）</w:t>
      </w:r>
    </w:p>
    <w:p w14:paraId="3C8A785B">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如果1190 </w:t>
      </w:r>
      <m:oMath>
        <m:r>
          <m:rPr>
            <m:sty m:val="p"/>
          </m:rPr>
          <w:rPr>
            <w:rFonts w:ascii="Cambria Math" w:hAnsi="Cambria Math" w:eastAsia="仿宋" w:cs="仿宋"/>
            <w:color w:val="000000" w:themeColor="text1"/>
            <w:sz w:val="24"/>
            <w14:textFill>
              <w14:solidFill>
                <w14:schemeClr w14:val="tx1"/>
              </w14:solidFill>
            </w14:textFill>
          </w:rPr>
          <m:t xml:space="preserve">≤ </m:t>
        </m:r>
      </m:oMath>
      <w:r>
        <w:rPr>
          <w:rFonts w:ascii="仿宋" w:hAnsi="仿宋" w:eastAsia="仿宋" w:cs="仿宋"/>
          <w:color w:val="000000" w:themeColor="text1"/>
          <w:sz w:val="24"/>
          <w14:textFill>
            <w14:solidFill>
              <w14:schemeClr w14:val="tx1"/>
            </w14:solidFill>
          </w14:textFill>
        </w:rPr>
        <w:t>TM</w:t>
      </w:r>
      <m:oMath>
        <m:r>
          <m:rPr>
            <m:sty m:val="p"/>
          </m:rPr>
          <w:rPr>
            <w:rFonts w:ascii="Cambria Math" w:hAnsi="Cambria Math" w:eastAsia="仿宋" w:cs="仿宋"/>
            <w:color w:val="000000" w:themeColor="text1"/>
            <w:sz w:val="24"/>
            <w14:textFill>
              <w14:solidFill>
                <w14:schemeClr w14:val="tx1"/>
              </w14:solidFill>
            </w14:textFill>
          </w:rPr>
          <m:t xml:space="preserve">  ≤2850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3FF44ACC">
      <w:pPr>
        <w:ind w:right="281" w:firstLine="480" w:firstLineChars="200"/>
        <w:jc w:val="right"/>
        <w:rPr>
          <w:rFonts w:ascii="宋体" w:hAnsi="宋体"/>
          <w:color w:val="000000" w:themeColor="text1"/>
          <w:sz w:val="24"/>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0.00385×</m:t>
        </m:r>
        <m:d>
          <m:dPr>
            <m:ctrlPr>
              <w:rPr>
                <w:rFonts w:ascii="Cambria Math" w:hAnsi="Cambria Math" w:eastAsia="仿宋" w:cs="仿宋"/>
                <w:color w:val="000000" w:themeColor="text1"/>
                <w:sz w:val="24"/>
                <w14:textFill>
                  <w14:solidFill>
                    <w14:schemeClr w14:val="tx1"/>
                  </w14:solidFill>
                </w14:textFill>
              </w:rPr>
            </m:ctrlPr>
          </m:dPr>
          <m:e>
            <m:r>
              <m:rPr/>
              <w:rPr>
                <w:rFonts w:ascii="Cambria Math" w:hAnsi="Cambria Math" w:eastAsia="仿宋" w:cs="仿宋"/>
                <w:color w:val="000000" w:themeColor="text1"/>
                <w:sz w:val="24"/>
                <w14:textFill>
                  <w14:solidFill>
                    <w14:schemeClr w14:val="tx1"/>
                  </w14:solidFill>
                </w14:textFill>
              </w:rPr>
              <m:t>TM</m:t>
            </m:r>
            <m:r>
              <m:rPr>
                <m:sty m:val="p"/>
              </m:rPr>
              <w:rPr>
                <w:rFonts w:ascii="Cambria Math" w:hAnsi="Cambria Math" w:eastAsia="仿宋" w:cs="仿宋"/>
                <w:color w:val="000000" w:themeColor="text1"/>
                <w:sz w:val="24"/>
                <w14:textFill>
                  <w14:solidFill>
                    <w14:schemeClr w14:val="tx1"/>
                  </w14:solidFill>
                </w14:textFill>
              </w:rPr>
              <m:t>−2098</m:t>
            </m:r>
            <m:ctrlPr>
              <w:rPr>
                <w:rFonts w:ascii="Cambria Math" w:hAnsi="Cambria Math" w:eastAsia="仿宋" w:cs="仿宋"/>
                <w:color w:val="000000" w:themeColor="text1"/>
                <w:sz w:val="24"/>
                <w14:textFill>
                  <w14:solidFill>
                    <w14:schemeClr w14:val="tx1"/>
                  </w14:solidFill>
                </w14:textFill>
              </w:rPr>
            </m:ctrlPr>
          </m:e>
        </m:d>
        <m:r>
          <m:rPr>
            <m:sty m:val="p"/>
          </m:rPr>
          <w:rPr>
            <w:rFonts w:ascii="Cambria Math" w:hAnsi="Cambria Math" w:eastAsia="仿宋" w:cs="仿宋"/>
            <w:color w:val="000000" w:themeColor="text1"/>
            <w:sz w:val="24"/>
            <w14:textFill>
              <w14:solidFill>
                <w14:schemeClr w14:val="tx1"/>
              </w14:solidFill>
            </w14:textFill>
          </w:rPr>
          <m:t xml:space="preserve">+9.35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w:t>
      </w:r>
    </w:p>
    <w:p w14:paraId="07D3B15D">
      <w:pPr>
        <w:spacing w:before="48"/>
        <w:ind w:firstLine="960" w:firstLineChars="400"/>
        <w:rPr>
          <w:rFonts w:ascii="宋体" w:hAnsi="宋体"/>
          <w:sz w:val="24"/>
        </w:rPr>
      </w:pPr>
      <w:r>
        <w:rPr>
          <w:rFonts w:ascii="仿宋" w:hAnsi="仿宋" w:eastAsia="仿宋" w:cs="仿宋"/>
          <w:color w:val="000000" w:themeColor="text1"/>
          <w:sz w:val="24"/>
          <w14:textFill>
            <w14:solidFill>
              <w14:schemeClr w14:val="tx1"/>
            </w14:solidFill>
          </w14:textFill>
        </w:rPr>
        <w:t>如果TM</w:t>
      </w:r>
      <m:oMath>
        <m:r>
          <m:rPr>
            <m:sty m:val="p"/>
          </m:rPr>
          <w:rPr>
            <w:rFonts w:ascii="Cambria Math" w:hAnsi="Cambria Math" w:eastAsia="仿宋" w:cs="仿宋"/>
            <w:color w:val="000000" w:themeColor="text1"/>
            <w:sz w:val="24"/>
            <w14:textFill>
              <w14:solidFill>
                <w14:schemeClr w14:val="tx1"/>
              </w14:solidFill>
            </w14:textFill>
          </w:rPr>
          <m:t xml:space="preserve">  &gt;2850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6EB24193">
      <w:pPr>
        <w:wordWrap w:val="0"/>
        <w:spacing w:before="48"/>
        <w:ind w:left="758" w:right="279" w:rightChars="133"/>
        <w:jc w:val="right"/>
        <w:rPr>
          <w:rFonts w:ascii="宋体" w:hAnsi="宋体"/>
          <w:color w:val="000000" w:themeColor="text1"/>
          <w:sz w:val="28"/>
          <w:szCs w:val="28"/>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12.25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w:t>
      </w:r>
    </w:p>
    <w:bookmarkEnd w:id="4"/>
    <w:bookmarkEnd w:id="5"/>
    <w:p w14:paraId="61CE03F9">
      <w:pPr>
        <w:ind w:firstLine="480" w:firstLineChars="200"/>
        <w:rPr>
          <w:rFonts w:ascii="仿宋" w:hAnsi="仿宋" w:eastAsia="仿宋" w:cs="仿宋"/>
          <w:color w:val="000000" w:themeColor="text1"/>
          <w:sz w:val="24"/>
          <w14:textFill>
            <w14:solidFill>
              <w14:schemeClr w14:val="tx1"/>
            </w14:solidFill>
          </w14:textFill>
        </w:rPr>
      </w:pPr>
      <w:bookmarkStart w:id="8" w:name="OLE_LINK16"/>
      <w:bookmarkStart w:id="9" w:name="OLE_LINK15"/>
      <w:r>
        <w:rPr>
          <w:rFonts w:hint="eastAsia" w:ascii="仿宋" w:hAnsi="仿宋" w:eastAsia="仿宋" w:cs="仿宋"/>
          <w:color w:val="000000" w:themeColor="text1"/>
          <w:sz w:val="24"/>
          <w14:textFill>
            <w14:solidFill>
              <w14:schemeClr w14:val="tx1"/>
            </w14:solidFill>
          </w14:textFill>
        </w:rPr>
        <w:t>由式（3）~式（9）可知，</w:t>
      </w:r>
      <m:oMath>
        <m:sSub>
          <m:sSubPr>
            <m:ctrlPr>
              <w:rPr>
                <w:rFonts w:ascii="Cambria Math" w:hAnsi="Cambria Math" w:eastAsia="仿宋" w:cs="仿宋"/>
                <w:color w:val="000000" w:themeColor="text1"/>
                <w:sz w:val="24"/>
                <w14:textFill>
                  <w14:solidFill>
                    <w14:schemeClr w14:val="tx1"/>
                  </w14:solidFill>
                </w14:textFill>
              </w:rPr>
            </m:ctrlPr>
          </m:sSubPr>
          <m:e>
            <m:r>
              <m:rPr>
                <m:sty m:val="p"/>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oMath>
      <w:r>
        <w:rPr>
          <w:rFonts w:ascii="仿宋" w:hAnsi="仿宋" w:eastAsia="仿宋" w:cs="仿宋"/>
          <w:color w:val="000000" w:themeColor="text1"/>
          <w:sz w:val="24"/>
          <w14:textFill>
            <w14:solidFill>
              <w14:schemeClr w14:val="tx1"/>
            </w14:solidFill>
          </w14:textFill>
        </w:rPr>
        <w:t>取决于</w:t>
      </w:r>
      <m:oMath>
        <m:sSub>
          <m:sSubPr>
            <m:ctrlPr>
              <w:rPr>
                <w:rFonts w:ascii="Cambria Math" w:hAnsi="Cambria Math" w:eastAsia="仿宋" w:cs="仿宋"/>
                <w:color w:val="000000" w:themeColor="text1"/>
                <w:sz w:val="24"/>
                <w14:textFill>
                  <w14:solidFill>
                    <w14:schemeClr w14:val="tx1"/>
                  </w14:solidFill>
                </w14:textFill>
              </w:rPr>
            </m:ctrlPr>
          </m:sSubPr>
          <m:e>
            <m:r>
              <m:rPr/>
              <w:rPr>
                <w:rFonts w:hint="eastAsia" w:ascii="Cambria Math" w:hAnsi="Cambria Math" w:eastAsia="仿宋" w:cs="仿宋"/>
                <w:color w:val="000000" w:themeColor="text1"/>
                <w:sz w:val="24"/>
                <w14:textFill>
                  <w14:solidFill>
                    <w14:schemeClr w14:val="tx1"/>
                  </w14:solidFill>
                </w14:textFill>
              </w:rPr>
              <m:t>k</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oMath>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而由</w:t>
      </w:r>
      <w:r>
        <w:rPr>
          <w:rFonts w:hint="eastAsia" w:ascii="仿宋" w:hAnsi="仿宋" w:eastAsia="仿宋" w:cs="仿宋"/>
          <w:color w:val="000000" w:themeColor="text1"/>
          <w:sz w:val="24"/>
          <w14:textFill>
            <w14:solidFill>
              <w14:schemeClr w14:val="tx1"/>
            </w14:solidFill>
          </w14:textFill>
        </w:rPr>
        <w:t>上述</w:t>
      </w:r>
      <w:r>
        <w:rPr>
          <w:rFonts w:ascii="仿宋" w:hAnsi="仿宋" w:eastAsia="仿宋" w:cs="仿宋"/>
          <w:color w:val="000000" w:themeColor="text1"/>
          <w:sz w:val="24"/>
          <w14:textFill>
            <w14:solidFill>
              <w14:schemeClr w14:val="tx1"/>
            </w14:solidFill>
          </w14:textFill>
        </w:rPr>
        <w:t>可知</w:t>
      </w:r>
      <w:r>
        <w:rPr>
          <w:rFonts w:hint="eastAsia" w:ascii="仿宋" w:hAnsi="仿宋" w:eastAsia="仿宋" w:cs="仿宋"/>
          <w:color w:val="000000" w:themeColor="text1"/>
          <w:sz w:val="24"/>
          <w14:textFill>
            <w14:solidFill>
              <w14:schemeClr w14:val="tx1"/>
            </w14:solidFill>
          </w14:textFill>
        </w:rPr>
        <w:t>，</w:t>
      </w:r>
    </w:p>
    <w:p w14:paraId="3C5AB09B">
      <w:pPr>
        <w:ind w:left="424" w:leftChars="202" w:firstLine="420" w:firstLineChars="200"/>
        <w:rPr>
          <w:rFonts w:ascii="仿宋" w:hAnsi="仿宋" w:eastAsia="仿宋"/>
          <w:szCs w:val="21"/>
        </w:rPr>
      </w:pPr>
      <m:oMath>
        <m:sSub>
          <m:sSubPr>
            <m:ctrlPr>
              <w:rPr>
                <w:rFonts w:ascii="Cambria Math" w:hAnsi="Cambria Math" w:eastAsia="仿宋"/>
                <w:szCs w:val="21"/>
              </w:rPr>
            </m:ctrlPr>
          </m:sSubPr>
          <m:e>
            <m:r>
              <m:rPr>
                <m:sty m:val="p"/>
              </m:rPr>
              <w:rPr>
                <w:rFonts w:ascii="Cambria Math" w:hAnsi="Cambria Math" w:eastAsia="仿宋"/>
                <w:szCs w:val="21"/>
              </w:rPr>
              <m:t>H</m:t>
            </m:r>
            <m:ctrlPr>
              <w:rPr>
                <w:rFonts w:ascii="Cambria Math" w:hAnsi="Cambria Math" w:eastAsia="仿宋"/>
                <w:szCs w:val="21"/>
              </w:rPr>
            </m:ctrlPr>
          </m:e>
          <m:sub>
            <m:r>
              <m:rPr/>
              <w:rPr>
                <w:rFonts w:ascii="Cambria Math" w:hAnsi="Cambria Math" w:eastAsia="仿宋"/>
                <w:szCs w:val="21"/>
              </w:rPr>
              <m:t>NG</m:t>
            </m:r>
            <m:r>
              <m:rPr>
                <m:sty m:val="p"/>
              </m:rPr>
              <w:rPr>
                <w:rFonts w:ascii="Cambria Math" w:hAnsi="Cambria Math" w:eastAsia="仿宋"/>
                <w:szCs w:val="21"/>
              </w:rPr>
              <m:t>,</m:t>
            </m:r>
            <m:r>
              <m:rPr/>
              <w:rPr>
                <w:rFonts w:ascii="Cambria Math" w:hAnsi="Cambria Math" w:eastAsia="仿宋"/>
                <w:szCs w:val="21"/>
              </w:rPr>
              <m:t>low</m:t>
            </m:r>
            <m:ctrlPr>
              <w:rPr>
                <w:rFonts w:ascii="Cambria Math" w:hAnsi="Cambria Math" w:eastAsia="仿宋"/>
                <w:szCs w:val="21"/>
              </w:rPr>
            </m:ctrlPr>
          </m:sub>
        </m:sSub>
      </m:oMath>
      <w:r>
        <w:rPr>
          <w:rFonts w:hint="eastAsia" w:ascii="仿宋" w:hAnsi="仿宋" w:eastAsia="仿宋"/>
          <w:sz w:val="24"/>
        </w:rPr>
        <w:t>=32.238MJ/m3~</w:t>
      </w:r>
      <w:r>
        <w:rPr>
          <w:rFonts w:ascii="仿宋" w:hAnsi="仿宋" w:eastAsia="仿宋"/>
          <w:sz w:val="24"/>
        </w:rPr>
        <w:t>38.979</w:t>
      </w:r>
      <w:r>
        <w:rPr>
          <w:rFonts w:hint="eastAsia" w:ascii="仿宋" w:hAnsi="仿宋" w:eastAsia="仿宋"/>
          <w:sz w:val="24"/>
        </w:rPr>
        <w:t>MJ/m3。为进一步控制天然气燃料消耗量的过度消耗，为碳达峰、碳中和做出贡献，特加严该限值标准，则取</w:t>
      </w:r>
      <m:oMath>
        <m:r>
          <m:rPr>
            <m:sty m:val="p"/>
          </m:rPr>
          <w:rPr>
            <w:rFonts w:hint="eastAsia" w:ascii="Cambria Math" w:hAnsi="Cambria Math" w:eastAsia="仿宋"/>
            <w:szCs w:val="21"/>
          </w:rPr>
          <m:t>：</m:t>
        </m:r>
        <m:sSub>
          <m:sSubPr>
            <m:ctrlPr>
              <w:rPr>
                <w:rFonts w:ascii="Cambria Math" w:hAnsi="Cambria Math" w:eastAsia="仿宋"/>
                <w:szCs w:val="21"/>
              </w:rPr>
            </m:ctrlPr>
          </m:sSubPr>
          <m:e>
            <m:r>
              <m:rPr>
                <m:sty m:val="p"/>
              </m:rPr>
              <w:rPr>
                <w:rFonts w:ascii="Cambria Math" w:hAnsi="Cambria Math" w:eastAsia="仿宋"/>
                <w:szCs w:val="21"/>
              </w:rPr>
              <m:t>H</m:t>
            </m:r>
            <m:ctrlPr>
              <w:rPr>
                <w:rFonts w:ascii="Cambria Math" w:hAnsi="Cambria Math" w:eastAsia="仿宋"/>
                <w:szCs w:val="21"/>
              </w:rPr>
            </m:ctrlPr>
          </m:e>
          <m:sub>
            <m:r>
              <m:rPr/>
              <w:rPr>
                <w:rFonts w:ascii="Cambria Math" w:hAnsi="Cambria Math" w:eastAsia="仿宋"/>
                <w:szCs w:val="21"/>
              </w:rPr>
              <m:t>NG</m:t>
            </m:r>
            <m:r>
              <m:rPr>
                <m:sty m:val="p"/>
              </m:rPr>
              <w:rPr>
                <w:rFonts w:ascii="Cambria Math" w:hAnsi="Cambria Math" w:eastAsia="仿宋"/>
                <w:szCs w:val="21"/>
              </w:rPr>
              <m:t>,</m:t>
            </m:r>
            <m:r>
              <m:rPr/>
              <w:rPr>
                <w:rFonts w:ascii="Cambria Math" w:hAnsi="Cambria Math" w:eastAsia="仿宋"/>
                <w:szCs w:val="21"/>
              </w:rPr>
              <m:t>low</m:t>
            </m:r>
            <m:ctrlPr>
              <w:rPr>
                <w:rFonts w:ascii="Cambria Math" w:hAnsi="Cambria Math" w:eastAsia="仿宋"/>
                <w:szCs w:val="21"/>
              </w:rPr>
            </m:ctrlPr>
          </m:sub>
        </m:sSub>
      </m:oMath>
      <w:r>
        <w:rPr>
          <w:rFonts w:hint="eastAsia" w:ascii="仿宋" w:hAnsi="仿宋" w:eastAsia="仿宋"/>
          <w:szCs w:val="21"/>
        </w:rPr>
        <w:t>=</w:t>
      </w:r>
      <w:r>
        <w:rPr>
          <w:rFonts w:ascii="仿宋" w:hAnsi="仿宋" w:eastAsia="仿宋"/>
          <w:sz w:val="24"/>
        </w:rPr>
        <w:t>38.979</w:t>
      </w:r>
      <w:r>
        <w:rPr>
          <w:rFonts w:hint="eastAsia" w:ascii="仿宋" w:hAnsi="仿宋" w:eastAsia="仿宋"/>
          <w:sz w:val="24"/>
        </w:rPr>
        <w:t>MJ/m3、</w:t>
      </w:r>
      <m:oMath>
        <m:sSub>
          <m:sSubPr>
            <m:ctrlPr>
              <w:rPr>
                <w:rFonts w:ascii="Cambria Math" w:hAnsi="Cambria Math" w:eastAsia="仿宋"/>
                <w:sz w:val="24"/>
              </w:rPr>
            </m:ctrlPr>
          </m:sSubPr>
          <m:e>
            <m:r>
              <m:rPr>
                <m:sty m:val="p"/>
              </m:rPr>
              <w:rPr>
                <w:rFonts w:ascii="Cambria Math" w:hAnsi="Cambria Math" w:eastAsia="仿宋"/>
                <w:sz w:val="24"/>
              </w:rPr>
              <m:t>H</m:t>
            </m:r>
            <m:ctrlPr>
              <w:rPr>
                <w:rFonts w:ascii="Cambria Math" w:hAnsi="Cambria Math" w:eastAsia="仿宋"/>
                <w:sz w:val="24"/>
              </w:rPr>
            </m:ctrlPr>
          </m:e>
          <m:sub>
            <m:r>
              <m:rPr/>
              <w:rPr>
                <w:rFonts w:ascii="Cambria Math" w:hAnsi="Cambria Math" w:eastAsia="仿宋"/>
                <w:sz w:val="24"/>
              </w:rPr>
              <m:t>L</m:t>
            </m:r>
            <m:r>
              <m:rPr>
                <m:sty m:val="p"/>
              </m:rPr>
              <w:rPr>
                <w:rFonts w:ascii="Cambria Math" w:hAnsi="Cambria Math" w:eastAsia="仿宋"/>
                <w:sz w:val="24"/>
              </w:rPr>
              <m:t>,</m:t>
            </m:r>
            <m:r>
              <m:rPr/>
              <w:rPr>
                <w:rFonts w:ascii="Cambria Math" w:hAnsi="Cambria Math" w:eastAsia="仿宋"/>
                <w:sz w:val="24"/>
              </w:rPr>
              <m:t>low</m:t>
            </m:r>
            <m:ctrlPr>
              <w:rPr>
                <w:rFonts w:ascii="Cambria Math" w:hAnsi="Cambria Math" w:eastAsia="仿宋"/>
                <w:sz w:val="24"/>
              </w:rPr>
            </m:ctrlPr>
          </m:sub>
        </m:sSub>
      </m:oMath>
      <w:r>
        <w:rPr>
          <w:rFonts w:hint="eastAsia" w:ascii="仿宋" w:hAnsi="仿宋" w:eastAsia="仿宋"/>
          <w:sz w:val="24"/>
        </w:rPr>
        <w:t>=43.124MJ/kg、</w:t>
      </w:r>
      <m:oMath>
        <m:sSub>
          <m:sSubPr>
            <m:ctrlPr>
              <w:rPr>
                <w:rFonts w:ascii="Cambria Math" w:hAnsi="Cambria Math" w:eastAsia="仿宋"/>
                <w:sz w:val="24"/>
              </w:rPr>
            </m:ctrlPr>
          </m:sSubPr>
          <m:e>
            <m:r>
              <m:rPr>
                <m:sty m:val="p"/>
              </m:rPr>
              <w:rPr>
                <w:rFonts w:hint="eastAsia" w:ascii="Cambria Math" w:hAnsi="Cambria Math" w:eastAsia="仿宋"/>
                <w:sz w:val="24"/>
              </w:rPr>
              <m:t>d</m:t>
            </m:r>
            <m:ctrlPr>
              <w:rPr>
                <w:rFonts w:ascii="Cambria Math" w:hAnsi="Cambria Math" w:eastAsia="仿宋"/>
                <w:sz w:val="24"/>
              </w:rPr>
            </m:ctrlPr>
          </m:e>
          <m:sub>
            <m:r>
              <m:rPr/>
              <w:rPr>
                <w:rFonts w:ascii="Cambria Math" w:hAnsi="Cambria Math" w:eastAsia="仿宋"/>
                <w:sz w:val="24"/>
              </w:rPr>
              <m:t>L</m:t>
            </m:r>
            <m:ctrlPr>
              <w:rPr>
                <w:rFonts w:ascii="Cambria Math" w:hAnsi="Cambria Math" w:eastAsia="仿宋"/>
                <w:sz w:val="24"/>
              </w:rPr>
            </m:ctrlPr>
          </m:sub>
        </m:sSub>
      </m:oMath>
      <w:r>
        <w:rPr>
          <w:rFonts w:hint="eastAsia" w:ascii="仿宋" w:hAnsi="仿宋" w:eastAsia="仿宋"/>
          <w:sz w:val="24"/>
        </w:rPr>
        <w:t>=0.755 kg/L</w:t>
      </w:r>
      <w:r>
        <w:rPr>
          <w:rFonts w:hint="eastAsia" w:ascii="仿宋" w:hAnsi="仿宋" w:eastAsia="仿宋"/>
          <w:szCs w:val="21"/>
        </w:rPr>
        <w:t>。</w:t>
      </w:r>
    </w:p>
    <w:p w14:paraId="55B3158B">
      <w:pPr>
        <w:ind w:left="424" w:leftChars="202" w:firstLine="424" w:firstLineChars="177"/>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所以，</w:t>
      </w:r>
      <m:oMath>
        <m:sSub>
          <m:sSubPr>
            <m:ctrlPr>
              <w:rPr>
                <w:rFonts w:ascii="Cambria Math" w:hAnsi="Cambria Math" w:eastAsia="仿宋" w:cs="仿宋"/>
                <w:color w:val="000000" w:themeColor="text1"/>
                <w:sz w:val="24"/>
                <w14:textFill>
                  <w14:solidFill>
                    <w14:schemeClr w14:val="tx1"/>
                  </w14:solidFill>
                </w14:textFill>
              </w:rPr>
            </m:ctrlPr>
          </m:sSubPr>
          <m:e>
            <m:r>
              <m:rPr/>
              <w:rPr>
                <w:rFonts w:hint="eastAsia" w:ascii="Cambria Math" w:hAnsi="Cambria Math" w:eastAsia="仿宋" w:cs="仿宋"/>
                <w:color w:val="000000" w:themeColor="text1"/>
                <w:sz w:val="24"/>
                <w14:textFill>
                  <w14:solidFill>
                    <w14:schemeClr w14:val="tx1"/>
                  </w14:solidFill>
                </w14:textFill>
              </w:rPr>
              <m:t>k</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L</m:t>
            </m:r>
            <m:ctrlPr>
              <w:rPr>
                <w:rFonts w:ascii="Cambria Math" w:hAnsi="Cambria Math" w:eastAsia="仿宋" w:cs="仿宋"/>
                <w:color w:val="000000" w:themeColor="text1"/>
                <w:sz w:val="24"/>
                <w14:textFill>
                  <w14:solidFill>
                    <w14:schemeClr w14:val="tx1"/>
                  </w14:solidFill>
                </w14:textFill>
              </w:rPr>
            </m:ctrlPr>
          </m:sub>
        </m:sSub>
      </m:oMath>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1.197</w:t>
      </w:r>
      <m:oMath>
        <m:r>
          <m:rPr/>
          <w:rPr>
            <w:rFonts w:ascii="Cambria Math" w:hAnsi="Cambria Math" w:eastAsia="仿宋" w:cs="仿宋"/>
            <w:color w:val="000000" w:themeColor="text1"/>
            <w:sz w:val="24"/>
            <w14:textFill>
              <w14:solidFill>
                <w14:schemeClr w14:val="tx1"/>
              </w14:solidFill>
            </w14:textFill>
          </w:rPr>
          <m:t>L</m:t>
        </m:r>
        <m:r>
          <m:rPr>
            <m:sty m:val="p"/>
          </m:rPr>
          <w:rPr>
            <w:rFonts w:ascii="Cambria Math" w:hAnsi="Cambria Math" w:eastAsia="仿宋" w:cs="仿宋"/>
            <w:color w:val="000000" w:themeColor="text1"/>
            <w:sz w:val="24"/>
            <w14:textFill>
              <w14:solidFill>
                <w14:schemeClr w14:val="tx1"/>
              </w14:solidFill>
            </w14:textFill>
          </w:rPr>
          <m:t>/</m:t>
        </m:r>
        <m:r>
          <m:rPr/>
          <w:rPr>
            <w:rFonts w:ascii="Cambria Math" w:hAnsi="Cambria Math" w:eastAsia="仿宋" w:cs="仿宋"/>
            <w:color w:val="000000" w:themeColor="text1"/>
            <w:sz w:val="24"/>
            <w14:textFill>
              <w14:solidFill>
                <w14:schemeClr w14:val="tx1"/>
              </w14:solidFill>
            </w14:textFill>
          </w:rPr>
          <m:t>kg</m:t>
        </m:r>
      </m:oMath>
      <w:r>
        <w:rPr>
          <w:rFonts w:ascii="仿宋" w:hAnsi="仿宋" w:eastAsia="仿宋" w:cs="仿宋"/>
          <w:color w:val="000000" w:themeColor="text1"/>
          <w:sz w:val="24"/>
          <w14:textFill>
            <w14:solidFill>
              <w14:schemeClr w14:val="tx1"/>
            </w14:solidFill>
          </w14:textFill>
        </w:rPr>
        <w:t>时</w:t>
      </w:r>
      <w:r>
        <w:rPr>
          <w:rFonts w:hint="eastAsia" w:ascii="仿宋" w:hAnsi="仿宋" w:eastAsia="仿宋" w:cs="仿宋"/>
          <w:color w:val="000000" w:themeColor="text1"/>
          <w:sz w:val="24"/>
          <w14:textFill>
            <w14:solidFill>
              <w14:schemeClr w14:val="tx1"/>
            </w14:solidFill>
          </w14:textFill>
        </w:rPr>
        <w:t>，则：</w:t>
      </w:r>
    </w:p>
    <w:p w14:paraId="3300D551">
      <w:pPr>
        <w:ind w:left="424" w:leftChars="202"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N1</w:t>
      </w:r>
      <w:r>
        <w:rPr>
          <w:rFonts w:hint="eastAsia" w:ascii="仿宋" w:hAnsi="仿宋" w:eastAsia="仿宋" w:cs="仿宋"/>
          <w:color w:val="000000" w:themeColor="text1"/>
          <w:sz w:val="24"/>
          <w14:textFill>
            <w14:solidFill>
              <w14:schemeClr w14:val="tx1"/>
            </w14:solidFill>
          </w14:textFill>
        </w:rPr>
        <w:t>类商用</w:t>
      </w:r>
      <w:r>
        <w:rPr>
          <w:rFonts w:ascii="仿宋" w:hAnsi="仿宋" w:eastAsia="仿宋" w:cs="仿宋"/>
          <w:color w:val="000000" w:themeColor="text1"/>
          <w:sz w:val="24"/>
          <w14:textFill>
            <w14:solidFill>
              <w14:schemeClr w14:val="tx1"/>
            </w14:solidFill>
          </w14:textFill>
        </w:rPr>
        <w:t>车辆的燃料消耗量限值应按式（4）~式（6）计算，计算结果圆整（四舍五入）至小数点后两位：</w:t>
      </w:r>
    </w:p>
    <w:p w14:paraId="3AD3D3D4">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如果整车</w:t>
      </w:r>
      <w:bookmarkStart w:id="10" w:name="OLE_LINK23"/>
      <w:bookmarkStart w:id="11" w:name="OLE_LINK22"/>
      <w:r>
        <w:rPr>
          <w:rFonts w:hint="eastAsia" w:ascii="仿宋" w:hAnsi="仿宋" w:eastAsia="仿宋" w:cs="仿宋"/>
          <w:color w:val="000000" w:themeColor="text1"/>
          <w:sz w:val="24"/>
          <w14:textFill>
            <w14:solidFill>
              <w14:schemeClr w14:val="tx1"/>
            </w14:solidFill>
          </w14:textFill>
        </w:rPr>
        <w:t>测试</w:t>
      </w:r>
      <w:bookmarkEnd w:id="10"/>
      <w:bookmarkEnd w:id="11"/>
      <w:r>
        <w:rPr>
          <w:rFonts w:ascii="仿宋" w:hAnsi="仿宋" w:eastAsia="仿宋" w:cs="仿宋"/>
          <w:color w:val="000000" w:themeColor="text1"/>
          <w:sz w:val="24"/>
          <w14:textFill>
            <w14:solidFill>
              <w14:schemeClr w14:val="tx1"/>
            </w14:solidFill>
          </w14:textFill>
        </w:rPr>
        <w:t>质量TM</w:t>
      </w:r>
      <m:oMath>
        <m:r>
          <m:rPr>
            <m:sty m:val="p"/>
          </m:rPr>
          <w:rPr>
            <w:rFonts w:ascii="Cambria Math" w:hAnsi="Cambria Math" w:eastAsia="仿宋" w:cs="仿宋"/>
            <w:color w:val="000000" w:themeColor="text1"/>
            <w:sz w:val="24"/>
            <w14:textFill>
              <w14:solidFill>
                <w14:schemeClr w14:val="tx1"/>
              </w14:solidFill>
            </w14:textFill>
          </w:rPr>
          <m:t xml:space="preserve">  ≤ </m:t>
        </m:r>
      </m:oMath>
      <w:r>
        <w:rPr>
          <w:rFonts w:ascii="仿宋" w:hAnsi="仿宋" w:eastAsia="仿宋" w:cs="仿宋"/>
          <w:color w:val="000000" w:themeColor="text1"/>
          <w:sz w:val="24"/>
          <w14:textFill>
            <w14:solidFill>
              <w14:schemeClr w14:val="tx1"/>
            </w14:solidFill>
          </w14:textFill>
        </w:rPr>
        <w:t>1190 ，则</w:t>
      </w:r>
      <w:r>
        <w:rPr>
          <w:rFonts w:hint="eastAsia" w:ascii="仿宋" w:hAnsi="仿宋" w:eastAsia="仿宋" w:cs="仿宋"/>
          <w:color w:val="000000" w:themeColor="text1"/>
          <w:sz w:val="24"/>
          <w14:textFill>
            <w14:solidFill>
              <w14:schemeClr w14:val="tx1"/>
            </w14:solidFill>
          </w14:textFill>
        </w:rPr>
        <w:t>：</w:t>
      </w:r>
    </w:p>
    <w:p w14:paraId="761A454B">
      <w:pPr>
        <w:wordWrap w:val="0"/>
        <w:spacing w:before="48"/>
        <w:ind w:left="758" w:right="279" w:rightChars="133"/>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5.09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10</w:t>
      </w:r>
      <w:r>
        <w:rPr>
          <w:rFonts w:hint="eastAsia" w:ascii="宋体" w:hAnsi="宋体"/>
          <w:color w:val="000000" w:themeColor="text1"/>
          <w:sz w:val="24"/>
          <w14:textFill>
            <w14:solidFill>
              <w14:schemeClr w14:val="tx1"/>
            </w14:solidFill>
          </w14:textFill>
        </w:rPr>
        <w:t>）</w:t>
      </w:r>
    </w:p>
    <w:p w14:paraId="6CAA1272">
      <w:pPr>
        <w:spacing w:before="48"/>
        <w:ind w:firstLine="960" w:firstLineChars="400"/>
        <w:rPr>
          <w:rFonts w:ascii="宋体" w:hAnsi="宋体"/>
          <w:sz w:val="24"/>
        </w:rPr>
      </w:pPr>
      <w:r>
        <w:rPr>
          <w:rFonts w:ascii="仿宋" w:hAnsi="仿宋" w:eastAsia="仿宋" w:cs="仿宋"/>
          <w:color w:val="000000" w:themeColor="text1"/>
          <w:sz w:val="24"/>
          <w14:textFill>
            <w14:solidFill>
              <w14:schemeClr w14:val="tx1"/>
            </w14:solidFill>
          </w14:textFill>
        </w:rPr>
        <w:t xml:space="preserve">如果1190 </w:t>
      </w:r>
      <m:oMath>
        <m:r>
          <m:rPr>
            <m:sty m:val="p"/>
          </m:rPr>
          <w:rPr>
            <w:rFonts w:ascii="Cambria Math" w:hAnsi="Cambria Math" w:eastAsia="仿宋" w:cs="仿宋"/>
            <w:color w:val="000000" w:themeColor="text1"/>
            <w:sz w:val="24"/>
            <w14:textFill>
              <w14:solidFill>
                <w14:schemeClr w14:val="tx1"/>
              </w14:solidFill>
            </w14:textFill>
          </w:rPr>
          <m:t xml:space="preserve">≤ </m:t>
        </m:r>
      </m:oMath>
      <w:r>
        <w:rPr>
          <w:rFonts w:ascii="仿宋" w:hAnsi="仿宋" w:eastAsia="仿宋" w:cs="仿宋"/>
          <w:color w:val="000000" w:themeColor="text1"/>
          <w:sz w:val="24"/>
          <w14:textFill>
            <w14:solidFill>
              <w14:schemeClr w14:val="tx1"/>
            </w14:solidFill>
          </w14:textFill>
        </w:rPr>
        <w:t>TM</w:t>
      </w:r>
      <m:oMath>
        <m:r>
          <m:rPr>
            <m:sty m:val="p"/>
          </m:rPr>
          <w:rPr>
            <w:rFonts w:ascii="Cambria Math" w:hAnsi="Cambria Math" w:eastAsia="仿宋" w:cs="仿宋"/>
            <w:color w:val="000000" w:themeColor="text1"/>
            <w:sz w:val="24"/>
            <w14:textFill>
              <w14:solidFill>
                <w14:schemeClr w14:val="tx1"/>
              </w14:solidFill>
            </w14:textFill>
          </w:rPr>
          <m:t xml:space="preserve">  ≤ </m:t>
        </m:r>
      </m:oMath>
      <w:r>
        <w:rPr>
          <w:rFonts w:ascii="仿宋" w:hAnsi="仿宋" w:eastAsia="仿宋" w:cs="仿宋"/>
          <w:color w:val="000000" w:themeColor="text1"/>
          <w:sz w:val="24"/>
          <w14:textFill>
            <w14:solidFill>
              <w14:schemeClr w14:val="tx1"/>
            </w14:solidFill>
          </w14:textFill>
        </w:rPr>
        <w:t>2850则</w:t>
      </w:r>
      <w:r>
        <w:rPr>
          <w:rFonts w:hint="eastAsia" w:ascii="仿宋" w:hAnsi="仿宋" w:eastAsia="仿宋" w:cs="仿宋"/>
          <w:color w:val="000000" w:themeColor="text1"/>
          <w:sz w:val="24"/>
          <w14:textFill>
            <w14:solidFill>
              <w14:schemeClr w14:val="tx1"/>
            </w14:solidFill>
          </w14:textFill>
        </w:rPr>
        <w:t>：</w:t>
      </w:r>
    </w:p>
    <w:p w14:paraId="586AEF5D">
      <w:pPr>
        <w:ind w:right="281" w:firstLine="480" w:firstLineChars="200"/>
        <w:jc w:val="right"/>
        <w:rPr>
          <w:rFonts w:ascii="宋体" w:hAnsi="宋体"/>
          <w:color w:val="000000" w:themeColor="text1"/>
          <w:sz w:val="24"/>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0.00375×</m:t>
        </m:r>
        <m:d>
          <m:dPr>
            <m:ctrlPr>
              <w:rPr>
                <w:rFonts w:ascii="Cambria Math" w:hAnsi="Cambria Math" w:eastAsia="仿宋" w:cs="仿宋"/>
                <w:color w:val="000000" w:themeColor="text1"/>
                <w:sz w:val="24"/>
                <w14:textFill>
                  <w14:solidFill>
                    <w14:schemeClr w14:val="tx1"/>
                  </w14:solidFill>
                </w14:textFill>
              </w:rPr>
            </m:ctrlPr>
          </m:dPr>
          <m:e>
            <m:r>
              <m:rPr/>
              <w:rPr>
                <w:rFonts w:ascii="Cambria Math" w:hAnsi="Cambria Math" w:eastAsia="仿宋" w:cs="仿宋"/>
                <w:color w:val="000000" w:themeColor="text1"/>
                <w:sz w:val="24"/>
                <w14:textFill>
                  <w14:solidFill>
                    <w14:schemeClr w14:val="tx1"/>
                  </w14:solidFill>
                </w14:textFill>
              </w:rPr>
              <m:t>TM</m:t>
            </m:r>
            <m:r>
              <m:rPr>
                <m:sty m:val="p"/>
              </m:rPr>
              <w:rPr>
                <w:rFonts w:ascii="Cambria Math" w:hAnsi="Cambria Math" w:eastAsia="仿宋" w:cs="仿宋"/>
                <w:color w:val="000000" w:themeColor="text1"/>
                <w:sz w:val="24"/>
                <w14:textFill>
                  <w14:solidFill>
                    <w14:schemeClr w14:val="tx1"/>
                  </w14:solidFill>
                </w14:textFill>
              </w:rPr>
              <m:t>−1733</m:t>
            </m:r>
            <m:ctrlPr>
              <w:rPr>
                <w:rFonts w:ascii="Cambria Math" w:hAnsi="Cambria Math" w:eastAsia="仿宋" w:cs="仿宋"/>
                <w:color w:val="000000" w:themeColor="text1"/>
                <w:sz w:val="24"/>
                <w14:textFill>
                  <w14:solidFill>
                    <w14:schemeClr w14:val="tx1"/>
                  </w14:solidFill>
                </w14:textFill>
              </w:rPr>
            </m:ctrlPr>
          </m:e>
        </m:d>
        <m:r>
          <m:rPr>
            <m:sty m:val="p"/>
          </m:rPr>
          <w:rPr>
            <w:rFonts w:ascii="Cambria Math" w:hAnsi="Cambria Math" w:eastAsia="仿宋" w:cs="仿宋"/>
            <w:color w:val="000000" w:themeColor="text1"/>
            <w:sz w:val="24"/>
            <w14:textFill>
              <w14:solidFill>
                <w14:schemeClr w14:val="tx1"/>
              </w14:solidFill>
            </w14:textFill>
          </w:rPr>
          <m:t xml:space="preserve">+6.79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11</w:t>
      </w:r>
      <w:r>
        <w:rPr>
          <w:rFonts w:hint="eastAsia" w:ascii="宋体" w:hAnsi="宋体"/>
          <w:color w:val="000000" w:themeColor="text1"/>
          <w:sz w:val="24"/>
          <w14:textFill>
            <w14:solidFill>
              <w14:schemeClr w14:val="tx1"/>
            </w14:solidFill>
          </w14:textFill>
        </w:rPr>
        <w:t>）</w:t>
      </w:r>
    </w:p>
    <w:p w14:paraId="148093C2">
      <w:pPr>
        <w:spacing w:before="48"/>
        <w:ind w:firstLine="960" w:firstLineChars="400"/>
        <w:rPr>
          <w:rFonts w:ascii="宋体" w:hAnsi="宋体"/>
          <w:sz w:val="24"/>
        </w:rPr>
      </w:pPr>
      <w:r>
        <w:rPr>
          <w:rFonts w:ascii="仿宋" w:hAnsi="仿宋" w:eastAsia="仿宋" w:cs="仿宋"/>
          <w:color w:val="000000" w:themeColor="text1"/>
          <w:sz w:val="24"/>
          <w14:textFill>
            <w14:solidFill>
              <w14:schemeClr w14:val="tx1"/>
            </w14:solidFill>
          </w14:textFill>
        </w:rPr>
        <w:t>如果TM</w:t>
      </w:r>
      <m:oMath>
        <m:r>
          <m:rPr>
            <m:sty m:val="p"/>
          </m:rPr>
          <w:rPr>
            <w:rFonts w:ascii="Cambria Math" w:hAnsi="Cambria Math" w:eastAsia="仿宋" w:cs="仿宋"/>
            <w:color w:val="000000" w:themeColor="text1"/>
            <w:sz w:val="24"/>
            <w14:textFill>
              <w14:solidFill>
                <w14:schemeClr w14:val="tx1"/>
              </w14:solidFill>
            </w14:textFill>
          </w:rPr>
          <m:t xml:space="preserve">  &gt;2850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28B9128E">
      <w:pPr>
        <w:wordWrap w:val="0"/>
        <w:spacing w:before="48"/>
        <w:ind w:left="758" w:right="279" w:rightChars="133"/>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10.29</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12</w:t>
      </w:r>
      <w:r>
        <w:rPr>
          <w:rFonts w:hint="eastAsia" w:ascii="宋体" w:hAnsi="宋体"/>
          <w:color w:val="000000" w:themeColor="text1"/>
          <w:sz w:val="24"/>
          <w14:textFill>
            <w14:solidFill>
              <w14:schemeClr w14:val="tx1"/>
            </w14:solidFill>
          </w14:textFill>
        </w:rPr>
        <w:t>）</w:t>
      </w:r>
    </w:p>
    <w:p w14:paraId="312BC891">
      <w:pPr>
        <w:ind w:left="424" w:leftChars="202" w:right="24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类商用车</w:t>
      </w:r>
      <w:r>
        <w:rPr>
          <w:rFonts w:ascii="仿宋" w:hAnsi="仿宋" w:eastAsia="仿宋" w:cs="仿宋"/>
          <w:color w:val="000000" w:themeColor="text1"/>
          <w:sz w:val="24"/>
          <w14:textFill>
            <w14:solidFill>
              <w14:schemeClr w14:val="tx1"/>
            </w14:solidFill>
          </w14:textFill>
        </w:rPr>
        <w:t>车辆的燃料消耗量限值应按式（7）~式（9）计算，</w:t>
      </w:r>
      <w:r>
        <w:rPr>
          <w:rFonts w:ascii="宋体" w:hAnsi="宋体"/>
          <w:color w:val="000000" w:themeColor="text1"/>
          <w:sz w:val="24"/>
          <w14:textFill>
            <w14:solidFill>
              <w14:schemeClr w14:val="tx1"/>
            </w14:solidFill>
          </w14:textFill>
        </w:rPr>
        <w:t>计算</w:t>
      </w:r>
      <w:r>
        <w:rPr>
          <w:rFonts w:ascii="仿宋" w:hAnsi="仿宋" w:eastAsia="仿宋" w:cs="仿宋"/>
          <w:color w:val="000000" w:themeColor="text1"/>
          <w:sz w:val="24"/>
          <w14:textFill>
            <w14:solidFill>
              <w14:schemeClr w14:val="tx1"/>
            </w14:solidFill>
          </w14:textFill>
        </w:rPr>
        <w:t>结果圆整（四舍五入）至小数点后两位</w:t>
      </w:r>
      <w:r>
        <w:rPr>
          <w:rFonts w:hint="eastAsia" w:ascii="仿宋" w:hAnsi="仿宋" w:eastAsia="仿宋" w:cs="仿宋"/>
          <w:color w:val="000000" w:themeColor="text1"/>
          <w:sz w:val="24"/>
          <w14:textFill>
            <w14:solidFill>
              <w14:schemeClr w14:val="tx1"/>
            </w14:solidFill>
          </w14:textFill>
        </w:rPr>
        <w:t>:</w:t>
      </w:r>
    </w:p>
    <w:p w14:paraId="6761C52D">
      <w:pPr>
        <w:spacing w:before="48"/>
        <w:ind w:firstLine="960" w:firstLineChars="400"/>
        <w:rPr>
          <w:rFonts w:ascii="宋体" w:hAnsi="宋体"/>
          <w:sz w:val="24"/>
        </w:rPr>
      </w:pPr>
      <w:r>
        <w:rPr>
          <w:rFonts w:ascii="仿宋" w:hAnsi="仿宋" w:eastAsia="仿宋" w:cs="仿宋"/>
          <w:color w:val="000000" w:themeColor="text1"/>
          <w:sz w:val="24"/>
          <w14:textFill>
            <w14:solidFill>
              <w14:schemeClr w14:val="tx1"/>
            </w14:solidFill>
          </w14:textFill>
        </w:rPr>
        <w:t>如果整车</w:t>
      </w:r>
      <w:r>
        <w:rPr>
          <w:rFonts w:hint="eastAsia" w:ascii="仿宋" w:hAnsi="仿宋" w:eastAsia="仿宋" w:cs="仿宋"/>
          <w:color w:val="000000" w:themeColor="text1"/>
          <w:sz w:val="24"/>
          <w14:textFill>
            <w14:solidFill>
              <w14:schemeClr w14:val="tx1"/>
            </w14:solidFill>
          </w14:textFill>
        </w:rPr>
        <w:t>测试</w:t>
      </w:r>
      <w:r>
        <w:rPr>
          <w:rFonts w:ascii="仿宋" w:hAnsi="仿宋" w:eastAsia="仿宋" w:cs="仿宋"/>
          <w:color w:val="000000" w:themeColor="text1"/>
          <w:sz w:val="24"/>
          <w14:textFill>
            <w14:solidFill>
              <w14:schemeClr w14:val="tx1"/>
            </w14:solidFill>
          </w14:textFill>
        </w:rPr>
        <w:t>质量TM</w:t>
      </w:r>
      <m:oMath>
        <m:r>
          <m:rPr>
            <m:sty m:val="p"/>
          </m:rPr>
          <w:rPr>
            <w:rFonts w:ascii="Cambria Math" w:hAnsi="Cambria Math" w:eastAsia="仿宋" w:cs="仿宋"/>
            <w:color w:val="000000" w:themeColor="text1"/>
            <w:sz w:val="24"/>
            <w14:textFill>
              <w14:solidFill>
                <w14:schemeClr w14:val="tx1"/>
              </w14:solidFill>
            </w14:textFill>
          </w:rPr>
          <m:t xml:space="preserve">  ≤ </m:t>
        </m:r>
      </m:oMath>
      <w:r>
        <w:rPr>
          <w:rFonts w:ascii="仿宋" w:hAnsi="仿宋" w:eastAsia="仿宋" w:cs="仿宋"/>
          <w:color w:val="000000" w:themeColor="text1"/>
          <w:sz w:val="24"/>
          <w14:textFill>
            <w14:solidFill>
              <w14:schemeClr w14:val="tx1"/>
            </w14:solidFill>
          </w14:textFill>
        </w:rPr>
        <w:t>1190 ，则</w:t>
      </w:r>
      <w:r>
        <w:rPr>
          <w:rFonts w:hint="eastAsia" w:ascii="仿宋" w:hAnsi="仿宋" w:eastAsia="仿宋" w:cs="仿宋"/>
          <w:color w:val="000000" w:themeColor="text1"/>
          <w:sz w:val="24"/>
          <w14:textFill>
            <w14:solidFill>
              <w14:schemeClr w14:val="tx1"/>
            </w14:solidFill>
          </w14:textFill>
        </w:rPr>
        <w:t>：</w:t>
      </w:r>
    </w:p>
    <w:p w14:paraId="2B0B9FC2">
      <w:pPr>
        <w:wordWrap w:val="0"/>
        <w:spacing w:before="48"/>
        <w:ind w:left="758" w:right="279" w:rightChars="133"/>
        <w:jc w:val="right"/>
        <w:rPr>
          <w:rFonts w:ascii="宋体" w:hAnsi="宋体"/>
          <w:sz w:val="24"/>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4.89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13</w:t>
      </w:r>
      <w:r>
        <w:rPr>
          <w:rFonts w:hint="eastAsia" w:ascii="宋体" w:hAnsi="宋体"/>
          <w:color w:val="000000" w:themeColor="text1"/>
          <w:sz w:val="24"/>
          <w14:textFill>
            <w14:solidFill>
              <w14:schemeClr w14:val="tx1"/>
            </w14:solidFill>
          </w14:textFill>
        </w:rPr>
        <w:t>）</w:t>
      </w:r>
    </w:p>
    <w:p w14:paraId="50E9D7AA">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如果1190 </w:t>
      </w:r>
      <m:oMath>
        <m:r>
          <m:rPr>
            <m:sty m:val="p"/>
          </m:rPr>
          <w:rPr>
            <w:rFonts w:ascii="Cambria Math" w:hAnsi="Cambria Math" w:eastAsia="仿宋" w:cs="仿宋"/>
            <w:color w:val="000000" w:themeColor="text1"/>
            <w:sz w:val="24"/>
            <w14:textFill>
              <w14:solidFill>
                <w14:schemeClr w14:val="tx1"/>
              </w14:solidFill>
            </w14:textFill>
          </w:rPr>
          <m:t xml:space="preserve">≤ </m:t>
        </m:r>
      </m:oMath>
      <w:r>
        <w:rPr>
          <w:rFonts w:ascii="仿宋" w:hAnsi="仿宋" w:eastAsia="仿宋" w:cs="仿宋"/>
          <w:color w:val="000000" w:themeColor="text1"/>
          <w:sz w:val="24"/>
          <w14:textFill>
            <w14:solidFill>
              <w14:schemeClr w14:val="tx1"/>
            </w14:solidFill>
          </w14:textFill>
        </w:rPr>
        <w:t>TM</w:t>
      </w:r>
      <m:oMath>
        <m:r>
          <m:rPr>
            <m:sty m:val="p"/>
          </m:rPr>
          <w:rPr>
            <w:rFonts w:ascii="Cambria Math" w:hAnsi="Cambria Math" w:eastAsia="仿宋" w:cs="仿宋"/>
            <w:color w:val="000000" w:themeColor="text1"/>
            <w:sz w:val="24"/>
            <w14:textFill>
              <w14:solidFill>
                <w14:schemeClr w14:val="tx1"/>
              </w14:solidFill>
            </w14:textFill>
          </w:rPr>
          <m:t xml:space="preserve">  ≤2850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54C8846C">
      <w:pPr>
        <w:ind w:right="281" w:firstLine="480" w:firstLineChars="200"/>
        <w:jc w:val="right"/>
        <w:rPr>
          <w:rFonts w:ascii="宋体" w:hAnsi="宋体"/>
          <w:color w:val="000000" w:themeColor="text1"/>
          <w:sz w:val="28"/>
          <w:szCs w:val="28"/>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0.00385×</m:t>
        </m:r>
        <m:d>
          <m:dPr>
            <m:ctrlPr>
              <w:rPr>
                <w:rFonts w:ascii="Cambria Math" w:hAnsi="Cambria Math" w:eastAsia="仿宋" w:cs="仿宋"/>
                <w:color w:val="000000" w:themeColor="text1"/>
                <w:sz w:val="24"/>
                <w14:textFill>
                  <w14:solidFill>
                    <w14:schemeClr w14:val="tx1"/>
                  </w14:solidFill>
                </w14:textFill>
              </w:rPr>
            </m:ctrlPr>
          </m:dPr>
          <m:e>
            <m:r>
              <m:rPr/>
              <w:rPr>
                <w:rFonts w:ascii="Cambria Math" w:hAnsi="Cambria Math" w:eastAsia="仿宋" w:cs="仿宋"/>
                <w:color w:val="000000" w:themeColor="text1"/>
                <w:sz w:val="24"/>
                <w14:textFill>
                  <w14:solidFill>
                    <w14:schemeClr w14:val="tx1"/>
                  </w14:solidFill>
                </w14:textFill>
              </w:rPr>
              <m:t>TM</m:t>
            </m:r>
            <m:r>
              <m:rPr>
                <m:sty m:val="p"/>
              </m:rPr>
              <w:rPr>
                <w:rFonts w:ascii="Cambria Math" w:hAnsi="Cambria Math" w:eastAsia="仿宋" w:cs="仿宋"/>
                <w:color w:val="000000" w:themeColor="text1"/>
                <w:sz w:val="24"/>
                <w14:textFill>
                  <w14:solidFill>
                    <w14:schemeClr w14:val="tx1"/>
                  </w14:solidFill>
                </w14:textFill>
              </w:rPr>
              <m:t>−2098</m:t>
            </m:r>
            <m:ctrlPr>
              <w:rPr>
                <w:rFonts w:ascii="Cambria Math" w:hAnsi="Cambria Math" w:eastAsia="仿宋" w:cs="仿宋"/>
                <w:color w:val="000000" w:themeColor="text1"/>
                <w:sz w:val="24"/>
                <w14:textFill>
                  <w14:solidFill>
                    <w14:schemeClr w14:val="tx1"/>
                  </w14:solidFill>
                </w14:textFill>
              </w:rPr>
            </m:ctrlPr>
          </m:e>
        </m:d>
        <m:r>
          <m:rPr>
            <m:sty m:val="p"/>
          </m:rPr>
          <w:rPr>
            <w:rFonts w:ascii="Cambria Math" w:hAnsi="Cambria Math" w:eastAsia="仿宋" w:cs="仿宋"/>
            <w:color w:val="000000" w:themeColor="text1"/>
            <w:sz w:val="24"/>
            <w14:textFill>
              <w14:solidFill>
                <w14:schemeClr w14:val="tx1"/>
              </w14:solidFill>
            </w14:textFill>
          </w:rPr>
          <m:t xml:space="preserve">+7.81    </m:t>
        </m:r>
      </m:oMath>
      <w:r>
        <w:rPr>
          <w:rFonts w:ascii="仿宋" w:hAnsi="仿宋" w:eastAsia="仿宋" w:cs="仿宋"/>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14</w:t>
      </w:r>
      <w:r>
        <w:rPr>
          <w:rFonts w:hint="eastAsia" w:ascii="宋体" w:hAnsi="宋体"/>
          <w:color w:val="000000" w:themeColor="text1"/>
          <w:sz w:val="24"/>
          <w14:textFill>
            <w14:solidFill>
              <w14:schemeClr w14:val="tx1"/>
            </w14:solidFill>
          </w14:textFill>
        </w:rPr>
        <w:t>）</w:t>
      </w:r>
    </w:p>
    <w:p w14:paraId="7A96A17C">
      <w:pPr>
        <w:spacing w:before="48"/>
        <w:ind w:firstLine="960" w:firstLineChars="4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如果TM</w:t>
      </w:r>
      <m:oMath>
        <m:r>
          <m:rPr>
            <m:sty m:val="p"/>
          </m:rPr>
          <w:rPr>
            <w:rFonts w:ascii="Cambria Math" w:hAnsi="Cambria Math" w:eastAsia="仿宋" w:cs="仿宋"/>
            <w:color w:val="000000" w:themeColor="text1"/>
            <w:sz w:val="24"/>
            <w14:textFill>
              <w14:solidFill>
                <w14:schemeClr w14:val="tx1"/>
              </w14:solidFill>
            </w14:textFill>
          </w:rPr>
          <m:t xml:space="preserve">  &gt;2850</m:t>
        </m:r>
      </m:oMath>
      <w:r>
        <w:rPr>
          <w:rFonts w:ascii="仿宋" w:hAnsi="仿宋" w:eastAsia="仿宋" w:cs="仿宋"/>
          <w:color w:val="000000" w:themeColor="text1"/>
          <w:sz w:val="24"/>
          <w14:textFill>
            <w14:solidFill>
              <w14:schemeClr w14:val="tx1"/>
            </w14:solidFill>
          </w14:textFill>
        </w:rPr>
        <w:t>，则</w:t>
      </w:r>
      <w:r>
        <w:rPr>
          <w:rFonts w:hint="eastAsia" w:ascii="仿宋" w:hAnsi="仿宋" w:eastAsia="仿宋" w:cs="仿宋"/>
          <w:color w:val="000000" w:themeColor="text1"/>
          <w:sz w:val="24"/>
          <w14:textFill>
            <w14:solidFill>
              <w14:schemeClr w14:val="tx1"/>
            </w14:solidFill>
          </w14:textFill>
        </w:rPr>
        <w:t>：</w:t>
      </w:r>
    </w:p>
    <w:p w14:paraId="6D71E547">
      <w:pPr>
        <w:wordWrap w:val="0"/>
        <w:spacing w:before="48"/>
        <w:ind w:left="758" w:right="279" w:rightChars="133"/>
        <w:jc w:val="right"/>
        <w:rPr>
          <w:rFonts w:ascii="仿宋" w:hAnsi="仿宋" w:eastAsia="仿宋" w:cs="仿宋"/>
          <w:color w:val="000000" w:themeColor="text1"/>
          <w:sz w:val="24"/>
          <w14:textFill>
            <w14:solidFill>
              <w14:schemeClr w14:val="tx1"/>
            </w14:solidFill>
          </w14:textFill>
        </w:rPr>
      </w:pPr>
      <m:oMath>
        <m:sSub>
          <m:sSubPr>
            <m:ctrlPr>
              <w:rPr>
                <w:rFonts w:ascii="Cambria Math" w:hAnsi="Cambria Math" w:eastAsia="仿宋" w:cs="仿宋"/>
                <w:color w:val="000000" w:themeColor="text1"/>
                <w:sz w:val="24"/>
                <w14:textFill>
                  <w14:solidFill>
                    <w14:schemeClr w14:val="tx1"/>
                  </w14:solidFill>
                </w14:textFill>
              </w:rPr>
            </m:ctrlPr>
          </m:sSubPr>
          <m:e>
            <m:r>
              <m:rPr/>
              <w:rPr>
                <w:rFonts w:ascii="Cambria Math" w:hAnsi="Cambria Math" w:eastAsia="仿宋" w:cs="仿宋"/>
                <w:color w:val="000000" w:themeColor="text1"/>
                <w:sz w:val="24"/>
                <w14:textFill>
                  <w14:solidFill>
                    <w14:schemeClr w14:val="tx1"/>
                  </w14:solidFill>
                </w14:textFill>
              </w:rPr>
              <m:t>FC</m:t>
            </m:r>
            <m:ctrlPr>
              <w:rPr>
                <w:rFonts w:ascii="Cambria Math" w:hAnsi="Cambria Math" w:eastAsia="仿宋" w:cs="仿宋"/>
                <w:color w:val="000000" w:themeColor="text1"/>
                <w:sz w:val="24"/>
                <w14:textFill>
                  <w14:solidFill>
                    <w14:schemeClr w14:val="tx1"/>
                  </w14:solidFill>
                </w14:textFill>
              </w:rPr>
            </m:ctrlPr>
          </m:e>
          <m:sub>
            <m:r>
              <m:rPr/>
              <w:rPr>
                <w:rFonts w:ascii="Cambria Math" w:hAnsi="Cambria Math" w:eastAsia="仿宋" w:cs="仿宋"/>
                <w:color w:val="000000" w:themeColor="text1"/>
                <w:sz w:val="24"/>
                <w14:textFill>
                  <w14:solidFill>
                    <w14:schemeClr w14:val="tx1"/>
                  </w14:solidFill>
                </w14:textFill>
              </w:rPr>
              <m:t>NG</m:t>
            </m:r>
            <m:ctrlPr>
              <w:rPr>
                <w:rFonts w:ascii="Cambria Math" w:hAnsi="Cambria Math" w:eastAsia="仿宋" w:cs="仿宋"/>
                <w:color w:val="000000" w:themeColor="text1"/>
                <w:sz w:val="24"/>
                <w14:textFill>
                  <w14:solidFill>
                    <w14:schemeClr w14:val="tx1"/>
                  </w14:solidFill>
                </w14:textFill>
              </w:rPr>
            </m:ctrlPr>
          </m:sub>
        </m:sSub>
        <m:r>
          <m:rPr>
            <m:sty m:val="p"/>
          </m:rPr>
          <w:rPr>
            <w:rFonts w:hint="eastAsia" w:ascii="Cambria Math" w:hAnsi="Cambria Math" w:eastAsia="仿宋" w:cs="仿宋"/>
            <w:color w:val="000000" w:themeColor="text1"/>
            <w:sz w:val="24"/>
            <w14:textFill>
              <w14:solidFill>
                <w14:schemeClr w14:val="tx1"/>
              </w14:solidFill>
            </w14:textFill>
          </w:rPr>
          <m:t>=</m:t>
        </m:r>
        <m:r>
          <m:rPr>
            <m:sty m:val="p"/>
          </m:rPr>
          <w:rPr>
            <w:rFonts w:ascii="Cambria Math" w:hAnsi="Cambria Math" w:eastAsia="仿宋" w:cs="仿宋"/>
            <w:color w:val="000000" w:themeColor="text1"/>
            <w:sz w:val="24"/>
            <w14:textFill>
              <w14:solidFill>
                <w14:schemeClr w14:val="tx1"/>
              </w14:solidFill>
            </w14:textFill>
          </w:rPr>
          <m:t xml:space="preserve">10.23 </m:t>
        </m:r>
        <m:r>
          <m:rPr/>
          <w:rPr>
            <w:rFonts w:ascii="Cambria Math" w:hAnsi="Cambria Math"/>
            <w:color w:val="000000" w:themeColor="text1"/>
            <w:sz w:val="24"/>
            <w14:textFill>
              <w14:solidFill>
                <w14:schemeClr w14:val="tx1"/>
              </w14:solidFill>
            </w14:textFill>
          </w:rPr>
          <m:t xml:space="preserve">   </m:t>
        </m:r>
      </m:oMath>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15</w:t>
      </w:r>
      <w:r>
        <w:rPr>
          <w:rFonts w:hint="eastAsia" w:ascii="宋体" w:hAnsi="宋体"/>
          <w:color w:val="000000" w:themeColor="text1"/>
          <w:sz w:val="24"/>
          <w14:textFill>
            <w14:solidFill>
              <w14:schemeClr w14:val="tx1"/>
            </w14:solidFill>
          </w14:textFill>
        </w:rPr>
        <w:t>）</w:t>
      </w:r>
      <w:bookmarkEnd w:id="8"/>
      <w:bookmarkEnd w:id="9"/>
    </w:p>
    <w:p w14:paraId="74869C8A">
      <w:pPr>
        <w:ind w:firstLine="480" w:firstLineChars="200"/>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 xml:space="preserve">三、采用国际标准和国外先进标准情况  </w:t>
      </w:r>
      <w:r>
        <w:rPr>
          <w:rFonts w:hint="eastAsia" w:ascii="黑体" w:hAnsi="黑体" w:eastAsia="黑体" w:cs="黑体"/>
          <w:color w:val="000000" w:themeColor="text1"/>
          <w:sz w:val="30"/>
          <w:szCs w:val="30"/>
          <w14:textFill>
            <w14:solidFill>
              <w14:schemeClr w14:val="tx1"/>
            </w14:solidFill>
          </w14:textFill>
        </w:rPr>
        <w:t xml:space="preserve"> </w:t>
      </w:r>
    </w:p>
    <w:p w14:paraId="4EA82025">
      <w:pPr>
        <w:ind w:left="424" w:leftChars="202" w:firstLine="480" w:firstLineChars="200"/>
        <w:rPr>
          <w:rFonts w:ascii="仿宋" w:hAnsi="仿宋" w:eastAsia="仿宋"/>
          <w:sz w:val="24"/>
        </w:rPr>
      </w:pPr>
      <w:r>
        <w:rPr>
          <w:rFonts w:hint="eastAsia" w:ascii="仿宋" w:hAnsi="仿宋" w:eastAsia="仿宋"/>
          <w:sz w:val="24"/>
        </w:rPr>
        <w:t>经过对国际标准、欧美等主要汽车技术法规体系、相关行业法规技术文件等调研，目前国际上尚无针对压缩天然气商用车单独设置燃料消耗量限值的专项标准，因此本标准编制过程中未采用国际标准。国内外相关法规多聚焦二氧化碳排放管控、排放污染物限值、天然气燃料组分要求等方面，缺少与本标准指标体系完全对应的燃料消耗量限值标准可供直接参考对标。</w:t>
      </w:r>
    </w:p>
    <w:p w14:paraId="46639067">
      <w:pPr>
        <w:ind w:left="424" w:leftChars="202" w:firstLine="480" w:firstLineChars="200"/>
        <w:rPr>
          <w:rFonts w:ascii="仿宋" w:hAnsi="仿宋" w:eastAsia="仿宋"/>
          <w:sz w:val="24"/>
        </w:rPr>
      </w:pPr>
      <w:r>
        <w:rPr>
          <w:rFonts w:hint="eastAsia" w:ascii="仿宋" w:hAnsi="仿宋" w:eastAsia="仿宋"/>
          <w:sz w:val="24"/>
        </w:rPr>
        <w:t>因此，本标准立足于我国天然气商用车产业发展现状开展，试验方法等相关要求参考国内轻型车排放及燃料消耗量试验方法强制性标准</w:t>
      </w:r>
      <w:r>
        <w:rPr>
          <w:rFonts w:ascii="仿宋" w:hAnsi="仿宋" w:eastAsia="仿宋"/>
          <w:sz w:val="24"/>
        </w:rPr>
        <w:t xml:space="preserve"> GB</w:t>
      </w:r>
      <w:r>
        <w:rPr>
          <w:rFonts w:ascii="Cambria Math" w:hAnsi="Cambria Math" w:eastAsia="仿宋" w:cs="Cambria Math"/>
          <w:sz w:val="24"/>
        </w:rPr>
        <w:t> </w:t>
      </w:r>
      <w:r>
        <w:rPr>
          <w:rFonts w:ascii="仿宋" w:hAnsi="仿宋" w:eastAsia="仿宋"/>
          <w:sz w:val="24"/>
        </w:rPr>
        <w:t>18352</w:t>
      </w:r>
      <w:r>
        <w:rPr>
          <w:rFonts w:hint="eastAsia" w:ascii="仿宋" w:hAnsi="仿宋" w:eastAsia="仿宋"/>
          <w:sz w:val="24"/>
        </w:rPr>
        <w:t>、</w:t>
      </w:r>
      <w:r>
        <w:rPr>
          <w:rFonts w:ascii="仿宋" w:hAnsi="仿宋" w:eastAsia="仿宋"/>
          <w:sz w:val="24"/>
        </w:rPr>
        <w:t>GB/T</w:t>
      </w:r>
      <w:r>
        <w:rPr>
          <w:rFonts w:ascii="Cambria Math" w:hAnsi="Cambria Math" w:eastAsia="仿宋" w:cs="Cambria Math"/>
          <w:sz w:val="24"/>
        </w:rPr>
        <w:t> </w:t>
      </w:r>
      <w:r>
        <w:rPr>
          <w:rFonts w:ascii="仿宋" w:hAnsi="仿宋" w:eastAsia="仿宋"/>
          <w:sz w:val="24"/>
        </w:rPr>
        <w:t>19233</w:t>
      </w:r>
      <w:r>
        <w:rPr>
          <w:rFonts w:hint="eastAsia" w:ascii="仿宋" w:hAnsi="仿宋" w:eastAsia="仿宋"/>
          <w:sz w:val="24"/>
        </w:rPr>
        <w:t>，限值指标分级思路参照限值标准</w:t>
      </w:r>
      <w:r>
        <w:rPr>
          <w:rFonts w:ascii="仿宋" w:hAnsi="仿宋" w:eastAsia="仿宋"/>
          <w:sz w:val="24"/>
        </w:rPr>
        <w:t xml:space="preserve"> GB</w:t>
      </w:r>
      <w:r>
        <w:rPr>
          <w:rFonts w:ascii="Cambria Math" w:hAnsi="Cambria Math" w:eastAsia="仿宋" w:cs="Cambria Math"/>
          <w:sz w:val="24"/>
        </w:rPr>
        <w:t> </w:t>
      </w:r>
      <w:r>
        <w:rPr>
          <w:rFonts w:ascii="仿宋" w:hAnsi="仿宋" w:eastAsia="仿宋"/>
          <w:sz w:val="24"/>
        </w:rPr>
        <w:t>20997</w:t>
      </w:r>
      <w:r>
        <w:rPr>
          <w:rFonts w:hint="eastAsia" w:ascii="MS Gothic" w:hAnsi="MS Gothic" w:eastAsia="MS Gothic" w:cs="MS Gothic"/>
          <w:sz w:val="24"/>
        </w:rPr>
        <w:t>‑</w:t>
      </w:r>
      <w:r>
        <w:rPr>
          <w:rFonts w:ascii="仿宋" w:hAnsi="仿宋" w:eastAsia="仿宋"/>
          <w:sz w:val="24"/>
        </w:rPr>
        <w:t>2024</w:t>
      </w:r>
      <w:r>
        <w:rPr>
          <w:rFonts w:hint="eastAsia" w:ascii="仿宋" w:hAnsi="仿宋" w:eastAsia="仿宋"/>
          <w:sz w:val="24"/>
        </w:rPr>
        <w:t>。各项技术指标均结合国内产业实测数据与行业实际发展需求确定，标准技术水平贴合我国天然气商用车行业发展实际，填补了团体层面压缩天然气商用车燃料消耗量限值管控的空白。</w:t>
      </w:r>
    </w:p>
    <w:p w14:paraId="6B0AE755">
      <w:pPr>
        <w:ind w:left="424" w:leftChars="202" w:firstLine="480" w:firstLineChars="20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四、主要关键指标及试验验证情况</w:t>
      </w:r>
    </w:p>
    <w:p w14:paraId="61D0BA45">
      <w:pPr>
        <w:ind w:left="424" w:leftChars="202"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次标准验证试验依托中国汽车工程研究院股份有限公司轻型汽车排放实验室开展，采集车辆在WLTC循环工况下的能耗数据，试验采用碳平衡测试方法。试验全部完成后，编制工作组结合实测数据开展系统性分析论证。</w:t>
      </w:r>
    </w:p>
    <w:p w14:paraId="5FA9F4E4">
      <w:pPr>
        <w:pStyle w:val="5"/>
        <w:numPr>
          <w:ilvl w:val="0"/>
          <w:numId w:val="4"/>
        </w:numPr>
        <w:ind w:firstLineChars="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验证试验用天然气组分如下表所示：</w:t>
      </w:r>
    </w:p>
    <w:tbl>
      <w:tblPr>
        <w:tblStyle w:val="3"/>
        <w:tblW w:w="0" w:type="auto"/>
        <w:tblInd w:w="1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4"/>
        <w:gridCol w:w="3554"/>
      </w:tblGrid>
      <w:tr w14:paraId="5A03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7F737A20">
            <w:pPr>
              <w:jc w:val="center"/>
              <w:rPr>
                <w:rFonts w:ascii="仿宋" w:hAnsi="仿宋" w:eastAsia="仿宋" w:cs="仿宋"/>
                <w:color w:val="000000" w:themeColor="text1"/>
                <w:szCs w:val="21"/>
                <w14:textFill>
                  <w14:solidFill>
                    <w14:schemeClr w14:val="tx1"/>
                  </w14:solidFill>
                </w14:textFill>
              </w:rPr>
            </w:pPr>
            <w:r>
              <w:rPr>
                <w:rFonts w:ascii="仿宋" w:hAnsi="仿宋" w:eastAsia="仿宋" w:cs="仿宋"/>
                <w:color w:val="000000" w:themeColor="text1"/>
                <w:szCs w:val="21"/>
                <w14:textFill>
                  <w14:solidFill>
                    <w14:schemeClr w14:val="tx1"/>
                  </w14:solidFill>
                </w14:textFill>
              </w:rPr>
              <w:t>天然气组分</w:t>
            </w:r>
          </w:p>
        </w:tc>
        <w:tc>
          <w:tcPr>
            <w:tcW w:w="3554" w:type="dxa"/>
            <w:vAlign w:val="center"/>
          </w:tcPr>
          <w:p w14:paraId="18F3E390">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测试结果</w:t>
            </w:r>
          </w:p>
        </w:tc>
      </w:tr>
      <w:tr w14:paraId="18E1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58F4FE06">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甲烷 %（</w:t>
            </w:r>
            <w:r>
              <w:rPr>
                <w:rFonts w:ascii="仿宋" w:hAnsi="仿宋" w:eastAsia="仿宋" w:cs="仿宋"/>
                <w:color w:val="000000" w:themeColor="text1"/>
                <w:szCs w:val="21"/>
                <w14:textFill>
                  <w14:solidFill>
                    <w14:schemeClr w14:val="tx1"/>
                  </w14:solidFill>
                </w14:textFill>
              </w:rPr>
              <w:t>V/V/</w:t>
            </w:r>
            <w:r>
              <w:rPr>
                <w:rFonts w:hint="eastAsia" w:ascii="仿宋" w:hAnsi="仿宋" w:eastAsia="仿宋" w:cs="仿宋"/>
                <w:color w:val="000000" w:themeColor="text1"/>
                <w:szCs w:val="21"/>
                <w14:textFill>
                  <w14:solidFill>
                    <w14:schemeClr w14:val="tx1"/>
                  </w14:solidFill>
                </w14:textFill>
              </w:rPr>
              <w:t>）</w:t>
            </w:r>
          </w:p>
        </w:tc>
        <w:tc>
          <w:tcPr>
            <w:tcW w:w="3554" w:type="dxa"/>
            <w:vAlign w:val="center"/>
          </w:tcPr>
          <w:p w14:paraId="6A6AE91A">
            <w:pPr>
              <w:jc w:val="center"/>
              <w:rPr>
                <w:rFonts w:ascii="仿宋" w:hAnsi="仿宋" w:eastAsia="仿宋" w:cs="仿宋"/>
                <w:color w:val="000000" w:themeColor="text1"/>
                <w:szCs w:val="21"/>
                <w14:textFill>
                  <w14:solidFill>
                    <w14:schemeClr w14:val="tx1"/>
                  </w14:solidFill>
                </w14:textFill>
              </w:rPr>
            </w:pPr>
            <w:r>
              <w:rPr>
                <w:rFonts w:ascii="仿宋" w:hAnsi="仿宋" w:eastAsia="仿宋" w:cs="仿宋"/>
                <w:color w:val="000000" w:themeColor="text1"/>
                <w:szCs w:val="21"/>
                <w14:textFill>
                  <w14:solidFill>
                    <w14:schemeClr w14:val="tx1"/>
                  </w14:solidFill>
                </w14:textFill>
              </w:rPr>
              <w:t>95.39</w:t>
            </w:r>
          </w:p>
        </w:tc>
      </w:tr>
      <w:tr w14:paraId="43E9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30E5188E">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乙烷 %（</w:t>
            </w:r>
            <w:r>
              <w:rPr>
                <w:rFonts w:ascii="仿宋" w:hAnsi="仿宋" w:eastAsia="仿宋" w:cs="仿宋"/>
                <w:color w:val="000000" w:themeColor="text1"/>
                <w:szCs w:val="21"/>
                <w14:textFill>
                  <w14:solidFill>
                    <w14:schemeClr w14:val="tx1"/>
                  </w14:solidFill>
                </w14:textFill>
              </w:rPr>
              <w:t>V/V/</w:t>
            </w:r>
            <w:r>
              <w:rPr>
                <w:rFonts w:hint="eastAsia" w:ascii="仿宋" w:hAnsi="仿宋" w:eastAsia="仿宋" w:cs="仿宋"/>
                <w:color w:val="000000" w:themeColor="text1"/>
                <w:szCs w:val="21"/>
                <w14:textFill>
                  <w14:solidFill>
                    <w14:schemeClr w14:val="tx1"/>
                  </w14:solidFill>
                </w14:textFill>
              </w:rPr>
              <w:t>）</w:t>
            </w:r>
          </w:p>
        </w:tc>
        <w:tc>
          <w:tcPr>
            <w:tcW w:w="3554" w:type="dxa"/>
            <w:vAlign w:val="center"/>
          </w:tcPr>
          <w:p w14:paraId="33CE921E">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r>
              <w:rPr>
                <w:rFonts w:ascii="仿宋" w:hAnsi="仿宋" w:eastAsia="仿宋" w:cs="仿宋"/>
                <w:color w:val="000000" w:themeColor="text1"/>
                <w:szCs w:val="21"/>
                <w14:textFill>
                  <w14:solidFill>
                    <w14:schemeClr w14:val="tx1"/>
                  </w14:solidFill>
                </w14:textFill>
              </w:rPr>
              <w:t>79</w:t>
            </w:r>
          </w:p>
        </w:tc>
      </w:tr>
      <w:tr w14:paraId="201D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743063DE">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丙烷 %（</w:t>
            </w:r>
            <w:r>
              <w:rPr>
                <w:rFonts w:ascii="仿宋" w:hAnsi="仿宋" w:eastAsia="仿宋" w:cs="仿宋"/>
                <w:color w:val="000000" w:themeColor="text1"/>
                <w:szCs w:val="21"/>
                <w14:textFill>
                  <w14:solidFill>
                    <w14:schemeClr w14:val="tx1"/>
                  </w14:solidFill>
                </w14:textFill>
              </w:rPr>
              <w:t>V/V/</w:t>
            </w:r>
            <w:r>
              <w:rPr>
                <w:rFonts w:hint="eastAsia" w:ascii="仿宋" w:hAnsi="仿宋" w:eastAsia="仿宋" w:cs="仿宋"/>
                <w:color w:val="000000" w:themeColor="text1"/>
                <w:szCs w:val="21"/>
                <w14:textFill>
                  <w14:solidFill>
                    <w14:schemeClr w14:val="tx1"/>
                  </w14:solidFill>
                </w14:textFill>
              </w:rPr>
              <w:t>）</w:t>
            </w:r>
          </w:p>
        </w:tc>
        <w:tc>
          <w:tcPr>
            <w:tcW w:w="3554" w:type="dxa"/>
            <w:vAlign w:val="center"/>
          </w:tcPr>
          <w:p w14:paraId="2BC07212">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r>
              <w:rPr>
                <w:rFonts w:ascii="仿宋" w:hAnsi="仿宋" w:eastAsia="仿宋" w:cs="仿宋"/>
                <w:color w:val="000000" w:themeColor="text1"/>
                <w:szCs w:val="21"/>
                <w14:textFill>
                  <w14:solidFill>
                    <w14:schemeClr w14:val="tx1"/>
                  </w14:solidFill>
                </w14:textFill>
              </w:rPr>
              <w:t>17</w:t>
            </w:r>
          </w:p>
        </w:tc>
      </w:tr>
      <w:tr w14:paraId="20FB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039DAF45">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正丁烷 %（</w:t>
            </w:r>
            <w:r>
              <w:rPr>
                <w:rFonts w:ascii="仿宋" w:hAnsi="仿宋" w:eastAsia="仿宋" w:cs="仿宋"/>
                <w:color w:val="000000" w:themeColor="text1"/>
                <w:szCs w:val="21"/>
                <w14:textFill>
                  <w14:solidFill>
                    <w14:schemeClr w14:val="tx1"/>
                  </w14:solidFill>
                </w14:textFill>
              </w:rPr>
              <w:t>V/V/</w:t>
            </w:r>
            <w:r>
              <w:rPr>
                <w:rFonts w:hint="eastAsia" w:ascii="仿宋" w:hAnsi="仿宋" w:eastAsia="仿宋" w:cs="仿宋"/>
                <w:color w:val="000000" w:themeColor="text1"/>
                <w:szCs w:val="21"/>
                <w14:textFill>
                  <w14:solidFill>
                    <w14:schemeClr w14:val="tx1"/>
                  </w14:solidFill>
                </w14:textFill>
              </w:rPr>
              <w:t>）</w:t>
            </w:r>
          </w:p>
        </w:tc>
        <w:tc>
          <w:tcPr>
            <w:tcW w:w="3554" w:type="dxa"/>
            <w:vAlign w:val="center"/>
          </w:tcPr>
          <w:p w14:paraId="52FD7F0F">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0.0</w:t>
            </w:r>
            <w:r>
              <w:rPr>
                <w:rFonts w:ascii="仿宋" w:hAnsi="仿宋" w:eastAsia="仿宋" w:cs="仿宋"/>
                <w:color w:val="000000" w:themeColor="text1"/>
                <w:szCs w:val="21"/>
                <w14:textFill>
                  <w14:solidFill>
                    <w14:schemeClr w14:val="tx1"/>
                  </w14:solidFill>
                </w14:textFill>
              </w:rPr>
              <w:t>3</w:t>
            </w:r>
          </w:p>
        </w:tc>
      </w:tr>
      <w:tr w14:paraId="5A69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4" w:type="dxa"/>
            <w:vAlign w:val="center"/>
          </w:tcPr>
          <w:p w14:paraId="6FA2A5E1">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异丁烷 %（</w:t>
            </w:r>
            <w:r>
              <w:rPr>
                <w:rFonts w:ascii="仿宋" w:hAnsi="仿宋" w:eastAsia="仿宋" w:cs="仿宋"/>
                <w:color w:val="000000" w:themeColor="text1"/>
                <w:szCs w:val="21"/>
                <w14:textFill>
                  <w14:solidFill>
                    <w14:schemeClr w14:val="tx1"/>
                  </w14:solidFill>
                </w14:textFill>
              </w:rPr>
              <w:t>V/V/</w:t>
            </w:r>
            <w:r>
              <w:rPr>
                <w:rFonts w:hint="eastAsia" w:ascii="仿宋" w:hAnsi="仿宋" w:eastAsia="仿宋" w:cs="仿宋"/>
                <w:color w:val="000000" w:themeColor="text1"/>
                <w:szCs w:val="21"/>
                <w14:textFill>
                  <w14:solidFill>
                    <w14:schemeClr w14:val="tx1"/>
                  </w14:solidFill>
                </w14:textFill>
              </w:rPr>
              <w:t>）</w:t>
            </w:r>
          </w:p>
        </w:tc>
        <w:tc>
          <w:tcPr>
            <w:tcW w:w="3554" w:type="dxa"/>
            <w:vAlign w:val="center"/>
          </w:tcPr>
          <w:p w14:paraId="184B08E8">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0.0</w:t>
            </w:r>
            <w:r>
              <w:rPr>
                <w:rFonts w:ascii="仿宋" w:hAnsi="仿宋" w:eastAsia="仿宋" w:cs="仿宋"/>
                <w:color w:val="000000" w:themeColor="text1"/>
                <w:szCs w:val="21"/>
                <w14:textFill>
                  <w14:solidFill>
                    <w14:schemeClr w14:val="tx1"/>
                  </w14:solidFill>
                </w14:textFill>
              </w:rPr>
              <w:t>3</w:t>
            </w:r>
          </w:p>
        </w:tc>
      </w:tr>
    </w:tbl>
    <w:p w14:paraId="3BA15A6B">
      <w:pPr>
        <w:pStyle w:val="5"/>
        <w:numPr>
          <w:ilvl w:val="0"/>
          <w:numId w:val="4"/>
        </w:numPr>
        <w:ind w:firstLineChars="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试验数据</w:t>
      </w:r>
    </w:p>
    <w:tbl>
      <w:tblPr>
        <w:tblStyle w:val="3"/>
        <w:tblW w:w="0" w:type="auto"/>
        <w:tblInd w:w="1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1777"/>
        <w:gridCol w:w="1777"/>
        <w:gridCol w:w="1777"/>
      </w:tblGrid>
      <w:tr w14:paraId="1217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21E83281">
            <w:pPr>
              <w:jc w:val="center"/>
              <w:rPr>
                <w:rFonts w:ascii="仿宋" w:hAnsi="仿宋" w:eastAsia="仿宋" w:cs="仿宋"/>
                <w:color w:val="000000" w:themeColor="text1"/>
                <w:szCs w:val="21"/>
                <w14:textFill>
                  <w14:solidFill>
                    <w14:schemeClr w14:val="tx1"/>
                  </w14:solidFill>
                </w14:textFill>
              </w:rPr>
            </w:pPr>
            <w:r>
              <w:rPr>
                <w:rFonts w:ascii="仿宋" w:hAnsi="仿宋" w:eastAsia="仿宋" w:cs="仿宋"/>
                <w:color w:val="000000" w:themeColor="text1"/>
                <w:szCs w:val="21"/>
                <w14:textFill>
                  <w14:solidFill>
                    <w14:schemeClr w14:val="tx1"/>
                  </w14:solidFill>
                </w14:textFill>
              </w:rPr>
              <w:t>序号</w:t>
            </w:r>
          </w:p>
        </w:tc>
        <w:tc>
          <w:tcPr>
            <w:tcW w:w="1777" w:type="dxa"/>
            <w:vAlign w:val="center"/>
          </w:tcPr>
          <w:p w14:paraId="67CCC48F">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测试质量</w:t>
            </w:r>
          </w:p>
        </w:tc>
        <w:tc>
          <w:tcPr>
            <w:tcW w:w="1777" w:type="dxa"/>
            <w:vAlign w:val="center"/>
          </w:tcPr>
          <w:p w14:paraId="49BAE04F">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变速器型式</w:t>
            </w:r>
          </w:p>
        </w:tc>
        <w:tc>
          <w:tcPr>
            <w:tcW w:w="1777" w:type="dxa"/>
            <w:vAlign w:val="center"/>
          </w:tcPr>
          <w:p w14:paraId="2FA518C6">
            <w:pPr>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天然气</w:t>
            </w:r>
            <w:r>
              <w:rPr>
                <w:rFonts w:ascii="仿宋" w:hAnsi="仿宋" w:eastAsia="仿宋" w:cs="仿宋"/>
                <w:color w:val="000000" w:themeColor="text1"/>
                <w:szCs w:val="21"/>
                <w14:textFill>
                  <w14:solidFill>
                    <w14:schemeClr w14:val="tx1"/>
                  </w14:solidFill>
                </w14:textFill>
              </w:rPr>
              <w:t>消耗量</w:t>
            </w:r>
          </w:p>
        </w:tc>
      </w:tr>
      <w:tr w14:paraId="6B9E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B588D03">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1777" w:type="dxa"/>
            <w:vAlign w:val="center"/>
          </w:tcPr>
          <w:p w14:paraId="025A10A4">
            <w:pPr>
              <w:widowControl/>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1840.80</w:t>
            </w:r>
          </w:p>
        </w:tc>
        <w:tc>
          <w:tcPr>
            <w:tcW w:w="1777" w:type="dxa"/>
            <w:vAlign w:val="center"/>
          </w:tcPr>
          <w:p w14:paraId="5EDDCDEC">
            <w:pPr>
              <w:widowControl/>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MT</w:t>
            </w:r>
          </w:p>
        </w:tc>
        <w:tc>
          <w:tcPr>
            <w:tcW w:w="1777" w:type="dxa"/>
            <w:vAlign w:val="center"/>
          </w:tcPr>
          <w:p w14:paraId="317A8EBC">
            <w:pPr>
              <w:widowControl/>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8.39</w:t>
            </w:r>
          </w:p>
        </w:tc>
      </w:tr>
      <w:tr w14:paraId="413E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2D44658B">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777" w:type="dxa"/>
            <w:vAlign w:val="center"/>
          </w:tcPr>
          <w:p w14:paraId="64811151">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2326.00</w:t>
            </w:r>
          </w:p>
        </w:tc>
        <w:tc>
          <w:tcPr>
            <w:tcW w:w="1777" w:type="dxa"/>
            <w:vAlign w:val="center"/>
          </w:tcPr>
          <w:p w14:paraId="1FCF57DB">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MT</w:t>
            </w:r>
          </w:p>
        </w:tc>
        <w:tc>
          <w:tcPr>
            <w:tcW w:w="1777" w:type="dxa"/>
            <w:vAlign w:val="center"/>
          </w:tcPr>
          <w:p w14:paraId="565AD36D">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11.09</w:t>
            </w:r>
          </w:p>
        </w:tc>
      </w:tr>
      <w:tr w14:paraId="1F6C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6471810D">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777" w:type="dxa"/>
            <w:vAlign w:val="center"/>
          </w:tcPr>
          <w:p w14:paraId="56C6A131">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2244.00</w:t>
            </w:r>
          </w:p>
        </w:tc>
        <w:tc>
          <w:tcPr>
            <w:tcW w:w="1777" w:type="dxa"/>
            <w:vAlign w:val="center"/>
          </w:tcPr>
          <w:p w14:paraId="2F0601AE">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MT</w:t>
            </w:r>
          </w:p>
        </w:tc>
        <w:tc>
          <w:tcPr>
            <w:tcW w:w="1777" w:type="dxa"/>
            <w:vAlign w:val="center"/>
          </w:tcPr>
          <w:p w14:paraId="5E2EEFC1">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9.95</w:t>
            </w:r>
          </w:p>
        </w:tc>
      </w:tr>
      <w:tr w14:paraId="4640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8AFF9E4">
            <w:pPr>
              <w:jc w:val="center"/>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p>
        </w:tc>
        <w:tc>
          <w:tcPr>
            <w:tcW w:w="1777" w:type="dxa"/>
            <w:vAlign w:val="center"/>
          </w:tcPr>
          <w:p w14:paraId="3E5EE3E3">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2362.00</w:t>
            </w:r>
          </w:p>
        </w:tc>
        <w:tc>
          <w:tcPr>
            <w:tcW w:w="1777" w:type="dxa"/>
            <w:vAlign w:val="center"/>
          </w:tcPr>
          <w:p w14:paraId="7E3598CE">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MT</w:t>
            </w:r>
          </w:p>
        </w:tc>
        <w:tc>
          <w:tcPr>
            <w:tcW w:w="1777" w:type="dxa"/>
            <w:vAlign w:val="center"/>
          </w:tcPr>
          <w:p w14:paraId="3A50514F">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10.38</w:t>
            </w:r>
          </w:p>
        </w:tc>
      </w:tr>
      <w:tr w14:paraId="35A7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1B758409">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1777" w:type="dxa"/>
            <w:vAlign w:val="center"/>
          </w:tcPr>
          <w:p w14:paraId="3B2B46FF">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2268.80</w:t>
            </w:r>
          </w:p>
        </w:tc>
        <w:tc>
          <w:tcPr>
            <w:tcW w:w="1777" w:type="dxa"/>
            <w:vAlign w:val="center"/>
          </w:tcPr>
          <w:p w14:paraId="2B551E29">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MT</w:t>
            </w:r>
          </w:p>
        </w:tc>
        <w:tc>
          <w:tcPr>
            <w:tcW w:w="1777" w:type="dxa"/>
            <w:vAlign w:val="center"/>
          </w:tcPr>
          <w:p w14:paraId="48259432">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10.06</w:t>
            </w:r>
          </w:p>
        </w:tc>
      </w:tr>
    </w:tbl>
    <w:p w14:paraId="734A75B3">
      <w:pPr>
        <w:pStyle w:val="5"/>
        <w:ind w:left="426" w:firstLine="484" w:firstLineChars="202"/>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编制工作组选取了5款 MT变速器商用车作为试验用样车，试验全部完成后，实测气耗数据如上。从验证结果可以看出：所有试验车辆实测气耗值均小于本标准拟定的压缩天然气燃料消耗量限值，全部样车均可满足标准限值要求。其中序号 1、3、4、5 车辆实测气耗结果与对应限值非常接近，余量较小；第 2 号样车气耗水平相较限值存在较为充足的富余空间。</w:t>
      </w:r>
    </w:p>
    <w:p w14:paraId="6A9E8F74">
      <w:pPr>
        <w:pStyle w:val="5"/>
        <w:ind w:left="426" w:firstLine="484" w:firstLineChars="202"/>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整体来看，拟定的限值指标与当前MT变速器天然气商用车实际用气消耗水平相匹配，指标设置科学合理，既能够对天然气商用车形成适度的节能约束引导，又贴合现阶段行业产品技术现状，具备良好的可行性。</w:t>
      </w:r>
    </w:p>
    <w:p w14:paraId="18759E24">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五、与现行法律、法规和政策及相关标准的协调性</w:t>
      </w:r>
    </w:p>
    <w:p w14:paraId="58A637E8">
      <w:pPr>
        <w:ind w:left="424" w:leftChars="202" w:firstLine="480" w:firstLineChars="20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本标准编制过程严格遵守国家汽车行业排放及燃料消耗量相关法规，以现行强制性国家标准</w:t>
      </w:r>
      <w:r>
        <w:rPr>
          <w:rFonts w:ascii="仿宋" w:hAnsi="仿宋" w:eastAsia="仿宋" w:cs="仿宋"/>
          <w:color w:val="000000" w:themeColor="text1"/>
          <w:sz w:val="24"/>
          <w14:textFill>
            <w14:solidFill>
              <w14:schemeClr w14:val="tx1"/>
            </w14:solidFill>
          </w14:textFill>
        </w:rPr>
        <w:t xml:space="preserve"> GB 18352</w:t>
      </w: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GB/T 19233</w:t>
      </w: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GB 20997</w:t>
      </w:r>
      <w:r>
        <w:rPr>
          <w:rFonts w:hint="eastAsia" w:ascii="MS Gothic" w:hAnsi="MS Gothic" w:eastAsia="MS Gothic" w:cs="MS Gothic"/>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 xml:space="preserve">2024 </w:t>
      </w:r>
      <w:r>
        <w:rPr>
          <w:rFonts w:hint="eastAsia" w:ascii="仿宋" w:hAnsi="仿宋" w:eastAsia="仿宋" w:cs="仿宋"/>
          <w:color w:val="000000" w:themeColor="text1"/>
          <w:sz w:val="24"/>
          <w14:textFill>
            <w14:solidFill>
              <w14:schemeClr w14:val="tx1"/>
            </w14:solidFill>
          </w14:textFill>
        </w:rPr>
        <w:t>等文件为重要技术依据，对标准条款开展全面对照核查。经系统研判，本标准所有技术要求、试验规则及限值指标均与现行法律法规、政策及强制性国家标准协调统一，不存</w:t>
      </w:r>
      <w:bookmarkStart w:id="12" w:name="_GoBack"/>
      <w:bookmarkEnd w:id="12"/>
      <w:r>
        <w:rPr>
          <w:rFonts w:hint="eastAsia" w:ascii="仿宋" w:hAnsi="仿宋" w:eastAsia="仿宋" w:cs="仿宋"/>
          <w:color w:val="000000" w:themeColor="text1"/>
          <w:sz w:val="24"/>
          <w14:textFill>
            <w14:solidFill>
              <w14:schemeClr w14:val="tx1"/>
            </w14:solidFill>
          </w14:textFill>
        </w:rPr>
        <w:t>在条款冲突情况。</w:t>
      </w:r>
    </w:p>
    <w:p w14:paraId="5FF7DC8B">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六、贯彻标准的要求和措施建议</w:t>
      </w:r>
    </w:p>
    <w:p w14:paraId="662E43A2">
      <w:pPr>
        <w:ind w:left="424" w:leftChars="202" w:firstLine="480" w:firstLineChars="20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标准为中国汽车工业协会发布的团体标准，供行业相关单位自愿采用。标准正式发布后，牵头单位将联合各参编单位配合协会统筹开展宣贯实施工作，通过组织专题宣贯培训会、线上解读宣讲、行业技术交流会等形式，面向整车企业、检测机构、相关科研单位解读标准条款、技术要点与实施要求；同时建立沟通答疑渠道，持续收集标准实施过程中的反馈意见，跟踪标准落地应用情况，适时开展实施效果评估，保障本标准在天然气商用车行业平稳有序推广实施。</w:t>
      </w:r>
    </w:p>
    <w:p w14:paraId="7D4BEF7C">
      <w:pPr>
        <w:numPr>
          <w:ilvl w:val="0"/>
          <w:numId w:val="5"/>
        </w:num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其他需要说明的事项</w:t>
      </w:r>
    </w:p>
    <w:p w14:paraId="1FAB1254">
      <w:pPr>
        <w:ind w:left="424" w:leftChars="202" w:firstLine="480" w:firstLineChars="200"/>
      </w:pPr>
      <w:r>
        <w:rPr>
          <w:rFonts w:hint="eastAsia" w:ascii="仿宋" w:hAnsi="仿宋" w:eastAsia="仿宋" w:cs="仿宋"/>
          <w:color w:val="000000" w:themeColor="text1"/>
          <w:sz w:val="24"/>
          <w14:textFill>
            <w14:solidFill>
              <w14:schemeClr w14:val="tx1"/>
            </w14:solidFill>
          </w14:textFill>
        </w:rPr>
        <w:t>本标准编制过程未涉及科技成果转化、专利及知识产权处置等特殊事项，无其他需要说明的内容。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9px;height:22px" o:bullet="t">
        <v:imagedata r:id="rId1" o:title=""/>
      </v:shape>
    </w:pict>
  </w:numPicBullet>
  <w:abstractNum w:abstractNumId="0">
    <w:nsid w:val="C760A38F"/>
    <w:multiLevelType w:val="singleLevel"/>
    <w:tmpl w:val="C760A38F"/>
    <w:lvl w:ilvl="0" w:tentative="0">
      <w:start w:val="1"/>
      <w:numFmt w:val="chineseCounting"/>
      <w:suff w:val="nothing"/>
      <w:lvlText w:val="%1、"/>
      <w:lvlJc w:val="left"/>
      <w:rPr>
        <w:rFonts w:hint="eastAsia"/>
      </w:rPr>
    </w:lvl>
  </w:abstractNum>
  <w:abstractNum w:abstractNumId="1">
    <w:nsid w:val="E319F839"/>
    <w:multiLevelType w:val="singleLevel"/>
    <w:tmpl w:val="E319F839"/>
    <w:lvl w:ilvl="0" w:tentative="0">
      <w:start w:val="1"/>
      <w:numFmt w:val="chineseCounting"/>
      <w:suff w:val="nothing"/>
      <w:lvlText w:val="（%1）"/>
      <w:lvlJc w:val="left"/>
      <w:pPr>
        <w:ind w:left="360" w:firstLine="0"/>
      </w:pPr>
      <w:rPr>
        <w:rFonts w:hint="eastAsia"/>
      </w:rPr>
    </w:lvl>
  </w:abstractNum>
  <w:abstractNum w:abstractNumId="2">
    <w:nsid w:val="E3C56D80"/>
    <w:multiLevelType w:val="singleLevel"/>
    <w:tmpl w:val="E3C56D80"/>
    <w:lvl w:ilvl="0" w:tentative="0">
      <w:start w:val="7"/>
      <w:numFmt w:val="chineseCounting"/>
      <w:suff w:val="nothing"/>
      <w:lvlText w:val="%1、"/>
      <w:lvlJc w:val="left"/>
      <w:rPr>
        <w:rFonts w:hint="eastAsia"/>
      </w:rPr>
    </w:lvl>
  </w:abstractNum>
  <w:abstractNum w:abstractNumId="3">
    <w:nsid w:val="03032A53"/>
    <w:multiLevelType w:val="multilevel"/>
    <w:tmpl w:val="03032A53"/>
    <w:lvl w:ilvl="0" w:tentative="0">
      <w:start w:val="1"/>
      <w:numFmt w:val="decimal"/>
      <w:lvlText w:val="%1）"/>
      <w:lvlJc w:val="left"/>
      <w:pPr>
        <w:ind w:left="1414" w:hanging="360"/>
      </w:pPr>
      <w:rPr>
        <w:rFonts w:hint="default"/>
      </w:rPr>
    </w:lvl>
    <w:lvl w:ilvl="1" w:tentative="0">
      <w:start w:val="1"/>
      <w:numFmt w:val="lowerLetter"/>
      <w:lvlText w:val="%2)"/>
      <w:lvlJc w:val="left"/>
      <w:pPr>
        <w:ind w:left="1894" w:hanging="420"/>
      </w:pPr>
    </w:lvl>
    <w:lvl w:ilvl="2" w:tentative="0">
      <w:start w:val="1"/>
      <w:numFmt w:val="lowerRoman"/>
      <w:lvlText w:val="%3."/>
      <w:lvlJc w:val="right"/>
      <w:pPr>
        <w:ind w:left="2314" w:hanging="420"/>
      </w:pPr>
    </w:lvl>
    <w:lvl w:ilvl="3" w:tentative="0">
      <w:start w:val="1"/>
      <w:numFmt w:val="decimal"/>
      <w:lvlText w:val="%4."/>
      <w:lvlJc w:val="left"/>
      <w:pPr>
        <w:ind w:left="2734" w:hanging="420"/>
      </w:pPr>
    </w:lvl>
    <w:lvl w:ilvl="4" w:tentative="0">
      <w:start w:val="1"/>
      <w:numFmt w:val="lowerLetter"/>
      <w:lvlText w:val="%5)"/>
      <w:lvlJc w:val="left"/>
      <w:pPr>
        <w:ind w:left="3154" w:hanging="420"/>
      </w:pPr>
    </w:lvl>
    <w:lvl w:ilvl="5" w:tentative="0">
      <w:start w:val="1"/>
      <w:numFmt w:val="lowerRoman"/>
      <w:lvlText w:val="%6."/>
      <w:lvlJc w:val="right"/>
      <w:pPr>
        <w:ind w:left="3574" w:hanging="420"/>
      </w:pPr>
    </w:lvl>
    <w:lvl w:ilvl="6" w:tentative="0">
      <w:start w:val="1"/>
      <w:numFmt w:val="decimal"/>
      <w:lvlText w:val="%7."/>
      <w:lvlJc w:val="left"/>
      <w:pPr>
        <w:ind w:left="3994" w:hanging="420"/>
      </w:pPr>
    </w:lvl>
    <w:lvl w:ilvl="7" w:tentative="0">
      <w:start w:val="1"/>
      <w:numFmt w:val="lowerLetter"/>
      <w:lvlText w:val="%8)"/>
      <w:lvlJc w:val="left"/>
      <w:pPr>
        <w:ind w:left="4414" w:hanging="420"/>
      </w:pPr>
    </w:lvl>
    <w:lvl w:ilvl="8" w:tentative="0">
      <w:start w:val="1"/>
      <w:numFmt w:val="lowerRoman"/>
      <w:lvlText w:val="%9."/>
      <w:lvlJc w:val="right"/>
      <w:pPr>
        <w:ind w:left="4834" w:hanging="420"/>
      </w:pPr>
    </w:lvl>
  </w:abstractNum>
  <w:abstractNum w:abstractNumId="4">
    <w:nsid w:val="3208185C"/>
    <w:multiLevelType w:val="multilevel"/>
    <w:tmpl w:val="3208185C"/>
    <w:lvl w:ilvl="0" w:tentative="0">
      <w:start w:val="1"/>
      <w:numFmt w:val="bullet"/>
      <w:lvlText w:val=""/>
      <w:lvlPicBulletId w:val="0"/>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C9"/>
    <w:rsid w:val="000E060E"/>
    <w:rsid w:val="001056BE"/>
    <w:rsid w:val="00123F95"/>
    <w:rsid w:val="001279D9"/>
    <w:rsid w:val="00143F5A"/>
    <w:rsid w:val="001B5884"/>
    <w:rsid w:val="00232561"/>
    <w:rsid w:val="002F58E2"/>
    <w:rsid w:val="003C44F6"/>
    <w:rsid w:val="00560B07"/>
    <w:rsid w:val="00600219"/>
    <w:rsid w:val="00607988"/>
    <w:rsid w:val="006415AF"/>
    <w:rsid w:val="006A0C97"/>
    <w:rsid w:val="006D4F2E"/>
    <w:rsid w:val="006E3841"/>
    <w:rsid w:val="007F1EE4"/>
    <w:rsid w:val="007F4A55"/>
    <w:rsid w:val="007F4F57"/>
    <w:rsid w:val="007F600B"/>
    <w:rsid w:val="008436AE"/>
    <w:rsid w:val="00852630"/>
    <w:rsid w:val="00986F00"/>
    <w:rsid w:val="009B49AF"/>
    <w:rsid w:val="009C2A17"/>
    <w:rsid w:val="00AB271A"/>
    <w:rsid w:val="00B754C9"/>
    <w:rsid w:val="00BC0AE6"/>
    <w:rsid w:val="00C64EBF"/>
    <w:rsid w:val="00C859EE"/>
    <w:rsid w:val="00E750CF"/>
    <w:rsid w:val="00F33167"/>
    <w:rsid w:val="00F65F3C"/>
    <w:rsid w:val="00FA4471"/>
    <w:rsid w:val="00FC76BA"/>
    <w:rsid w:val="12782FD3"/>
    <w:rsid w:val="17FE211F"/>
    <w:rsid w:val="4A29294B"/>
    <w:rsid w:val="59B62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image" Target="media/image3.wmf"/><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wmf"/><Relationship Id="rId10" Type="http://schemas.openxmlformats.org/officeDocument/2006/relationships/image" Target="media/image5.wmf"/><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1570</Words>
  <Characters>1915</Characters>
  <Lines>32</Lines>
  <Paragraphs>9</Paragraphs>
  <TotalTime>0</TotalTime>
  <ScaleCrop>false</ScaleCrop>
  <LinksUpToDate>false</LinksUpToDate>
  <CharactersWithSpaces>2011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2022-04-24T14:35:00Z</dcterms:created>
  <dc:creator>ZHQ</dc:creator>
  <cp:lastModifiedBy>龚华</cp:lastModifiedBy>
  <dcterms:modified xsi:type="dcterms:W3CDTF">2026-08-31T08:29:48Z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eyJoZGlkIjoiODMxZjkyZDlmN2VlYTliYmNkOWVhMDA0MmU2MTNmYWQiLCJ1c2VySWQiOiIzNzM3NTgzMTkifQ==</vt:lpwstr>
  </property>
  <property fmtid="{D5CDD505-2E9C-101B-9397-08002B2CF9AE}" pid="4" name="ICV">
    <vt:lpwstr>D8D7928D183349BC97B74DFF3A4ABF21_12</vt:lpwstr>
  </property>
</Properties>
</file>