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0AA0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68A88F6">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C736D2C">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4</w:t>
            </w:r>
            <w:r>
              <w:rPr>
                <w:rFonts w:hint="eastAsia" w:ascii="黑体" w:hAnsi="黑体" w:eastAsia="黑体"/>
                <w:sz w:val="21"/>
                <w:szCs w:val="21"/>
                <w:lang w:val="en-US" w:eastAsia="zh-CN"/>
              </w:rPr>
              <w:t>3.020</w:t>
            </w:r>
            <w:r>
              <w:rPr>
                <w:rFonts w:ascii="黑体" w:hAnsi="黑体" w:eastAsia="黑体"/>
                <w:sz w:val="21"/>
                <w:szCs w:val="21"/>
              </w:rPr>
              <w:fldChar w:fldCharType="end"/>
            </w:r>
            <w:bookmarkEnd w:id="0"/>
          </w:p>
        </w:tc>
      </w:tr>
      <w:tr w14:paraId="1CB1B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E13F161">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1E783B7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5B61AB40">
                  <w:pPr>
                    <w:pStyle w:val="49"/>
                    <w:framePr w:wrap="notBeside" w:vAnchor="page" w:hAnchor="page" w:x="1372" w:y="568"/>
                    <w:ind w:left="420" w:right="624"/>
                    <w:rPr>
                      <w:rFonts w:ascii="宋体" w:hAnsi="宋体"/>
                      <w:sz w:val="28"/>
                      <w:szCs w:val="28"/>
                    </w:rPr>
                  </w:pPr>
                  <w:r>
                    <w:rPr>
                      <w:sz w:val="21"/>
                      <w:szCs w:val="21"/>
                    </w:rPr>
                    <w:t xml:space="preserve"> </w:t>
                  </w:r>
                </w:p>
              </w:tc>
            </w:tr>
          </w:tbl>
          <w:p w14:paraId="18219BC3">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T</w:t>
            </w:r>
            <w:r>
              <w:rPr>
                <w:rFonts w:hint="eastAsia" w:ascii="黑体" w:hAnsi="黑体" w:eastAsia="黑体"/>
                <w:sz w:val="21"/>
                <w:szCs w:val="21"/>
                <w:lang w:val="en-US" w:eastAsia="zh-CN"/>
              </w:rPr>
              <w:t>47</w:t>
            </w:r>
            <w:r>
              <w:rPr>
                <w:rFonts w:ascii="黑体" w:hAnsi="黑体" w:eastAsia="黑体"/>
                <w:sz w:val="21"/>
                <w:szCs w:val="21"/>
              </w:rPr>
              <w:fldChar w:fldCharType="end"/>
            </w:r>
            <w:bookmarkEnd w:id="1"/>
          </w:p>
        </w:tc>
      </w:tr>
    </w:tbl>
    <w:p w14:paraId="2B088AEA">
      <w:pPr>
        <w:pStyle w:val="50"/>
        <w:framePr w:w="9639" w:h="624" w:hRule="exact" w:hSpace="181" w:vSpace="181" w:wrap="around" w:hAnchor="page" w:x="1305" w:y="2269"/>
        <w:rPr>
          <w:rFonts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39AD6093">
      <w:pPr>
        <w:pStyle w:val="195"/>
      </w:pPr>
      <w:r>
        <w:t>T/</w:t>
      </w:r>
      <w:r>
        <w:fldChar w:fldCharType="begin">
          <w:ffData>
            <w:name w:val="文字1"/>
            <w:enabled/>
            <w:calcOnExit w:val="0"/>
            <w:textInput>
              <w:default w:val="XXX"/>
            </w:textInput>
          </w:ffData>
        </w:fldChar>
      </w:r>
      <w:bookmarkStart w:id="3" w:name="文字1"/>
      <w:r>
        <w:instrText xml:space="preserve"> FORMTEXT </w:instrText>
      </w:r>
      <w:r>
        <w:fldChar w:fldCharType="separate"/>
      </w:r>
      <w:r>
        <w:rPr>
          <w:rFonts w:hint="eastAsia"/>
          <w:lang w:eastAsia="zh-CN"/>
        </w:rPr>
        <w:t>C</w:t>
      </w:r>
      <w:r>
        <w:rPr>
          <w:rFonts w:hint="eastAsia"/>
          <w:lang w:val="en-US" w:eastAsia="zh-CN"/>
        </w:rPr>
        <w:t>AAMTB</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5BF11D44">
      <w:pPr>
        <w:pStyle w:val="196"/>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1C3023B1">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0A564FD">
      <w:pPr>
        <w:pStyle w:val="50"/>
        <w:framePr w:w="9639" w:h="6976" w:hRule="exact" w:hSpace="0" w:vSpace="0" w:wrap="around" w:hAnchor="page" w:y="6408"/>
        <w:jc w:val="center"/>
        <w:rPr>
          <w:rFonts w:ascii="黑体" w:hAnsi="黑体" w:eastAsia="黑体"/>
          <w:b w:val="0"/>
          <w:bCs w:val="0"/>
          <w:w w:val="100"/>
        </w:rPr>
      </w:pPr>
    </w:p>
    <w:p w14:paraId="63BD41E1">
      <w:pPr>
        <w:pStyle w:val="197"/>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Pr>
          <w:rFonts w:hint="eastAsia"/>
        </w:rPr>
        <w:t>低碳燃料插电式混合动力轻型汽车燃料消耗量试验方法</w:t>
      </w:r>
      <w:r>
        <w:fldChar w:fldCharType="end"/>
      </w:r>
      <w:bookmarkEnd w:id="7"/>
    </w:p>
    <w:p w14:paraId="4186D975">
      <w:pPr>
        <w:framePr w:w="9639" w:h="6974" w:hRule="exact" w:wrap="around" w:vAnchor="page" w:hAnchor="page" w:x="1419" w:y="6408" w:anchorLock="1"/>
        <w:ind w:left="-1418"/>
      </w:pPr>
    </w:p>
    <w:p w14:paraId="057FD963">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hint="eastAsia" w:eastAsia="黑体"/>
          <w:szCs w:val="28"/>
        </w:rPr>
        <w:t>Test Method for Fuel Consumption of Plug-in Hybrid Light-duty Vehicles Using Low-carbon Fuels</w:t>
      </w:r>
      <w:r>
        <w:rPr>
          <w:rFonts w:eastAsia="黑体"/>
          <w:szCs w:val="28"/>
        </w:rPr>
        <w:fldChar w:fldCharType="end"/>
      </w:r>
      <w:bookmarkEnd w:id="8"/>
    </w:p>
    <w:p w14:paraId="1E96A860">
      <w:pPr>
        <w:framePr w:w="9639" w:h="6974" w:hRule="exact" w:wrap="around" w:vAnchor="page" w:hAnchor="page" w:x="1419" w:y="6408" w:anchorLock="1"/>
        <w:spacing w:line="760" w:lineRule="exact"/>
        <w:ind w:left="-1418"/>
      </w:pPr>
    </w:p>
    <w:p w14:paraId="0FFC2C7C">
      <w:pPr>
        <w:pStyle w:val="125"/>
        <w:framePr w:w="9639" w:h="6974" w:hRule="exact" w:wrap="around" w:vAnchor="page" w:hAnchor="page" w:x="1419" w:y="6408" w:anchorLock="1"/>
        <w:textAlignment w:val="bottom"/>
        <w:rPr>
          <w:rFonts w:eastAsia="黑体"/>
          <w:szCs w:val="28"/>
        </w:rPr>
      </w:pPr>
    </w:p>
    <w:p w14:paraId="32C4CFC8">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14:paraId="5C475F2D">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fldChar w:fldCharType="separate"/>
      </w:r>
      <w:r>
        <w:rPr>
          <w:rFonts w:hint="eastAsia"/>
          <w:sz w:val="21"/>
          <w:szCs w:val="28"/>
        </w:rPr>
        <w:t>（完成时间：2026-08-</w:t>
      </w:r>
      <w:r>
        <w:rPr>
          <w:rFonts w:hint="eastAsia"/>
          <w:sz w:val="21"/>
          <w:szCs w:val="28"/>
          <w:lang w:val="en-US" w:eastAsia="zh-CN"/>
        </w:rPr>
        <w:t>30</w:t>
      </w:r>
      <w:r>
        <w:rPr>
          <w:rFonts w:hint="eastAsia"/>
          <w:sz w:val="21"/>
          <w:szCs w:val="28"/>
        </w:rPr>
        <w:t>）</w:t>
      </w:r>
      <w:r>
        <w:rPr>
          <w:sz w:val="21"/>
          <w:szCs w:val="28"/>
        </w:rPr>
        <w:fldChar w:fldCharType="end"/>
      </w:r>
      <w:bookmarkEnd w:id="10"/>
    </w:p>
    <w:p w14:paraId="77136B1F">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7B2DC710">
      <w:pPr>
        <w:pStyle w:val="193"/>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14:paraId="0DA23D67">
      <w:pPr>
        <w:pStyle w:val="194"/>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14:paraId="252DBB05">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18"/>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010463AC">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E784142">
      <w:pPr>
        <w:pStyle w:val="91"/>
        <w:spacing w:after="360"/>
      </w:pPr>
      <w:bookmarkStart w:id="19" w:name="BookMark1"/>
      <w:r>
        <w:rPr>
          <w:rFonts w:hint="eastAsia"/>
          <w:spacing w:val="320"/>
        </w:rPr>
        <w:t>目</w:t>
      </w:r>
      <w:r>
        <w:rPr>
          <w:rFonts w:hint="eastAsia"/>
        </w:rPr>
        <w:t>次</w:t>
      </w:r>
    </w:p>
    <w:p w14:paraId="7799171B">
      <w:pPr>
        <w:pStyle w:val="19"/>
        <w:tabs>
          <w:tab w:val="right" w:leader="dot" w:pos="9354"/>
        </w:tabs>
      </w:pPr>
      <w:r>
        <w:fldChar w:fldCharType="begin"/>
      </w:r>
      <w:r>
        <w:instrText xml:space="preserve"> </w:instrText>
      </w:r>
      <w:r>
        <w:rPr>
          <w:rFonts w:hint="eastAsia"/>
        </w:rPr>
        <w:instrText xml:space="preserve">TOC \o "1-1" \h \t "标准文件_一级条标题,2,标准文件_附录一级条标题,2,"</w:instrText>
      </w:r>
      <w:r>
        <w:instrText xml:space="preserve"> </w:instrText>
      </w:r>
      <w:r>
        <w:fldChar w:fldCharType="separate"/>
      </w:r>
      <w:r>
        <w:fldChar w:fldCharType="begin"/>
      </w:r>
      <w:r>
        <w:instrText xml:space="preserve"> HYPERLINK \l _Toc23702 </w:instrText>
      </w:r>
      <w:r>
        <w:fldChar w:fldCharType="separate"/>
      </w:r>
      <w:r>
        <w:rPr>
          <w:rFonts w:hint="eastAsia"/>
          <w:spacing w:val="320"/>
        </w:rPr>
        <w:t>前</w:t>
      </w:r>
      <w:r>
        <w:rPr>
          <w:rFonts w:hint="eastAsia"/>
        </w:rPr>
        <w:t>言</w:t>
      </w:r>
      <w:r>
        <w:tab/>
      </w:r>
      <w:r>
        <w:fldChar w:fldCharType="begin"/>
      </w:r>
      <w:r>
        <w:instrText xml:space="preserve"> PAGEREF _Toc23702 \h </w:instrText>
      </w:r>
      <w:r>
        <w:fldChar w:fldCharType="separate"/>
      </w:r>
      <w:r>
        <w:t>II</w:t>
      </w:r>
      <w:r>
        <w:fldChar w:fldCharType="end"/>
      </w:r>
      <w:r>
        <w:fldChar w:fldCharType="end"/>
      </w:r>
    </w:p>
    <w:p w14:paraId="3102356E">
      <w:pPr>
        <w:pStyle w:val="19"/>
        <w:tabs>
          <w:tab w:val="right" w:leader="dot" w:pos="9354"/>
        </w:tabs>
      </w:pPr>
      <w:r>
        <w:fldChar w:fldCharType="begin"/>
      </w:r>
      <w:r>
        <w:instrText xml:space="preserve"> HYPERLINK \l _Toc12612 </w:instrText>
      </w:r>
      <w:r>
        <w:fldChar w:fldCharType="separate"/>
      </w:r>
      <w:r>
        <w:rPr>
          <w:rFonts w:hint="eastAsia" w:ascii="黑体" w:eastAsia="黑体"/>
          <w:i w:val="0"/>
        </w:rPr>
        <w:t xml:space="preserve">1 </w:t>
      </w:r>
      <w:r>
        <w:rPr>
          <w:rFonts w:hint="eastAsia"/>
        </w:rPr>
        <w:t>适用范围</w:t>
      </w:r>
      <w:r>
        <w:tab/>
      </w:r>
      <w:r>
        <w:fldChar w:fldCharType="begin"/>
      </w:r>
      <w:r>
        <w:instrText xml:space="preserve"> PAGEREF _Toc12612 \h </w:instrText>
      </w:r>
      <w:r>
        <w:fldChar w:fldCharType="separate"/>
      </w:r>
      <w:r>
        <w:t>3</w:t>
      </w:r>
      <w:r>
        <w:fldChar w:fldCharType="end"/>
      </w:r>
      <w:r>
        <w:fldChar w:fldCharType="end"/>
      </w:r>
    </w:p>
    <w:p w14:paraId="48631F3B">
      <w:pPr>
        <w:pStyle w:val="19"/>
        <w:tabs>
          <w:tab w:val="right" w:leader="dot" w:pos="9354"/>
        </w:tabs>
      </w:pPr>
      <w:r>
        <w:fldChar w:fldCharType="begin"/>
      </w:r>
      <w:r>
        <w:instrText xml:space="preserve"> HYPERLINK \l _Toc31959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_Toc31959 \h </w:instrText>
      </w:r>
      <w:r>
        <w:fldChar w:fldCharType="separate"/>
      </w:r>
      <w:r>
        <w:t>3</w:t>
      </w:r>
      <w:r>
        <w:fldChar w:fldCharType="end"/>
      </w:r>
      <w:r>
        <w:fldChar w:fldCharType="end"/>
      </w:r>
    </w:p>
    <w:p w14:paraId="6A2250BF">
      <w:pPr>
        <w:pStyle w:val="19"/>
        <w:tabs>
          <w:tab w:val="right" w:leader="dot" w:pos="9354"/>
        </w:tabs>
      </w:pPr>
      <w:r>
        <w:fldChar w:fldCharType="begin"/>
      </w:r>
      <w:r>
        <w:instrText xml:space="preserve"> HYPERLINK \l _Toc19640 </w:instrText>
      </w:r>
      <w:r>
        <w:fldChar w:fldCharType="separate"/>
      </w:r>
      <w:r>
        <w:rPr>
          <w:rFonts w:hint="eastAsia" w:ascii="黑体" w:eastAsia="黑体"/>
          <w:i w:val="0"/>
        </w:rPr>
        <w:t xml:space="preserve">3 </w:t>
      </w:r>
      <w:r>
        <w:rPr>
          <w:rFonts w:hint="eastAsia"/>
          <w:szCs w:val="21"/>
        </w:rPr>
        <w:t>术语和定义</w:t>
      </w:r>
      <w:r>
        <w:tab/>
      </w:r>
      <w:r>
        <w:fldChar w:fldCharType="begin"/>
      </w:r>
      <w:r>
        <w:instrText xml:space="preserve"> PAGEREF _Toc19640 \h </w:instrText>
      </w:r>
      <w:r>
        <w:fldChar w:fldCharType="separate"/>
      </w:r>
      <w:r>
        <w:t>3</w:t>
      </w:r>
      <w:r>
        <w:fldChar w:fldCharType="end"/>
      </w:r>
      <w:r>
        <w:fldChar w:fldCharType="end"/>
      </w:r>
    </w:p>
    <w:p w14:paraId="130D0990">
      <w:pPr>
        <w:pStyle w:val="19"/>
        <w:tabs>
          <w:tab w:val="right" w:leader="dot" w:pos="9354"/>
        </w:tabs>
      </w:pPr>
      <w:r>
        <w:fldChar w:fldCharType="begin"/>
      </w:r>
      <w:r>
        <w:instrText xml:space="preserve"> HYPERLINK \l _Toc22267 </w:instrText>
      </w:r>
      <w:r>
        <w:fldChar w:fldCharType="separate"/>
      </w:r>
      <w:r>
        <w:rPr>
          <w:rFonts w:hint="eastAsia" w:ascii="黑体" w:eastAsia="黑体"/>
          <w:i w:val="0"/>
        </w:rPr>
        <w:t xml:space="preserve">4 </w:t>
      </w:r>
      <w:r>
        <w:rPr>
          <w:rFonts w:hint="eastAsia"/>
        </w:rPr>
        <w:t>试验条件</w:t>
      </w:r>
      <w:r>
        <w:tab/>
      </w:r>
      <w:r>
        <w:fldChar w:fldCharType="begin"/>
      </w:r>
      <w:r>
        <w:instrText xml:space="preserve"> PAGEREF _Toc22267 \h </w:instrText>
      </w:r>
      <w:r>
        <w:fldChar w:fldCharType="separate"/>
      </w:r>
      <w:r>
        <w:t>3</w:t>
      </w:r>
      <w:r>
        <w:fldChar w:fldCharType="end"/>
      </w:r>
      <w:r>
        <w:fldChar w:fldCharType="end"/>
      </w:r>
    </w:p>
    <w:p w14:paraId="206E70D8">
      <w:pPr>
        <w:pStyle w:val="19"/>
        <w:tabs>
          <w:tab w:val="right" w:leader="dot" w:pos="9354"/>
        </w:tabs>
      </w:pPr>
      <w:r>
        <w:fldChar w:fldCharType="begin"/>
      </w:r>
      <w:r>
        <w:instrText xml:space="preserve"> HYPERLINK \l _Toc18054 </w:instrText>
      </w:r>
      <w:r>
        <w:fldChar w:fldCharType="separate"/>
      </w:r>
      <w:r>
        <w:rPr>
          <w:rFonts w:hint="eastAsia" w:ascii="黑体" w:eastAsia="黑体"/>
          <w:i w:val="0"/>
        </w:rPr>
        <w:t xml:space="preserve">5 </w:t>
      </w:r>
      <w:r>
        <w:rPr>
          <w:rFonts w:hint="eastAsia"/>
        </w:rPr>
        <w:t>试验循环</w:t>
      </w:r>
      <w:r>
        <w:tab/>
      </w:r>
      <w:r>
        <w:fldChar w:fldCharType="begin"/>
      </w:r>
      <w:r>
        <w:instrText xml:space="preserve"> PAGEREF _Toc18054 \h </w:instrText>
      </w:r>
      <w:r>
        <w:fldChar w:fldCharType="separate"/>
      </w:r>
      <w:r>
        <w:t>4</w:t>
      </w:r>
      <w:r>
        <w:fldChar w:fldCharType="end"/>
      </w:r>
      <w:r>
        <w:fldChar w:fldCharType="end"/>
      </w:r>
    </w:p>
    <w:p w14:paraId="7B4B00C4">
      <w:pPr>
        <w:pStyle w:val="19"/>
        <w:tabs>
          <w:tab w:val="right" w:leader="dot" w:pos="9354"/>
        </w:tabs>
      </w:pPr>
      <w:r>
        <w:fldChar w:fldCharType="begin"/>
      </w:r>
      <w:r>
        <w:instrText xml:space="preserve"> HYPERLINK \l _Toc26425 </w:instrText>
      </w:r>
      <w:r>
        <w:fldChar w:fldCharType="separate"/>
      </w:r>
      <w:r>
        <w:rPr>
          <w:rFonts w:hint="eastAsia" w:ascii="黑体" w:eastAsia="黑体"/>
          <w:i w:val="0"/>
        </w:rPr>
        <w:t xml:space="preserve">6 </w:t>
      </w:r>
      <w:r>
        <w:rPr>
          <w:rFonts w:hint="eastAsia"/>
        </w:rPr>
        <w:t>试验程序</w:t>
      </w:r>
      <w:r>
        <w:tab/>
      </w:r>
      <w:r>
        <w:fldChar w:fldCharType="begin"/>
      </w:r>
      <w:r>
        <w:instrText xml:space="preserve"> PAGEREF _Toc26425 \h </w:instrText>
      </w:r>
      <w:r>
        <w:fldChar w:fldCharType="separate"/>
      </w:r>
      <w:r>
        <w:t>4</w:t>
      </w:r>
      <w:r>
        <w:fldChar w:fldCharType="end"/>
      </w:r>
      <w:r>
        <w:fldChar w:fldCharType="end"/>
      </w:r>
    </w:p>
    <w:p w14:paraId="6F8BFE3B">
      <w:pPr>
        <w:pStyle w:val="19"/>
        <w:tabs>
          <w:tab w:val="right" w:leader="dot" w:pos="9354"/>
        </w:tabs>
      </w:pPr>
      <w:r>
        <w:fldChar w:fldCharType="begin"/>
      </w:r>
      <w:r>
        <w:instrText xml:space="preserve"> HYPERLINK \l _Toc6698 </w:instrText>
      </w:r>
      <w:r>
        <w:fldChar w:fldCharType="separate"/>
      </w:r>
      <w:r>
        <w:rPr>
          <w:rFonts w:hint="eastAsia" w:ascii="黑体" w:eastAsia="黑体"/>
          <w:i w:val="0"/>
        </w:rPr>
        <w:t xml:space="preserve">7 </w:t>
      </w:r>
      <w:r>
        <w:rPr>
          <w:rFonts w:hint="eastAsia"/>
        </w:rPr>
        <w:t>结果输出</w:t>
      </w:r>
      <w:r>
        <w:tab/>
      </w:r>
      <w:r>
        <w:fldChar w:fldCharType="begin"/>
      </w:r>
      <w:r>
        <w:instrText xml:space="preserve"> PAGEREF _Toc6698 \h </w:instrText>
      </w:r>
      <w:r>
        <w:fldChar w:fldCharType="separate"/>
      </w:r>
      <w:r>
        <w:t>4</w:t>
      </w:r>
      <w:r>
        <w:fldChar w:fldCharType="end"/>
      </w:r>
      <w:r>
        <w:fldChar w:fldCharType="end"/>
      </w:r>
    </w:p>
    <w:p w14:paraId="2C2BD330">
      <w:pPr>
        <w:pStyle w:val="19"/>
        <w:tabs>
          <w:tab w:val="right" w:leader="dot" w:pos="9354"/>
        </w:tabs>
      </w:pPr>
      <w:r>
        <w:fldChar w:fldCharType="begin"/>
      </w:r>
      <w:r>
        <w:instrText xml:space="preserve"> HYPERLINK \l _Toc30214 </w:instrText>
      </w:r>
      <w:r>
        <w:fldChar w:fldCharType="separate"/>
      </w:r>
      <w:r>
        <w:rPr>
          <w:rFonts w:hint="eastAsia"/>
          <w:lang w:val="en-US" w:eastAsia="zh-CN"/>
        </w:rPr>
        <w:t>附录A</w:t>
      </w:r>
      <w:r>
        <w:rPr>
          <w:rFonts w:hint="default"/>
          <w:lang w:val="en-US" w:eastAsia="zh-CN"/>
        </w:rPr>
        <w:t xml:space="preserve"> </w:t>
      </w:r>
      <w:r>
        <w:rPr>
          <w:rFonts w:hint="eastAsia"/>
          <w:lang w:val="en-US" w:eastAsia="zh-CN"/>
        </w:rPr>
        <w:t>（资料性） 加注甲醇的要求</w:t>
      </w:r>
      <w:r>
        <w:tab/>
      </w:r>
      <w:r>
        <w:fldChar w:fldCharType="begin"/>
      </w:r>
      <w:r>
        <w:instrText xml:space="preserve"> PAGEREF _Toc30214 \h </w:instrText>
      </w:r>
      <w:r>
        <w:fldChar w:fldCharType="separate"/>
      </w:r>
      <w:r>
        <w:t>6</w:t>
      </w:r>
      <w:r>
        <w:fldChar w:fldCharType="end"/>
      </w:r>
      <w:r>
        <w:fldChar w:fldCharType="end"/>
      </w:r>
    </w:p>
    <w:p w14:paraId="000C174B">
      <w:pPr>
        <w:pStyle w:val="19"/>
        <w:tabs>
          <w:tab w:val="right" w:leader="dot" w:pos="9354"/>
        </w:tabs>
      </w:pPr>
      <w:r>
        <w:fldChar w:fldCharType="begin"/>
      </w:r>
      <w:r>
        <w:instrText xml:space="preserve"> HYPERLINK \l _Toc21653 </w:instrText>
      </w:r>
      <w:r>
        <w:fldChar w:fldCharType="separate"/>
      </w:r>
      <w:r>
        <w:rPr>
          <w:rFonts w:hint="eastAsia"/>
          <w:lang w:val="en-US" w:eastAsia="zh-CN"/>
        </w:rPr>
        <w:t>附录B</w:t>
      </w:r>
      <w:r>
        <w:rPr>
          <w:rFonts w:hint="default"/>
          <w:lang w:val="en-US" w:eastAsia="zh-CN"/>
        </w:rPr>
        <w:t xml:space="preserve"> </w:t>
      </w:r>
      <w:r>
        <w:rPr>
          <w:rFonts w:hint="eastAsia"/>
          <w:lang w:val="en-US" w:eastAsia="zh-CN"/>
        </w:rPr>
        <w:t>（规范性） 驾驶模式的选择</w:t>
      </w:r>
      <w:r>
        <w:tab/>
      </w:r>
      <w:r>
        <w:fldChar w:fldCharType="begin"/>
      </w:r>
      <w:r>
        <w:instrText xml:space="preserve"> PAGEREF _Toc21653 \h </w:instrText>
      </w:r>
      <w:r>
        <w:fldChar w:fldCharType="separate"/>
      </w:r>
      <w:r>
        <w:t>7</w:t>
      </w:r>
      <w:r>
        <w:fldChar w:fldCharType="end"/>
      </w:r>
      <w:r>
        <w:fldChar w:fldCharType="end"/>
      </w:r>
    </w:p>
    <w:p w14:paraId="252F50C4">
      <w:pPr>
        <w:pStyle w:val="24"/>
        <w:tabs>
          <w:tab w:val="right" w:leader="dot" w:pos="9354"/>
          <w:tab w:val="clear" w:pos="9344"/>
        </w:tabs>
      </w:pPr>
    </w:p>
    <w:p w14:paraId="77E974B1">
      <w:pPr>
        <w:pStyle w:val="91"/>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9"/>
    <w:p w14:paraId="259682F0">
      <w:pPr>
        <w:pStyle w:val="89"/>
        <w:spacing w:before="900" w:after="360"/>
      </w:pPr>
      <w:bookmarkStart w:id="20" w:name="_Toc23702"/>
      <w:bookmarkStart w:id="21" w:name="BookMark2"/>
      <w:r>
        <w:rPr>
          <w:rFonts w:hint="eastAsia"/>
          <w:spacing w:val="320"/>
        </w:rPr>
        <w:t>前</w:t>
      </w:r>
      <w:r>
        <w:rPr>
          <w:rFonts w:hint="eastAsia"/>
        </w:rPr>
        <w:t>言</w:t>
      </w:r>
      <w:bookmarkEnd w:id="20"/>
    </w:p>
    <w:p w14:paraId="56F3C379">
      <w:pPr>
        <w:pStyle w:val="56"/>
        <w:ind w:firstLine="420"/>
      </w:pPr>
      <w:r>
        <w:rPr>
          <w:rFonts w:hint="eastAsia"/>
        </w:rPr>
        <w:t>本文件按照GB/T 1.1—2020《标准化工作导则  第1部分：标准化文件的结构和起草规则》的规定起草。</w:t>
      </w:r>
    </w:p>
    <w:p w14:paraId="387CFAC2">
      <w:pPr>
        <w:pStyle w:val="56"/>
        <w:bidi w:val="0"/>
      </w:pPr>
      <w:r>
        <w:rPr>
          <w:rFonts w:hint="eastAsia"/>
        </w:rPr>
        <w:t>请注意本文件的某些内容可能涉及专利。本文件的发布机构不承担识别专利的责任。</w:t>
      </w:r>
    </w:p>
    <w:p w14:paraId="403C9F1B">
      <w:pPr>
        <w:pStyle w:val="56"/>
        <w:bidi w:val="0"/>
      </w:pPr>
      <w:r>
        <w:rPr>
          <w:rFonts w:hint="eastAsia"/>
        </w:rPr>
        <w:t>本文件由中国汽车工业协会标准法规工作委员会低碳燃料汽车专业委员会提出。</w:t>
      </w:r>
    </w:p>
    <w:p w14:paraId="3F959E39">
      <w:pPr>
        <w:pStyle w:val="56"/>
        <w:bidi w:val="0"/>
      </w:pPr>
      <w:r>
        <w:rPr>
          <w:rFonts w:hint="eastAsia"/>
        </w:rPr>
        <w:t>本文件由中国汽车工业协会归口。</w:t>
      </w:r>
    </w:p>
    <w:p w14:paraId="3FCB9429">
      <w:pPr>
        <w:pStyle w:val="56"/>
        <w:bidi w:val="0"/>
      </w:pPr>
      <w:r>
        <w:rPr>
          <w:rFonts w:hint="eastAsia"/>
        </w:rPr>
        <w:t>本文件起草单位：中国汽车工程研究院股份有限公司、吉利汽车研究院（宁波）有限公司、重庆长安汽车股份有限公司、极光湾（宁波）智能科技有限公司。</w:t>
      </w:r>
    </w:p>
    <w:p w14:paraId="56B9586E">
      <w:pPr>
        <w:pStyle w:val="56"/>
        <w:bidi w:val="0"/>
        <w:rPr>
          <w:rFonts w:hint="default"/>
          <w:lang w:val="en-US" w:eastAsia="zh-CN"/>
        </w:rPr>
      </w:pPr>
      <w:r>
        <w:rPr>
          <w:rFonts w:hint="eastAsia"/>
        </w:rPr>
        <w:t>本文件主要起草人：陈星锨、马毅、蒋平、胡显力、胡君、徐划龙、田李臣、陈晓军、谢思幽、刘明、赵福成、陈圣、向庄、王成瑞、陈建尾、陈浩、龚华、冯璐</w:t>
      </w:r>
    </w:p>
    <w:p w14:paraId="4955EA02">
      <w:pPr>
        <w:pStyle w:val="56"/>
        <w:ind w:firstLine="420"/>
      </w:pPr>
    </w:p>
    <w:p w14:paraId="466D4E14">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1"/>
    <w:p w14:paraId="4906400B">
      <w:pPr>
        <w:spacing w:line="20" w:lineRule="exact"/>
        <w:jc w:val="center"/>
        <w:rPr>
          <w:rFonts w:ascii="黑体" w:hAnsi="黑体" w:eastAsia="黑体"/>
          <w:sz w:val="32"/>
          <w:szCs w:val="32"/>
        </w:rPr>
      </w:pPr>
      <w:bookmarkStart w:id="22" w:name="BookMark4"/>
    </w:p>
    <w:p w14:paraId="3EE64798">
      <w:pPr>
        <w:spacing w:line="20" w:lineRule="exact"/>
        <w:jc w:val="center"/>
        <w:rPr>
          <w:rFonts w:ascii="黑体" w:hAnsi="黑体" w:eastAsia="黑体"/>
          <w:sz w:val="32"/>
          <w:szCs w:val="32"/>
        </w:rPr>
      </w:pPr>
    </w:p>
    <w:sdt>
      <w:sdtPr>
        <w:tag w:val="NEW_STAND_NAME"/>
        <w:id w:val="595910757"/>
        <w:lock w:val="sdtLocked"/>
        <w:placeholder>
          <w:docPart w:val="CCA950F1575C4720B889F3B5D1994359"/>
        </w:placeholder>
      </w:sdtPr>
      <w:sdtContent>
        <w:p w14:paraId="2B2EB33D">
          <w:pPr>
            <w:pStyle w:val="177"/>
            <w:bidi w:val="0"/>
            <w:spacing w:before="313" w:beforeLines="100" w:after="687" w:afterLines="220"/>
          </w:pPr>
          <w:bookmarkStart w:id="23" w:name="NEW_STAND_NAME"/>
          <w:r>
            <w:rPr>
              <w:rFonts w:hint="eastAsia"/>
              <w:lang w:eastAsia="zh-CN"/>
            </w:rPr>
            <w:t>低碳燃料插电式混合动力轻型汽车燃料消耗量试验方法</w:t>
          </w:r>
        </w:p>
      </w:sdtContent>
    </w:sdt>
    <w:bookmarkEnd w:id="23"/>
    <w:p w14:paraId="77115141">
      <w:pPr>
        <w:pStyle w:val="104"/>
        <w:bidi w:val="0"/>
      </w:pPr>
      <w:bookmarkStart w:id="24" w:name="_Toc24884211"/>
      <w:bookmarkStart w:id="25" w:name="_Toc26718930"/>
      <w:bookmarkStart w:id="26" w:name="_Toc26986771"/>
      <w:bookmarkStart w:id="27" w:name="_Toc26648465"/>
      <w:bookmarkStart w:id="28" w:name="_Toc17233325"/>
      <w:bookmarkStart w:id="29" w:name="_Toc17233333"/>
      <w:bookmarkStart w:id="30" w:name="_Toc12612"/>
      <w:bookmarkStart w:id="31" w:name="_Toc26986530"/>
      <w:bookmarkStart w:id="32" w:name="_Toc97192964"/>
      <w:bookmarkStart w:id="33" w:name="_Toc24884218"/>
      <w:r>
        <w:rPr>
          <w:rFonts w:hint="eastAsia"/>
        </w:rPr>
        <w:t>适用范围</w:t>
      </w:r>
      <w:bookmarkEnd w:id="24"/>
      <w:bookmarkEnd w:id="25"/>
      <w:bookmarkEnd w:id="26"/>
      <w:bookmarkEnd w:id="27"/>
      <w:bookmarkEnd w:id="28"/>
      <w:bookmarkEnd w:id="29"/>
      <w:bookmarkEnd w:id="30"/>
      <w:bookmarkEnd w:id="31"/>
      <w:bookmarkEnd w:id="32"/>
      <w:bookmarkEnd w:id="33"/>
    </w:p>
    <w:p w14:paraId="625EFC53">
      <w:pPr>
        <w:pStyle w:val="56"/>
        <w:ind w:firstLine="420"/>
      </w:pPr>
      <w:bookmarkStart w:id="34" w:name="_Toc17233334"/>
      <w:bookmarkStart w:id="35" w:name="_Toc17233326"/>
      <w:bookmarkStart w:id="36" w:name="_Toc24884219"/>
      <w:bookmarkStart w:id="37" w:name="_Toc24884212"/>
      <w:bookmarkStart w:id="38" w:name="_Toc26648466"/>
      <w:r>
        <w:rPr>
          <w:rFonts w:hint="eastAsia"/>
        </w:rPr>
        <w:t>本文件规定了天然气及非特定比例甲醇插电式混合动力轻型汽车燃料消耗量试验方法。</w:t>
      </w:r>
    </w:p>
    <w:p w14:paraId="67376450">
      <w:pPr>
        <w:pStyle w:val="56"/>
        <w:ind w:firstLine="420"/>
      </w:pPr>
      <w:r>
        <w:rPr>
          <w:rFonts w:hint="eastAsia"/>
        </w:rPr>
        <w:t>本文件适用于最大设计总质量不超过3500kg的M1、M2类车辆和N1类的以天然气及非特定比例甲醇</w:t>
      </w:r>
      <w:r>
        <w:t>燃料的</w:t>
      </w:r>
      <w:r>
        <w:rPr>
          <w:rFonts w:hint="eastAsia"/>
        </w:rPr>
        <w:t>插电式混合动力轻型汽车，最大设计总质量超过3500kg的</w:t>
      </w:r>
      <w:bookmarkStart w:id="69" w:name="_GoBack"/>
      <w:bookmarkEnd w:id="69"/>
      <w:r>
        <w:rPr>
          <w:rFonts w:hint="eastAsia"/>
        </w:rPr>
        <w:t>M1类车辆可参照执行。</w:t>
      </w:r>
    </w:p>
    <w:p w14:paraId="07A035BB">
      <w:pPr>
        <w:pStyle w:val="104"/>
        <w:bidi w:val="0"/>
      </w:pPr>
      <w:bookmarkStart w:id="39" w:name="_Toc26718931"/>
      <w:bookmarkStart w:id="40" w:name="_Toc26986531"/>
      <w:bookmarkStart w:id="41" w:name="_Toc31959"/>
      <w:bookmarkStart w:id="42" w:name="_Toc26986772"/>
      <w:bookmarkStart w:id="43" w:name="_Toc97192965"/>
      <w:r>
        <w:rPr>
          <w:rFonts w:hint="eastAsia"/>
        </w:rPr>
        <w:t>规范性引用文件</w:t>
      </w:r>
      <w:bookmarkEnd w:id="34"/>
      <w:bookmarkEnd w:id="35"/>
      <w:bookmarkEnd w:id="36"/>
      <w:bookmarkEnd w:id="37"/>
      <w:bookmarkEnd w:id="38"/>
      <w:bookmarkEnd w:id="39"/>
      <w:bookmarkEnd w:id="40"/>
      <w:bookmarkEnd w:id="41"/>
      <w:bookmarkEnd w:id="42"/>
      <w:bookmarkEnd w:id="43"/>
    </w:p>
    <w:sdt>
      <w:sdtPr>
        <w:rPr>
          <w:rFonts w:hint="eastAsia"/>
        </w:rPr>
        <w:id w:val="715848253"/>
        <w:placeholder>
          <w:docPart w:val="D5F96284AA704D28AD23F0A2F4B324D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AAD85B1">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583E8AF">
      <w:pPr>
        <w:pStyle w:val="56"/>
        <w:bidi w:val="0"/>
      </w:pPr>
      <w:bookmarkStart w:id="44" w:name="_Toc97192966"/>
      <w:r>
        <w:rPr>
          <w:rFonts w:hint="eastAsia"/>
        </w:rPr>
        <w:t>GB 18352.6</w:t>
      </w:r>
      <w:r>
        <w:rPr>
          <w:rFonts w:hint="eastAsia"/>
          <w:lang w:eastAsia="zh-CN"/>
        </w:rPr>
        <w:t>—</w:t>
      </w:r>
      <w:r>
        <w:rPr>
          <w:rFonts w:hint="eastAsia"/>
        </w:rPr>
        <w:t>2016 轻型汽车污染物排放限值及测量方法（中国第六阶段）</w:t>
      </w:r>
    </w:p>
    <w:p w14:paraId="580526C8">
      <w:pPr>
        <w:pStyle w:val="56"/>
        <w:bidi w:val="0"/>
      </w:pPr>
      <w:r>
        <w:rPr>
          <w:rFonts w:hint="eastAsia"/>
        </w:rPr>
        <w:t>GB/T 19233</w:t>
      </w:r>
      <w:r>
        <w:rPr>
          <w:rFonts w:hint="eastAsia"/>
          <w:lang w:eastAsia="zh-CN"/>
        </w:rPr>
        <w:t>—</w:t>
      </w:r>
      <w:r>
        <w:rPr>
          <w:rFonts w:hint="eastAsia"/>
        </w:rPr>
        <w:t>2020 轻型汽车燃料消耗量试验方法</w:t>
      </w:r>
    </w:p>
    <w:p w14:paraId="0B1B8255">
      <w:pPr>
        <w:pStyle w:val="56"/>
        <w:bidi w:val="0"/>
      </w:pPr>
      <w:r>
        <w:rPr>
          <w:rFonts w:hint="eastAsia"/>
        </w:rPr>
        <w:t>GB/T 19753</w:t>
      </w:r>
      <w:r>
        <w:rPr>
          <w:rFonts w:hint="eastAsia"/>
          <w:lang w:eastAsia="zh-CN"/>
        </w:rPr>
        <w:t>—</w:t>
      </w:r>
      <w:r>
        <w:rPr>
          <w:rFonts w:hint="eastAsia"/>
        </w:rPr>
        <w:t>2021 轻型混合动力电动汽车能量消耗量试验方法</w:t>
      </w:r>
    </w:p>
    <w:p w14:paraId="78F6AF36">
      <w:pPr>
        <w:pStyle w:val="56"/>
        <w:bidi w:val="0"/>
      </w:pPr>
      <w:r>
        <w:rPr>
          <w:rFonts w:hint="eastAsia"/>
        </w:rPr>
        <w:t>GB/T 20604</w:t>
      </w:r>
      <w:r>
        <w:rPr>
          <w:rFonts w:hint="eastAsia"/>
          <w:lang w:eastAsia="zh-CN"/>
        </w:rPr>
        <w:t>—</w:t>
      </w:r>
      <w:r>
        <w:rPr>
          <w:rFonts w:hint="eastAsia"/>
        </w:rPr>
        <w:t>2006 天然气 词汇</w:t>
      </w:r>
    </w:p>
    <w:p w14:paraId="38F64D21">
      <w:pPr>
        <w:pStyle w:val="56"/>
        <w:bidi w:val="0"/>
      </w:pPr>
      <w:r>
        <w:rPr>
          <w:rFonts w:hint="eastAsia"/>
        </w:rPr>
        <w:t>GB/T 29125</w:t>
      </w:r>
      <w:r>
        <w:rPr>
          <w:rFonts w:hint="eastAsia"/>
          <w:lang w:eastAsia="zh-CN"/>
        </w:rPr>
        <w:t>—</w:t>
      </w:r>
      <w:r>
        <w:rPr>
          <w:rFonts w:hint="eastAsia"/>
        </w:rPr>
        <w:t>2012 压缩天然气汽车燃料消耗量试验方法</w:t>
      </w:r>
    </w:p>
    <w:p w14:paraId="4E94F114">
      <w:pPr>
        <w:pStyle w:val="104"/>
        <w:spacing w:before="240" w:after="240"/>
      </w:pPr>
      <w:bookmarkStart w:id="45" w:name="_Toc19640"/>
      <w:r>
        <w:rPr>
          <w:rFonts w:hint="eastAsia"/>
          <w:szCs w:val="21"/>
        </w:rPr>
        <w:t>术语和定义</w:t>
      </w:r>
      <w:bookmarkEnd w:id="44"/>
      <w:bookmarkEnd w:id="45"/>
    </w:p>
    <w:sdt>
      <w:sdtPr>
        <w:rPr>
          <w:rFonts w:hint="eastAsia" w:ascii="宋体" w:hAnsi="宋体" w:eastAsia="宋体" w:cs="宋体"/>
        </w:rPr>
        <w:id w:val="-1909835108"/>
        <w:placeholder>
          <w:docPart w:val="C828CFCDF8A44CA995B2D67F2DF8B3B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rPr>
      </w:sdtEndPr>
      <w:sdtContent>
        <w:p w14:paraId="556C4DEF">
          <w:pPr>
            <w:pStyle w:val="56"/>
            <w:ind w:firstLine="420"/>
          </w:pPr>
          <w:bookmarkStart w:id="46" w:name="_Toc26986532"/>
          <w:bookmarkEnd w:id="46"/>
          <w:r>
            <w:rPr>
              <w:rFonts w:hint="eastAsia" w:ascii="宋体" w:hAnsi="宋体" w:eastAsia="宋体" w:cs="宋体"/>
            </w:rPr>
            <w:t>GB/T</w:t>
          </w:r>
          <w:r>
            <w:rPr>
              <w:rFonts w:hint="eastAsia" w:ascii="Times New Roman"/>
            </w:rPr>
            <w:t xml:space="preserve"> </w:t>
          </w:r>
          <w:r>
            <w:rPr>
              <w:rFonts w:hint="eastAsia"/>
            </w:rPr>
            <w:t>18352.6</w:t>
          </w:r>
          <w:r>
            <w:rPr>
              <w:rFonts w:hint="eastAsia"/>
              <w:lang w:eastAsia="zh-CN"/>
            </w:rPr>
            <w:t>—</w:t>
          </w:r>
          <w:r>
            <w:rPr>
              <w:rFonts w:hint="eastAsia"/>
            </w:rPr>
            <w:t>2016</w:t>
          </w:r>
          <w:r>
            <w:rPr>
              <w:rFonts w:hint="eastAsia" w:ascii="Times New Roman"/>
            </w:rPr>
            <w:t>、</w:t>
          </w:r>
          <w:r>
            <w:rPr>
              <w:rFonts w:hint="eastAsia"/>
            </w:rPr>
            <w:t>GB/T 19753</w:t>
          </w:r>
          <w:r>
            <w:rPr>
              <w:rFonts w:hint="eastAsia"/>
              <w:lang w:eastAsia="zh-CN"/>
            </w:rPr>
            <w:t>—</w:t>
          </w:r>
          <w:r>
            <w:rPr>
              <w:rFonts w:hint="eastAsia"/>
            </w:rPr>
            <w:t>2021、GB/T 19233</w:t>
          </w:r>
          <w:r>
            <w:rPr>
              <w:rFonts w:hint="eastAsia"/>
              <w:lang w:eastAsia="zh-CN"/>
            </w:rPr>
            <w:t>—</w:t>
          </w:r>
          <w:r>
            <w:rPr>
              <w:rFonts w:hint="eastAsia"/>
            </w:rPr>
            <w:t>2020界定的及以下术语和定义适用于本文件。</w:t>
          </w:r>
        </w:p>
      </w:sdtContent>
    </w:sdt>
    <w:p w14:paraId="503CF4AE">
      <w:pPr>
        <w:pStyle w:val="223"/>
        <w:bidi w:val="0"/>
        <w:spacing w:after="0" w:afterLines="0"/>
        <w:ind w:left="420" w:hanging="420" w:hangingChars="200"/>
        <w:rPr>
          <w:rFonts w:hint="eastAsia" w:ascii="黑体" w:hAnsi="黑体" w:eastAsia="黑体" w:cs="黑体"/>
        </w:rPr>
      </w:pPr>
      <w:r>
        <w:rPr>
          <w:rFonts w:hint="eastAsia" w:ascii="黑体" w:hAnsi="黑体" w:eastAsia="黑体" w:cs="黑体"/>
        </w:rPr>
        <w:br w:type="textWrapping"/>
      </w:r>
      <w:r>
        <w:rPr>
          <w:rFonts w:hint="eastAsia" w:ascii="黑体" w:hAnsi="黑体" w:eastAsia="黑体" w:cs="黑体"/>
        </w:rPr>
        <w:t>天然气 natural gas；NG</w:t>
      </w:r>
    </w:p>
    <w:p w14:paraId="63AEC369">
      <w:pPr>
        <w:pStyle w:val="230"/>
        <w:rPr>
          <w:rFonts w:ascii="Times New Roman"/>
        </w:rPr>
      </w:pPr>
      <w:r>
        <w:rPr>
          <w:rFonts w:hint="eastAsia" w:ascii="Times New Roman"/>
        </w:rPr>
        <w:t>以甲烷为主的烷烃类混合物，通常也会有乙烷、丙烷和很少量更重的烃类，以及若干不可燃气体，如氮气和二氧化碳。</w:t>
      </w:r>
    </w:p>
    <w:p w14:paraId="199D89B9">
      <w:pPr>
        <w:ind w:firstLine="420" w:firstLineChars="200"/>
      </w:pPr>
      <w:r>
        <w:rPr>
          <w:rFonts w:hint="eastAsia"/>
          <w:color w:val="auto"/>
          <w:highlight w:val="none"/>
        </w:rPr>
        <w:t>[</w:t>
      </w:r>
      <w:r>
        <w:rPr>
          <w:color w:val="auto"/>
          <w:highlight w:val="none"/>
        </w:rPr>
        <w:t>来源：</w:t>
      </w:r>
      <w:r>
        <w:rPr>
          <w:rFonts w:hint="eastAsia" w:ascii="宋体"/>
          <w:color w:val="auto"/>
          <w:kern w:val="0"/>
          <w:szCs w:val="20"/>
          <w:highlight w:val="none"/>
        </w:rPr>
        <w:t>GB/T 20604-2006]</w:t>
      </w:r>
    </w:p>
    <w:p w14:paraId="3C417203">
      <w:pPr>
        <w:pStyle w:val="223"/>
        <w:bidi w:val="0"/>
        <w:spacing w:after="0" w:afterLines="0"/>
        <w:ind w:left="420" w:hanging="420" w:hangingChars="200"/>
        <w:rPr>
          <w:rFonts w:hint="eastAsia" w:ascii="黑体" w:hAnsi="黑体" w:eastAsia="黑体" w:cs="黑体"/>
        </w:rPr>
      </w:pPr>
    </w:p>
    <w:p w14:paraId="7650FC32">
      <w:pPr>
        <w:pStyle w:val="223"/>
        <w:numPr>
          <w:ilvl w:val="2"/>
          <w:numId w:val="0"/>
        </w:numPr>
        <w:ind w:left="-420" w:leftChars="-200" w:firstLine="840" w:firstLineChars="400"/>
        <w:rPr>
          <w:rFonts w:ascii="黑体" w:hAnsi="黑体" w:eastAsia="黑体"/>
        </w:rPr>
      </w:pPr>
      <w:r>
        <w:rPr>
          <w:rFonts w:hint="eastAsia" w:ascii="黑体" w:hAnsi="黑体" w:eastAsia="黑体"/>
        </w:rPr>
        <w:t>轻型甲醇混合动力汽车 Light methanol hybrid vehicle</w:t>
      </w:r>
    </w:p>
    <w:p w14:paraId="5346DA5F">
      <w:pPr>
        <w:pStyle w:val="230"/>
        <w:rPr>
          <w:rFonts w:hint="eastAsia"/>
        </w:rPr>
      </w:pPr>
      <w:r>
        <w:t>一种由甲醇/汽油按照一定比例混合形成的混合燃料的混合动力车辆。</w:t>
      </w:r>
    </w:p>
    <w:p w14:paraId="256C088E">
      <w:pPr>
        <w:pStyle w:val="223"/>
        <w:ind w:left="420" w:hanging="420" w:hangingChars="200"/>
        <w:rPr>
          <w:rFonts w:ascii="黑体" w:hAnsi="黑体" w:eastAsia="黑体"/>
        </w:rPr>
      </w:pPr>
      <w:r>
        <w:rPr>
          <w:rFonts w:hint="eastAsia" w:ascii="黑体" w:hAnsi="黑体" w:eastAsia="黑体"/>
        </w:rPr>
        <w:br w:type="textWrapping"/>
      </w:r>
      <w:r>
        <w:rPr>
          <w:rFonts w:ascii="黑体" w:hAnsi="黑体" w:eastAsia="黑体"/>
        </w:rPr>
        <w:t>轻型天然气混合动力汽车</w:t>
      </w:r>
      <w:r>
        <w:rPr>
          <w:rFonts w:hint="eastAsia" w:ascii="黑体" w:hAnsi="黑体" w:eastAsia="黑体"/>
        </w:rPr>
        <w:t xml:space="preserve"> Light natural gas hybrid vehicle</w:t>
      </w:r>
    </w:p>
    <w:p w14:paraId="068CA2ED">
      <w:pPr>
        <w:pStyle w:val="230"/>
      </w:pPr>
      <w:r>
        <w:t>一种结合了天然气发动机和电动机两种动力系统的汽车。</w:t>
      </w:r>
    </w:p>
    <w:p w14:paraId="014E0735">
      <w:pPr>
        <w:pStyle w:val="104"/>
        <w:spacing w:before="240" w:after="240"/>
      </w:pPr>
      <w:bookmarkStart w:id="47" w:name="_Toc22267"/>
      <w:r>
        <w:rPr>
          <w:rFonts w:hint="eastAsia"/>
        </w:rPr>
        <w:t>试验条件</w:t>
      </w:r>
      <w:bookmarkEnd w:id="47"/>
    </w:p>
    <w:p w14:paraId="3C1C73F4">
      <w:pPr>
        <w:pStyle w:val="105"/>
        <w:bidi w:val="0"/>
      </w:pPr>
      <w:bookmarkStart w:id="48" w:name="_Toc21871"/>
      <w:r>
        <w:rPr>
          <w:rFonts w:hint="eastAsia"/>
        </w:rPr>
        <w:t>环境要求和参数</w:t>
      </w:r>
      <w:bookmarkEnd w:id="48"/>
    </w:p>
    <w:p w14:paraId="3F61D696">
      <w:pPr>
        <w:pStyle w:val="56"/>
        <w:bidi w:val="0"/>
      </w:pPr>
      <w:r>
        <w:rPr>
          <w:rFonts w:hint="eastAsia"/>
        </w:rPr>
        <w:t>试验的环境要求和参数应符合GB 18352.6</w:t>
      </w:r>
      <w:r>
        <w:rPr>
          <w:rFonts w:hint="eastAsia"/>
          <w:lang w:eastAsia="zh-CN"/>
        </w:rPr>
        <w:t>—</w:t>
      </w:r>
      <w:r>
        <w:rPr>
          <w:rFonts w:hint="eastAsia"/>
        </w:rPr>
        <w:t>2016《轻型汽车污染物排放限值及测量方法（中国第六阶段）》中C.1.2.2的规定。</w:t>
      </w:r>
    </w:p>
    <w:p w14:paraId="6A81DF3F">
      <w:pPr>
        <w:pStyle w:val="105"/>
        <w:bidi w:val="0"/>
      </w:pPr>
      <w:bookmarkStart w:id="49" w:name="_Toc8584"/>
      <w:r>
        <w:rPr>
          <w:rFonts w:hint="eastAsia"/>
        </w:rPr>
        <w:t>测试设备</w:t>
      </w:r>
      <w:bookmarkEnd w:id="49"/>
    </w:p>
    <w:p w14:paraId="51ABC073">
      <w:pPr>
        <w:pStyle w:val="56"/>
        <w:bidi w:val="0"/>
      </w:pPr>
      <w:r>
        <w:rPr>
          <w:rFonts w:hint="eastAsia"/>
        </w:rPr>
        <w:t>试验用测试设备应满足GB 18352.6</w:t>
      </w:r>
      <w:r>
        <w:rPr>
          <w:rFonts w:hint="eastAsia"/>
          <w:lang w:eastAsia="zh-CN"/>
        </w:rPr>
        <w:t>—</w:t>
      </w:r>
      <w:r>
        <w:rPr>
          <w:rFonts w:hint="eastAsia"/>
        </w:rPr>
        <w:t>2016《轻型汽车污染物排放限值及测量方法（中国第六阶段）》中附件CD的要求。</w:t>
      </w:r>
    </w:p>
    <w:p w14:paraId="7E732216">
      <w:pPr>
        <w:pStyle w:val="105"/>
        <w:bidi w:val="0"/>
      </w:pPr>
      <w:bookmarkStart w:id="50" w:name="_Toc18764"/>
      <w:r>
        <w:rPr>
          <w:rFonts w:hint="eastAsia"/>
        </w:rPr>
        <w:t>试验燃料</w:t>
      </w:r>
      <w:bookmarkEnd w:id="50"/>
    </w:p>
    <w:p w14:paraId="218C7D01">
      <w:pPr>
        <w:pStyle w:val="165"/>
        <w:rPr>
          <w:rFonts w:hAnsi="宋体" w:cs="宋体"/>
        </w:rPr>
      </w:pPr>
      <w:r>
        <w:rPr>
          <w:rFonts w:hint="eastAsia" w:hAnsi="宋体" w:cs="宋体"/>
        </w:rPr>
        <w:t>除电能外，若低碳燃料插电式混合动力轻型汽车支持甲醇和汽油两种燃料，则应按以下要求确定测试燃料。</w:t>
      </w:r>
    </w:p>
    <w:p w14:paraId="31CF3CFC">
      <w:pPr>
        <w:pStyle w:val="132"/>
        <w:bidi w:val="0"/>
      </w:pPr>
      <w:r>
        <w:rPr>
          <w:rFonts w:hint="eastAsia"/>
        </w:rPr>
        <w:t>分别使用甲醇、汽油以及甲醇汽油按一定比例混合形成的混合燃料按照第6章的要求进行试验。</w:t>
      </w:r>
    </w:p>
    <w:p w14:paraId="28DFF811">
      <w:pPr>
        <w:pStyle w:val="132"/>
        <w:bidi w:val="0"/>
      </w:pPr>
      <w:r>
        <w:rPr>
          <w:rFonts w:hint="eastAsia"/>
        </w:rPr>
        <w:t>混合燃料中甲醇和汽油的体积占比应根据车辆生产企业提交的测试报告中具有最高蒸气压的混合燃料的比例确定。</w:t>
      </w:r>
    </w:p>
    <w:p w14:paraId="10877EEE">
      <w:pPr>
        <w:pStyle w:val="132"/>
        <w:bidi w:val="0"/>
      </w:pPr>
      <w:r>
        <w:rPr>
          <w:rFonts w:hint="eastAsia"/>
        </w:rPr>
        <w:t>在确定具有最高蒸气压的混合燃料时，应仅使用符合基准燃料要求的甲醇和汽油进行混合燃料的调配。应首先以不大于10%体积分数为间隔测定甲醇在混合燃料体积占比从0%变化至100%的蒸气压，再在蒸气压最高的两个体积占比间以不低于2%体积分数的间隔进行加密试验，以确定具有最高蒸气压的混合燃料中汽油与甲醇的体积分数。</w:t>
      </w:r>
    </w:p>
    <w:p w14:paraId="502C7CD2">
      <w:pPr>
        <w:pStyle w:val="132"/>
        <w:bidi w:val="0"/>
      </w:pPr>
      <w:r>
        <w:rPr>
          <w:rFonts w:hint="eastAsia"/>
        </w:rPr>
        <w:t>测试报告应明确体现对应的最高的蒸气压的混合燃料中汽油和甲醇的体积分数（修约至整数）。汽油和甲醇以及混合燃料的测试数据应作为报告的附件一并提交。</w:t>
      </w:r>
    </w:p>
    <w:p w14:paraId="517ECB33">
      <w:pPr>
        <w:pStyle w:val="165"/>
        <w:bidi w:val="0"/>
      </w:pPr>
      <w:r>
        <w:rPr>
          <w:rFonts w:hint="eastAsia"/>
        </w:rPr>
        <w:t>轻型汽车试验用天然气燃料应符合GB 18352.6-2016的要求</w:t>
      </w:r>
      <w:r>
        <w:rPr>
          <w:rFonts w:hint="eastAsia"/>
          <w:lang w:eastAsia="zh-CN"/>
        </w:rPr>
        <w:t>；</w:t>
      </w:r>
      <w:r>
        <w:rPr>
          <w:rFonts w:hint="eastAsia"/>
        </w:rPr>
        <w:t>其组分、密度和发热量等参数应为已知，并满足汽车和发动机制造企业的要求。</w:t>
      </w:r>
    </w:p>
    <w:p w14:paraId="5F771744">
      <w:pPr>
        <w:pStyle w:val="104"/>
        <w:bidi w:val="0"/>
      </w:pPr>
      <w:r>
        <w:rPr>
          <w:rFonts w:hint="eastAsia"/>
        </w:rPr>
        <w:t xml:space="preserve"> </w:t>
      </w:r>
      <w:bookmarkStart w:id="51" w:name="_Toc18054"/>
      <w:r>
        <w:rPr>
          <w:rFonts w:hint="eastAsia"/>
        </w:rPr>
        <w:t>试验循环</w:t>
      </w:r>
      <w:bookmarkEnd w:id="51"/>
    </w:p>
    <w:p w14:paraId="7F5FEEE1">
      <w:pPr>
        <w:pStyle w:val="230"/>
      </w:pPr>
      <w:r>
        <w:rPr>
          <w:rFonts w:hint="eastAsia" w:hAnsi="宋体" w:cs="宋体"/>
          <w:szCs w:val="21"/>
        </w:rPr>
        <w:t>试</w:t>
      </w:r>
      <w:r>
        <w:rPr>
          <w:rFonts w:hint="eastAsia"/>
        </w:rPr>
        <w:t>验循环应按照GB</w:t>
      </w:r>
      <w:r>
        <w:rPr>
          <w:rFonts w:hint="eastAsia" w:ascii="宋体" w:hAnsi="Times New Roman" w:eastAsia="宋体" w:cs="Times New Roman"/>
          <w:sz w:val="21"/>
          <w:lang w:val="en-US" w:eastAsia="zh-CN" w:bidi="ar-SA"/>
        </w:rPr>
        <w:t xml:space="preserve"> </w:t>
      </w:r>
      <w:r>
        <w:rPr>
          <w:rFonts w:hint="eastAsia"/>
        </w:rPr>
        <w:t>18352.6--2016附件CA所述的全球统一轻型车测试循环(WLTC)的规定进行。如果没有任何模式可以使车辆在试验中跟随试验循环，则试验循环应根据附录B的要求进行修正。</w:t>
      </w:r>
    </w:p>
    <w:p w14:paraId="5A4C43CE">
      <w:pPr>
        <w:pStyle w:val="104"/>
        <w:bidi w:val="0"/>
      </w:pPr>
      <w:bookmarkStart w:id="52" w:name="_Toc26425"/>
      <w:r>
        <w:rPr>
          <w:rFonts w:hint="eastAsia"/>
        </w:rPr>
        <w:t>试验程序</w:t>
      </w:r>
      <w:bookmarkEnd w:id="52"/>
    </w:p>
    <w:p w14:paraId="3AAA9DDD">
      <w:pPr>
        <w:pStyle w:val="56"/>
        <w:bidi w:val="0"/>
      </w:pPr>
      <w:r>
        <w:rPr>
          <w:rFonts w:hint="eastAsia"/>
        </w:rPr>
        <w:t>试验程序应按照GB</w:t>
      </w:r>
      <w:r>
        <w:rPr>
          <w:rFonts w:hint="eastAsia"/>
          <w:lang w:val="en-US" w:eastAsia="zh-CN"/>
        </w:rPr>
        <w:t xml:space="preserve"> </w:t>
      </w:r>
      <w:r>
        <w:rPr>
          <w:rFonts w:hint="eastAsia"/>
        </w:rPr>
        <w:t>19753</w:t>
      </w:r>
      <w:r>
        <w:rPr>
          <w:rFonts w:hint="eastAsia"/>
          <w:lang w:eastAsia="zh-CN"/>
        </w:rPr>
        <w:t>—</w:t>
      </w:r>
      <w:r>
        <w:rPr>
          <w:rFonts w:hint="eastAsia"/>
        </w:rPr>
        <w:t>2021中6所述的试验程序进行。</w:t>
      </w:r>
    </w:p>
    <w:p w14:paraId="09107506">
      <w:pPr>
        <w:pStyle w:val="104"/>
        <w:spacing w:before="240" w:after="240"/>
      </w:pPr>
      <w:bookmarkStart w:id="53" w:name="_Toc6698"/>
      <w:r>
        <w:rPr>
          <w:rFonts w:hint="eastAsia"/>
        </w:rPr>
        <w:t>结果输出</w:t>
      </w:r>
      <w:bookmarkEnd w:id="53"/>
    </w:p>
    <w:p w14:paraId="571A1B3B">
      <w:pPr>
        <w:pStyle w:val="105"/>
        <w:bidi w:val="0"/>
      </w:pPr>
      <w:bookmarkStart w:id="54" w:name="_Toc26535"/>
      <w:r>
        <w:rPr>
          <w:rFonts w:hint="eastAsia"/>
        </w:rPr>
        <w:t>全电里程</w:t>
      </w:r>
      <w:bookmarkEnd w:id="54"/>
      <w:r>
        <w:rPr>
          <w:rFonts w:hint="eastAsia"/>
        </w:rPr>
        <w:t xml:space="preserve"> </w:t>
      </w:r>
    </w:p>
    <w:p w14:paraId="64B24681">
      <w:pPr>
        <w:pStyle w:val="56"/>
        <w:bidi w:val="0"/>
      </w:pPr>
      <w:r>
        <w:rPr>
          <w:rFonts w:hint="eastAsia"/>
        </w:rPr>
        <w:t>按照第6章的试验程序确定全电里程。从试验开始直至发动机起动，车辆所行驶的距离即为全电里程AER。</w:t>
      </w:r>
    </w:p>
    <w:p w14:paraId="041F72F4">
      <w:pPr>
        <w:pStyle w:val="105"/>
        <w:bidi w:val="0"/>
      </w:pPr>
      <w:bookmarkStart w:id="55" w:name="_Toc7152"/>
      <w:r>
        <w:rPr>
          <w:rFonts w:hint="eastAsia"/>
        </w:rPr>
        <w:t>电量消耗循环里程</w:t>
      </w:r>
      <w:bookmarkEnd w:id="55"/>
    </w:p>
    <w:p w14:paraId="6D222F22">
      <w:pPr>
        <w:pStyle w:val="56"/>
        <w:bidi w:val="0"/>
      </w:pPr>
      <w:r>
        <w:rPr>
          <w:rFonts w:hint="eastAsia" w:ascii="黑体" w:eastAsia="黑体"/>
        </w:rPr>
        <w:t xml:space="preserve"> </w:t>
      </w:r>
      <w:r>
        <w:rPr>
          <w:rFonts w:hint="eastAsia"/>
        </w:rPr>
        <w:t>按照第6章的试验流程确定电量消耗循环里程。从试验开始过渡循环结束，车辆所行驶的距离即为电量消耗循环里程R</w:t>
      </w:r>
      <w:r>
        <w:rPr>
          <w:rFonts w:hint="eastAsia"/>
          <w:vertAlign w:val="subscript"/>
        </w:rPr>
        <w:t>CDC</w:t>
      </w:r>
      <w:r>
        <w:rPr>
          <w:rFonts w:hint="eastAsia"/>
        </w:rPr>
        <w:t>。</w:t>
      </w:r>
    </w:p>
    <w:p w14:paraId="75BE23E3">
      <w:pPr>
        <w:pStyle w:val="105"/>
        <w:bidi w:val="0"/>
      </w:pPr>
      <w:bookmarkStart w:id="56" w:name="_Toc31175"/>
      <w:r>
        <w:rPr>
          <w:rFonts w:hint="eastAsia"/>
        </w:rPr>
        <w:t>等效全电里程</w:t>
      </w:r>
      <w:bookmarkEnd w:id="56"/>
    </w:p>
    <w:p w14:paraId="2DF1FCF0">
      <w:pPr>
        <w:pStyle w:val="56"/>
        <w:bidi w:val="0"/>
        <w:rPr>
          <w:rFonts w:hint="eastAsia"/>
        </w:rPr>
      </w:pPr>
      <w:r>
        <w:rPr>
          <w:rFonts w:hint="eastAsia"/>
        </w:rPr>
        <w:t>等效全电里程按照下列公式（1）计算：</w:t>
      </w:r>
    </w:p>
    <w:p w14:paraId="07077199">
      <w:pPr>
        <w:pStyle w:val="56"/>
        <w:bidi w:val="0"/>
        <w:rPr>
          <w:rFonts w:hint="eastAsia"/>
        </w:rPr>
      </w:pPr>
    </w:p>
    <w:p w14:paraId="17B26D56">
      <w:pPr>
        <w:pStyle w:val="113"/>
        <w:bidi w:val="0"/>
        <w:rPr>
          <w:rFonts w:hint="eastAsia"/>
          <w:lang w:eastAsia="zh-CN"/>
        </w:rPr>
      </w:pPr>
      <w:r>
        <w:rPr>
          <w:rFonts w:hint="eastAsia"/>
          <w:lang w:eastAsia="zh-CN"/>
        </w:rPr>
        <w:tab/>
      </w:r>
      <m:oMath>
        <m:r>
          <m:rPr>
            <m:sty m:val="p"/>
          </m:rPr>
          <w:rPr>
            <w:rFonts w:hint="eastAsia" w:ascii="Cambria Math" w:hAnsi="Cambria Math" w:eastAsia="宋体" w:cs="宋体"/>
          </w:rPr>
          <m:t>EAER</m:t>
        </m:r>
        <m:r>
          <m:rPr/>
          <w:rPr>
            <w:rFonts w:hint="eastAsia" w:ascii="Cambria Math" w:hAnsi="Cambria Math" w:eastAsia="宋体" w:cs="宋体"/>
          </w:rPr>
          <m:t>=</m:t>
        </m:r>
        <m:f>
          <m:fPr>
            <m:ctrlPr>
              <w:rPr>
                <w:rFonts w:hint="eastAsia" w:ascii="Cambria Math" w:hAnsi="Cambria Math" w:eastAsia="宋体" w:cs="宋体"/>
              </w:rPr>
            </m:ctrlPr>
          </m:fPr>
          <m:num>
            <m:sSub>
              <m:sSubPr>
                <m:ctrlPr>
                  <w:rPr>
                    <w:rFonts w:hint="eastAsia" w:ascii="Cambria Math" w:hAnsi="Cambria Math" w:eastAsia="宋体" w:cs="宋体"/>
                  </w:rPr>
                </m:ctrlPr>
              </m:sSubPr>
              <m:e>
                <m:r>
                  <m:rPr>
                    <m:sty m:val="p"/>
                  </m:rPr>
                  <w:rPr>
                    <w:rFonts w:hint="eastAsia" w:ascii="Cambria Math" w:hAnsi="Cambria Math" w:eastAsia="宋体" w:cs="宋体"/>
                  </w:rPr>
                  <m:t>FC</m:t>
                </m:r>
                <m:ctrlPr>
                  <w:rPr>
                    <w:rFonts w:hint="eastAsia" w:ascii="Cambria Math" w:hAnsi="Cambria Math" w:eastAsia="宋体" w:cs="宋体"/>
                  </w:rPr>
                </m:ctrlPr>
              </m:e>
              <m:sub>
                <m:r>
                  <m:rPr>
                    <m:sty m:val="p"/>
                  </m:rPr>
                  <w:rPr>
                    <w:rFonts w:hint="eastAsia" w:ascii="Cambria Math" w:hAnsi="Cambria Math" w:eastAsia="宋体" w:cs="宋体"/>
                  </w:rPr>
                  <m:t>CS</m:t>
                </m:r>
                <m:ctrlPr>
                  <w:rPr>
                    <w:rFonts w:hint="eastAsia" w:ascii="Cambria Math" w:hAnsi="Cambria Math" w:eastAsia="宋体" w:cs="宋体"/>
                  </w:rPr>
                </m:ctrlPr>
              </m:sub>
            </m:sSub>
            <m:r>
              <m:rPr/>
              <w:rPr>
                <w:rFonts w:hint="eastAsia" w:ascii="Cambria Math" w:hAnsi="Cambria Math" w:eastAsia="宋体" w:cs="宋体"/>
              </w:rPr>
              <m:t>−</m:t>
            </m:r>
            <m:sSub>
              <m:sSubPr>
                <m:ctrlPr>
                  <w:rPr>
                    <w:rFonts w:hint="eastAsia" w:ascii="Cambria Math" w:hAnsi="Cambria Math" w:eastAsia="宋体" w:cs="宋体"/>
                  </w:rPr>
                </m:ctrlPr>
              </m:sSubPr>
              <m:e>
                <m:r>
                  <m:rPr>
                    <m:sty m:val="p"/>
                  </m:rPr>
                  <w:rPr>
                    <w:rFonts w:hint="eastAsia" w:ascii="Cambria Math" w:hAnsi="Cambria Math" w:eastAsia="宋体" w:cs="宋体"/>
                  </w:rPr>
                  <m:t>FC</m:t>
                </m:r>
                <m:ctrlPr>
                  <w:rPr>
                    <w:rFonts w:hint="eastAsia" w:ascii="Cambria Math" w:hAnsi="Cambria Math" w:eastAsia="宋体" w:cs="宋体"/>
                  </w:rPr>
                </m:ctrlPr>
              </m:e>
              <m:sub>
                <m:r>
                  <m:rPr>
                    <m:sty m:val="p"/>
                  </m:rPr>
                  <w:rPr>
                    <w:rFonts w:hint="eastAsia" w:ascii="Cambria Math" w:hAnsi="Cambria Math" w:eastAsia="宋体" w:cs="宋体"/>
                  </w:rPr>
                  <m:t>CD,avg</m:t>
                </m:r>
                <m:ctrlPr>
                  <w:rPr>
                    <w:rFonts w:hint="eastAsia" w:ascii="Cambria Math" w:hAnsi="Cambria Math" w:eastAsia="宋体" w:cs="宋体"/>
                  </w:rPr>
                </m:ctrlPr>
              </m:sub>
            </m:sSub>
            <m:ctrlPr>
              <w:rPr>
                <w:rFonts w:hint="eastAsia" w:ascii="Cambria Math" w:hAnsi="Cambria Math" w:eastAsia="宋体" w:cs="宋体"/>
              </w:rPr>
            </m:ctrlPr>
          </m:num>
          <m:den>
            <m:sSub>
              <m:sSubPr>
                <m:ctrlPr>
                  <w:rPr>
                    <w:rFonts w:hint="eastAsia" w:ascii="Cambria Math" w:hAnsi="Cambria Math" w:eastAsia="宋体" w:cs="宋体"/>
                  </w:rPr>
                </m:ctrlPr>
              </m:sSubPr>
              <m:e>
                <m:r>
                  <m:rPr>
                    <m:sty m:val="p"/>
                  </m:rPr>
                  <w:rPr>
                    <w:rFonts w:hint="eastAsia" w:ascii="Cambria Math" w:hAnsi="Cambria Math" w:eastAsia="宋体" w:cs="宋体"/>
                  </w:rPr>
                  <m:t>FC</m:t>
                </m:r>
                <m:ctrlPr>
                  <w:rPr>
                    <w:rFonts w:hint="eastAsia" w:ascii="Cambria Math" w:hAnsi="Cambria Math" w:eastAsia="宋体" w:cs="宋体"/>
                  </w:rPr>
                </m:ctrlPr>
              </m:e>
              <m:sub>
                <m:r>
                  <m:rPr>
                    <m:sty m:val="p"/>
                  </m:rPr>
                  <w:rPr>
                    <w:rFonts w:hint="eastAsia" w:ascii="Cambria Math" w:hAnsi="Cambria Math" w:eastAsia="宋体" w:cs="宋体"/>
                  </w:rPr>
                  <m:t>CS</m:t>
                </m:r>
                <m:ctrlPr>
                  <w:rPr>
                    <w:rFonts w:hint="eastAsia" w:ascii="Cambria Math" w:hAnsi="Cambria Math" w:eastAsia="宋体" w:cs="宋体"/>
                  </w:rPr>
                </m:ctrlPr>
              </m:sub>
            </m:sSub>
            <m:ctrlPr>
              <w:rPr>
                <w:rFonts w:hint="eastAsia" w:ascii="Cambria Math" w:hAnsi="Cambria Math" w:eastAsia="宋体" w:cs="宋体"/>
              </w:rPr>
            </m:ctrlPr>
          </m:den>
        </m:f>
        <m:r>
          <m:rPr/>
          <w:rPr>
            <w:rFonts w:hint="eastAsia" w:ascii="Cambria Math" w:hAnsi="Cambria Math" w:eastAsia="宋体" w:cs="宋体"/>
          </w:rPr>
          <m:t>×</m:t>
        </m:r>
        <m:sSub>
          <m:sSubPr>
            <m:ctrlPr>
              <w:rPr>
                <w:rFonts w:hint="eastAsia" w:ascii="Cambria Math" w:hAnsi="Cambria Math" w:eastAsia="宋体" w:cs="宋体"/>
              </w:rPr>
            </m:ctrlPr>
          </m:sSubPr>
          <m:e>
            <m:r>
              <m:rPr>
                <m:sty m:val="p"/>
              </m:rPr>
              <w:rPr>
                <w:rFonts w:hint="eastAsia" w:ascii="Cambria Math" w:hAnsi="Cambria Math" w:eastAsia="宋体" w:cs="宋体"/>
              </w:rPr>
              <m:t>R</m:t>
            </m:r>
            <m:ctrlPr>
              <w:rPr>
                <w:rFonts w:hint="eastAsia" w:ascii="Cambria Math" w:hAnsi="Cambria Math" w:eastAsia="宋体" w:cs="宋体"/>
              </w:rPr>
            </m:ctrlPr>
          </m:e>
          <m:sub>
            <m:r>
              <m:rPr>
                <m:sty m:val="p"/>
              </m:rPr>
              <w:rPr>
                <w:rFonts w:hint="eastAsia" w:ascii="Cambria Math" w:hAnsi="Cambria Math" w:eastAsia="宋体" w:cs="宋体"/>
              </w:rPr>
              <m:t>CDC</m:t>
            </m:r>
            <m:ctrlPr>
              <w:rPr>
                <w:rFonts w:hint="eastAsia" w:ascii="Cambria Math" w:hAnsi="Cambria Math" w:eastAsia="宋体" w:cs="宋体"/>
              </w:rPr>
            </m:ctrlPr>
          </m:sub>
        </m:sSub>
      </m:oMath>
      <w:r>
        <w:rPr>
          <w:rFonts w:hint="eastAsia" w:ascii="微软雅黑" w:hAnsi="微软雅黑" w:eastAsia="微软雅黑" w:cs="微软雅黑"/>
          <w:lang w:eastAsia="zh-CN"/>
        </w:rPr>
        <w:tab/>
      </w:r>
      <w:r>
        <w:rPr>
          <w:rFonts w:hint="eastAsia"/>
          <w:lang w:eastAsia="zh-CN"/>
        </w:rPr>
        <w:t>(</w:t>
      </w:r>
      <w:r>
        <w:rPr>
          <w:rFonts w:hint="eastAsia"/>
          <w:lang w:eastAsia="zh-CN"/>
        </w:rPr>
        <w:fldChar w:fldCharType="begin"/>
      </w:r>
      <w:r>
        <w:rPr>
          <w:rFonts w:hint="eastAsia"/>
          <w:lang w:eastAsia="zh-CN"/>
        </w:rPr>
        <w:instrText xml:space="preserve"> SEQ 公式 \* ARABIC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w:t>
      </w:r>
    </w:p>
    <w:p w14:paraId="057ED8B5">
      <w:pPr>
        <w:pStyle w:val="55"/>
        <w:rPr>
          <w:rFonts w:hint="eastAsia"/>
          <w:lang w:eastAsia="zh-CN"/>
        </w:rPr>
      </w:pPr>
      <w:r>
        <w:rPr>
          <w:rFonts w:hint="eastAsia"/>
          <w:lang w:eastAsia="zh-CN"/>
        </w:rPr>
        <w:t>式中：</w:t>
      </w:r>
    </w:p>
    <w:p w14:paraId="11218320">
      <w:pPr>
        <w:pStyle w:val="162"/>
        <w:numPr>
          <w:ilvl w:val="2"/>
          <w:numId w:val="0"/>
        </w:numPr>
        <w:ind w:firstLine="630" w:firstLineChars="300"/>
        <w:jc w:val="center"/>
        <w:rPr>
          <w:rFonts w:hAnsi="Cambria Math"/>
          <w:b w:val="0"/>
          <w:i w:val="0"/>
        </w:rPr>
      </w:pPr>
    </w:p>
    <w:p w14:paraId="31835E83">
      <w:pPr>
        <w:widowControl/>
        <w:ind w:left="420" w:leftChars="200" w:firstLine="0" w:firstLineChars="0"/>
        <w:rPr>
          <w:rFonts w:hint="eastAsia" w:ascii="宋体" w:hAnsi="宋体" w:eastAsia="宋体" w:cs="宋体"/>
        </w:rPr>
      </w:pPr>
      <w:r>
        <w:rPr>
          <w:rFonts w:hint="eastAsia" w:ascii="宋体" w:hAnsi="宋体" w:eastAsia="宋体" w:cs="宋体"/>
        </w:rPr>
        <w:t>EAER ——等效全电里程，单位为千米（km）；</w:t>
      </w:r>
    </w:p>
    <w:p w14:paraId="424E92C8">
      <w:pPr>
        <w:widowControl/>
        <w:ind w:left="420" w:leftChars="200" w:firstLine="0" w:firstLineChars="0"/>
        <w:rPr>
          <w:rFonts w:hint="eastAsia" w:ascii="宋体" w:hAnsi="宋体" w:eastAsia="宋体" w:cs="宋体"/>
        </w:rPr>
      </w:pPr>
      <w:r>
        <w:rPr>
          <w:rFonts w:hint="eastAsia" w:ascii="宋体" w:hAnsi="宋体" w:eastAsia="宋体" w:cs="宋体"/>
        </w:rPr>
        <w:t>FC</w:t>
      </w:r>
      <w:r>
        <w:rPr>
          <w:rFonts w:hint="eastAsia" w:ascii="宋体" w:hAnsi="宋体" w:eastAsia="宋体" w:cs="宋体"/>
          <w:vertAlign w:val="subscript"/>
        </w:rPr>
        <w:t xml:space="preserve">CS   </w:t>
      </w:r>
      <w:r>
        <w:rPr>
          <w:rFonts w:hint="eastAsia" w:ascii="宋体" w:hAnsi="宋体" w:cs="宋体"/>
          <w:vertAlign w:val="subscript"/>
          <w:lang w:val="en-US" w:eastAsia="zh-CN"/>
        </w:rPr>
        <w:t xml:space="preserve"> </w:t>
      </w:r>
      <w:r>
        <w:rPr>
          <w:rFonts w:hint="eastAsia" w:ascii="宋体" w:hAnsi="宋体" w:eastAsia="宋体" w:cs="宋体"/>
        </w:rPr>
        <w:t>——电量保持模式的燃料消耗量，单位为升每百千米（L/100km）；</w:t>
      </w:r>
    </w:p>
    <w:p w14:paraId="432DA4CB">
      <w:pPr>
        <w:widowControl/>
        <w:ind w:left="420" w:leftChars="200" w:firstLine="0" w:firstLineChars="0"/>
        <w:rPr>
          <w:rFonts w:hint="eastAsia" w:ascii="宋体" w:hAnsi="宋体" w:eastAsia="宋体" w:cs="宋体"/>
        </w:rPr>
      </w:pPr>
      <w:r>
        <w:rPr>
          <w:rFonts w:hint="eastAsia" w:ascii="宋体" w:hAnsi="宋体" w:eastAsia="宋体" w:cs="宋体"/>
        </w:rPr>
        <w:t>FC</w:t>
      </w:r>
      <w:r>
        <w:rPr>
          <w:rFonts w:hint="eastAsia" w:ascii="宋体" w:hAnsi="宋体" w:eastAsia="宋体" w:cs="宋体"/>
          <w:vertAlign w:val="subscript"/>
        </w:rPr>
        <w:t>CD,avg</w:t>
      </w:r>
      <w:r>
        <w:rPr>
          <w:rFonts w:hint="eastAsia" w:ascii="宋体" w:hAnsi="宋体" w:eastAsia="宋体" w:cs="宋体"/>
        </w:rPr>
        <w:t>——电量消耗模式试验燃料消耗量的加权平均值，单位为升每百千米（L/100km）；</w:t>
      </w:r>
    </w:p>
    <w:p w14:paraId="6F4F36C4">
      <w:pPr>
        <w:widowControl/>
        <w:ind w:left="420" w:leftChars="200" w:firstLine="0" w:firstLineChars="0"/>
      </w:pPr>
      <w:r>
        <w:rPr>
          <w:rFonts w:hint="eastAsia" w:ascii="宋体" w:hAnsi="宋体" w:eastAsia="宋体" w:cs="宋体"/>
        </w:rPr>
        <w:t>R</w:t>
      </w:r>
      <w:r>
        <w:rPr>
          <w:rFonts w:hint="eastAsia" w:ascii="宋体" w:hAnsi="宋体" w:eastAsia="宋体" w:cs="宋体"/>
          <w:vertAlign w:val="subscript"/>
        </w:rPr>
        <w:t xml:space="preserve">CDC   </w:t>
      </w:r>
      <w:r>
        <w:rPr>
          <w:rFonts w:hint="eastAsia" w:ascii="宋体" w:hAnsi="宋体" w:cs="宋体"/>
          <w:vertAlign w:val="subscript"/>
          <w:lang w:val="en-US" w:eastAsia="zh-CN"/>
        </w:rPr>
        <w:t xml:space="preserve"> </w:t>
      </w:r>
      <w:r>
        <w:rPr>
          <w:rFonts w:hint="eastAsia" w:ascii="宋体" w:hAnsi="宋体" w:eastAsia="宋体" w:cs="宋体"/>
          <w:vertAlign w:val="subscript"/>
        </w:rPr>
        <w:t xml:space="preserve"> </w:t>
      </w:r>
      <w:r>
        <w:rPr>
          <w:rFonts w:hint="eastAsia" w:ascii="宋体" w:hAnsi="宋体" w:eastAsia="宋体" w:cs="宋体"/>
        </w:rPr>
        <w:t>——按照7.2确定的电量消耗循环里程，单位为千米（km）。</w:t>
      </w:r>
    </w:p>
    <w:p w14:paraId="5DBF8CE0">
      <w:pPr>
        <w:pStyle w:val="105"/>
        <w:bidi w:val="0"/>
      </w:pPr>
      <w:bookmarkStart w:id="57" w:name="_Toc15711"/>
      <w:r>
        <w:rPr>
          <w:rFonts w:hint="eastAsia"/>
        </w:rPr>
        <w:t>电量消耗续驶里程</w:t>
      </w:r>
      <w:bookmarkEnd w:id="57"/>
    </w:p>
    <w:p w14:paraId="236F1712">
      <w:pPr>
        <w:widowControl/>
        <w:ind w:firstLine="630" w:firstLineChars="300"/>
        <w:jc w:val="left"/>
        <w:rPr>
          <w:rFonts w:hint="eastAsia"/>
        </w:rPr>
      </w:pPr>
      <w:r>
        <w:rPr>
          <w:rFonts w:hint="eastAsia"/>
        </w:rPr>
        <w:t>电量消耗续驶里程按照下列公式（2）计算：</w:t>
      </w:r>
    </w:p>
    <w:p w14:paraId="12720C9E">
      <w:pPr>
        <w:widowControl/>
        <w:ind w:firstLine="630" w:firstLineChars="300"/>
        <w:jc w:val="left"/>
        <w:rPr>
          <w:rFonts w:hint="eastAsia"/>
        </w:rPr>
      </w:pPr>
    </w:p>
    <w:p w14:paraId="1D03A9BC">
      <w:pPr>
        <w:pStyle w:val="113"/>
        <w:bidi w:val="0"/>
        <w:rPr>
          <w:rFonts w:hint="eastAsia"/>
          <w:lang w:eastAsia="zh-CN"/>
        </w:rPr>
      </w:pPr>
      <w:r>
        <w:rPr>
          <w:rFonts w:hint="eastAsia"/>
          <w:lang w:eastAsia="zh-CN"/>
        </w:rPr>
        <w:tab/>
      </w:r>
      <m:oMath>
        <m:sSub>
          <m:sSubPr>
            <m:ctrlPr>
              <w:rPr>
                <w:rFonts w:ascii="Cambria Math" w:hAnsi="Cambria Math"/>
              </w:rPr>
            </m:ctrlPr>
          </m:sSubPr>
          <m:e>
            <m:r>
              <m:rPr/>
              <w:rPr>
                <w:rFonts w:ascii="Cambria Math" w:hAnsi="Cambria Math"/>
              </w:rPr>
              <m:t>R</m:t>
            </m:r>
            <m:ctrlPr>
              <w:rPr>
                <w:rFonts w:ascii="Cambria Math" w:hAnsi="Cambria Math"/>
              </w:rPr>
            </m:ctrlPr>
          </m:e>
          <m:sub>
            <m:r>
              <m:rPr>
                <m:sty m:val="p"/>
              </m:rPr>
              <w:rPr>
                <w:rFonts w:ascii="Cambria Math" w:hAnsi="Cambria Math"/>
              </w:rPr>
              <m:t>CDA</m:t>
            </m:r>
            <m:ctrlPr>
              <w:rPr>
                <w:rFonts w:ascii="Cambria Math" w:hAnsi="Cambria Math"/>
              </w:rPr>
            </m:ctrlPr>
          </m:sub>
        </m:sSub>
        <m:r>
          <m:rPr/>
          <w:rPr>
            <w:rFonts w:ascii="Cambria Math" w:hAnsi="Cambria Math"/>
          </w:rPr>
          <m:t>=</m:t>
        </m:r>
        <m:nary>
          <m:naryPr>
            <m:chr m:val="∑"/>
            <m:limLoc m:val="subSup"/>
            <m:ctrlPr>
              <w:rPr>
                <w:rFonts w:ascii="Cambria Math" w:hAnsi="Cambria Math"/>
              </w:rPr>
            </m:ctrlPr>
          </m:naryPr>
          <m:sub>
            <m:r>
              <m:rPr/>
              <w:rPr>
                <w:rFonts w:ascii="Cambria Math" w:hAnsi="Cambria Math"/>
              </w:rPr>
              <m:t>c=1</m:t>
            </m:r>
            <m:ctrlPr>
              <w:rPr>
                <w:rFonts w:ascii="Cambria Math" w:hAnsi="Cambria Math"/>
              </w:rPr>
            </m:ctrlPr>
          </m:sub>
          <m:sup>
            <m:r>
              <m:rPr/>
              <w:rPr>
                <w:rFonts w:ascii="Cambria Math" w:hAnsi="Cambria Math"/>
              </w:rPr>
              <m:t>n−1</m:t>
            </m:r>
            <m:ctrlPr>
              <w:rPr>
                <w:rFonts w:ascii="Cambria Math" w:hAnsi="Cambria Math"/>
              </w:rPr>
            </m:ctrlPr>
          </m:sup>
          <m:e>
            <m:sSub>
              <m:sSubPr>
                <m:ctrlPr>
                  <w:rPr>
                    <w:rFonts w:ascii="Cambria Math" w:hAnsi="Cambria Math"/>
                  </w:rPr>
                </m:ctrlPr>
              </m:sSubPr>
              <m:e>
                <m:r>
                  <m:rPr/>
                  <w:rPr>
                    <w:rFonts w:ascii="Cambria Math" w:hAnsi="Cambria Math"/>
                  </w:rPr>
                  <m:t>d</m:t>
                </m:r>
                <m:ctrlPr>
                  <w:rPr>
                    <w:rFonts w:ascii="Cambria Math" w:hAnsi="Cambria Math"/>
                  </w:rPr>
                </m:ctrlPr>
              </m:e>
              <m:sub>
                <m:r>
                  <m:rPr/>
                  <w:rPr>
                    <w:rFonts w:ascii="Cambria Math" w:hAnsi="Cambria Math"/>
                  </w:rPr>
                  <m:t>c</m:t>
                </m:r>
                <m:ctrlPr>
                  <w:rPr>
                    <w:rFonts w:ascii="Cambria Math" w:hAnsi="Cambria Math"/>
                  </w:rPr>
                </m:ctrlPr>
              </m:sub>
            </m:sSub>
            <m:ctrlPr>
              <w:rPr>
                <w:rFonts w:ascii="Cambria Math" w:hAnsi="Cambria Math"/>
              </w:rPr>
            </m:ctrlPr>
          </m:e>
        </m:nary>
        <m:r>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FC</m:t>
                </m:r>
                <m:ctrlPr>
                  <w:rPr>
                    <w:rFonts w:ascii="Cambria Math" w:hAnsi="Cambria Math"/>
                  </w:rPr>
                </m:ctrlPr>
              </m:e>
              <m:sub>
                <m:r>
                  <m:rPr>
                    <m:sty m:val="p"/>
                  </m:rPr>
                  <w:rPr>
                    <w:rFonts w:ascii="Cambria Math" w:hAnsi="Cambria Math"/>
                  </w:rPr>
                  <m:t>CS</m:t>
                </m:r>
                <m:ctrlPr>
                  <w:rPr>
                    <w:rFonts w:ascii="Cambria Math" w:hAnsi="Cambria Math"/>
                  </w:rPr>
                </m:ctrlPr>
              </m:sub>
            </m:sSub>
            <m:r>
              <m:rPr/>
              <w:rPr>
                <w:rFonts w:ascii="Cambria Math" w:hAnsi="Cambria Math"/>
              </w:rPr>
              <m:t>−</m:t>
            </m:r>
            <m:sSub>
              <m:sSubPr>
                <m:ctrlPr>
                  <w:rPr>
                    <w:rFonts w:ascii="Cambria Math" w:hAnsi="Cambria Math"/>
                  </w:rPr>
                </m:ctrlPr>
              </m:sSubPr>
              <m:e>
                <m:r>
                  <m:rPr>
                    <m:sty m:val="p"/>
                  </m:rPr>
                  <w:rPr>
                    <w:rFonts w:ascii="Cambria Math" w:hAnsi="Cambria Math"/>
                  </w:rPr>
                  <m:t>FC</m:t>
                </m:r>
                <m:ctrlPr>
                  <w:rPr>
                    <w:rFonts w:ascii="Cambria Math" w:hAnsi="Cambria Math"/>
                  </w:rPr>
                </m:ctrlPr>
              </m:e>
              <m:sub>
                <m:r>
                  <m:rPr>
                    <m:sty m:val="p"/>
                  </m:rPr>
                  <w:rPr>
                    <w:rFonts w:ascii="Cambria Math" w:hAnsi="Cambria Math"/>
                  </w:rPr>
                  <m:t>CD</m:t>
                </m:r>
                <m:r>
                  <m:rPr/>
                  <w:rPr>
                    <w:rFonts w:ascii="Cambria Math" w:hAnsi="Cambria Math"/>
                  </w:rPr>
                  <m:t>,n</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FC</m:t>
                </m:r>
                <m:ctrlPr>
                  <w:rPr>
                    <w:rFonts w:ascii="Cambria Math" w:hAnsi="Cambria Math"/>
                  </w:rPr>
                </m:ctrlPr>
              </m:e>
              <m:sub>
                <m:r>
                  <m:rPr>
                    <m:sty m:val="p"/>
                  </m:rPr>
                  <w:rPr>
                    <w:rFonts w:ascii="Cambria Math" w:hAnsi="Cambria Math"/>
                  </w:rPr>
                  <m:t>CS</m:t>
                </m:r>
                <m:ctrlPr>
                  <w:rPr>
                    <w:rFonts w:ascii="Cambria Math" w:hAnsi="Cambria Math"/>
                  </w:rPr>
                </m:ctrlPr>
              </m:sub>
            </m:sSub>
            <m:r>
              <m:rPr/>
              <w:rPr>
                <w:rFonts w:ascii="Cambria Math" w:hAnsi="Cambria Math"/>
              </w:rPr>
              <m:t>−</m:t>
            </m:r>
            <m:sSub>
              <m:sSubPr>
                <m:ctrlPr>
                  <w:rPr>
                    <w:rFonts w:ascii="Cambria Math" w:hAnsi="Cambria Math"/>
                  </w:rPr>
                </m:ctrlPr>
              </m:sSubPr>
              <m:e>
                <m:r>
                  <m:rPr>
                    <m:sty m:val="p"/>
                  </m:rPr>
                  <w:rPr>
                    <w:rFonts w:ascii="Cambria Math" w:hAnsi="Cambria Math"/>
                  </w:rPr>
                  <m:t>FC</m:t>
                </m:r>
                <m:ctrlPr>
                  <w:rPr>
                    <w:rFonts w:ascii="Cambria Math" w:hAnsi="Cambria Math"/>
                  </w:rPr>
                </m:ctrlPr>
              </m:e>
              <m:sub>
                <m:r>
                  <m:rPr>
                    <m:sty m:val="p"/>
                  </m:rPr>
                  <w:rPr>
                    <w:rFonts w:ascii="Cambria Math" w:hAnsi="Cambria Math"/>
                  </w:rPr>
                  <m:t>CD</m:t>
                </m:r>
                <m:r>
                  <m:rPr/>
                  <w:rPr>
                    <w:rFonts w:ascii="Cambria Math" w:hAnsi="Cambria Math"/>
                  </w:rPr>
                  <m:t>,n−1,</m:t>
                </m:r>
                <m:r>
                  <m:rPr>
                    <m:sty m:val="p"/>
                  </m:rPr>
                  <w:rPr>
                    <w:rFonts w:ascii="Cambria Math" w:hAnsi="Cambria Math"/>
                  </w:rPr>
                  <m:t>avg</m:t>
                </m:r>
                <m:ctrlPr>
                  <w:rPr>
                    <w:rFonts w:ascii="Cambria Math" w:hAnsi="Cambria Math"/>
                  </w:rPr>
                </m:ctrlPr>
              </m:sub>
            </m:sSub>
            <m:ctrlPr>
              <w:rPr>
                <w:rFonts w:ascii="Cambria Math" w:hAnsi="Cambria Math"/>
              </w:rPr>
            </m:ctrlPr>
          </m:den>
        </m:f>
        <m:r>
          <m:rPr/>
          <w:rPr>
            <w:rFonts w:ascii="Cambria Math" w:hAnsi="Cambria Math"/>
          </w:rPr>
          <m:t>×</m:t>
        </m:r>
        <m:sSub>
          <m:sSubPr>
            <m:ctrlPr>
              <w:rPr>
                <w:rFonts w:ascii="Cambria Math" w:hAnsi="Cambria Math"/>
              </w:rPr>
            </m:ctrlPr>
          </m:sSubPr>
          <m:e>
            <m:r>
              <m:rPr/>
              <w:rPr>
                <w:rFonts w:ascii="Cambria Math" w:hAnsi="Cambria Math"/>
              </w:rPr>
              <m:t>d</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ascii="微软雅黑" w:hAnsi="微软雅黑" w:eastAsia="微软雅黑" w:cs="微软雅黑"/>
          <w:lang w:eastAsia="zh-CN"/>
        </w:rPr>
        <w:tab/>
      </w:r>
      <w:r>
        <w:rPr>
          <w:rFonts w:hint="eastAsia"/>
          <w:lang w:eastAsia="zh-CN"/>
        </w:rPr>
        <w:t>(</w:t>
      </w:r>
      <w:r>
        <w:rPr>
          <w:rFonts w:hint="eastAsia"/>
          <w:lang w:eastAsia="zh-CN"/>
        </w:rPr>
        <w:fldChar w:fldCharType="begin"/>
      </w:r>
      <w:r>
        <w:rPr>
          <w:rFonts w:hint="eastAsia"/>
          <w:lang w:eastAsia="zh-CN"/>
        </w:rPr>
        <w:instrText xml:space="preserve"> SEQ 公式 \* ARABIC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w:t>
      </w:r>
    </w:p>
    <w:p w14:paraId="2BDA82AA">
      <w:pPr>
        <w:pStyle w:val="55"/>
        <w:rPr>
          <w:rFonts w:hint="eastAsia"/>
          <w:lang w:eastAsia="zh-CN"/>
        </w:rPr>
      </w:pPr>
      <w:r>
        <w:rPr>
          <w:rFonts w:hint="eastAsia"/>
          <w:lang w:eastAsia="zh-CN"/>
        </w:rPr>
        <w:t>式中：</w:t>
      </w:r>
    </w:p>
    <w:p w14:paraId="7943D6D6">
      <w:pPr>
        <w:pStyle w:val="56"/>
        <w:bidi w:val="0"/>
        <w:rPr>
          <w:rFonts w:hint="eastAsia" w:ascii="宋体" w:hAnsi="宋体" w:eastAsia="宋体" w:cs="宋体"/>
          <w:color w:val="auto"/>
          <w:highlight w:val="none"/>
        </w:rPr>
      </w:pPr>
      <w:r>
        <w:rPr>
          <w:rFonts w:hint="eastAsia" w:ascii="宋体" w:hAnsi="宋体" w:eastAsia="宋体" w:cs="宋体"/>
          <w:color w:val="auto"/>
          <w:highlight w:val="none"/>
        </w:rPr>
        <w:t>R</w:t>
      </w:r>
      <w:r>
        <w:rPr>
          <w:rFonts w:hint="eastAsia" w:ascii="宋体" w:hAnsi="宋体" w:eastAsia="宋体" w:cs="宋体"/>
          <w:color w:val="auto"/>
          <w:highlight w:val="none"/>
          <w:vertAlign w:val="subscript"/>
        </w:rPr>
        <w:t>CDA</w:t>
      </w:r>
      <w:r>
        <w:rPr>
          <w:rFonts w:hint="eastAsia" w:ascii="宋体" w:hAnsi="宋体" w:eastAsia="宋体" w:cs="宋体"/>
          <w:color w:val="auto"/>
          <w:highlight w:val="none"/>
          <w:vertAlign w:val="subscript"/>
          <w:lang w:val="en-US" w:eastAsia="zh-CN"/>
        </w:rPr>
        <w:t xml:space="preserve">      </w:t>
      </w:r>
      <w:r>
        <w:rPr>
          <w:rFonts w:hint="eastAsia" w:ascii="宋体" w:hAnsi="宋体" w:cs="宋体"/>
          <w:color w:val="auto"/>
          <w:highlight w:val="none"/>
          <w:vertAlign w:val="subscript"/>
          <w:lang w:val="en-US" w:eastAsia="zh-CN"/>
        </w:rPr>
        <w:t xml:space="preserve">    </w:t>
      </w:r>
      <w:r>
        <w:rPr>
          <w:rFonts w:hint="eastAsia" w:ascii="宋体" w:hAnsi="宋体" w:eastAsia="宋体" w:cs="宋体"/>
          <w:color w:val="auto"/>
          <w:highlight w:val="none"/>
          <w:vertAlign w:val="subscript"/>
          <w:lang w:val="en-US" w:eastAsia="zh-CN"/>
        </w:rPr>
        <w:t xml:space="preserve">  </w:t>
      </w:r>
      <w:r>
        <w:rPr>
          <w:rFonts w:hint="eastAsia" w:ascii="宋体" w:hAnsi="宋体" w:eastAsia="宋体" w:cs="宋体"/>
          <w:color w:val="auto"/>
          <w:highlight w:val="none"/>
        </w:rPr>
        <w:t>——电量消耗续驶里程，单位为千米（km）；</w:t>
      </w:r>
    </w:p>
    <w:p w14:paraId="3BA7EC2F">
      <w:pPr>
        <w:widowControl/>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FC</w:t>
      </w:r>
      <w:r>
        <w:rPr>
          <w:rFonts w:hint="eastAsia" w:ascii="宋体" w:hAnsi="宋体" w:eastAsia="宋体" w:cs="宋体"/>
          <w:color w:val="auto"/>
          <w:highlight w:val="none"/>
          <w:vertAlign w:val="subscript"/>
        </w:rPr>
        <w:t>CS</w:t>
      </w:r>
      <w:r>
        <w:rPr>
          <w:rFonts w:hint="eastAsia" w:ascii="宋体" w:hAnsi="宋体" w:eastAsia="宋体" w:cs="宋体"/>
          <w:color w:val="auto"/>
          <w:highlight w:val="none"/>
          <w:vertAlign w:val="subscript"/>
          <w:lang w:val="en-US" w:eastAsia="zh-CN"/>
        </w:rPr>
        <w:t xml:space="preserve">       </w:t>
      </w:r>
      <w:r>
        <w:rPr>
          <w:rFonts w:hint="eastAsia" w:ascii="宋体" w:hAnsi="宋体" w:cs="宋体"/>
          <w:color w:val="auto"/>
          <w:highlight w:val="none"/>
          <w:vertAlign w:val="subscript"/>
          <w:lang w:val="en-US" w:eastAsia="zh-CN"/>
        </w:rPr>
        <w:t xml:space="preserve">   </w:t>
      </w:r>
      <w:r>
        <w:rPr>
          <w:rFonts w:hint="eastAsia" w:ascii="宋体" w:hAnsi="宋体" w:eastAsia="宋体" w:cs="宋体"/>
          <w:color w:val="auto"/>
          <w:highlight w:val="none"/>
          <w:vertAlign w:val="subscript"/>
          <w:lang w:val="en-US" w:eastAsia="zh-CN"/>
        </w:rPr>
        <w:t xml:space="preserve"> </w:t>
      </w:r>
      <w:r>
        <w:rPr>
          <w:rFonts w:hint="eastAsia" w:ascii="宋体" w:hAnsi="宋体" w:eastAsia="宋体" w:cs="宋体"/>
          <w:color w:val="auto"/>
          <w:highlight w:val="none"/>
        </w:rPr>
        <w:t>——电量保持模式的燃料消耗量，单位为升每百千米（L/100km）；</w:t>
      </w:r>
    </w:p>
    <w:p w14:paraId="5D16E5BC">
      <w:pPr>
        <w:widowControl/>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d</w:t>
      </w:r>
      <w:r>
        <w:rPr>
          <w:rFonts w:hint="eastAsia" w:ascii="宋体" w:hAnsi="宋体" w:cs="宋体"/>
          <w:color w:val="auto"/>
          <w:highlight w:val="none"/>
          <w:vertAlign w:val="subscript"/>
          <w:lang w:val="en-US" w:eastAsia="zh-CN"/>
        </w:rPr>
        <w:t>c</w:t>
      </w:r>
      <w:r>
        <w:rPr>
          <w:rFonts w:hint="eastAsia" w:ascii="宋体" w:hAnsi="宋体" w:eastAsia="宋体" w:cs="宋体"/>
          <w:color w:val="auto"/>
          <w:highlight w:val="none"/>
          <w:vertAlign w:val="subscript"/>
          <w:lang w:val="en-US" w:eastAsia="zh-CN"/>
        </w:rPr>
        <w:t xml:space="preserve"> </w:t>
      </w:r>
      <w:r>
        <w:rPr>
          <w:rFonts w:hint="eastAsia" w:ascii="宋体" w:hAnsi="宋体" w:cs="宋体"/>
          <w:color w:val="auto"/>
          <w:highlight w:val="none"/>
          <w:vertAlign w:val="subscript"/>
          <w:lang w:val="en-US" w:eastAsia="zh-CN"/>
        </w:rPr>
        <w:tab/>
      </w:r>
      <w:r>
        <w:rPr>
          <w:rFonts w:hint="eastAsia" w:ascii="宋体" w:hAnsi="宋体" w:cs="宋体"/>
          <w:color w:val="auto"/>
          <w:highlight w:val="none"/>
          <w:vertAlign w:val="subscript"/>
          <w:lang w:val="en-US" w:eastAsia="zh-CN"/>
        </w:rPr>
        <w:tab/>
      </w:r>
      <w:r>
        <w:rPr>
          <w:rFonts w:hint="eastAsia" w:ascii="宋体" w:hAnsi="宋体" w:cs="宋体"/>
          <w:color w:val="auto"/>
          <w:highlight w:val="none"/>
          <w:vertAlign w:val="subscript"/>
          <w:lang w:val="en-US" w:eastAsia="zh-CN"/>
        </w:rPr>
        <w:t xml:space="preserve"> </w:t>
      </w:r>
      <w:r>
        <w:rPr>
          <w:rFonts w:hint="eastAsia" w:ascii="宋体" w:hAnsi="宋体" w:eastAsia="宋体" w:cs="宋体"/>
          <w:color w:val="auto"/>
          <w:highlight w:val="none"/>
        </w:rPr>
        <w:t>——车辆在第c个试验循环的行驶里程，单位为千米（km）；</w:t>
      </w:r>
    </w:p>
    <w:p w14:paraId="468AB158">
      <w:pPr>
        <w:widowControl/>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d</w:t>
      </w:r>
      <w:r>
        <w:rPr>
          <w:rFonts w:hint="eastAsia" w:ascii="宋体" w:hAnsi="宋体" w:eastAsia="宋体" w:cs="宋体"/>
          <w:color w:val="auto"/>
          <w:highlight w:val="none"/>
          <w:vertAlign w:val="subscript"/>
        </w:rPr>
        <w:t>n</w:t>
      </w:r>
      <w:r>
        <w:rPr>
          <w:rFonts w:hint="eastAsia" w:ascii="宋体" w:hAnsi="宋体" w:eastAsia="宋体" w:cs="宋体"/>
          <w:color w:val="auto"/>
          <w:highlight w:val="none"/>
          <w:lang w:val="en-US" w:eastAsia="zh-CN"/>
        </w:rPr>
        <w:t xml:space="preserve">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——车辆在第n个试验循环的行驶里程，单位为千米（km）；</w:t>
      </w:r>
    </w:p>
    <w:p w14:paraId="3FFAC1F0">
      <w:pPr>
        <w:widowControl/>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FC</w:t>
      </w:r>
      <w:r>
        <w:rPr>
          <w:rFonts w:hint="eastAsia" w:ascii="宋体" w:hAnsi="宋体" w:eastAsia="宋体" w:cs="宋体"/>
          <w:color w:val="auto"/>
          <w:highlight w:val="none"/>
          <w:vertAlign w:val="subscript"/>
        </w:rPr>
        <w:t>CD,n-1，avg</w:t>
      </w:r>
      <w:r>
        <w:rPr>
          <w:rFonts w:hint="eastAsia" w:ascii="宋体" w:hAnsi="宋体" w:eastAsia="宋体" w:cs="宋体"/>
          <w:color w:val="auto"/>
          <w:highlight w:val="none"/>
          <w:vertAlign w:val="subscript"/>
          <w:lang w:val="en-US" w:eastAsia="zh-CN"/>
        </w:rPr>
        <w:t xml:space="preserve"> </w:t>
      </w:r>
      <w:r>
        <w:rPr>
          <w:rFonts w:hint="eastAsia" w:ascii="宋体" w:hAnsi="宋体" w:cs="宋体"/>
          <w:color w:val="auto"/>
          <w:highlight w:val="none"/>
          <w:vertAlign w:val="subscript"/>
          <w:lang w:val="en-US" w:eastAsia="zh-CN"/>
        </w:rPr>
        <w:t xml:space="preserve">  </w:t>
      </w:r>
      <w:r>
        <w:rPr>
          <w:rFonts w:hint="eastAsia" w:ascii="宋体" w:hAnsi="宋体" w:eastAsia="宋体" w:cs="宋体"/>
          <w:color w:val="auto"/>
          <w:highlight w:val="none"/>
        </w:rPr>
        <w:t>——电量消耗模式试验前n-1个燃料消耗量的加权平均值</w:t>
      </w:r>
      <w:r>
        <w:rPr>
          <w:rFonts w:hint="eastAsia" w:ascii="宋体" w:hAnsi="宋体" w:cs="宋体"/>
          <w:color w:val="auto"/>
          <w:highlight w:val="none"/>
          <w:lang w:eastAsia="zh-CN"/>
        </w:rPr>
        <w:t>，</w:t>
      </w:r>
      <w:r>
        <w:rPr>
          <w:rFonts w:hint="eastAsia" w:ascii="宋体" w:hAnsi="宋体" w:eastAsia="宋体" w:cs="宋体"/>
          <w:color w:val="auto"/>
          <w:highlight w:val="none"/>
        </w:rPr>
        <w:t>单位为升每百千米（L/100km）；</w:t>
      </w:r>
    </w:p>
    <w:p w14:paraId="16220944">
      <w:pPr>
        <w:widowControl/>
        <w:ind w:left="420" w:leftChars="200" w:firstLine="0" w:firstLineChars="0"/>
      </w:pPr>
      <w:r>
        <w:rPr>
          <w:rFonts w:hint="eastAsia" w:ascii="宋体" w:hAnsi="宋体" w:eastAsia="宋体" w:cs="宋体"/>
          <w:color w:val="auto"/>
          <w:highlight w:val="none"/>
        </w:rPr>
        <w:t>FC</w:t>
      </w:r>
      <w:r>
        <w:rPr>
          <w:rFonts w:hint="eastAsia" w:ascii="宋体" w:hAnsi="宋体" w:eastAsia="宋体" w:cs="宋体"/>
          <w:color w:val="auto"/>
          <w:highlight w:val="none"/>
          <w:vertAlign w:val="subscript"/>
        </w:rPr>
        <w:t>CD,n</w:t>
      </w:r>
      <w:r>
        <w:rPr>
          <w:rFonts w:hint="eastAsia" w:ascii="宋体" w:hAnsi="宋体" w:eastAsia="宋体" w:cs="宋体"/>
          <w:color w:val="auto"/>
          <w:highlight w:val="none"/>
          <w:vertAlign w:val="subscript"/>
          <w:lang w:val="en-US" w:eastAsia="zh-CN"/>
        </w:rPr>
        <w:t xml:space="preserve">       </w:t>
      </w:r>
      <w:r>
        <w:rPr>
          <w:rFonts w:hint="eastAsia" w:ascii="宋体" w:hAnsi="宋体" w:cs="宋体"/>
          <w:color w:val="auto"/>
          <w:highlight w:val="none"/>
          <w:vertAlign w:val="subscript"/>
          <w:lang w:val="en-US" w:eastAsia="zh-CN"/>
        </w:rPr>
        <w:t xml:space="preserve">  </w:t>
      </w:r>
      <w:r>
        <w:rPr>
          <w:rFonts w:hint="eastAsia" w:ascii="宋体" w:hAnsi="宋体" w:eastAsia="宋体" w:cs="宋体"/>
          <w:color w:val="auto"/>
          <w:highlight w:val="none"/>
        </w:rPr>
        <w:t>——电量消耗模式第n个试验循环的燃料消耗量，单位为升每百千米（L/100km）。</w:t>
      </w:r>
    </w:p>
    <w:p w14:paraId="245819E7">
      <w:pPr>
        <w:pStyle w:val="105"/>
        <w:bidi w:val="0"/>
      </w:pPr>
      <w:bookmarkStart w:id="58" w:name="_Toc13237"/>
      <w:r>
        <w:rPr>
          <w:rFonts w:hint="eastAsia"/>
        </w:rPr>
        <w:t>电量消耗模式试验燃料消耗量</w:t>
      </w:r>
      <w:bookmarkEnd w:id="58"/>
    </w:p>
    <w:p w14:paraId="578FC4DC">
      <w:pPr>
        <w:pStyle w:val="56"/>
        <w:bidi w:val="0"/>
      </w:pPr>
      <w:r>
        <w:rPr>
          <w:rFonts w:hint="eastAsia"/>
        </w:rPr>
        <w:t>按照GB 19753-2021中7.1.1.1中表3所述的过程计算。</w:t>
      </w:r>
    </w:p>
    <w:p w14:paraId="00D49E63">
      <w:pPr>
        <w:pStyle w:val="105"/>
        <w:bidi w:val="0"/>
      </w:pPr>
      <w:bookmarkStart w:id="59" w:name="_Toc17417"/>
      <w:r>
        <w:rPr>
          <w:rFonts w:hint="eastAsia"/>
        </w:rPr>
        <w:t>电量保持模式试验燃料消耗量</w:t>
      </w:r>
      <w:bookmarkEnd w:id="59"/>
    </w:p>
    <w:p w14:paraId="5EEBEA98">
      <w:pPr>
        <w:pStyle w:val="56"/>
        <w:bidi w:val="0"/>
      </w:pPr>
      <w:r>
        <w:rPr>
          <w:rFonts w:hint="eastAsia"/>
        </w:rPr>
        <w:t>按照GB 19753-2021中7.1.1.2中表4所述的过程计算。</w:t>
      </w:r>
    </w:p>
    <w:p w14:paraId="0159A8BC">
      <w:pPr>
        <w:pStyle w:val="105"/>
        <w:bidi w:val="0"/>
      </w:pPr>
      <w:bookmarkStart w:id="60" w:name="_Toc21754"/>
      <w:r>
        <w:rPr>
          <w:rFonts w:hint="eastAsia"/>
        </w:rPr>
        <w:t>OVC-HEV燃料消耗量</w:t>
      </w:r>
      <w:bookmarkEnd w:id="60"/>
    </w:p>
    <w:p w14:paraId="7ED7D646">
      <w:pPr>
        <w:pStyle w:val="56"/>
        <w:bidi w:val="0"/>
        <w:rPr>
          <w:rFonts w:hint="eastAsia" w:ascii="宋体" w:hAnsi="宋体"/>
        </w:rPr>
      </w:pPr>
      <w:r>
        <w:rPr>
          <w:rFonts w:hint="eastAsia"/>
        </w:rPr>
        <w:t>综</w:t>
      </w:r>
      <w:r>
        <w:rPr>
          <w:rFonts w:hint="eastAsia" w:ascii="宋体" w:hAnsi="宋体"/>
        </w:rPr>
        <w:t>合7.5和7.6的计算结果，根据下列公式（3）计算OVC-HEV燃料消耗量：</w:t>
      </w:r>
    </w:p>
    <w:p w14:paraId="5EC7ACC9">
      <w:pPr>
        <w:widowControl/>
        <w:rPr>
          <w:rFonts w:hint="eastAsia" w:ascii="宋体" w:hAnsi="宋体"/>
        </w:rPr>
      </w:pPr>
    </w:p>
    <w:p w14:paraId="26F7DEFD">
      <w:pPr>
        <w:pStyle w:val="113"/>
        <w:bidi w:val="0"/>
        <w:rPr>
          <w:rFonts w:hint="eastAsia"/>
          <w:lang w:eastAsia="zh-CN"/>
        </w:rPr>
      </w:pPr>
      <w:r>
        <w:rPr>
          <w:rFonts w:hint="eastAsia"/>
          <w:lang w:eastAsia="zh-CN"/>
        </w:rPr>
        <w:tab/>
      </w:r>
      <m:oMath>
        <m:sSub>
          <m:sSubPr>
            <m:ctrlPr>
              <w:rPr>
                <w:rFonts w:ascii="Cambria Math" w:hAnsi="Cambria Math"/>
              </w:rPr>
            </m:ctrlPr>
          </m:sSubPr>
          <m:e>
            <m:r>
              <m:rPr>
                <m:sty m:val="p"/>
              </m:rPr>
              <w:rPr>
                <w:rFonts w:ascii="Cambria Math" w:hAnsi="Cambria Math"/>
              </w:rPr>
              <m:t>FC</m:t>
            </m:r>
            <m:ctrlPr>
              <w:rPr>
                <w:rFonts w:ascii="Cambria Math" w:hAnsi="Cambria Math"/>
              </w:rPr>
            </m:ctrlPr>
          </m:e>
          <m:sub>
            <m:r>
              <m:rPr/>
              <w:rPr>
                <w:rFonts w:ascii="Cambria Math" w:hAnsi="Cambria Math"/>
              </w:rPr>
              <m:t>weighted</m:t>
            </m:r>
            <m:ctrlPr>
              <w:rPr>
                <w:rFonts w:ascii="Cambria Math" w:hAnsi="Cambria Math"/>
              </w:rPr>
            </m:ctrlPr>
          </m:sub>
        </m:sSub>
        <m:r>
          <m:rPr/>
          <w:rPr>
            <w:rFonts w:ascii="Cambria Math" w:hAnsi="Cambria Math"/>
          </w:rPr>
          <m:t>=</m:t>
        </m:r>
        <m:nary>
          <m:naryPr>
            <m:chr m:val="∑"/>
            <m:limLoc m:val="subSup"/>
            <m:ctrlPr>
              <w:rPr>
                <w:rFonts w:ascii="Cambria Math" w:hAnsi="Cambria Math"/>
              </w:rPr>
            </m:ctrlPr>
          </m:naryPr>
          <m:sub>
            <m:r>
              <m:rPr/>
              <w:rPr>
                <w:rFonts w:ascii="Cambria Math" w:hAnsi="Cambria Math"/>
              </w:rPr>
              <m:t>c=1</m:t>
            </m:r>
            <m:ctrlPr>
              <w:rPr>
                <w:rFonts w:ascii="Cambria Math" w:hAnsi="Cambria Math"/>
              </w:rPr>
            </m:ctrlPr>
          </m:sub>
          <m:sup>
            <m:r>
              <m:rPr/>
              <w:rPr>
                <w:rFonts w:ascii="Cambria Math" w:hAnsi="Cambria Math"/>
              </w:rPr>
              <m:t>n</m:t>
            </m:r>
            <m:ctrlPr>
              <w:rPr>
                <w:rFonts w:ascii="Cambria Math" w:hAnsi="Cambria Math"/>
              </w:rPr>
            </m:ctrlPr>
          </m:sup>
          <m:e>
            <m:d>
              <m:dPr>
                <m:ctrlPr>
                  <w:rPr>
                    <w:rFonts w:ascii="Cambria Math" w:hAnsi="Cambria Math"/>
                  </w:rPr>
                </m:ctrlPr>
              </m:dPr>
              <m:e>
                <m:sSub>
                  <m:sSubPr>
                    <m:ctrlPr>
                      <w:rPr>
                        <w:rFonts w:ascii="Cambria Math" w:hAnsi="Cambria Math"/>
                      </w:rPr>
                    </m:ctrlPr>
                  </m:sSubPr>
                  <m:e>
                    <m:r>
                      <m:rPr>
                        <m:sty m:val="p"/>
                      </m:rPr>
                      <w:rPr>
                        <w:rFonts w:ascii="Cambria Math" w:hAnsi="Cambria Math"/>
                      </w:rPr>
                      <m:t>UF</m:t>
                    </m:r>
                    <m:ctrlPr>
                      <w:rPr>
                        <w:rFonts w:ascii="Cambria Math" w:hAnsi="Cambria Math"/>
                      </w:rPr>
                    </m:ctrlPr>
                  </m:e>
                  <m:sub>
                    <m:r>
                      <m:rPr/>
                      <w:rPr>
                        <w:rFonts w:ascii="Cambria Math" w:hAnsi="Cambria Math"/>
                      </w:rPr>
                      <m:t>c</m:t>
                    </m:r>
                    <m:ctrlPr>
                      <w:rPr>
                        <w:rFonts w:ascii="Cambria Math" w:hAnsi="Cambria Math"/>
                      </w:rPr>
                    </m:ctrlPr>
                  </m:sub>
                </m:sSub>
                <m:r>
                  <m:rPr/>
                  <w:rPr>
                    <w:rFonts w:ascii="Cambria Math" w:hAnsi="Cambria Math"/>
                  </w:rPr>
                  <m:t>×</m:t>
                </m:r>
                <m:sSub>
                  <m:sSubPr>
                    <m:ctrlPr>
                      <w:rPr>
                        <w:rFonts w:ascii="Cambria Math" w:hAnsi="Cambria Math"/>
                      </w:rPr>
                    </m:ctrlPr>
                  </m:sSubPr>
                  <m:e>
                    <m:r>
                      <m:rPr>
                        <m:sty m:val="p"/>
                      </m:rPr>
                      <w:rPr>
                        <w:rFonts w:ascii="Cambria Math" w:hAnsi="Cambria Math"/>
                      </w:rPr>
                      <m:t>FC</m:t>
                    </m:r>
                    <m:ctrlPr>
                      <w:rPr>
                        <w:rFonts w:ascii="Cambria Math" w:hAnsi="Cambria Math"/>
                      </w:rPr>
                    </m:ctrlPr>
                  </m:e>
                  <m:sub>
                    <m:r>
                      <m:rPr>
                        <m:sty m:val="p"/>
                      </m:rPr>
                      <w:rPr>
                        <w:rFonts w:ascii="Cambria Math" w:hAnsi="Cambria Math"/>
                      </w:rPr>
                      <m:t>CD</m:t>
                    </m:r>
                    <m:r>
                      <m:rPr/>
                      <w:rPr>
                        <w:rFonts w:ascii="Cambria Math" w:hAnsi="Cambria Math"/>
                      </w:rPr>
                      <m:t>,c</m:t>
                    </m:r>
                    <m:ctrlPr>
                      <w:rPr>
                        <w:rFonts w:ascii="Cambria Math" w:hAnsi="Cambria Math"/>
                      </w:rPr>
                    </m:ctrlPr>
                  </m:sub>
                </m:sSub>
                <m:ctrlPr>
                  <w:rPr>
                    <w:rFonts w:ascii="Cambria Math" w:hAnsi="Cambria Math"/>
                  </w:rPr>
                </m:ctrlPr>
              </m:e>
            </m:d>
            <m:ctrlPr>
              <w:rPr>
                <w:rFonts w:ascii="Cambria Math" w:hAnsi="Cambria Math"/>
              </w:rPr>
            </m:ctrlPr>
          </m:e>
        </m:nary>
        <m:r>
          <m:rPr/>
          <w:rPr>
            <w:rFonts w:ascii="Cambria Math" w:hAnsi="Cambria Math"/>
          </w:rPr>
          <m:t>+</m:t>
        </m:r>
        <m:d>
          <m:dPr>
            <m:ctrlPr>
              <w:rPr>
                <w:rFonts w:ascii="Cambria Math" w:hAnsi="Cambria Math"/>
              </w:rPr>
            </m:ctrlPr>
          </m:dPr>
          <m:e>
            <m:r>
              <m:rPr/>
              <w:rPr>
                <w:rFonts w:ascii="Cambria Math" w:hAnsi="Cambria Math"/>
              </w:rPr>
              <m:t>1−</m:t>
            </m:r>
            <m:nary>
              <m:naryPr>
                <m:chr m:val="∑"/>
                <m:limLoc m:val="subSup"/>
                <m:ctrlPr>
                  <w:rPr>
                    <w:rFonts w:ascii="Cambria Math" w:hAnsi="Cambria Math"/>
                  </w:rPr>
                </m:ctrlPr>
              </m:naryPr>
              <m:sub>
                <m:r>
                  <m:rPr/>
                  <w:rPr>
                    <w:rFonts w:ascii="Cambria Math" w:hAnsi="Cambria Math"/>
                  </w:rPr>
                  <m:t>c=1</m:t>
                </m:r>
                <m:ctrlPr>
                  <w:rPr>
                    <w:rFonts w:ascii="Cambria Math" w:hAnsi="Cambria Math"/>
                  </w:rPr>
                </m:ctrlPr>
              </m:sub>
              <m:sup>
                <m:r>
                  <m:rPr/>
                  <w:rPr>
                    <w:rFonts w:ascii="Cambria Math" w:hAnsi="Cambria Math"/>
                  </w:rPr>
                  <m:t>n</m:t>
                </m:r>
                <m:ctrlPr>
                  <w:rPr>
                    <w:rFonts w:ascii="Cambria Math" w:hAnsi="Cambria Math"/>
                  </w:rPr>
                </m:ctrlPr>
              </m:sup>
              <m:e>
                <m:sSub>
                  <m:sSubPr>
                    <m:ctrlPr>
                      <w:rPr>
                        <w:rFonts w:ascii="Cambria Math" w:hAnsi="Cambria Math"/>
                      </w:rPr>
                    </m:ctrlPr>
                  </m:sSubPr>
                  <m:e>
                    <m:r>
                      <m:rPr>
                        <m:sty m:val="p"/>
                      </m:rPr>
                      <w:rPr>
                        <w:rFonts w:ascii="Cambria Math" w:hAnsi="Cambria Math"/>
                      </w:rPr>
                      <m:t>UF</m:t>
                    </m:r>
                    <m:ctrlPr>
                      <w:rPr>
                        <w:rFonts w:ascii="Cambria Math" w:hAnsi="Cambria Math"/>
                      </w:rPr>
                    </m:ctrlPr>
                  </m:e>
                  <m:sub>
                    <m:r>
                      <m:rPr/>
                      <w:rPr>
                        <w:rFonts w:ascii="Cambria Math" w:hAnsi="Cambria Math"/>
                      </w:rPr>
                      <m:t>c</m:t>
                    </m:r>
                    <m:ctrlPr>
                      <w:rPr>
                        <w:rFonts w:ascii="Cambria Math" w:hAnsi="Cambria Math"/>
                      </w:rPr>
                    </m:ctrlPr>
                  </m:sub>
                </m:sSub>
                <m:ctrlPr>
                  <w:rPr>
                    <w:rFonts w:ascii="Cambria Math" w:hAnsi="Cambria Math"/>
                  </w:rPr>
                </m:ctrlPr>
              </m:e>
            </m:nary>
            <m:ctrlPr>
              <w:rPr>
                <w:rFonts w:ascii="Cambria Math" w:hAnsi="Cambria Math"/>
              </w:rPr>
            </m:ctrlPr>
          </m:e>
        </m:d>
        <m:r>
          <m:rPr/>
          <w:rPr>
            <w:rFonts w:ascii="Cambria Math" w:hAnsi="Cambria Math"/>
          </w:rPr>
          <m:t>×</m:t>
        </m:r>
        <m:sSub>
          <m:sSubPr>
            <m:ctrlPr>
              <w:rPr>
                <w:rFonts w:ascii="Cambria Math" w:hAnsi="Cambria Math"/>
              </w:rPr>
            </m:ctrlPr>
          </m:sSubPr>
          <m:e>
            <m:r>
              <m:rPr>
                <m:sty m:val="p"/>
              </m:rPr>
              <w:rPr>
                <w:rFonts w:ascii="Cambria Math" w:hAnsi="Cambria Math"/>
              </w:rPr>
              <m:t>FC</m:t>
            </m:r>
            <m:ctrlPr>
              <w:rPr>
                <w:rFonts w:ascii="Cambria Math" w:hAnsi="Cambria Math"/>
              </w:rPr>
            </m:ctrlPr>
          </m:e>
          <m:sub>
            <m:r>
              <m:rPr>
                <m:sty m:val="p"/>
              </m:rPr>
              <w:rPr>
                <w:rFonts w:ascii="Cambria Math" w:hAnsi="Cambria Math"/>
              </w:rPr>
              <m:t>CS</m:t>
            </m:r>
            <m:ctrlPr>
              <w:rPr>
                <w:rFonts w:ascii="Cambria Math" w:hAnsi="Cambria Math"/>
              </w:rPr>
            </m:ctrlPr>
          </m:sub>
        </m:sSub>
      </m:oMath>
      <w:r>
        <w:rPr>
          <w:rFonts w:hint="eastAsia" w:ascii="微软雅黑" w:hAnsi="微软雅黑" w:eastAsia="微软雅黑" w:cs="微软雅黑"/>
          <w:lang w:eastAsia="zh-CN"/>
        </w:rPr>
        <w:tab/>
      </w:r>
      <w:r>
        <w:rPr>
          <w:rFonts w:hint="eastAsia"/>
          <w:lang w:eastAsia="zh-CN"/>
        </w:rPr>
        <w:t>(</w:t>
      </w:r>
      <w:r>
        <w:rPr>
          <w:rFonts w:hint="eastAsia"/>
          <w:lang w:eastAsia="zh-CN"/>
        </w:rPr>
        <w:fldChar w:fldCharType="begin"/>
      </w:r>
      <w:r>
        <w:rPr>
          <w:rFonts w:hint="eastAsia"/>
          <w:lang w:eastAsia="zh-CN"/>
        </w:rPr>
        <w:instrText xml:space="preserve"> SEQ 公式 \* ARABIC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w:t>
      </w:r>
    </w:p>
    <w:p w14:paraId="537C3310">
      <w:pPr>
        <w:pStyle w:val="55"/>
        <w:rPr>
          <w:rFonts w:hint="eastAsia"/>
          <w:lang w:eastAsia="zh-CN"/>
        </w:rPr>
      </w:pPr>
      <w:r>
        <w:rPr>
          <w:rFonts w:hint="eastAsia"/>
          <w:lang w:eastAsia="zh-CN"/>
        </w:rPr>
        <w:t>式中：</w:t>
      </w:r>
    </w:p>
    <w:p w14:paraId="2EED63E2">
      <w:pPr>
        <w:widowControl/>
        <w:ind w:left="420" w:leftChars="200" w:firstLine="0" w:firstLineChars="0"/>
        <w:rPr>
          <w:rFonts w:hint="eastAsia" w:ascii="宋体" w:hAnsi="宋体" w:eastAsia="宋体" w:cs="宋体"/>
          <w:highlight w:val="none"/>
        </w:rPr>
      </w:pPr>
      <w:r>
        <w:rPr>
          <w:rFonts w:hint="eastAsia" w:ascii="宋体" w:hAnsi="宋体" w:eastAsia="宋体" w:cs="宋体"/>
          <w:b w:val="0"/>
          <w:bCs w:val="0"/>
          <w:highlight w:val="none"/>
        </w:rPr>
        <w:t>FC</w:t>
      </w:r>
      <w:r>
        <w:rPr>
          <w:rFonts w:hint="eastAsia"/>
          <w:b w:val="0"/>
          <w:bCs w:val="0"/>
          <w:highlight w:val="none"/>
          <w:vertAlign w:val="subscript"/>
        </w:rPr>
        <w:t>weighted</w:t>
      </w:r>
      <w:r>
        <w:rPr>
          <w:rFonts w:hint="eastAsia"/>
          <w:b w:val="0"/>
          <w:bCs w:val="0"/>
          <w:highlight w:val="none"/>
          <w:vertAlign w:val="subscript"/>
          <w:lang w:val="en-US" w:eastAsia="zh-CN"/>
        </w:rPr>
        <w:t xml:space="preserve"> </w:t>
      </w:r>
      <w:r>
        <w:rPr>
          <w:rFonts w:hint="eastAsia" w:ascii="宋体" w:hAnsi="宋体" w:eastAsia="宋体" w:cs="宋体"/>
          <w:highlight w:val="none"/>
        </w:rPr>
        <w:t>——</w:t>
      </w:r>
      <w:r>
        <w:rPr>
          <w:rFonts w:hint="eastAsia" w:ascii="宋体" w:hAnsi="宋体" w:cs="宋体"/>
          <w:highlight w:val="none"/>
          <w:lang w:val="en-US" w:eastAsia="zh-CN"/>
        </w:rPr>
        <w:t xml:space="preserve"> </w:t>
      </w:r>
      <w:r>
        <w:rPr>
          <w:rFonts w:hint="eastAsia" w:ascii="宋体" w:hAnsi="宋体" w:eastAsia="宋体" w:cs="宋体"/>
          <w:highlight w:val="none"/>
        </w:rPr>
        <w:t>OVC-HEV燃料消耗量，单位为升每百千米（L/100km）；</w:t>
      </w:r>
    </w:p>
    <w:p w14:paraId="370F19FA">
      <w:pPr>
        <w:widowControl/>
        <w:ind w:left="420" w:leftChars="200" w:firstLine="0" w:firstLineChars="0"/>
        <w:rPr>
          <w:rFonts w:hint="eastAsia" w:ascii="宋体" w:hAnsi="宋体" w:eastAsia="宋体" w:cs="宋体"/>
          <w:highlight w:val="none"/>
        </w:rPr>
      </w:pPr>
      <w:r>
        <w:rPr>
          <w:rFonts w:hint="eastAsia" w:ascii="宋体" w:hAnsi="宋体" w:eastAsia="宋体" w:cs="宋体"/>
          <w:highlight w:val="none"/>
        </w:rPr>
        <w:t>FC</w:t>
      </w:r>
      <w:r>
        <w:rPr>
          <w:rFonts w:hint="eastAsia" w:ascii="宋体" w:hAnsi="宋体" w:eastAsia="宋体" w:cs="宋体"/>
          <w:highlight w:val="none"/>
          <w:vertAlign w:val="subscript"/>
        </w:rPr>
        <w:t>CS</w:t>
      </w:r>
      <w:r>
        <w:rPr>
          <w:rFonts w:hint="eastAsia" w:ascii="宋体" w:hAnsi="宋体" w:eastAsia="宋体" w:cs="宋体"/>
          <w:highlight w:val="none"/>
          <w:vertAlign w:val="subscript"/>
          <w:lang w:val="en-US" w:eastAsia="zh-CN"/>
        </w:rPr>
        <w:t xml:space="preserve">       </w:t>
      </w:r>
      <w:r>
        <w:rPr>
          <w:rFonts w:hint="eastAsia" w:ascii="宋体" w:hAnsi="宋体" w:cs="宋体"/>
          <w:highlight w:val="none"/>
          <w:vertAlign w:val="subscript"/>
          <w:lang w:val="en-US" w:eastAsia="zh-CN"/>
        </w:rPr>
        <w:t xml:space="preserve"> </w:t>
      </w:r>
      <w:r>
        <w:rPr>
          <w:rFonts w:hint="eastAsia" w:ascii="宋体" w:hAnsi="宋体" w:eastAsia="宋体" w:cs="宋体"/>
          <w:highlight w:val="none"/>
        </w:rPr>
        <w:t>——</w:t>
      </w:r>
      <w:r>
        <w:rPr>
          <w:rFonts w:hint="eastAsia" w:ascii="宋体" w:hAnsi="宋体" w:cs="宋体"/>
          <w:highlight w:val="none"/>
          <w:lang w:val="en-US" w:eastAsia="zh-CN"/>
        </w:rPr>
        <w:t xml:space="preserve"> </w:t>
      </w:r>
      <w:r>
        <w:rPr>
          <w:rFonts w:hint="eastAsia" w:ascii="宋体" w:hAnsi="宋体" w:eastAsia="宋体" w:cs="宋体"/>
          <w:highlight w:val="none"/>
        </w:rPr>
        <w:t>电量保持模式的燃料消耗量，单位为升每百千米（L/100km）；</w:t>
      </w:r>
    </w:p>
    <w:p w14:paraId="498EBC43">
      <w:pPr>
        <w:widowControl/>
        <w:ind w:left="420" w:leftChars="200" w:firstLine="0" w:firstLineChars="0"/>
      </w:pPr>
      <w:r>
        <w:rPr>
          <w:rFonts w:hint="eastAsia" w:ascii="宋体" w:hAnsi="宋体" w:eastAsia="宋体" w:cs="宋体"/>
          <w:highlight w:val="none"/>
        </w:rPr>
        <w:t>FC</w:t>
      </w:r>
      <w:r>
        <w:rPr>
          <w:rFonts w:hint="eastAsia" w:ascii="宋体" w:hAnsi="宋体" w:eastAsia="宋体" w:cs="宋体"/>
          <w:highlight w:val="none"/>
          <w:vertAlign w:val="subscript"/>
        </w:rPr>
        <w:t>CD,c</w:t>
      </w:r>
      <w:r>
        <w:rPr>
          <w:rFonts w:hint="eastAsia" w:ascii="宋体" w:hAnsi="宋体" w:eastAsia="宋体" w:cs="宋体"/>
          <w:highlight w:val="none"/>
          <w:vertAlign w:val="subscript"/>
          <w:lang w:val="en-US" w:eastAsia="zh-CN"/>
        </w:rPr>
        <w:t xml:space="preserve">    </w:t>
      </w:r>
      <w:r>
        <w:rPr>
          <w:rFonts w:hint="eastAsia" w:ascii="宋体" w:hAnsi="宋体" w:cs="宋体"/>
          <w:highlight w:val="none"/>
          <w:vertAlign w:val="subscript"/>
          <w:lang w:val="en-US" w:eastAsia="zh-CN"/>
        </w:rPr>
        <w:t xml:space="preserve">  </w:t>
      </w:r>
      <w:r>
        <w:rPr>
          <w:rFonts w:hint="eastAsia" w:ascii="宋体" w:hAnsi="宋体" w:eastAsia="宋体" w:cs="宋体"/>
          <w:highlight w:val="none"/>
        </w:rPr>
        <w:t>——</w:t>
      </w:r>
      <w:r>
        <w:rPr>
          <w:rFonts w:hint="eastAsia" w:ascii="宋体" w:hAnsi="宋体" w:cs="宋体"/>
          <w:highlight w:val="none"/>
          <w:lang w:val="en-US" w:eastAsia="zh-CN"/>
        </w:rPr>
        <w:t xml:space="preserve"> </w:t>
      </w:r>
      <w:r>
        <w:rPr>
          <w:rFonts w:hint="eastAsia" w:ascii="宋体" w:hAnsi="宋体" w:eastAsia="宋体" w:cs="宋体"/>
          <w:highlight w:val="none"/>
        </w:rPr>
        <w:t>电量消</w:t>
      </w:r>
      <w:r>
        <w:rPr>
          <w:rFonts w:hint="eastAsia"/>
          <w:highlight w:val="none"/>
        </w:rPr>
        <w:t>耗模式第c个试验循环的燃料消耗量，单位为升每百千米</w:t>
      </w:r>
      <w:r>
        <w:rPr>
          <w:rFonts w:hint="eastAsia" w:ascii="宋体" w:hAnsi="宋体" w:eastAsia="宋体" w:cs="宋体"/>
          <w:highlight w:val="none"/>
        </w:rPr>
        <w:t>（L/100km）</w:t>
      </w:r>
      <w:r>
        <w:rPr>
          <w:rFonts w:hint="eastAsia"/>
          <w:highlight w:val="none"/>
        </w:rPr>
        <w:t>。</w:t>
      </w:r>
    </w:p>
    <w:p w14:paraId="4C29DA2D">
      <w:pPr>
        <w:pStyle w:val="105"/>
        <w:bidi w:val="0"/>
        <w:rPr>
          <w:rFonts w:ascii="黑体" w:eastAsia="黑体"/>
        </w:rPr>
      </w:pPr>
      <w:bookmarkStart w:id="61" w:name="_Toc18575"/>
      <w:r>
        <w:rPr>
          <w:rFonts w:hint="eastAsia"/>
        </w:rPr>
        <w:t>压缩天然气汽车天然气--液体燃料消耗量换算方法</w:t>
      </w:r>
      <w:bookmarkEnd w:id="61"/>
    </w:p>
    <w:p w14:paraId="6B1EF791">
      <w:pPr>
        <w:pStyle w:val="56"/>
        <w:bidi w:val="0"/>
        <w:rPr>
          <w:rFonts w:hint="eastAsia"/>
        </w:rPr>
      </w:pPr>
      <w:r>
        <w:rPr>
          <w:rFonts w:hint="eastAsia"/>
        </w:rPr>
        <w:t>按照GB/T 29125</w:t>
      </w:r>
      <w:r>
        <w:rPr>
          <w:rFonts w:hint="eastAsia"/>
          <w:lang w:eastAsia="zh-CN"/>
        </w:rPr>
        <w:t>—</w:t>
      </w:r>
      <w:r>
        <w:rPr>
          <w:rFonts w:hint="eastAsia"/>
        </w:rPr>
        <w:t>2012中附录D所述的过程计算。</w:t>
      </w:r>
    </w:p>
    <w:p w14:paraId="327F492B">
      <w:pPr>
        <w:pStyle w:val="56"/>
        <w:bidi w:val="0"/>
        <w:rPr>
          <w:rFonts w:hint="eastAsia"/>
        </w:rPr>
      </w:pPr>
    </w:p>
    <w:p w14:paraId="607D7217">
      <w:pPr>
        <w:pStyle w:val="56"/>
        <w:bidi w:val="0"/>
        <w:rPr>
          <w:rFonts w:hint="eastAsia"/>
        </w:rPr>
      </w:pPr>
    </w:p>
    <w:p w14:paraId="3A119865">
      <w:pPr>
        <w:pStyle w:val="56"/>
        <w:bidi w:val="0"/>
        <w:rPr>
          <w:rFonts w:hint="eastAsia"/>
        </w:rPr>
      </w:pPr>
    </w:p>
    <w:p w14:paraId="69ED003F">
      <w:pPr>
        <w:pStyle w:val="56"/>
        <w:bidi w:val="0"/>
        <w:rPr>
          <w:rFonts w:hint="eastAsia"/>
        </w:rPr>
      </w:pPr>
    </w:p>
    <w:p w14:paraId="745303A9">
      <w:pPr>
        <w:pStyle w:val="56"/>
        <w:bidi w:val="0"/>
        <w:rPr>
          <w:rFonts w:hint="eastAsia"/>
        </w:rPr>
      </w:pPr>
    </w:p>
    <w:p w14:paraId="764A5519">
      <w:pPr>
        <w:pStyle w:val="56"/>
        <w:bidi w:val="0"/>
        <w:rPr>
          <w:rFonts w:hint="eastAsia"/>
        </w:rPr>
      </w:pPr>
    </w:p>
    <w:p w14:paraId="2B3DAAB9">
      <w:pPr>
        <w:pStyle w:val="56"/>
        <w:bidi w:val="0"/>
        <w:rPr>
          <w:rFonts w:hint="eastAsia"/>
        </w:rPr>
      </w:pPr>
    </w:p>
    <w:p w14:paraId="2635B369">
      <w:pPr>
        <w:pStyle w:val="56"/>
        <w:bidi w:val="0"/>
        <w:rPr>
          <w:rFonts w:hint="eastAsia"/>
        </w:rPr>
      </w:pPr>
    </w:p>
    <w:p w14:paraId="1344DEA3">
      <w:pPr>
        <w:pStyle w:val="56"/>
        <w:bidi w:val="0"/>
        <w:rPr>
          <w:rFonts w:hint="eastAsia"/>
        </w:rPr>
      </w:pPr>
    </w:p>
    <w:p w14:paraId="22210567">
      <w:pPr>
        <w:pStyle w:val="162"/>
        <w:numPr>
          <w:ilvl w:val="2"/>
          <w:numId w:val="0"/>
        </w:numPr>
        <w:jc w:val="center"/>
        <w:rPr>
          <w:rFonts w:hint="default" w:eastAsia="宋体"/>
          <w:lang w:val="en-US" w:eastAsia="zh-CN"/>
        </w:rPr>
      </w:pPr>
    </w:p>
    <w:p w14:paraId="2FB8097D">
      <w:pPr>
        <w:pStyle w:val="162"/>
        <w:numPr>
          <w:ilvl w:val="2"/>
          <w:numId w:val="0"/>
        </w:numPr>
        <w:jc w:val="center"/>
        <w:rPr>
          <w:rFonts w:hint="default" w:eastAsia="宋体"/>
          <w:lang w:val="en-US" w:eastAsia="zh-CN"/>
        </w:rPr>
      </w:pPr>
    </w:p>
    <w:p w14:paraId="031C8ABE">
      <w:pPr>
        <w:pStyle w:val="56"/>
        <w:bidi w:val="0"/>
        <w:rPr>
          <w:rFonts w:hint="default"/>
          <w:lang w:val="en-US" w:eastAsia="zh-CN"/>
        </w:rPr>
      </w:pPr>
    </w:p>
    <w:p w14:paraId="2B47F29E">
      <w:pPr>
        <w:pStyle w:val="56"/>
        <w:bidi w:val="0"/>
        <w:rPr>
          <w:rFonts w:hint="default"/>
          <w:lang w:val="en-US" w:eastAsia="zh-CN"/>
        </w:rPr>
      </w:pPr>
    </w:p>
    <w:p w14:paraId="3CC94E84">
      <w:pPr>
        <w:pStyle w:val="56"/>
        <w:bidi w:val="0"/>
        <w:rPr>
          <w:rFonts w:hint="default"/>
          <w:lang w:val="en-US" w:eastAsia="zh-CN"/>
        </w:rPr>
      </w:pPr>
    </w:p>
    <w:p w14:paraId="167D1126">
      <w:pPr>
        <w:pStyle w:val="56"/>
        <w:rPr>
          <w:rFonts w:hint="default"/>
          <w:lang w:val="en-US" w:eastAsia="zh-CN"/>
        </w:rPr>
      </w:pPr>
    </w:p>
    <w:p w14:paraId="7F9EBFA4">
      <w:pPr>
        <w:pStyle w:val="56"/>
        <w:bidi w:val="0"/>
        <w:rPr>
          <w:rFonts w:hint="default"/>
          <w:lang w:val="en-US" w:eastAsia="zh-CN"/>
        </w:rPr>
        <w:sectPr>
          <w:pgSz w:w="11906" w:h="16838"/>
          <w:pgMar w:top="1928" w:right="1134" w:bottom="1134" w:left="1134" w:header="1418" w:footer="1134" w:gutter="284"/>
          <w:pgNumType w:fmt="decimal"/>
          <w:cols w:space="425" w:num="1"/>
          <w:formProt w:val="0"/>
          <w:docGrid w:linePitch="312" w:charSpace="0"/>
        </w:sectPr>
      </w:pPr>
    </w:p>
    <w:bookmarkEnd w:id="22"/>
    <w:p w14:paraId="7AE2E9B1">
      <w:pPr>
        <w:pStyle w:val="198"/>
        <w:bidi w:val="0"/>
        <w:rPr>
          <w:rFonts w:hint="default"/>
          <w:lang w:val="en-US" w:eastAsia="zh-CN"/>
        </w:rPr>
      </w:pPr>
      <w:bookmarkStart w:id="62" w:name="BookMark5"/>
    </w:p>
    <w:p w14:paraId="50EAABF5">
      <w:pPr>
        <w:pStyle w:val="199"/>
        <w:bidi w:val="0"/>
        <w:rPr>
          <w:rFonts w:hint="default"/>
          <w:lang w:val="en-US" w:eastAsia="zh-CN"/>
        </w:rPr>
      </w:pPr>
    </w:p>
    <w:p w14:paraId="22B1DE08">
      <w:pPr>
        <w:pStyle w:val="76"/>
        <w:bidi w:val="0"/>
        <w:rPr>
          <w:rFonts w:hint="eastAsia"/>
          <w:lang w:val="en-US" w:eastAsia="zh-CN"/>
        </w:rPr>
      </w:pPr>
      <w:bookmarkStart w:id="63" w:name="_Toc30214"/>
      <w:r>
        <w:rPr>
          <w:rFonts w:hint="eastAsia"/>
          <w:lang w:val="en-US" w:eastAsia="zh-CN"/>
        </w:rPr>
        <w:t>附录A</w:t>
      </w:r>
      <w:r>
        <w:rPr>
          <w:rFonts w:hint="default"/>
          <w:lang w:val="en-US" w:eastAsia="zh-CN"/>
        </w:rPr>
        <w:br w:type="textWrapping"/>
      </w:r>
      <w:r>
        <w:rPr>
          <w:rFonts w:hint="eastAsia"/>
          <w:lang w:val="en-US" w:eastAsia="zh-CN"/>
        </w:rPr>
        <w:t>（资料性）</w:t>
      </w:r>
      <w:r>
        <w:rPr>
          <w:rFonts w:hint="eastAsia"/>
          <w:lang w:val="en-US" w:eastAsia="zh-CN"/>
        </w:rPr>
        <w:br w:type="textWrapping"/>
      </w:r>
      <w:r>
        <w:rPr>
          <w:rFonts w:hint="eastAsia"/>
          <w:lang w:val="en-US" w:eastAsia="zh-CN"/>
        </w:rPr>
        <w:t>加注甲醇的要求</w:t>
      </w:r>
      <w:bookmarkEnd w:id="63"/>
    </w:p>
    <w:p w14:paraId="714000CE">
      <w:pPr>
        <w:pStyle w:val="56"/>
        <w:bidi w:val="0"/>
        <w:rPr>
          <w:rFonts w:hint="default"/>
          <w:lang w:val="en-US" w:eastAsia="zh-CN"/>
        </w:rPr>
      </w:pPr>
    </w:p>
    <w:p w14:paraId="284DE746">
      <w:pPr>
        <w:pStyle w:val="105"/>
        <w:numPr>
          <w:ilvl w:val="2"/>
          <w:numId w:val="0"/>
        </w:numPr>
        <w:bidi w:val="0"/>
        <w:ind w:leftChars="0"/>
      </w:pPr>
      <w:bookmarkStart w:id="64" w:name="_Toc8873"/>
      <w:r>
        <w:rPr>
          <w:rFonts w:hint="eastAsia"/>
        </w:rPr>
        <w:t>A.1注意事项</w:t>
      </w:r>
      <w:bookmarkEnd w:id="64"/>
    </w:p>
    <w:p w14:paraId="73445582">
      <w:pPr>
        <w:pStyle w:val="165"/>
        <w:numPr>
          <w:ilvl w:val="3"/>
          <w:numId w:val="0"/>
        </w:numPr>
        <w:bidi w:val="0"/>
        <w:ind w:leftChars="0"/>
      </w:pPr>
      <w:r>
        <w:rPr>
          <w:rFonts w:hint="eastAsia" w:ascii="黑体" w:hAnsi="黑体" w:eastAsia="黑体" w:cs="黑体"/>
        </w:rPr>
        <w:t>A.1.1</w:t>
      </w:r>
      <w:r>
        <w:rPr>
          <w:rFonts w:hint="eastAsia"/>
        </w:rPr>
        <w:t xml:space="preserve">  调配前请确保相关管路、调配设备、储罐等清洁；</w:t>
      </w:r>
    </w:p>
    <w:p w14:paraId="5AAA8128">
      <w:pPr>
        <w:pStyle w:val="165"/>
        <w:numPr>
          <w:ilvl w:val="3"/>
          <w:numId w:val="0"/>
        </w:numPr>
        <w:bidi w:val="0"/>
        <w:ind w:leftChars="0"/>
      </w:pPr>
      <w:r>
        <w:rPr>
          <w:rFonts w:hint="eastAsia" w:ascii="黑体" w:hAnsi="黑体" w:eastAsia="黑体" w:cs="黑体"/>
        </w:rPr>
        <w:t xml:space="preserve">A.1.2 </w:t>
      </w:r>
      <w:r>
        <w:rPr>
          <w:rFonts w:hint="eastAsia"/>
        </w:rPr>
        <w:t xml:space="preserve"> 添加剂称量及调配过程中，需要佩戴口罩、手套等防护工具，避免与甲醇及添加剂的直接接触，确保人身安全；</w:t>
      </w:r>
    </w:p>
    <w:p w14:paraId="52C4FDAD">
      <w:pPr>
        <w:pStyle w:val="165"/>
        <w:numPr>
          <w:ilvl w:val="3"/>
          <w:numId w:val="0"/>
        </w:numPr>
        <w:bidi w:val="0"/>
        <w:ind w:leftChars="0"/>
      </w:pPr>
      <w:r>
        <w:rPr>
          <w:rFonts w:hint="eastAsia" w:ascii="黑体" w:hAnsi="黑体" w:eastAsia="黑体" w:cs="黑体"/>
        </w:rPr>
        <w:t xml:space="preserve">A.1.3 </w:t>
      </w:r>
      <w:r>
        <w:rPr>
          <w:rFonts w:hint="eastAsia"/>
        </w:rPr>
        <w:t xml:space="preserve"> 称量、搅拌过程中，应确保燃料桶、搅拌工具的清洁性，避免污染物及灰尘杂质等进入到甲醇中。</w:t>
      </w:r>
    </w:p>
    <w:p w14:paraId="091CBEE0">
      <w:pPr>
        <w:pStyle w:val="56"/>
        <w:bidi w:val="0"/>
        <w:rPr>
          <w:rFonts w:hint="default"/>
          <w:lang w:val="en-US" w:eastAsia="zh-CN"/>
        </w:rPr>
      </w:pPr>
    </w:p>
    <w:p w14:paraId="4ED50621">
      <w:pPr>
        <w:pStyle w:val="56"/>
        <w:bidi w:val="0"/>
        <w:rPr>
          <w:rFonts w:hint="default"/>
          <w:lang w:val="en-US" w:eastAsia="zh-CN"/>
        </w:rPr>
      </w:pPr>
    </w:p>
    <w:p w14:paraId="252C1CF5">
      <w:pPr>
        <w:pStyle w:val="56"/>
        <w:rPr>
          <w:rFonts w:hint="default"/>
          <w:lang w:val="en-US" w:eastAsia="zh-CN"/>
        </w:rPr>
        <w:sectPr>
          <w:pgSz w:w="11906" w:h="16838"/>
          <w:pgMar w:top="1928" w:right="1134" w:bottom="1134" w:left="1134" w:header="1418" w:footer="1134" w:gutter="284"/>
          <w:pgNumType w:fmt="decimal"/>
          <w:cols w:space="425" w:num="1"/>
          <w:formProt w:val="0"/>
          <w:docGrid w:linePitch="312" w:charSpace="0"/>
        </w:sectPr>
      </w:pPr>
    </w:p>
    <w:p w14:paraId="00DC48A1">
      <w:pPr>
        <w:pStyle w:val="198"/>
        <w:bidi w:val="0"/>
        <w:rPr>
          <w:rFonts w:hint="default"/>
          <w:lang w:val="en-US" w:eastAsia="zh-CN"/>
        </w:rPr>
      </w:pPr>
    </w:p>
    <w:p w14:paraId="49969122">
      <w:pPr>
        <w:pStyle w:val="199"/>
        <w:bidi w:val="0"/>
        <w:rPr>
          <w:rFonts w:hint="default"/>
          <w:lang w:val="en-US" w:eastAsia="zh-CN"/>
        </w:rPr>
      </w:pPr>
    </w:p>
    <w:p w14:paraId="6294DCB7">
      <w:pPr>
        <w:pStyle w:val="76"/>
        <w:bidi w:val="0"/>
        <w:rPr>
          <w:rFonts w:hint="eastAsia"/>
          <w:lang w:val="en-US" w:eastAsia="zh-CN"/>
        </w:rPr>
      </w:pPr>
      <w:bookmarkStart w:id="65" w:name="_Toc21653"/>
      <w:r>
        <w:rPr>
          <w:rFonts w:hint="eastAsia"/>
          <w:lang w:val="en-US" w:eastAsia="zh-CN"/>
        </w:rPr>
        <w:t>附录B</w:t>
      </w:r>
      <w:r>
        <w:rPr>
          <w:rFonts w:hint="default"/>
          <w:lang w:val="en-US" w:eastAsia="zh-CN"/>
        </w:rPr>
        <w:br w:type="textWrapping"/>
      </w:r>
      <w:r>
        <w:rPr>
          <w:rFonts w:hint="eastAsia"/>
          <w:lang w:val="en-US" w:eastAsia="zh-CN"/>
        </w:rPr>
        <w:t>（规范性）</w:t>
      </w:r>
      <w:r>
        <w:rPr>
          <w:rFonts w:hint="eastAsia"/>
          <w:lang w:val="en-US" w:eastAsia="zh-CN"/>
        </w:rPr>
        <w:br w:type="textWrapping"/>
      </w:r>
      <w:r>
        <w:rPr>
          <w:rFonts w:hint="eastAsia"/>
          <w:lang w:val="en-US" w:eastAsia="zh-CN"/>
        </w:rPr>
        <w:t>驾驶模式的选择</w:t>
      </w:r>
      <w:bookmarkEnd w:id="65"/>
    </w:p>
    <w:p w14:paraId="1FA11425">
      <w:pPr>
        <w:pStyle w:val="56"/>
        <w:bidi w:val="0"/>
        <w:rPr>
          <w:rFonts w:hint="default"/>
          <w:lang w:val="en-US" w:eastAsia="zh-CN"/>
        </w:rPr>
      </w:pPr>
    </w:p>
    <w:p w14:paraId="32F40D12">
      <w:pPr>
        <w:pStyle w:val="105"/>
        <w:numPr>
          <w:ilvl w:val="2"/>
          <w:numId w:val="0"/>
        </w:numPr>
        <w:bidi w:val="0"/>
        <w:ind w:leftChars="0"/>
        <w:rPr>
          <w:rFonts w:hint="eastAsia"/>
        </w:rPr>
      </w:pPr>
      <w:bookmarkStart w:id="66" w:name="_Toc21122"/>
      <w:r>
        <w:rPr>
          <w:rFonts w:hint="eastAsia"/>
        </w:rPr>
        <w:t>B.1 装有驾驶模式选择功能的电量保持模式试验</w:t>
      </w:r>
      <w:bookmarkEnd w:id="66"/>
    </w:p>
    <w:p w14:paraId="0F6895A9">
      <w:pPr>
        <w:pStyle w:val="233"/>
        <w:framePr w:hSpace="0" w:vSpace="0" w:wrap="auto" w:vAnchor="margin" w:hAnchor="text" w:xAlign="left" w:yAlign="inline"/>
      </w:pPr>
      <w:r>
        <w:rPr>
          <w:rFonts w:hint="eastAsia" w:ascii="黑体" w:hAnsi="黑体" w:eastAsia="黑体" w:cs="黑体"/>
        </w:rPr>
        <w:t>B.1.1</w:t>
      </w:r>
      <w:r>
        <w:rPr>
          <w:rFonts w:hint="eastAsia"/>
        </w:rPr>
        <w:t xml:space="preserve"> 如果有主模式，且该模式可以使车辆在电量保持模式试验跟随试验循环，则选择该模式。</w:t>
      </w:r>
    </w:p>
    <w:p w14:paraId="7B474D34">
      <w:pPr>
        <w:pStyle w:val="165"/>
        <w:numPr>
          <w:ilvl w:val="3"/>
          <w:numId w:val="0"/>
        </w:numPr>
        <w:bidi w:val="0"/>
        <w:ind w:leftChars="0"/>
        <w:rPr>
          <w:rFonts w:hint="eastAsia" w:eastAsia="宋体"/>
          <w:lang w:eastAsia="zh-CN"/>
        </w:rPr>
      </w:pPr>
      <w:r>
        <w:rPr>
          <w:rFonts w:hint="eastAsia" w:ascii="黑体" w:hAnsi="黑体" w:eastAsia="黑体" w:cs="黑体"/>
          <w:kern w:val="2"/>
          <w:sz w:val="21"/>
          <w:szCs w:val="21"/>
          <w:lang w:val="en-US" w:eastAsia="zh-CN" w:bidi="ar-SA"/>
        </w:rPr>
        <w:t>B.1.2</w:t>
      </w:r>
      <w:r>
        <w:rPr>
          <w:rFonts w:hint="eastAsia"/>
        </w:rPr>
        <w:t xml:space="preserve"> </w:t>
      </w:r>
      <w:r>
        <w:rPr>
          <w:rFonts w:hint="eastAsia" w:ascii="宋体" w:eastAsia="宋体"/>
        </w:rPr>
        <w:t>如果没有主模式，或有主模式但该模式不能使车辆在电量保持模式试验跟随试验循环，则驾驶模式应按照以下规定选择</w:t>
      </w:r>
      <w:r>
        <w:rPr>
          <w:rFonts w:hint="eastAsia"/>
          <w:lang w:eastAsia="zh-CN"/>
        </w:rPr>
        <w:t>。</w:t>
      </w:r>
    </w:p>
    <w:p w14:paraId="709E5B94">
      <w:pPr>
        <w:pStyle w:val="174"/>
        <w:bidi w:val="0"/>
        <w:ind w:left="851" w:leftChars="0" w:hanging="426" w:firstLineChars="0"/>
      </w:pPr>
      <w:r>
        <w:rPr>
          <w:rFonts w:hint="eastAsia"/>
        </w:rPr>
        <w:t>如果只有一个可选模式可以使车辆在电量保持模式试验跟随试验循环，则选择该模式。</w:t>
      </w:r>
    </w:p>
    <w:p w14:paraId="627CBC0B">
      <w:pPr>
        <w:pStyle w:val="174"/>
        <w:bidi w:val="0"/>
        <w:ind w:left="851" w:leftChars="0" w:hanging="426" w:firstLineChars="0"/>
      </w:pPr>
      <w:r>
        <w:rPr>
          <w:rFonts w:hint="eastAsia"/>
        </w:rPr>
        <w:t>如果有多个模式可以使车辆在电量保持模式试验跟随试验循环，则选择燃料消耗最高的模式，或同时选择燃料消耗最高和最低的模式，并对测试结果取算术平均值。</w:t>
      </w:r>
    </w:p>
    <w:p w14:paraId="270FB31F">
      <w:pPr>
        <w:pStyle w:val="165"/>
        <w:numPr>
          <w:ilvl w:val="3"/>
          <w:numId w:val="0"/>
        </w:numPr>
        <w:bidi w:val="0"/>
        <w:ind w:leftChars="0"/>
      </w:pPr>
      <w:r>
        <w:rPr>
          <w:rFonts w:hint="eastAsia" w:ascii="黑体" w:hAnsi="黑体" w:eastAsia="黑体" w:cs="黑体"/>
          <w:kern w:val="2"/>
          <w:sz w:val="21"/>
          <w:szCs w:val="21"/>
          <w:lang w:val="en-US" w:eastAsia="zh-CN" w:bidi="ar-SA"/>
        </w:rPr>
        <w:t>B.1.3</w:t>
      </w:r>
      <w:r>
        <w:rPr>
          <w:rFonts w:hint="eastAsia" w:ascii="Calibri" w:hAnsi="Calibri" w:eastAsia="宋体" w:cs="Times New Roman"/>
          <w:kern w:val="2"/>
          <w:sz w:val="21"/>
          <w:szCs w:val="21"/>
          <w:lang w:val="en-US" w:eastAsia="zh-CN" w:bidi="ar-SA"/>
        </w:rPr>
        <w:t xml:space="preserve"> </w:t>
      </w:r>
      <w:r>
        <w:rPr>
          <w:rFonts w:hint="eastAsia"/>
        </w:rPr>
        <w:t>如果没有任何模式可以使车辆在电量保持模式试验跟随试验循环，则对该循环根据GB 1835.26</w:t>
      </w:r>
      <w:r>
        <w:rPr>
          <w:rFonts w:hint="eastAsia"/>
          <w:lang w:eastAsia="zh-CN"/>
        </w:rPr>
        <w:t>—</w:t>
      </w:r>
      <w:r>
        <w:rPr>
          <w:rFonts w:hint="eastAsia"/>
        </w:rPr>
        <w:t>2016中CA.5进行修正。</w:t>
      </w:r>
    </w:p>
    <w:p w14:paraId="49019B6C">
      <w:pPr>
        <w:pStyle w:val="105"/>
        <w:numPr>
          <w:ilvl w:val="2"/>
          <w:numId w:val="0"/>
        </w:numPr>
        <w:bidi w:val="0"/>
        <w:ind w:leftChars="0"/>
        <w:rPr>
          <w:rFonts w:hint="eastAsia"/>
        </w:rPr>
      </w:pPr>
      <w:bookmarkStart w:id="67" w:name="_Toc11290"/>
      <w:r>
        <w:rPr>
          <w:rFonts w:hint="eastAsia"/>
        </w:rPr>
        <w:t>B.2 装有驾驶模式选择功能的电量消耗模式试验</w:t>
      </w:r>
      <w:bookmarkEnd w:id="67"/>
    </w:p>
    <w:p w14:paraId="0F85EF32">
      <w:pPr>
        <w:pStyle w:val="233"/>
        <w:framePr w:hSpace="0" w:vSpace="0" w:wrap="auto" w:vAnchor="margin" w:hAnchor="text" w:xAlign="left" w:yAlign="inline"/>
      </w:pPr>
      <w:r>
        <w:rPr>
          <w:rFonts w:hint="eastAsia" w:ascii="黑体" w:hAnsi="黑体" w:eastAsia="黑体" w:cs="黑体"/>
        </w:rPr>
        <w:t>B.</w:t>
      </w:r>
      <w:r>
        <w:rPr>
          <w:rFonts w:hint="eastAsia" w:ascii="黑体" w:hAnsi="黑体" w:eastAsia="黑体" w:cs="黑体"/>
          <w:lang w:val="en-US" w:eastAsia="zh-CN"/>
        </w:rPr>
        <w:t>2</w:t>
      </w:r>
      <w:r>
        <w:rPr>
          <w:rFonts w:hint="eastAsia" w:ascii="黑体" w:hAnsi="黑体" w:eastAsia="黑体" w:cs="黑体"/>
        </w:rPr>
        <w:t>.1</w:t>
      </w:r>
      <w:r>
        <w:rPr>
          <w:rFonts w:hint="eastAsia"/>
        </w:rPr>
        <w:t xml:space="preserve"> 如果有主模式，且该模式可以使车辆在电量消耗模式试验跟随试验循环，则选择该模式。</w:t>
      </w:r>
    </w:p>
    <w:p w14:paraId="56DD7DBB">
      <w:pPr>
        <w:pStyle w:val="165"/>
        <w:numPr>
          <w:ilvl w:val="3"/>
          <w:numId w:val="0"/>
        </w:numPr>
        <w:bidi w:val="0"/>
        <w:ind w:leftChars="0"/>
        <w:rPr>
          <w:rFonts w:hint="eastAsia" w:eastAsia="宋体"/>
          <w:lang w:eastAsia="zh-CN"/>
        </w:rPr>
      </w:pPr>
      <w:r>
        <w:rPr>
          <w:rFonts w:hint="eastAsia" w:ascii="黑体" w:hAnsi="黑体" w:eastAsia="黑体" w:cs="黑体"/>
          <w:kern w:val="2"/>
          <w:sz w:val="21"/>
          <w:szCs w:val="21"/>
          <w:lang w:val="en-US" w:eastAsia="zh-CN" w:bidi="ar-SA"/>
        </w:rPr>
        <w:t>B.2.2</w:t>
      </w:r>
      <w:r>
        <w:rPr>
          <w:rFonts w:hint="eastAsia"/>
        </w:rPr>
        <w:t xml:space="preserve"> </w:t>
      </w:r>
      <w:r>
        <w:rPr>
          <w:rFonts w:hint="eastAsia" w:ascii="宋体" w:eastAsia="宋体"/>
        </w:rPr>
        <w:t>如果没有主模式，或有主模式但该模式不能使车辆在电量消耗模式试验跟随试验循环，则驾驶模式应按照以下规定选择</w:t>
      </w:r>
      <w:r>
        <w:rPr>
          <w:rFonts w:hint="eastAsia"/>
          <w:lang w:eastAsia="zh-CN"/>
        </w:rPr>
        <w:t>。</w:t>
      </w:r>
    </w:p>
    <w:p w14:paraId="6259F284">
      <w:pPr>
        <w:pStyle w:val="174"/>
        <w:numPr>
          <w:ilvl w:val="0"/>
          <w:numId w:val="33"/>
        </w:numPr>
        <w:bidi w:val="0"/>
        <w:ind w:left="851" w:leftChars="0" w:hanging="426" w:firstLineChars="0"/>
      </w:pPr>
      <w:r>
        <w:rPr>
          <w:rFonts w:hint="eastAsia"/>
        </w:rPr>
        <w:t>如果只有一个可选模式可以使车辆在电量消耗模式试验跟随试验循环，则选择该模式。</w:t>
      </w:r>
    </w:p>
    <w:p w14:paraId="5AC06046">
      <w:pPr>
        <w:pStyle w:val="174"/>
        <w:numPr>
          <w:ilvl w:val="0"/>
          <w:numId w:val="33"/>
        </w:numPr>
        <w:bidi w:val="0"/>
        <w:ind w:left="851" w:leftChars="0" w:hanging="426" w:firstLineChars="0"/>
      </w:pPr>
      <w:r>
        <w:rPr>
          <w:rFonts w:hint="eastAsia"/>
        </w:rPr>
        <w:t>如果有多个模式可以使车辆在电量消耗模式试验跟随试验循环，则选择燃料消耗最高的模式，或同时选择燃料消耗最高和最低的模式，并对测试结果取算术平均值。</w:t>
      </w:r>
    </w:p>
    <w:p w14:paraId="7AFF3F0C">
      <w:pPr>
        <w:pStyle w:val="56"/>
        <w:bidi w:val="0"/>
        <w:ind w:left="0" w:leftChars="0" w:firstLine="0" w:firstLineChars="0"/>
        <w:rPr>
          <w:rFonts w:hint="eastAsia"/>
        </w:rPr>
      </w:pPr>
      <w:r>
        <w:rPr>
          <w:rFonts w:hint="eastAsia" w:ascii="黑体" w:hAnsi="黑体" w:eastAsia="黑体" w:cs="黑体"/>
          <w:kern w:val="2"/>
          <w:sz w:val="21"/>
          <w:szCs w:val="21"/>
          <w:lang w:val="en-US" w:eastAsia="zh-CN" w:bidi="ar-SA"/>
        </w:rPr>
        <w:t>B.2.3</w:t>
      </w:r>
      <w:r>
        <w:rPr>
          <w:rFonts w:hint="eastAsia"/>
        </w:rPr>
        <w:t xml:space="preserve"> </w:t>
      </w:r>
      <w:r>
        <w:rPr>
          <w:rFonts w:hint="eastAsia" w:ascii="宋体" w:hAnsi="Times New Roman" w:eastAsia="宋体" w:cs="Times New Roman"/>
          <w:sz w:val="21"/>
          <w:lang w:val="en-US" w:eastAsia="zh-CN" w:bidi="ar-SA"/>
        </w:rPr>
        <w:t>如果没有任何模式可以使车辆在电量消耗模式试验跟随试验循环，则对该循环根据GB 1835.26</w:t>
      </w:r>
      <w:r>
        <w:rPr>
          <w:rFonts w:hint="eastAsia" w:cs="Times New Roman"/>
          <w:sz w:val="21"/>
          <w:lang w:val="en-US" w:eastAsia="zh-CN" w:bidi="ar-SA"/>
        </w:rPr>
        <w:t>—</w:t>
      </w:r>
      <w:r>
        <w:rPr>
          <w:rFonts w:hint="eastAsia" w:ascii="宋体" w:hAnsi="Times New Roman" w:eastAsia="宋体" w:cs="Times New Roman"/>
          <w:sz w:val="21"/>
          <w:lang w:val="en-US" w:eastAsia="zh-CN" w:bidi="ar-SA"/>
        </w:rPr>
        <w:t>2016中CA.5进行修正。</w:t>
      </w:r>
    </w:p>
    <w:p w14:paraId="7A9F1D59">
      <w:pPr>
        <w:pStyle w:val="56"/>
        <w:bidi w:val="0"/>
        <w:rPr>
          <w:rFonts w:hint="default"/>
          <w:lang w:val="en-US" w:eastAsia="zh-CN"/>
        </w:rPr>
      </w:pPr>
    </w:p>
    <w:p w14:paraId="27CB5421">
      <w:pPr>
        <w:pStyle w:val="56"/>
        <w:bidi w:val="0"/>
        <w:rPr>
          <w:rFonts w:hint="default"/>
          <w:lang w:val="en-US" w:eastAsia="zh-CN"/>
        </w:rPr>
      </w:pPr>
    </w:p>
    <w:p w14:paraId="16097A7F">
      <w:pPr>
        <w:pStyle w:val="56"/>
        <w:rPr>
          <w:rFonts w:hint="default"/>
          <w:lang w:val="en-US" w:eastAsia="zh-CN"/>
        </w:rPr>
      </w:pPr>
    </w:p>
    <w:bookmarkEnd w:id="62"/>
    <w:p w14:paraId="08FE8743">
      <w:pPr>
        <w:pStyle w:val="56"/>
        <w:ind w:firstLine="0" w:firstLineChars="0"/>
        <w:jc w:val="center"/>
        <w:rPr>
          <w:rFonts w:hint="default"/>
          <w:lang w:val="en-US" w:eastAsia="zh-CN"/>
        </w:rPr>
      </w:pPr>
      <w:bookmarkStart w:id="68" w:name="BookMark8"/>
      <w:r>
        <w:rPr>
          <w:rFonts w:hint="default"/>
          <w:lang w:val="en-US" w:eastAsia="zh-CN"/>
        </w:rPr>
        <w:drawing>
          <wp:inline distT="0" distB="0" distL="114300" distR="114300">
            <wp:extent cx="1485900" cy="317500"/>
            <wp:effectExtent l="0" t="0" r="0" b="0"/>
            <wp:docPr id="3" name="图片 3" descr="1"/>
            <wp:cNvGraphicFramePr/>
            <a:graphic xmlns:a="http://schemas.openxmlformats.org/drawingml/2006/main">
              <a:graphicData uri="http://schemas.openxmlformats.org/drawingml/2006/picture">
                <pic:pic xmlns:pic="http://schemas.openxmlformats.org/drawingml/2006/picture">
                  <pic:nvPicPr>
                    <pic:cNvPr id="3" name="图片 3" descr="1"/>
                    <pic:cNvPicPr/>
                  </pic:nvPicPr>
                  <pic:blipFill>
                    <a:blip r:embed="rId15"/>
                    <a:stretch>
                      <a:fillRect/>
                    </a:stretch>
                  </pic:blipFill>
                  <pic:spPr>
                    <a:xfrm>
                      <a:off x="0" y="0"/>
                      <a:ext cx="1485900" cy="317500"/>
                    </a:xfrm>
                    <a:prstGeom prst="rect">
                      <a:avLst/>
                    </a:prstGeom>
                  </pic:spPr>
                </pic:pic>
              </a:graphicData>
            </a:graphic>
          </wp:inline>
        </w:drawing>
      </w:r>
      <w:bookmarkEnd w:id="68"/>
    </w:p>
    <w:sectPr>
      <w:pgSz w:w="11906" w:h="16838"/>
      <w:pgMar w:top="1928" w:right="1134" w:bottom="1134" w:left="1134" w:header="1418" w:footer="1134" w:gutter="284"/>
      <w:pgNumType w:fmt="decimal"/>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5F171">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A14F4">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0273">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61C27">
    <w:pPr>
      <w:pStyle w:val="52"/>
    </w:pPr>
    <w:r>
      <w:fldChar w:fldCharType="begin"/>
    </w:r>
    <w:r>
      <w:instrText xml:space="preserve">PAGE   \* MERGEFORMAT</w:instrText>
    </w:r>
    <w:r>
      <w:fldChar w:fldCharType="separate"/>
    </w:r>
    <w:r>
      <w:rPr>
        <w:lang w:val="zh-CN"/>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2B8A6">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9E75C">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C1248">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02E3F">
    <w:pPr>
      <w:pStyle w:val="61"/>
    </w:pPr>
    <w:r>
      <w:fldChar w:fldCharType="begin"/>
    </w:r>
    <w:r>
      <w:instrText xml:space="preserve"> STYLEREF  标准文件_文件编号  \* MERGEFORMAT </w:instrText>
    </w:r>
    <w:r>
      <w:fldChar w:fldCharType="separate"/>
    </w:r>
    <w:r>
      <w:t>T/CAAMTB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7E61C">
    <w:pPr>
      <w:pStyle w:val="18"/>
      <w:jc w:val="right"/>
    </w:pPr>
    <w:r>
      <w:fldChar w:fldCharType="begin"/>
    </w:r>
    <w:r>
      <w:instrText xml:space="preserve"> STYLEREF  标准文件_文件编号  \* MERGEFORMAT </w:instrText>
    </w:r>
    <w:r>
      <w:fldChar w:fldCharType="separate"/>
    </w:r>
    <w:r>
      <w:t>T/CAAMTB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0BE3F3"/>
    <w:multiLevelType w:val="multilevel"/>
    <w:tmpl w:val="BF0BE3F3"/>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F680D89B"/>
    <w:multiLevelType w:val="multilevel"/>
    <w:tmpl w:val="F680D89B"/>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1"/>
      <w:suff w:val="nothing"/>
      <w:lvlText w:val="%1.%2　"/>
      <w:lvlJc w:val="left"/>
      <w:pPr>
        <w:ind w:left="142"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5">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232"/>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29"/>
  </w:num>
  <w:num w:numId="3">
    <w:abstractNumId w:val="7"/>
  </w:num>
  <w:num w:numId="4">
    <w:abstractNumId w:val="20"/>
  </w:num>
  <w:num w:numId="5">
    <w:abstractNumId w:val="25"/>
  </w:num>
  <w:num w:numId="6">
    <w:abstractNumId w:val="15"/>
  </w:num>
  <w:num w:numId="7">
    <w:abstractNumId w:val="10"/>
  </w:num>
  <w:num w:numId="8">
    <w:abstractNumId w:val="5"/>
  </w:num>
  <w:num w:numId="9">
    <w:abstractNumId w:val="11"/>
  </w:num>
  <w:num w:numId="10">
    <w:abstractNumId w:val="18"/>
  </w:num>
  <w:num w:numId="11">
    <w:abstractNumId w:val="27"/>
  </w:num>
  <w:num w:numId="12">
    <w:abstractNumId w:val="14"/>
  </w:num>
  <w:num w:numId="13">
    <w:abstractNumId w:val="1"/>
  </w:num>
  <w:num w:numId="14">
    <w:abstractNumId w:val="9"/>
  </w:num>
  <w:num w:numId="15">
    <w:abstractNumId w:val="21"/>
  </w:num>
  <w:num w:numId="16">
    <w:abstractNumId w:val="23"/>
  </w:num>
  <w:num w:numId="17">
    <w:abstractNumId w:val="19"/>
  </w:num>
  <w:num w:numId="18">
    <w:abstractNumId w:val="31"/>
  </w:num>
  <w:num w:numId="19">
    <w:abstractNumId w:val="17"/>
  </w:num>
  <w:num w:numId="20">
    <w:abstractNumId w:val="3"/>
  </w:num>
  <w:num w:numId="21">
    <w:abstractNumId w:val="13"/>
  </w:num>
  <w:num w:numId="22">
    <w:abstractNumId w:val="32"/>
  </w:num>
  <w:num w:numId="23">
    <w:abstractNumId w:val="22"/>
  </w:num>
  <w:num w:numId="24">
    <w:abstractNumId w:val="8"/>
  </w:num>
  <w:num w:numId="25">
    <w:abstractNumId w:val="28"/>
  </w:num>
  <w:num w:numId="26">
    <w:abstractNumId w:val="30"/>
  </w:num>
  <w:num w:numId="27">
    <w:abstractNumId w:val="4"/>
  </w:num>
  <w:num w:numId="28">
    <w:abstractNumId w:val="6"/>
  </w:num>
  <w:num w:numId="29">
    <w:abstractNumId w:val="16"/>
  </w:num>
  <w:num w:numId="30">
    <w:abstractNumId w:val="26"/>
  </w:num>
  <w:num w:numId="31">
    <w:abstractNumId w:val="24"/>
  </w:num>
  <w:num w:numId="32">
    <w:abstractNumId w:val="12"/>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attachedTemplate r:id="rId1"/>
  <w:documentProtection w:edit="forms" w:enforcement="1" w:cryptProviderType="rsaFull" w:cryptAlgorithmClass="hash" w:cryptAlgorithmType="typeAny" w:cryptAlgorithmSid="4" w:cryptSpinCount="0" w:hash="xw75T77hPavzmwirD2n528IqbO8=" w:salt="nf86tEM7zK3Caa0LcEKl5w=="/>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8B3"/>
    <w:rsid w:val="0000040A"/>
    <w:rsid w:val="00000A94"/>
    <w:rsid w:val="000014FD"/>
    <w:rsid w:val="00001972"/>
    <w:rsid w:val="00001D9A"/>
    <w:rsid w:val="00007B3A"/>
    <w:rsid w:val="000107E0"/>
    <w:rsid w:val="00011FDE"/>
    <w:rsid w:val="00012FFD"/>
    <w:rsid w:val="00014162"/>
    <w:rsid w:val="00014340"/>
    <w:rsid w:val="00016A9C"/>
    <w:rsid w:val="00017BB1"/>
    <w:rsid w:val="00022184"/>
    <w:rsid w:val="00022762"/>
    <w:rsid w:val="00022F8C"/>
    <w:rsid w:val="000238E0"/>
    <w:rsid w:val="000249DB"/>
    <w:rsid w:val="0002595E"/>
    <w:rsid w:val="000303C3"/>
    <w:rsid w:val="0003307B"/>
    <w:rsid w:val="000331D3"/>
    <w:rsid w:val="000346A5"/>
    <w:rsid w:val="000359C3"/>
    <w:rsid w:val="00035A7D"/>
    <w:rsid w:val="000365ED"/>
    <w:rsid w:val="00041337"/>
    <w:rsid w:val="0004249A"/>
    <w:rsid w:val="00043282"/>
    <w:rsid w:val="00044286"/>
    <w:rsid w:val="00046F0D"/>
    <w:rsid w:val="0004745A"/>
    <w:rsid w:val="00047F28"/>
    <w:rsid w:val="000503AA"/>
    <w:rsid w:val="000506A1"/>
    <w:rsid w:val="000515DD"/>
    <w:rsid w:val="0005265A"/>
    <w:rsid w:val="00052F0D"/>
    <w:rsid w:val="000539DD"/>
    <w:rsid w:val="00053BD3"/>
    <w:rsid w:val="000556ED"/>
    <w:rsid w:val="00055776"/>
    <w:rsid w:val="00055FE2"/>
    <w:rsid w:val="0005616F"/>
    <w:rsid w:val="00060C2E"/>
    <w:rsid w:val="00061033"/>
    <w:rsid w:val="000619E9"/>
    <w:rsid w:val="000622D4"/>
    <w:rsid w:val="0006357D"/>
    <w:rsid w:val="000649F3"/>
    <w:rsid w:val="0006567C"/>
    <w:rsid w:val="00065EC7"/>
    <w:rsid w:val="00067648"/>
    <w:rsid w:val="00067F1E"/>
    <w:rsid w:val="000717DA"/>
    <w:rsid w:val="00071CC0"/>
    <w:rsid w:val="00071CFC"/>
    <w:rsid w:val="00073C8C"/>
    <w:rsid w:val="00077B64"/>
    <w:rsid w:val="00080A1C"/>
    <w:rsid w:val="00082317"/>
    <w:rsid w:val="00082BFF"/>
    <w:rsid w:val="00083D2C"/>
    <w:rsid w:val="00084F6C"/>
    <w:rsid w:val="00086AA1"/>
    <w:rsid w:val="00087A77"/>
    <w:rsid w:val="00090CA6"/>
    <w:rsid w:val="00092B8A"/>
    <w:rsid w:val="00092FB0"/>
    <w:rsid w:val="000934C5"/>
    <w:rsid w:val="00093C43"/>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B79A6"/>
    <w:rsid w:val="000C0F6C"/>
    <w:rsid w:val="000C11DB"/>
    <w:rsid w:val="000C1492"/>
    <w:rsid w:val="000C2FBD"/>
    <w:rsid w:val="000C413E"/>
    <w:rsid w:val="000C4B41"/>
    <w:rsid w:val="000C57D6"/>
    <w:rsid w:val="000C6362"/>
    <w:rsid w:val="000C7666"/>
    <w:rsid w:val="000D03C1"/>
    <w:rsid w:val="000D0A9C"/>
    <w:rsid w:val="000D1795"/>
    <w:rsid w:val="000D329A"/>
    <w:rsid w:val="000D4B9C"/>
    <w:rsid w:val="000D4EB6"/>
    <w:rsid w:val="000D753B"/>
    <w:rsid w:val="000E2F6A"/>
    <w:rsid w:val="000E4A5A"/>
    <w:rsid w:val="000E4C9E"/>
    <w:rsid w:val="000E59A6"/>
    <w:rsid w:val="000E62A1"/>
    <w:rsid w:val="000E6FD7"/>
    <w:rsid w:val="000E7144"/>
    <w:rsid w:val="000F06E1"/>
    <w:rsid w:val="000F0E3C"/>
    <w:rsid w:val="000F19D5"/>
    <w:rsid w:val="000F4050"/>
    <w:rsid w:val="000F4AEA"/>
    <w:rsid w:val="000F5429"/>
    <w:rsid w:val="000F595C"/>
    <w:rsid w:val="000F67E9"/>
    <w:rsid w:val="000F7229"/>
    <w:rsid w:val="001047D1"/>
    <w:rsid w:val="00104926"/>
    <w:rsid w:val="001109CB"/>
    <w:rsid w:val="00113B1E"/>
    <w:rsid w:val="00114527"/>
    <w:rsid w:val="0011711C"/>
    <w:rsid w:val="00121F45"/>
    <w:rsid w:val="00124E4F"/>
    <w:rsid w:val="001260B7"/>
    <w:rsid w:val="001265CB"/>
    <w:rsid w:val="001277E1"/>
    <w:rsid w:val="001302E4"/>
    <w:rsid w:val="001321C6"/>
    <w:rsid w:val="001321E5"/>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958"/>
    <w:rsid w:val="00157B55"/>
    <w:rsid w:val="001642FA"/>
    <w:rsid w:val="001649EB"/>
    <w:rsid w:val="00164BAF"/>
    <w:rsid w:val="00164FA8"/>
    <w:rsid w:val="00165065"/>
    <w:rsid w:val="00165434"/>
    <w:rsid w:val="0016580B"/>
    <w:rsid w:val="00165F49"/>
    <w:rsid w:val="00166B88"/>
    <w:rsid w:val="0016770A"/>
    <w:rsid w:val="00170804"/>
    <w:rsid w:val="001708E9"/>
    <w:rsid w:val="001722B0"/>
    <w:rsid w:val="0017340B"/>
    <w:rsid w:val="00173FB1"/>
    <w:rsid w:val="00176DFD"/>
    <w:rsid w:val="00181129"/>
    <w:rsid w:val="001852C9"/>
    <w:rsid w:val="00186F5D"/>
    <w:rsid w:val="00187A0B"/>
    <w:rsid w:val="00190087"/>
    <w:rsid w:val="001913C4"/>
    <w:rsid w:val="0019348F"/>
    <w:rsid w:val="00193A07"/>
    <w:rsid w:val="00194C95"/>
    <w:rsid w:val="001955E8"/>
    <w:rsid w:val="00195C34"/>
    <w:rsid w:val="00196EF5"/>
    <w:rsid w:val="001A1A53"/>
    <w:rsid w:val="001A234A"/>
    <w:rsid w:val="001A4CA6"/>
    <w:rsid w:val="001A4CF3"/>
    <w:rsid w:val="001A6696"/>
    <w:rsid w:val="001A7274"/>
    <w:rsid w:val="001B06E8"/>
    <w:rsid w:val="001B71D0"/>
    <w:rsid w:val="001B71EE"/>
    <w:rsid w:val="001C04A8"/>
    <w:rsid w:val="001C2C03"/>
    <w:rsid w:val="001C317F"/>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7EC"/>
    <w:rsid w:val="001F4816"/>
    <w:rsid w:val="001F69B4"/>
    <w:rsid w:val="001F77C7"/>
    <w:rsid w:val="00200183"/>
    <w:rsid w:val="00200333"/>
    <w:rsid w:val="0020107D"/>
    <w:rsid w:val="00202092"/>
    <w:rsid w:val="00202AA4"/>
    <w:rsid w:val="002031F7"/>
    <w:rsid w:val="002040E6"/>
    <w:rsid w:val="0020527B"/>
    <w:rsid w:val="00205F2C"/>
    <w:rsid w:val="00210110"/>
    <w:rsid w:val="00210B15"/>
    <w:rsid w:val="002142EA"/>
    <w:rsid w:val="00215ADD"/>
    <w:rsid w:val="00217C9A"/>
    <w:rsid w:val="002204BB"/>
    <w:rsid w:val="00220C7F"/>
    <w:rsid w:val="00221B79"/>
    <w:rsid w:val="00221C6B"/>
    <w:rsid w:val="0022315B"/>
    <w:rsid w:val="002253A1"/>
    <w:rsid w:val="00225CF8"/>
    <w:rsid w:val="00226D3C"/>
    <w:rsid w:val="00226D87"/>
    <w:rsid w:val="0022794E"/>
    <w:rsid w:val="00230E13"/>
    <w:rsid w:val="00233D64"/>
    <w:rsid w:val="0023482A"/>
    <w:rsid w:val="002359CB"/>
    <w:rsid w:val="002432F7"/>
    <w:rsid w:val="00243540"/>
    <w:rsid w:val="0024497B"/>
    <w:rsid w:val="0024515B"/>
    <w:rsid w:val="00246021"/>
    <w:rsid w:val="0024666E"/>
    <w:rsid w:val="00247F52"/>
    <w:rsid w:val="0025086D"/>
    <w:rsid w:val="00250B25"/>
    <w:rsid w:val="00250BBE"/>
    <w:rsid w:val="002515C2"/>
    <w:rsid w:val="0025194F"/>
    <w:rsid w:val="002545CE"/>
    <w:rsid w:val="0026148A"/>
    <w:rsid w:val="00262696"/>
    <w:rsid w:val="002627C9"/>
    <w:rsid w:val="0026329A"/>
    <w:rsid w:val="00263D25"/>
    <w:rsid w:val="002643C3"/>
    <w:rsid w:val="00264A0C"/>
    <w:rsid w:val="00266429"/>
    <w:rsid w:val="00266EEB"/>
    <w:rsid w:val="00267EF4"/>
    <w:rsid w:val="00270CB8"/>
    <w:rsid w:val="00272B08"/>
    <w:rsid w:val="00274AD4"/>
    <w:rsid w:val="002760B2"/>
    <w:rsid w:val="0028180A"/>
    <w:rsid w:val="00281BB8"/>
    <w:rsid w:val="00281E9E"/>
    <w:rsid w:val="00282405"/>
    <w:rsid w:val="00285170"/>
    <w:rsid w:val="00285361"/>
    <w:rsid w:val="00290DA7"/>
    <w:rsid w:val="00290F14"/>
    <w:rsid w:val="00292D60"/>
    <w:rsid w:val="00293B30"/>
    <w:rsid w:val="00294D34"/>
    <w:rsid w:val="00294E3B"/>
    <w:rsid w:val="00296193"/>
    <w:rsid w:val="00296C66"/>
    <w:rsid w:val="00296EBE"/>
    <w:rsid w:val="002974E3"/>
    <w:rsid w:val="002A084B"/>
    <w:rsid w:val="002A1260"/>
    <w:rsid w:val="002A1589"/>
    <w:rsid w:val="002A1608"/>
    <w:rsid w:val="002A1704"/>
    <w:rsid w:val="002A25DC"/>
    <w:rsid w:val="002A3AAB"/>
    <w:rsid w:val="002A4CEA"/>
    <w:rsid w:val="002A5977"/>
    <w:rsid w:val="002A5A13"/>
    <w:rsid w:val="002A741C"/>
    <w:rsid w:val="002A757F"/>
    <w:rsid w:val="002A7F44"/>
    <w:rsid w:val="002B0C40"/>
    <w:rsid w:val="002B1966"/>
    <w:rsid w:val="002B4508"/>
    <w:rsid w:val="002B5779"/>
    <w:rsid w:val="002B7332"/>
    <w:rsid w:val="002B7F51"/>
    <w:rsid w:val="002C09E7"/>
    <w:rsid w:val="002C1E06"/>
    <w:rsid w:val="002C3F07"/>
    <w:rsid w:val="002C5278"/>
    <w:rsid w:val="002C5671"/>
    <w:rsid w:val="002C7EBB"/>
    <w:rsid w:val="002D06C1"/>
    <w:rsid w:val="002D116D"/>
    <w:rsid w:val="002D2CA5"/>
    <w:rsid w:val="002D42B5"/>
    <w:rsid w:val="002D4F1A"/>
    <w:rsid w:val="002D6EC6"/>
    <w:rsid w:val="002D79AC"/>
    <w:rsid w:val="002E039D"/>
    <w:rsid w:val="002E4D5A"/>
    <w:rsid w:val="002E6326"/>
    <w:rsid w:val="002F0459"/>
    <w:rsid w:val="002F30E0"/>
    <w:rsid w:val="002F35E4"/>
    <w:rsid w:val="002F3730"/>
    <w:rsid w:val="002F38E1"/>
    <w:rsid w:val="002F5E97"/>
    <w:rsid w:val="002F7AF6"/>
    <w:rsid w:val="00300E63"/>
    <w:rsid w:val="00302F5F"/>
    <w:rsid w:val="0030441D"/>
    <w:rsid w:val="00306063"/>
    <w:rsid w:val="00306339"/>
    <w:rsid w:val="00313B85"/>
    <w:rsid w:val="00314C86"/>
    <w:rsid w:val="00317988"/>
    <w:rsid w:val="0032092F"/>
    <w:rsid w:val="003210BE"/>
    <w:rsid w:val="003221B4"/>
    <w:rsid w:val="0032258D"/>
    <w:rsid w:val="00322E62"/>
    <w:rsid w:val="0032383D"/>
    <w:rsid w:val="00324D13"/>
    <w:rsid w:val="00324EDD"/>
    <w:rsid w:val="003331E4"/>
    <w:rsid w:val="00336C64"/>
    <w:rsid w:val="00337162"/>
    <w:rsid w:val="0034194F"/>
    <w:rsid w:val="00344605"/>
    <w:rsid w:val="003474AA"/>
    <w:rsid w:val="00350185"/>
    <w:rsid w:val="00350D1D"/>
    <w:rsid w:val="00351629"/>
    <w:rsid w:val="00351D29"/>
    <w:rsid w:val="00352C83"/>
    <w:rsid w:val="00352F1A"/>
    <w:rsid w:val="0035374B"/>
    <w:rsid w:val="00354146"/>
    <w:rsid w:val="00355DF7"/>
    <w:rsid w:val="00356C72"/>
    <w:rsid w:val="0036107C"/>
    <w:rsid w:val="003615D2"/>
    <w:rsid w:val="003621F1"/>
    <w:rsid w:val="0036429C"/>
    <w:rsid w:val="00364A53"/>
    <w:rsid w:val="003654CB"/>
    <w:rsid w:val="00365AA9"/>
    <w:rsid w:val="00365F86"/>
    <w:rsid w:val="00365F87"/>
    <w:rsid w:val="00366E89"/>
    <w:rsid w:val="00367149"/>
    <w:rsid w:val="003705F4"/>
    <w:rsid w:val="00370D58"/>
    <w:rsid w:val="00371316"/>
    <w:rsid w:val="00371409"/>
    <w:rsid w:val="00372811"/>
    <w:rsid w:val="00376713"/>
    <w:rsid w:val="00381815"/>
    <w:rsid w:val="003819AF"/>
    <w:rsid w:val="003820E9"/>
    <w:rsid w:val="0038264D"/>
    <w:rsid w:val="00382DE7"/>
    <w:rsid w:val="00384FFC"/>
    <w:rsid w:val="00385549"/>
    <w:rsid w:val="003872FC"/>
    <w:rsid w:val="00387ADC"/>
    <w:rsid w:val="00390020"/>
    <w:rsid w:val="003903D6"/>
    <w:rsid w:val="00390E59"/>
    <w:rsid w:val="00390EE6"/>
    <w:rsid w:val="0039118F"/>
    <w:rsid w:val="00392AD7"/>
    <w:rsid w:val="003938D9"/>
    <w:rsid w:val="00394376"/>
    <w:rsid w:val="003943FF"/>
    <w:rsid w:val="003956FC"/>
    <w:rsid w:val="00396961"/>
    <w:rsid w:val="003974EB"/>
    <w:rsid w:val="00397CC5"/>
    <w:rsid w:val="003A11D1"/>
    <w:rsid w:val="003A1582"/>
    <w:rsid w:val="003A3293"/>
    <w:rsid w:val="003A3D9C"/>
    <w:rsid w:val="003A4077"/>
    <w:rsid w:val="003A4AA7"/>
    <w:rsid w:val="003B09AD"/>
    <w:rsid w:val="003B0EEC"/>
    <w:rsid w:val="003B1F18"/>
    <w:rsid w:val="003B5BF0"/>
    <w:rsid w:val="003B60BF"/>
    <w:rsid w:val="003B6BE3"/>
    <w:rsid w:val="003C010C"/>
    <w:rsid w:val="003C0A6C"/>
    <w:rsid w:val="003C0D7A"/>
    <w:rsid w:val="003C14F8"/>
    <w:rsid w:val="003C270E"/>
    <w:rsid w:val="003C546A"/>
    <w:rsid w:val="003C5A43"/>
    <w:rsid w:val="003D0519"/>
    <w:rsid w:val="003D0FF6"/>
    <w:rsid w:val="003D262C"/>
    <w:rsid w:val="003D62F8"/>
    <w:rsid w:val="003D6D61"/>
    <w:rsid w:val="003E019F"/>
    <w:rsid w:val="003E091D"/>
    <w:rsid w:val="003E1C53"/>
    <w:rsid w:val="003E2A69"/>
    <w:rsid w:val="003E2D49"/>
    <w:rsid w:val="003E2FD4"/>
    <w:rsid w:val="003E4160"/>
    <w:rsid w:val="003E49F6"/>
    <w:rsid w:val="003E60BC"/>
    <w:rsid w:val="003E660F"/>
    <w:rsid w:val="003E7A15"/>
    <w:rsid w:val="003F0841"/>
    <w:rsid w:val="003F23D3"/>
    <w:rsid w:val="003F3F08"/>
    <w:rsid w:val="003F4283"/>
    <w:rsid w:val="003F49F1"/>
    <w:rsid w:val="003F6272"/>
    <w:rsid w:val="00400E72"/>
    <w:rsid w:val="00401400"/>
    <w:rsid w:val="004044E8"/>
    <w:rsid w:val="00404869"/>
    <w:rsid w:val="00405884"/>
    <w:rsid w:val="00406B6C"/>
    <w:rsid w:val="00407D39"/>
    <w:rsid w:val="00413319"/>
    <w:rsid w:val="004135C3"/>
    <w:rsid w:val="0041477A"/>
    <w:rsid w:val="004167A3"/>
    <w:rsid w:val="0041694E"/>
    <w:rsid w:val="00417AC7"/>
    <w:rsid w:val="00420A2B"/>
    <w:rsid w:val="00421989"/>
    <w:rsid w:val="0042555D"/>
    <w:rsid w:val="00430F91"/>
    <w:rsid w:val="00431AF4"/>
    <w:rsid w:val="00432DAA"/>
    <w:rsid w:val="00433BDD"/>
    <w:rsid w:val="00434305"/>
    <w:rsid w:val="004352B2"/>
    <w:rsid w:val="00435DF7"/>
    <w:rsid w:val="0043741A"/>
    <w:rsid w:val="0044083F"/>
    <w:rsid w:val="00441AE7"/>
    <w:rsid w:val="0044438F"/>
    <w:rsid w:val="00444A4D"/>
    <w:rsid w:val="00445574"/>
    <w:rsid w:val="00446104"/>
    <w:rsid w:val="004463D3"/>
    <w:rsid w:val="004464A4"/>
    <w:rsid w:val="004467FB"/>
    <w:rsid w:val="00447E0D"/>
    <w:rsid w:val="0045213A"/>
    <w:rsid w:val="00452D6B"/>
    <w:rsid w:val="00454484"/>
    <w:rsid w:val="00454769"/>
    <w:rsid w:val="0045517B"/>
    <w:rsid w:val="0045795A"/>
    <w:rsid w:val="00462290"/>
    <w:rsid w:val="00463B77"/>
    <w:rsid w:val="00463C7B"/>
    <w:rsid w:val="004644A6"/>
    <w:rsid w:val="004659BD"/>
    <w:rsid w:val="00465DF6"/>
    <w:rsid w:val="00470775"/>
    <w:rsid w:val="004746B1"/>
    <w:rsid w:val="0047583F"/>
    <w:rsid w:val="00475DE8"/>
    <w:rsid w:val="00481C44"/>
    <w:rsid w:val="00484936"/>
    <w:rsid w:val="00485C89"/>
    <w:rsid w:val="00486BE3"/>
    <w:rsid w:val="004905E4"/>
    <w:rsid w:val="00490A89"/>
    <w:rsid w:val="00490AB4"/>
    <w:rsid w:val="00492F02"/>
    <w:rsid w:val="00493582"/>
    <w:rsid w:val="004939AE"/>
    <w:rsid w:val="004A040D"/>
    <w:rsid w:val="004A12DF"/>
    <w:rsid w:val="004A1BA8"/>
    <w:rsid w:val="004A4B57"/>
    <w:rsid w:val="004A6143"/>
    <w:rsid w:val="004A63FA"/>
    <w:rsid w:val="004A6A3D"/>
    <w:rsid w:val="004B0272"/>
    <w:rsid w:val="004B2701"/>
    <w:rsid w:val="004B2E1B"/>
    <w:rsid w:val="004B3AA8"/>
    <w:rsid w:val="004B3E93"/>
    <w:rsid w:val="004B7430"/>
    <w:rsid w:val="004C1FBC"/>
    <w:rsid w:val="004C25A2"/>
    <w:rsid w:val="004C3F1D"/>
    <w:rsid w:val="004C458D"/>
    <w:rsid w:val="004C7556"/>
    <w:rsid w:val="004C7E8B"/>
    <w:rsid w:val="004C7E9D"/>
    <w:rsid w:val="004C7F67"/>
    <w:rsid w:val="004D076D"/>
    <w:rsid w:val="004D0EF1"/>
    <w:rsid w:val="004D2253"/>
    <w:rsid w:val="004D2A8B"/>
    <w:rsid w:val="004D4406"/>
    <w:rsid w:val="004D606F"/>
    <w:rsid w:val="004D7C42"/>
    <w:rsid w:val="004E0465"/>
    <w:rsid w:val="004E127B"/>
    <w:rsid w:val="004E1C0A"/>
    <w:rsid w:val="004E30C5"/>
    <w:rsid w:val="004E4AA5"/>
    <w:rsid w:val="004E4AEE"/>
    <w:rsid w:val="004E4F97"/>
    <w:rsid w:val="004E59E3"/>
    <w:rsid w:val="004E67C0"/>
    <w:rsid w:val="004F391A"/>
    <w:rsid w:val="004F3CFB"/>
    <w:rsid w:val="004F6456"/>
    <w:rsid w:val="004F687B"/>
    <w:rsid w:val="004F696E"/>
    <w:rsid w:val="004F6C71"/>
    <w:rsid w:val="00501139"/>
    <w:rsid w:val="0050363E"/>
    <w:rsid w:val="005039BC"/>
    <w:rsid w:val="005043BB"/>
    <w:rsid w:val="00504A3D"/>
    <w:rsid w:val="00505767"/>
    <w:rsid w:val="005073F0"/>
    <w:rsid w:val="00510A7B"/>
    <w:rsid w:val="00512517"/>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383"/>
    <w:rsid w:val="0053692B"/>
    <w:rsid w:val="00541853"/>
    <w:rsid w:val="00543BDA"/>
    <w:rsid w:val="00544048"/>
    <w:rsid w:val="005441CC"/>
    <w:rsid w:val="00546540"/>
    <w:rsid w:val="005479DA"/>
    <w:rsid w:val="00547BCC"/>
    <w:rsid w:val="0055013B"/>
    <w:rsid w:val="00550815"/>
    <w:rsid w:val="00551F6F"/>
    <w:rsid w:val="00553167"/>
    <w:rsid w:val="00555044"/>
    <w:rsid w:val="00561475"/>
    <w:rsid w:val="00562308"/>
    <w:rsid w:val="00562EE4"/>
    <w:rsid w:val="0056487B"/>
    <w:rsid w:val="00564FB9"/>
    <w:rsid w:val="005669C0"/>
    <w:rsid w:val="00567790"/>
    <w:rsid w:val="00570441"/>
    <w:rsid w:val="00573D9E"/>
    <w:rsid w:val="0057670D"/>
    <w:rsid w:val="005801E3"/>
    <w:rsid w:val="00581802"/>
    <w:rsid w:val="005836A8"/>
    <w:rsid w:val="0058409C"/>
    <w:rsid w:val="00584262"/>
    <w:rsid w:val="00584480"/>
    <w:rsid w:val="00584E3F"/>
    <w:rsid w:val="00586630"/>
    <w:rsid w:val="00587ADD"/>
    <w:rsid w:val="00590681"/>
    <w:rsid w:val="00593A49"/>
    <w:rsid w:val="00596160"/>
    <w:rsid w:val="005966E2"/>
    <w:rsid w:val="00597007"/>
    <w:rsid w:val="005A0966"/>
    <w:rsid w:val="005A11B7"/>
    <w:rsid w:val="005A260B"/>
    <w:rsid w:val="005A4A1B"/>
    <w:rsid w:val="005A7830"/>
    <w:rsid w:val="005A7FCE"/>
    <w:rsid w:val="005B08D3"/>
    <w:rsid w:val="005B0F3F"/>
    <w:rsid w:val="005B191C"/>
    <w:rsid w:val="005B4903"/>
    <w:rsid w:val="005B51CE"/>
    <w:rsid w:val="005B5885"/>
    <w:rsid w:val="005B5CD7"/>
    <w:rsid w:val="005B6CF6"/>
    <w:rsid w:val="005B7422"/>
    <w:rsid w:val="005C29B8"/>
    <w:rsid w:val="005C5F21"/>
    <w:rsid w:val="005C5F79"/>
    <w:rsid w:val="005C7156"/>
    <w:rsid w:val="005D0C75"/>
    <w:rsid w:val="005D2CF4"/>
    <w:rsid w:val="005D3766"/>
    <w:rsid w:val="005D4171"/>
    <w:rsid w:val="005D64CE"/>
    <w:rsid w:val="005D6A95"/>
    <w:rsid w:val="005D6B2C"/>
    <w:rsid w:val="005D6D9C"/>
    <w:rsid w:val="005D7475"/>
    <w:rsid w:val="005D7544"/>
    <w:rsid w:val="005E02A1"/>
    <w:rsid w:val="005E118A"/>
    <w:rsid w:val="005E2335"/>
    <w:rsid w:val="005E34CA"/>
    <w:rsid w:val="005E3C18"/>
    <w:rsid w:val="005E4250"/>
    <w:rsid w:val="005E590E"/>
    <w:rsid w:val="005E6812"/>
    <w:rsid w:val="005E7881"/>
    <w:rsid w:val="005E78E0"/>
    <w:rsid w:val="005F0043"/>
    <w:rsid w:val="005F0336"/>
    <w:rsid w:val="005F0D9C"/>
    <w:rsid w:val="005F16BC"/>
    <w:rsid w:val="005F284E"/>
    <w:rsid w:val="005F3689"/>
    <w:rsid w:val="006002F5"/>
    <w:rsid w:val="006015CE"/>
    <w:rsid w:val="00604608"/>
    <w:rsid w:val="00604784"/>
    <w:rsid w:val="00606419"/>
    <w:rsid w:val="00607D29"/>
    <w:rsid w:val="00611084"/>
    <w:rsid w:val="00612952"/>
    <w:rsid w:val="00614CC1"/>
    <w:rsid w:val="00614E01"/>
    <w:rsid w:val="00615A9D"/>
    <w:rsid w:val="00617387"/>
    <w:rsid w:val="006205D6"/>
    <w:rsid w:val="00620A35"/>
    <w:rsid w:val="00623E18"/>
    <w:rsid w:val="006252D8"/>
    <w:rsid w:val="006254EC"/>
    <w:rsid w:val="006259BC"/>
    <w:rsid w:val="0062636B"/>
    <w:rsid w:val="00632182"/>
    <w:rsid w:val="00632959"/>
    <w:rsid w:val="00632AE0"/>
    <w:rsid w:val="00633C17"/>
    <w:rsid w:val="00633DC4"/>
    <w:rsid w:val="00633E05"/>
    <w:rsid w:val="00634D9E"/>
    <w:rsid w:val="00636E3E"/>
    <w:rsid w:val="006379F7"/>
    <w:rsid w:val="00637E4D"/>
    <w:rsid w:val="00640620"/>
    <w:rsid w:val="00641A1F"/>
    <w:rsid w:val="00645904"/>
    <w:rsid w:val="00647554"/>
    <w:rsid w:val="0065105C"/>
    <w:rsid w:val="00651ACB"/>
    <w:rsid w:val="00651C47"/>
    <w:rsid w:val="00652106"/>
    <w:rsid w:val="00652AB2"/>
    <w:rsid w:val="00653FED"/>
    <w:rsid w:val="00654EC0"/>
    <w:rsid w:val="0065525B"/>
    <w:rsid w:val="0065594F"/>
    <w:rsid w:val="00655D4F"/>
    <w:rsid w:val="00656D29"/>
    <w:rsid w:val="00657E19"/>
    <w:rsid w:val="00661DE2"/>
    <w:rsid w:val="006640E5"/>
    <w:rsid w:val="006646F1"/>
    <w:rsid w:val="00664929"/>
    <w:rsid w:val="00664F62"/>
    <w:rsid w:val="006655E1"/>
    <w:rsid w:val="00670521"/>
    <w:rsid w:val="00672060"/>
    <w:rsid w:val="00672BFD"/>
    <w:rsid w:val="006770F4"/>
    <w:rsid w:val="0067732F"/>
    <w:rsid w:val="00677A84"/>
    <w:rsid w:val="0068026D"/>
    <w:rsid w:val="00680A27"/>
    <w:rsid w:val="006816A4"/>
    <w:rsid w:val="006819B8"/>
    <w:rsid w:val="00682022"/>
    <w:rsid w:val="006840A6"/>
    <w:rsid w:val="006850CD"/>
    <w:rsid w:val="00685AAB"/>
    <w:rsid w:val="00691D09"/>
    <w:rsid w:val="006929AF"/>
    <w:rsid w:val="00693962"/>
    <w:rsid w:val="006A01C2"/>
    <w:rsid w:val="006A07AA"/>
    <w:rsid w:val="006A25E5"/>
    <w:rsid w:val="006A2B46"/>
    <w:rsid w:val="006A336D"/>
    <w:rsid w:val="006A37B9"/>
    <w:rsid w:val="006A3849"/>
    <w:rsid w:val="006A6580"/>
    <w:rsid w:val="006B015B"/>
    <w:rsid w:val="006B2672"/>
    <w:rsid w:val="006B54BF"/>
    <w:rsid w:val="006B5F44"/>
    <w:rsid w:val="006B5F90"/>
    <w:rsid w:val="006B62E4"/>
    <w:rsid w:val="006B64AA"/>
    <w:rsid w:val="006C1BBA"/>
    <w:rsid w:val="006C2079"/>
    <w:rsid w:val="006C5A62"/>
    <w:rsid w:val="006C5D68"/>
    <w:rsid w:val="006C6976"/>
    <w:rsid w:val="006C6DD0"/>
    <w:rsid w:val="006D04EA"/>
    <w:rsid w:val="006D16C4"/>
    <w:rsid w:val="006D1F10"/>
    <w:rsid w:val="006D3290"/>
    <w:rsid w:val="006D3E96"/>
    <w:rsid w:val="006D4515"/>
    <w:rsid w:val="006D4BB1"/>
    <w:rsid w:val="006D571B"/>
    <w:rsid w:val="006D6593"/>
    <w:rsid w:val="006E05B2"/>
    <w:rsid w:val="006E06D7"/>
    <w:rsid w:val="006E08D3"/>
    <w:rsid w:val="006E1157"/>
    <w:rsid w:val="006E3F9C"/>
    <w:rsid w:val="006E5ECA"/>
    <w:rsid w:val="006F03A8"/>
    <w:rsid w:val="006F2ACA"/>
    <w:rsid w:val="006F2ADC"/>
    <w:rsid w:val="006F2BFE"/>
    <w:rsid w:val="006F31E9"/>
    <w:rsid w:val="006F6284"/>
    <w:rsid w:val="006F69A2"/>
    <w:rsid w:val="007002C5"/>
    <w:rsid w:val="007034FE"/>
    <w:rsid w:val="00704387"/>
    <w:rsid w:val="0070484C"/>
    <w:rsid w:val="00707669"/>
    <w:rsid w:val="00711CBA"/>
    <w:rsid w:val="00711FB5"/>
    <w:rsid w:val="00712A01"/>
    <w:rsid w:val="00714101"/>
    <w:rsid w:val="00714F58"/>
    <w:rsid w:val="00715442"/>
    <w:rsid w:val="00717942"/>
    <w:rsid w:val="00722FBF"/>
    <w:rsid w:val="00722FC2"/>
    <w:rsid w:val="00724CBE"/>
    <w:rsid w:val="00724E1B"/>
    <w:rsid w:val="00725949"/>
    <w:rsid w:val="00725DCD"/>
    <w:rsid w:val="00727FA2"/>
    <w:rsid w:val="00731015"/>
    <w:rsid w:val="007322D9"/>
    <w:rsid w:val="00732BC0"/>
    <w:rsid w:val="007367BB"/>
    <w:rsid w:val="0073720F"/>
    <w:rsid w:val="00737796"/>
    <w:rsid w:val="00740B45"/>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2BF3"/>
    <w:rsid w:val="00764416"/>
    <w:rsid w:val="00765C43"/>
    <w:rsid w:val="00765EFB"/>
    <w:rsid w:val="007671CA"/>
    <w:rsid w:val="00767C61"/>
    <w:rsid w:val="0077008A"/>
    <w:rsid w:val="00773C1F"/>
    <w:rsid w:val="00774DA4"/>
    <w:rsid w:val="007758CC"/>
    <w:rsid w:val="00776599"/>
    <w:rsid w:val="0078114B"/>
    <w:rsid w:val="00781DD2"/>
    <w:rsid w:val="00783ECF"/>
    <w:rsid w:val="0078413A"/>
    <w:rsid w:val="00790FD5"/>
    <w:rsid w:val="007959E8"/>
    <w:rsid w:val="00795E9C"/>
    <w:rsid w:val="007A0521"/>
    <w:rsid w:val="007A2E12"/>
    <w:rsid w:val="007A3475"/>
    <w:rsid w:val="007A3616"/>
    <w:rsid w:val="007A41C8"/>
    <w:rsid w:val="007A54CE"/>
    <w:rsid w:val="007A5D3A"/>
    <w:rsid w:val="007A6FD9"/>
    <w:rsid w:val="007A7FE9"/>
    <w:rsid w:val="007A7FFA"/>
    <w:rsid w:val="007B04EB"/>
    <w:rsid w:val="007B0D4F"/>
    <w:rsid w:val="007B45C0"/>
    <w:rsid w:val="007B5A3D"/>
    <w:rsid w:val="007B5B95"/>
    <w:rsid w:val="007B6032"/>
    <w:rsid w:val="007B68EA"/>
    <w:rsid w:val="007B722F"/>
    <w:rsid w:val="007B7453"/>
    <w:rsid w:val="007C2D89"/>
    <w:rsid w:val="007C4593"/>
    <w:rsid w:val="007C5309"/>
    <w:rsid w:val="007C6069"/>
    <w:rsid w:val="007C6731"/>
    <w:rsid w:val="007D06C4"/>
    <w:rsid w:val="007D1352"/>
    <w:rsid w:val="007D2508"/>
    <w:rsid w:val="007D346A"/>
    <w:rsid w:val="007D346F"/>
    <w:rsid w:val="007D5CB0"/>
    <w:rsid w:val="007D6518"/>
    <w:rsid w:val="007D76BD"/>
    <w:rsid w:val="007E0BF1"/>
    <w:rsid w:val="007E70AB"/>
    <w:rsid w:val="007F0ED8"/>
    <w:rsid w:val="007F0F63"/>
    <w:rsid w:val="007F57A8"/>
    <w:rsid w:val="007F75CE"/>
    <w:rsid w:val="008013A4"/>
    <w:rsid w:val="008027CE"/>
    <w:rsid w:val="00802F42"/>
    <w:rsid w:val="00804383"/>
    <w:rsid w:val="00804AF2"/>
    <w:rsid w:val="00804BB7"/>
    <w:rsid w:val="00804D41"/>
    <w:rsid w:val="00807057"/>
    <w:rsid w:val="00810257"/>
    <w:rsid w:val="008104F5"/>
    <w:rsid w:val="00811072"/>
    <w:rsid w:val="00811369"/>
    <w:rsid w:val="00812FB4"/>
    <w:rsid w:val="00815419"/>
    <w:rsid w:val="008163C8"/>
    <w:rsid w:val="008164A1"/>
    <w:rsid w:val="00817325"/>
    <w:rsid w:val="008209E6"/>
    <w:rsid w:val="00821D19"/>
    <w:rsid w:val="00823303"/>
    <w:rsid w:val="008233B2"/>
    <w:rsid w:val="00823A9F"/>
    <w:rsid w:val="00823C85"/>
    <w:rsid w:val="00825138"/>
    <w:rsid w:val="008269DD"/>
    <w:rsid w:val="00830621"/>
    <w:rsid w:val="008333D2"/>
    <w:rsid w:val="0083348C"/>
    <w:rsid w:val="008373D3"/>
    <w:rsid w:val="00840617"/>
    <w:rsid w:val="00840F84"/>
    <w:rsid w:val="00842A47"/>
    <w:rsid w:val="00843C13"/>
    <w:rsid w:val="00843DEF"/>
    <w:rsid w:val="008454F8"/>
    <w:rsid w:val="00845AF0"/>
    <w:rsid w:val="0085173A"/>
    <w:rsid w:val="00852D9B"/>
    <w:rsid w:val="008561A1"/>
    <w:rsid w:val="008603CE"/>
    <w:rsid w:val="00860EBC"/>
    <w:rsid w:val="008620FC"/>
    <w:rsid w:val="008627A5"/>
    <w:rsid w:val="00863686"/>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5A1"/>
    <w:rsid w:val="00896DFF"/>
    <w:rsid w:val="0089762C"/>
    <w:rsid w:val="008A173B"/>
    <w:rsid w:val="008A1893"/>
    <w:rsid w:val="008A1B57"/>
    <w:rsid w:val="008A4D47"/>
    <w:rsid w:val="008A57E6"/>
    <w:rsid w:val="008A5DA4"/>
    <w:rsid w:val="008A6F81"/>
    <w:rsid w:val="008A769A"/>
    <w:rsid w:val="008B0C9C"/>
    <w:rsid w:val="008B166D"/>
    <w:rsid w:val="008B17F4"/>
    <w:rsid w:val="008B3615"/>
    <w:rsid w:val="008B4AC4"/>
    <w:rsid w:val="008B4FA2"/>
    <w:rsid w:val="008B50C8"/>
    <w:rsid w:val="008B5281"/>
    <w:rsid w:val="008B7E05"/>
    <w:rsid w:val="008C1797"/>
    <w:rsid w:val="008C219C"/>
    <w:rsid w:val="008C475E"/>
    <w:rsid w:val="008C549A"/>
    <w:rsid w:val="008C56BD"/>
    <w:rsid w:val="008C619A"/>
    <w:rsid w:val="008D0CE8"/>
    <w:rsid w:val="008D2D1D"/>
    <w:rsid w:val="008D453D"/>
    <w:rsid w:val="008D50AD"/>
    <w:rsid w:val="008D53AD"/>
    <w:rsid w:val="008D562B"/>
    <w:rsid w:val="008D5733"/>
    <w:rsid w:val="008D622B"/>
    <w:rsid w:val="008D666C"/>
    <w:rsid w:val="008D7B54"/>
    <w:rsid w:val="008E0C9D"/>
    <w:rsid w:val="008E1648"/>
    <w:rsid w:val="008E1B3E"/>
    <w:rsid w:val="008E2319"/>
    <w:rsid w:val="008E49C6"/>
    <w:rsid w:val="008E4BB6"/>
    <w:rsid w:val="008E5518"/>
    <w:rsid w:val="008E6A84"/>
    <w:rsid w:val="008F0CDC"/>
    <w:rsid w:val="008F17A3"/>
    <w:rsid w:val="008F1ED3"/>
    <w:rsid w:val="008F4C29"/>
    <w:rsid w:val="008F70BD"/>
    <w:rsid w:val="008F788F"/>
    <w:rsid w:val="008F7EA2"/>
    <w:rsid w:val="00902722"/>
    <w:rsid w:val="009027BC"/>
    <w:rsid w:val="009057C2"/>
    <w:rsid w:val="009062E6"/>
    <w:rsid w:val="009068DB"/>
    <w:rsid w:val="00907343"/>
    <w:rsid w:val="00911BE5"/>
    <w:rsid w:val="00912162"/>
    <w:rsid w:val="00913CA9"/>
    <w:rsid w:val="009145AE"/>
    <w:rsid w:val="009146CE"/>
    <w:rsid w:val="00914CA7"/>
    <w:rsid w:val="00915C3E"/>
    <w:rsid w:val="009161A8"/>
    <w:rsid w:val="009171F6"/>
    <w:rsid w:val="00917C08"/>
    <w:rsid w:val="009245AE"/>
    <w:rsid w:val="009245F5"/>
    <w:rsid w:val="009249EC"/>
    <w:rsid w:val="00926853"/>
    <w:rsid w:val="009273B3"/>
    <w:rsid w:val="009305B5"/>
    <w:rsid w:val="009377EF"/>
    <w:rsid w:val="009378DD"/>
    <w:rsid w:val="009429D5"/>
    <w:rsid w:val="00942BF1"/>
    <w:rsid w:val="0094357D"/>
    <w:rsid w:val="00945180"/>
    <w:rsid w:val="00945428"/>
    <w:rsid w:val="00945A98"/>
    <w:rsid w:val="0094607B"/>
    <w:rsid w:val="009463D0"/>
    <w:rsid w:val="009475C4"/>
    <w:rsid w:val="009506AE"/>
    <w:rsid w:val="00953604"/>
    <w:rsid w:val="0095496B"/>
    <w:rsid w:val="00956E5E"/>
    <w:rsid w:val="00960F1E"/>
    <w:rsid w:val="00960F81"/>
    <w:rsid w:val="009610DC"/>
    <w:rsid w:val="00961490"/>
    <w:rsid w:val="0096381A"/>
    <w:rsid w:val="009657AC"/>
    <w:rsid w:val="00965BA2"/>
    <w:rsid w:val="00965E04"/>
    <w:rsid w:val="009674AD"/>
    <w:rsid w:val="00970CDC"/>
    <w:rsid w:val="00974BEC"/>
    <w:rsid w:val="00975727"/>
    <w:rsid w:val="00977010"/>
    <w:rsid w:val="00977D02"/>
    <w:rsid w:val="00977FF9"/>
    <w:rsid w:val="009809BB"/>
    <w:rsid w:val="0098364B"/>
    <w:rsid w:val="00987B95"/>
    <w:rsid w:val="009908A3"/>
    <w:rsid w:val="009910F0"/>
    <w:rsid w:val="009911AF"/>
    <w:rsid w:val="00991875"/>
    <w:rsid w:val="00991F92"/>
    <w:rsid w:val="00992017"/>
    <w:rsid w:val="00992985"/>
    <w:rsid w:val="00993889"/>
    <w:rsid w:val="009951DB"/>
    <w:rsid w:val="0099534F"/>
    <w:rsid w:val="0099551B"/>
    <w:rsid w:val="00996BD2"/>
    <w:rsid w:val="00997BF1"/>
    <w:rsid w:val="009A089C"/>
    <w:rsid w:val="009A118E"/>
    <w:rsid w:val="009A21CD"/>
    <w:rsid w:val="009A278C"/>
    <w:rsid w:val="009A2BC2"/>
    <w:rsid w:val="009A2F4C"/>
    <w:rsid w:val="009A42C1"/>
    <w:rsid w:val="009A5429"/>
    <w:rsid w:val="009A584E"/>
    <w:rsid w:val="009A7118"/>
    <w:rsid w:val="009A72AD"/>
    <w:rsid w:val="009B09E0"/>
    <w:rsid w:val="009B0BC5"/>
    <w:rsid w:val="009B1247"/>
    <w:rsid w:val="009B4D26"/>
    <w:rsid w:val="009B6029"/>
    <w:rsid w:val="009B6971"/>
    <w:rsid w:val="009C0380"/>
    <w:rsid w:val="009C1407"/>
    <w:rsid w:val="009C25F6"/>
    <w:rsid w:val="009C27F1"/>
    <w:rsid w:val="009C3152"/>
    <w:rsid w:val="009C3257"/>
    <w:rsid w:val="009C3C74"/>
    <w:rsid w:val="009C4CFA"/>
    <w:rsid w:val="009C5070"/>
    <w:rsid w:val="009C5833"/>
    <w:rsid w:val="009D112C"/>
    <w:rsid w:val="009D1385"/>
    <w:rsid w:val="009D3D44"/>
    <w:rsid w:val="009D418D"/>
    <w:rsid w:val="009D47FA"/>
    <w:rsid w:val="009D4C5B"/>
    <w:rsid w:val="009D50D2"/>
    <w:rsid w:val="009D6601"/>
    <w:rsid w:val="009D6BCA"/>
    <w:rsid w:val="009E0F62"/>
    <w:rsid w:val="009E3980"/>
    <w:rsid w:val="009E4A58"/>
    <w:rsid w:val="009E5A2D"/>
    <w:rsid w:val="009E5AB2"/>
    <w:rsid w:val="009E6219"/>
    <w:rsid w:val="009F03B3"/>
    <w:rsid w:val="00A0096C"/>
    <w:rsid w:val="00A01757"/>
    <w:rsid w:val="00A028C0"/>
    <w:rsid w:val="00A02BAE"/>
    <w:rsid w:val="00A06A6B"/>
    <w:rsid w:val="00A07E47"/>
    <w:rsid w:val="00A118CD"/>
    <w:rsid w:val="00A122B6"/>
    <w:rsid w:val="00A129D0"/>
    <w:rsid w:val="00A12C33"/>
    <w:rsid w:val="00A138BA"/>
    <w:rsid w:val="00A14C8E"/>
    <w:rsid w:val="00A153D9"/>
    <w:rsid w:val="00A15F09"/>
    <w:rsid w:val="00A169B6"/>
    <w:rsid w:val="00A17546"/>
    <w:rsid w:val="00A2271D"/>
    <w:rsid w:val="00A237D5"/>
    <w:rsid w:val="00A2463E"/>
    <w:rsid w:val="00A24DFF"/>
    <w:rsid w:val="00A270F9"/>
    <w:rsid w:val="00A30EFC"/>
    <w:rsid w:val="00A31984"/>
    <w:rsid w:val="00A32A7C"/>
    <w:rsid w:val="00A32D73"/>
    <w:rsid w:val="00A3367B"/>
    <w:rsid w:val="00A33C67"/>
    <w:rsid w:val="00A3597D"/>
    <w:rsid w:val="00A369FF"/>
    <w:rsid w:val="00A36DD1"/>
    <w:rsid w:val="00A4006C"/>
    <w:rsid w:val="00A40091"/>
    <w:rsid w:val="00A4030F"/>
    <w:rsid w:val="00A40373"/>
    <w:rsid w:val="00A41C79"/>
    <w:rsid w:val="00A41CB5"/>
    <w:rsid w:val="00A42CDF"/>
    <w:rsid w:val="00A4452E"/>
    <w:rsid w:val="00A4472C"/>
    <w:rsid w:val="00A44E69"/>
    <w:rsid w:val="00A4661E"/>
    <w:rsid w:val="00A5329A"/>
    <w:rsid w:val="00A5505F"/>
    <w:rsid w:val="00A55BD6"/>
    <w:rsid w:val="00A55D50"/>
    <w:rsid w:val="00A57142"/>
    <w:rsid w:val="00A625BE"/>
    <w:rsid w:val="00A648CD"/>
    <w:rsid w:val="00A6537A"/>
    <w:rsid w:val="00A67866"/>
    <w:rsid w:val="00A700F4"/>
    <w:rsid w:val="00A70B07"/>
    <w:rsid w:val="00A723F8"/>
    <w:rsid w:val="00A77CCB"/>
    <w:rsid w:val="00A83D8D"/>
    <w:rsid w:val="00A8446B"/>
    <w:rsid w:val="00A8473F"/>
    <w:rsid w:val="00A862D6"/>
    <w:rsid w:val="00A8715E"/>
    <w:rsid w:val="00A9295B"/>
    <w:rsid w:val="00A93B09"/>
    <w:rsid w:val="00A93D2F"/>
    <w:rsid w:val="00A952D7"/>
    <w:rsid w:val="00A9572E"/>
    <w:rsid w:val="00A963F7"/>
    <w:rsid w:val="00A96AD8"/>
    <w:rsid w:val="00AA052C"/>
    <w:rsid w:val="00AA1368"/>
    <w:rsid w:val="00AA1E45"/>
    <w:rsid w:val="00AA4286"/>
    <w:rsid w:val="00AA456B"/>
    <w:rsid w:val="00AA57F5"/>
    <w:rsid w:val="00AA672E"/>
    <w:rsid w:val="00AA6BA8"/>
    <w:rsid w:val="00AA6EC9"/>
    <w:rsid w:val="00AB25B0"/>
    <w:rsid w:val="00AB3E5A"/>
    <w:rsid w:val="00AB548B"/>
    <w:rsid w:val="00AB6309"/>
    <w:rsid w:val="00AB6C5F"/>
    <w:rsid w:val="00AB7129"/>
    <w:rsid w:val="00AC22BA"/>
    <w:rsid w:val="00AC27A6"/>
    <w:rsid w:val="00AC30F7"/>
    <w:rsid w:val="00AC3A5A"/>
    <w:rsid w:val="00AC4D95"/>
    <w:rsid w:val="00AC5DF4"/>
    <w:rsid w:val="00AC67E5"/>
    <w:rsid w:val="00AC683C"/>
    <w:rsid w:val="00AD063F"/>
    <w:rsid w:val="00AD0767"/>
    <w:rsid w:val="00AD0AEF"/>
    <w:rsid w:val="00AD0BBC"/>
    <w:rsid w:val="00AD11B7"/>
    <w:rsid w:val="00AD1A94"/>
    <w:rsid w:val="00AD1C05"/>
    <w:rsid w:val="00AD2870"/>
    <w:rsid w:val="00AD2B28"/>
    <w:rsid w:val="00AD4126"/>
    <w:rsid w:val="00AD421C"/>
    <w:rsid w:val="00AD44FA"/>
    <w:rsid w:val="00AD557B"/>
    <w:rsid w:val="00AE070A"/>
    <w:rsid w:val="00AE101C"/>
    <w:rsid w:val="00AE12E5"/>
    <w:rsid w:val="00AE2A69"/>
    <w:rsid w:val="00AE37E5"/>
    <w:rsid w:val="00AE5EB4"/>
    <w:rsid w:val="00AE793C"/>
    <w:rsid w:val="00AF0C18"/>
    <w:rsid w:val="00AF47C5"/>
    <w:rsid w:val="00AF5398"/>
    <w:rsid w:val="00AF58B3"/>
    <w:rsid w:val="00AF5C95"/>
    <w:rsid w:val="00B049AF"/>
    <w:rsid w:val="00B07242"/>
    <w:rsid w:val="00B10534"/>
    <w:rsid w:val="00B1064C"/>
    <w:rsid w:val="00B113DB"/>
    <w:rsid w:val="00B11D8A"/>
    <w:rsid w:val="00B12981"/>
    <w:rsid w:val="00B147DD"/>
    <w:rsid w:val="00B156FD"/>
    <w:rsid w:val="00B169FA"/>
    <w:rsid w:val="00B21F61"/>
    <w:rsid w:val="00B240FC"/>
    <w:rsid w:val="00B261F1"/>
    <w:rsid w:val="00B265BC"/>
    <w:rsid w:val="00B31EC1"/>
    <w:rsid w:val="00B31FB1"/>
    <w:rsid w:val="00B33022"/>
    <w:rsid w:val="00B33952"/>
    <w:rsid w:val="00B33C5E"/>
    <w:rsid w:val="00B342F4"/>
    <w:rsid w:val="00B34369"/>
    <w:rsid w:val="00B34DA7"/>
    <w:rsid w:val="00B34DC2"/>
    <w:rsid w:val="00B378E5"/>
    <w:rsid w:val="00B37BDE"/>
    <w:rsid w:val="00B4346D"/>
    <w:rsid w:val="00B440F4"/>
    <w:rsid w:val="00B447A5"/>
    <w:rsid w:val="00B4654C"/>
    <w:rsid w:val="00B47293"/>
    <w:rsid w:val="00B50E50"/>
    <w:rsid w:val="00B52120"/>
    <w:rsid w:val="00B54ABC"/>
    <w:rsid w:val="00B56FBE"/>
    <w:rsid w:val="00B60ACF"/>
    <w:rsid w:val="00B61E1F"/>
    <w:rsid w:val="00B62B58"/>
    <w:rsid w:val="00B63ADA"/>
    <w:rsid w:val="00B65149"/>
    <w:rsid w:val="00B66567"/>
    <w:rsid w:val="00B66F52"/>
    <w:rsid w:val="00B66FE5"/>
    <w:rsid w:val="00B72880"/>
    <w:rsid w:val="00B758BF"/>
    <w:rsid w:val="00B774C2"/>
    <w:rsid w:val="00B77EC8"/>
    <w:rsid w:val="00B827A6"/>
    <w:rsid w:val="00B831CE"/>
    <w:rsid w:val="00B83292"/>
    <w:rsid w:val="00B845F4"/>
    <w:rsid w:val="00B85988"/>
    <w:rsid w:val="00B86677"/>
    <w:rsid w:val="00B87131"/>
    <w:rsid w:val="00B91358"/>
    <w:rsid w:val="00B939B1"/>
    <w:rsid w:val="00B952F7"/>
    <w:rsid w:val="00B96D40"/>
    <w:rsid w:val="00B97386"/>
    <w:rsid w:val="00BA2380"/>
    <w:rsid w:val="00BA263B"/>
    <w:rsid w:val="00BA42B2"/>
    <w:rsid w:val="00BA58D4"/>
    <w:rsid w:val="00BA5B9E"/>
    <w:rsid w:val="00BA7C9A"/>
    <w:rsid w:val="00BB1829"/>
    <w:rsid w:val="00BB5F8F"/>
    <w:rsid w:val="00BB657A"/>
    <w:rsid w:val="00BC1A4E"/>
    <w:rsid w:val="00BC2290"/>
    <w:rsid w:val="00BC5DC7"/>
    <w:rsid w:val="00BC6B8B"/>
    <w:rsid w:val="00BC73D8"/>
    <w:rsid w:val="00BD0BDE"/>
    <w:rsid w:val="00BD52D7"/>
    <w:rsid w:val="00BD5AD2"/>
    <w:rsid w:val="00BD7BF2"/>
    <w:rsid w:val="00BE22F3"/>
    <w:rsid w:val="00BE50C2"/>
    <w:rsid w:val="00BE5B52"/>
    <w:rsid w:val="00BE71A3"/>
    <w:rsid w:val="00BE7B8D"/>
    <w:rsid w:val="00BF0993"/>
    <w:rsid w:val="00BF10A9"/>
    <w:rsid w:val="00BF1703"/>
    <w:rsid w:val="00BF231C"/>
    <w:rsid w:val="00BF51E5"/>
    <w:rsid w:val="00BF74A6"/>
    <w:rsid w:val="00C013AD"/>
    <w:rsid w:val="00C04904"/>
    <w:rsid w:val="00C056B3"/>
    <w:rsid w:val="00C103E5"/>
    <w:rsid w:val="00C10406"/>
    <w:rsid w:val="00C121A8"/>
    <w:rsid w:val="00C13319"/>
    <w:rsid w:val="00C13EE9"/>
    <w:rsid w:val="00C2114A"/>
    <w:rsid w:val="00C21494"/>
    <w:rsid w:val="00C21540"/>
    <w:rsid w:val="00C21906"/>
    <w:rsid w:val="00C21BFA"/>
    <w:rsid w:val="00C24C8D"/>
    <w:rsid w:val="00C25BD7"/>
    <w:rsid w:val="00C25FE2"/>
    <w:rsid w:val="00C26B53"/>
    <w:rsid w:val="00C279B2"/>
    <w:rsid w:val="00C33885"/>
    <w:rsid w:val="00C33E50"/>
    <w:rsid w:val="00C34C20"/>
    <w:rsid w:val="00C35652"/>
    <w:rsid w:val="00C35A3E"/>
    <w:rsid w:val="00C42130"/>
    <w:rsid w:val="00C423A4"/>
    <w:rsid w:val="00C423E3"/>
    <w:rsid w:val="00C4294B"/>
    <w:rsid w:val="00C42FC0"/>
    <w:rsid w:val="00C42FD6"/>
    <w:rsid w:val="00C434F1"/>
    <w:rsid w:val="00C44BF5"/>
    <w:rsid w:val="00C50203"/>
    <w:rsid w:val="00C521D6"/>
    <w:rsid w:val="00C55232"/>
    <w:rsid w:val="00C553A4"/>
    <w:rsid w:val="00C559D6"/>
    <w:rsid w:val="00C55A06"/>
    <w:rsid w:val="00C55D03"/>
    <w:rsid w:val="00C601BC"/>
    <w:rsid w:val="00C6329F"/>
    <w:rsid w:val="00C63340"/>
    <w:rsid w:val="00C643F9"/>
    <w:rsid w:val="00C64E95"/>
    <w:rsid w:val="00C64EFB"/>
    <w:rsid w:val="00C71372"/>
    <w:rsid w:val="00C72410"/>
    <w:rsid w:val="00C7287F"/>
    <w:rsid w:val="00C761BF"/>
    <w:rsid w:val="00C80CB8"/>
    <w:rsid w:val="00C80FEC"/>
    <w:rsid w:val="00C819B5"/>
    <w:rsid w:val="00C819F8"/>
    <w:rsid w:val="00C82230"/>
    <w:rsid w:val="00C8248C"/>
    <w:rsid w:val="00C84A1B"/>
    <w:rsid w:val="00C84E33"/>
    <w:rsid w:val="00C86D6F"/>
    <w:rsid w:val="00C905FC"/>
    <w:rsid w:val="00C92D03"/>
    <w:rsid w:val="00C9319C"/>
    <w:rsid w:val="00C9435D"/>
    <w:rsid w:val="00C94DF2"/>
    <w:rsid w:val="00C96741"/>
    <w:rsid w:val="00CA188F"/>
    <w:rsid w:val="00CA2D1B"/>
    <w:rsid w:val="00CA375D"/>
    <w:rsid w:val="00CA662A"/>
    <w:rsid w:val="00CA6D3B"/>
    <w:rsid w:val="00CA7AFD"/>
    <w:rsid w:val="00CA7C3C"/>
    <w:rsid w:val="00CA7C41"/>
    <w:rsid w:val="00CB00D5"/>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0E11"/>
    <w:rsid w:val="00CD2808"/>
    <w:rsid w:val="00CD28BF"/>
    <w:rsid w:val="00CD3063"/>
    <w:rsid w:val="00CD3BC2"/>
    <w:rsid w:val="00CD4092"/>
    <w:rsid w:val="00CD4A20"/>
    <w:rsid w:val="00CD50A1"/>
    <w:rsid w:val="00CD519E"/>
    <w:rsid w:val="00CD5CFE"/>
    <w:rsid w:val="00CE0C4F"/>
    <w:rsid w:val="00CE30EA"/>
    <w:rsid w:val="00CE4179"/>
    <w:rsid w:val="00CE5FB2"/>
    <w:rsid w:val="00CF048A"/>
    <w:rsid w:val="00CF0A3A"/>
    <w:rsid w:val="00CF155A"/>
    <w:rsid w:val="00CF2947"/>
    <w:rsid w:val="00CF5B56"/>
    <w:rsid w:val="00CF686F"/>
    <w:rsid w:val="00CF6E60"/>
    <w:rsid w:val="00CF7BCA"/>
    <w:rsid w:val="00D008FD"/>
    <w:rsid w:val="00D01BE1"/>
    <w:rsid w:val="00D02CC9"/>
    <w:rsid w:val="00D0321C"/>
    <w:rsid w:val="00D035EC"/>
    <w:rsid w:val="00D06AB1"/>
    <w:rsid w:val="00D06CDE"/>
    <w:rsid w:val="00D06FC1"/>
    <w:rsid w:val="00D072ED"/>
    <w:rsid w:val="00D07A16"/>
    <w:rsid w:val="00D1067E"/>
    <w:rsid w:val="00D10F50"/>
    <w:rsid w:val="00D11272"/>
    <w:rsid w:val="00D11924"/>
    <w:rsid w:val="00D126F5"/>
    <w:rsid w:val="00D1489E"/>
    <w:rsid w:val="00D20737"/>
    <w:rsid w:val="00D21E81"/>
    <w:rsid w:val="00D223DE"/>
    <w:rsid w:val="00D25E37"/>
    <w:rsid w:val="00D2661A"/>
    <w:rsid w:val="00D27582"/>
    <w:rsid w:val="00D27EC4"/>
    <w:rsid w:val="00D30BD1"/>
    <w:rsid w:val="00D32719"/>
    <w:rsid w:val="00D32D99"/>
    <w:rsid w:val="00D33333"/>
    <w:rsid w:val="00D33E53"/>
    <w:rsid w:val="00D352A2"/>
    <w:rsid w:val="00D360D1"/>
    <w:rsid w:val="00D4162B"/>
    <w:rsid w:val="00D4514F"/>
    <w:rsid w:val="00D451E2"/>
    <w:rsid w:val="00D456DC"/>
    <w:rsid w:val="00D45E89"/>
    <w:rsid w:val="00D45E8D"/>
    <w:rsid w:val="00D466AE"/>
    <w:rsid w:val="00D4734F"/>
    <w:rsid w:val="00D51BF3"/>
    <w:rsid w:val="00D5438F"/>
    <w:rsid w:val="00D55603"/>
    <w:rsid w:val="00D55D26"/>
    <w:rsid w:val="00D61301"/>
    <w:rsid w:val="00D65D91"/>
    <w:rsid w:val="00D66846"/>
    <w:rsid w:val="00D675FB"/>
    <w:rsid w:val="00D71F25"/>
    <w:rsid w:val="00D72A9C"/>
    <w:rsid w:val="00D75F5F"/>
    <w:rsid w:val="00D76086"/>
    <w:rsid w:val="00D77031"/>
    <w:rsid w:val="00D84941"/>
    <w:rsid w:val="00D84FA1"/>
    <w:rsid w:val="00D851F0"/>
    <w:rsid w:val="00D862D6"/>
    <w:rsid w:val="00D86DB7"/>
    <w:rsid w:val="00D87BF5"/>
    <w:rsid w:val="00D90721"/>
    <w:rsid w:val="00D91767"/>
    <w:rsid w:val="00D91807"/>
    <w:rsid w:val="00D926D0"/>
    <w:rsid w:val="00D93030"/>
    <w:rsid w:val="00D950E1"/>
    <w:rsid w:val="00D952A6"/>
    <w:rsid w:val="00D95A6F"/>
    <w:rsid w:val="00D96349"/>
    <w:rsid w:val="00D97F99"/>
    <w:rsid w:val="00DA1DDD"/>
    <w:rsid w:val="00DA1E08"/>
    <w:rsid w:val="00DA24F8"/>
    <w:rsid w:val="00DA28E8"/>
    <w:rsid w:val="00DA38D3"/>
    <w:rsid w:val="00DA3932"/>
    <w:rsid w:val="00DA3AFC"/>
    <w:rsid w:val="00DA64F8"/>
    <w:rsid w:val="00DA6C15"/>
    <w:rsid w:val="00DB0258"/>
    <w:rsid w:val="00DB38EE"/>
    <w:rsid w:val="00DB498B"/>
    <w:rsid w:val="00DB57F2"/>
    <w:rsid w:val="00DB6074"/>
    <w:rsid w:val="00DB66CA"/>
    <w:rsid w:val="00DB6BCA"/>
    <w:rsid w:val="00DB6F54"/>
    <w:rsid w:val="00DB73F7"/>
    <w:rsid w:val="00DC0321"/>
    <w:rsid w:val="00DC3067"/>
    <w:rsid w:val="00DC370B"/>
    <w:rsid w:val="00DC5B90"/>
    <w:rsid w:val="00DC5E55"/>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0443"/>
    <w:rsid w:val="00DF1961"/>
    <w:rsid w:val="00DF301C"/>
    <w:rsid w:val="00DF44DE"/>
    <w:rsid w:val="00E01138"/>
    <w:rsid w:val="00E0145B"/>
    <w:rsid w:val="00E02DFB"/>
    <w:rsid w:val="00E030F9"/>
    <w:rsid w:val="00E0311A"/>
    <w:rsid w:val="00E03138"/>
    <w:rsid w:val="00E06404"/>
    <w:rsid w:val="00E11A85"/>
    <w:rsid w:val="00E12495"/>
    <w:rsid w:val="00E15CCD"/>
    <w:rsid w:val="00E202EF"/>
    <w:rsid w:val="00E210B5"/>
    <w:rsid w:val="00E24943"/>
    <w:rsid w:val="00E24EBF"/>
    <w:rsid w:val="00E2552F"/>
    <w:rsid w:val="00E3137A"/>
    <w:rsid w:val="00E320AA"/>
    <w:rsid w:val="00E32CCF"/>
    <w:rsid w:val="00E34A98"/>
    <w:rsid w:val="00E35D1E"/>
    <w:rsid w:val="00E364F9"/>
    <w:rsid w:val="00E365FA"/>
    <w:rsid w:val="00E36789"/>
    <w:rsid w:val="00E36CFB"/>
    <w:rsid w:val="00E36EC0"/>
    <w:rsid w:val="00E40012"/>
    <w:rsid w:val="00E4081D"/>
    <w:rsid w:val="00E41A3C"/>
    <w:rsid w:val="00E41F9B"/>
    <w:rsid w:val="00E44A83"/>
    <w:rsid w:val="00E502C1"/>
    <w:rsid w:val="00E502DD"/>
    <w:rsid w:val="00E50D3A"/>
    <w:rsid w:val="00E51387"/>
    <w:rsid w:val="00E518DA"/>
    <w:rsid w:val="00E519D6"/>
    <w:rsid w:val="00E51E68"/>
    <w:rsid w:val="00E52EFD"/>
    <w:rsid w:val="00E5408A"/>
    <w:rsid w:val="00E541D9"/>
    <w:rsid w:val="00E54B7A"/>
    <w:rsid w:val="00E56800"/>
    <w:rsid w:val="00E60C63"/>
    <w:rsid w:val="00E62FF9"/>
    <w:rsid w:val="00E635D6"/>
    <w:rsid w:val="00E639BC"/>
    <w:rsid w:val="00E664CC"/>
    <w:rsid w:val="00E70388"/>
    <w:rsid w:val="00E70F92"/>
    <w:rsid w:val="00E74313"/>
    <w:rsid w:val="00E74C54"/>
    <w:rsid w:val="00E774E4"/>
    <w:rsid w:val="00E77A03"/>
    <w:rsid w:val="00E822E8"/>
    <w:rsid w:val="00E82554"/>
    <w:rsid w:val="00E82606"/>
    <w:rsid w:val="00E831C1"/>
    <w:rsid w:val="00E83DDA"/>
    <w:rsid w:val="00E846C8"/>
    <w:rsid w:val="00E84957"/>
    <w:rsid w:val="00E84A55"/>
    <w:rsid w:val="00E85BFF"/>
    <w:rsid w:val="00E90391"/>
    <w:rsid w:val="00E906C2"/>
    <w:rsid w:val="00E91ED9"/>
    <w:rsid w:val="00E9311F"/>
    <w:rsid w:val="00E934D1"/>
    <w:rsid w:val="00E94AF0"/>
    <w:rsid w:val="00E95D13"/>
    <w:rsid w:val="00E95DD3"/>
    <w:rsid w:val="00E969D5"/>
    <w:rsid w:val="00EA1E3A"/>
    <w:rsid w:val="00EA58D1"/>
    <w:rsid w:val="00EA61BC"/>
    <w:rsid w:val="00EA681A"/>
    <w:rsid w:val="00EA735B"/>
    <w:rsid w:val="00EB1E25"/>
    <w:rsid w:val="00EB1E69"/>
    <w:rsid w:val="00EB2086"/>
    <w:rsid w:val="00EB31ED"/>
    <w:rsid w:val="00EB5EDF"/>
    <w:rsid w:val="00EB60FE"/>
    <w:rsid w:val="00EB74DB"/>
    <w:rsid w:val="00EC309D"/>
    <w:rsid w:val="00EC44F8"/>
    <w:rsid w:val="00EC5359"/>
    <w:rsid w:val="00EC54BF"/>
    <w:rsid w:val="00EC562A"/>
    <w:rsid w:val="00ED067A"/>
    <w:rsid w:val="00ED2B50"/>
    <w:rsid w:val="00EE0350"/>
    <w:rsid w:val="00EE0719"/>
    <w:rsid w:val="00EE0E80"/>
    <w:rsid w:val="00EE100C"/>
    <w:rsid w:val="00EE137A"/>
    <w:rsid w:val="00EE184F"/>
    <w:rsid w:val="00EE343D"/>
    <w:rsid w:val="00EE3637"/>
    <w:rsid w:val="00EE613F"/>
    <w:rsid w:val="00EE7295"/>
    <w:rsid w:val="00EE7869"/>
    <w:rsid w:val="00EF054A"/>
    <w:rsid w:val="00EF3235"/>
    <w:rsid w:val="00EF4865"/>
    <w:rsid w:val="00EF7E72"/>
    <w:rsid w:val="00F06BBC"/>
    <w:rsid w:val="00F06D37"/>
    <w:rsid w:val="00F07B9D"/>
    <w:rsid w:val="00F11586"/>
    <w:rsid w:val="00F1183B"/>
    <w:rsid w:val="00F11C9F"/>
    <w:rsid w:val="00F12263"/>
    <w:rsid w:val="00F1409D"/>
    <w:rsid w:val="00F140D3"/>
    <w:rsid w:val="00F14214"/>
    <w:rsid w:val="00F14D2C"/>
    <w:rsid w:val="00F157A9"/>
    <w:rsid w:val="00F16F00"/>
    <w:rsid w:val="00F20831"/>
    <w:rsid w:val="00F22090"/>
    <w:rsid w:val="00F237B0"/>
    <w:rsid w:val="00F25BB6"/>
    <w:rsid w:val="00F26B7E"/>
    <w:rsid w:val="00F27A3B"/>
    <w:rsid w:val="00F32780"/>
    <w:rsid w:val="00F33817"/>
    <w:rsid w:val="00F41B5C"/>
    <w:rsid w:val="00F420D5"/>
    <w:rsid w:val="00F44D33"/>
    <w:rsid w:val="00F451EA"/>
    <w:rsid w:val="00F45447"/>
    <w:rsid w:val="00F456C6"/>
    <w:rsid w:val="00F4577B"/>
    <w:rsid w:val="00F46496"/>
    <w:rsid w:val="00F474D0"/>
    <w:rsid w:val="00F50179"/>
    <w:rsid w:val="00F515EE"/>
    <w:rsid w:val="00F56511"/>
    <w:rsid w:val="00F6194E"/>
    <w:rsid w:val="00F623AC"/>
    <w:rsid w:val="00F63288"/>
    <w:rsid w:val="00F6412A"/>
    <w:rsid w:val="00F64130"/>
    <w:rsid w:val="00F65893"/>
    <w:rsid w:val="00F662A0"/>
    <w:rsid w:val="00F66A4A"/>
    <w:rsid w:val="00F674F0"/>
    <w:rsid w:val="00F7041D"/>
    <w:rsid w:val="00F70D5E"/>
    <w:rsid w:val="00F71E22"/>
    <w:rsid w:val="00F72142"/>
    <w:rsid w:val="00F72AE7"/>
    <w:rsid w:val="00F74B35"/>
    <w:rsid w:val="00F75E8C"/>
    <w:rsid w:val="00F80A15"/>
    <w:rsid w:val="00F833BA"/>
    <w:rsid w:val="00F84FD0"/>
    <w:rsid w:val="00F85685"/>
    <w:rsid w:val="00F859A8"/>
    <w:rsid w:val="00F86D87"/>
    <w:rsid w:val="00F9108B"/>
    <w:rsid w:val="00F91349"/>
    <w:rsid w:val="00F93A8A"/>
    <w:rsid w:val="00F95248"/>
    <w:rsid w:val="00F9538B"/>
    <w:rsid w:val="00F956A9"/>
    <w:rsid w:val="00F963ED"/>
    <w:rsid w:val="00F966CF"/>
    <w:rsid w:val="00F96CAE"/>
    <w:rsid w:val="00F97C99"/>
    <w:rsid w:val="00FA662B"/>
    <w:rsid w:val="00FA662D"/>
    <w:rsid w:val="00FA73B1"/>
    <w:rsid w:val="00FB0CB9"/>
    <w:rsid w:val="00FB231D"/>
    <w:rsid w:val="00FB45F1"/>
    <w:rsid w:val="00FB4A72"/>
    <w:rsid w:val="00FB54E8"/>
    <w:rsid w:val="00FB629C"/>
    <w:rsid w:val="00FB7054"/>
    <w:rsid w:val="00FC1050"/>
    <w:rsid w:val="00FC17B7"/>
    <w:rsid w:val="00FC2CB7"/>
    <w:rsid w:val="00FC4090"/>
    <w:rsid w:val="00FC55B4"/>
    <w:rsid w:val="00FD00E6"/>
    <w:rsid w:val="00FD09A1"/>
    <w:rsid w:val="00FD1979"/>
    <w:rsid w:val="00FD2A7C"/>
    <w:rsid w:val="00FD59EB"/>
    <w:rsid w:val="00FD7299"/>
    <w:rsid w:val="00FE1D0E"/>
    <w:rsid w:val="00FE1FBE"/>
    <w:rsid w:val="00FE37E0"/>
    <w:rsid w:val="00FE3901"/>
    <w:rsid w:val="00FE39D3"/>
    <w:rsid w:val="00FE496B"/>
    <w:rsid w:val="00FE4BCE"/>
    <w:rsid w:val="00FE54AE"/>
    <w:rsid w:val="00FE576A"/>
    <w:rsid w:val="00FE693B"/>
    <w:rsid w:val="00FE7E79"/>
    <w:rsid w:val="00FF2241"/>
    <w:rsid w:val="00FF3E7D"/>
    <w:rsid w:val="00FF5B99"/>
    <w:rsid w:val="00FF6A55"/>
    <w:rsid w:val="00FF730C"/>
    <w:rsid w:val="00FF73F4"/>
    <w:rsid w:val="00FF7CE4"/>
    <w:rsid w:val="00FF7E39"/>
    <w:rsid w:val="00FF7FBE"/>
    <w:rsid w:val="05FF1229"/>
    <w:rsid w:val="0A1421D6"/>
    <w:rsid w:val="0CEA53B1"/>
    <w:rsid w:val="0E6354DA"/>
    <w:rsid w:val="14772F83"/>
    <w:rsid w:val="17252CFD"/>
    <w:rsid w:val="1EEC5ECB"/>
    <w:rsid w:val="1FF62475"/>
    <w:rsid w:val="23930C1F"/>
    <w:rsid w:val="2A6B27D7"/>
    <w:rsid w:val="2AFA28CA"/>
    <w:rsid w:val="2E342338"/>
    <w:rsid w:val="33F32F8B"/>
    <w:rsid w:val="34AC77F8"/>
    <w:rsid w:val="401F434D"/>
    <w:rsid w:val="405016DC"/>
    <w:rsid w:val="44F63F31"/>
    <w:rsid w:val="489B34E7"/>
    <w:rsid w:val="4B497F7A"/>
    <w:rsid w:val="4CB55945"/>
    <w:rsid w:val="4F6050C6"/>
    <w:rsid w:val="534D4431"/>
    <w:rsid w:val="539D6365"/>
    <w:rsid w:val="53A95E5E"/>
    <w:rsid w:val="552846C5"/>
    <w:rsid w:val="56803042"/>
    <w:rsid w:val="57481374"/>
    <w:rsid w:val="5D89252A"/>
    <w:rsid w:val="5E1824AD"/>
    <w:rsid w:val="61625704"/>
    <w:rsid w:val="72E00CC9"/>
    <w:rsid w:val="73E7745D"/>
    <w:rsid w:val="79A955EA"/>
    <w:rsid w:val="7B3E182A"/>
    <w:rsid w:val="7D2420E5"/>
    <w:rsid w:val="7E004E2D"/>
    <w:rsid w:val="7EE32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4"/>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5"/>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5"/>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5"/>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5"/>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4"/>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31">
    <w:name w:val="一级条标题"/>
    <w:next w:val="230"/>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32">
    <w:name w:val="附录标识"/>
    <w:basedOn w:val="1"/>
    <w:next w:val="230"/>
    <w:qFormat/>
    <w:uiPriority w:val="0"/>
    <w:pPr>
      <w:keepNext/>
      <w:widowControl/>
      <w:numPr>
        <w:ilvl w:val="0"/>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233">
    <w:name w:val="终结线"/>
    <w:basedOn w:val="1"/>
    <w:qFormat/>
    <w:uiPriority w:val="0"/>
    <w:pPr>
      <w:framePr w:hSpace="181" w:vSpace="181" w:wrap="around" w:vAnchor="text" w:hAnchor="margin" w:xAlign="center" w:y="285"/>
    </w:pPr>
  </w:style>
  <w:style w:type="paragraph" w:styleId="234">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CA950F1575C4720B889F3B5D1994359"/>
        <w:style w:val=""/>
        <w:category>
          <w:name w:val="常规"/>
          <w:gallery w:val="placeholder"/>
        </w:category>
        <w:types>
          <w:type w:val="bbPlcHdr"/>
        </w:types>
        <w:behaviors>
          <w:behavior w:val="content"/>
        </w:behaviors>
        <w:description w:val=""/>
        <w:guid w:val="{BE4D0304-B519-49DF-AE7E-1A959886B5F5}"/>
      </w:docPartPr>
      <w:docPartBody>
        <w:p w14:paraId="14EE1A75">
          <w:pPr>
            <w:pStyle w:val="5"/>
          </w:pPr>
          <w:r>
            <w:rPr>
              <w:rStyle w:val="4"/>
              <w:rFonts w:hint="eastAsia"/>
            </w:rPr>
            <w:t>单击或点击此处输入文字。</w:t>
          </w:r>
        </w:p>
      </w:docPartBody>
    </w:docPart>
    <w:docPart>
      <w:docPartPr>
        <w:name w:val="D5F96284AA704D28AD23F0A2F4B324D7"/>
        <w:style w:val=""/>
        <w:category>
          <w:name w:val="常规"/>
          <w:gallery w:val="placeholder"/>
        </w:category>
        <w:types>
          <w:type w:val="bbPlcHdr"/>
        </w:types>
        <w:behaviors>
          <w:behavior w:val="content"/>
        </w:behaviors>
        <w:description w:val=""/>
        <w:guid w:val="{3839741D-B435-4DF1-AD65-0C4903711F8C}"/>
      </w:docPartPr>
      <w:docPartBody>
        <w:p w14:paraId="171C8444">
          <w:pPr>
            <w:pStyle w:val="6"/>
          </w:pPr>
          <w:r>
            <w:rPr>
              <w:rStyle w:val="4"/>
              <w:rFonts w:hint="eastAsia"/>
            </w:rPr>
            <w:t>选择一项。</w:t>
          </w:r>
        </w:p>
      </w:docPartBody>
    </w:docPart>
    <w:docPart>
      <w:docPartPr>
        <w:name w:val="C828CFCDF8A44CA995B2D67F2DF8B3BD"/>
        <w:style w:val=""/>
        <w:category>
          <w:name w:val="常规"/>
          <w:gallery w:val="placeholder"/>
        </w:category>
        <w:types>
          <w:type w:val="bbPlcHdr"/>
        </w:types>
        <w:behaviors>
          <w:behavior w:val="content"/>
        </w:behaviors>
        <w:description w:val=""/>
        <w:guid w:val="{CA03901F-EDBB-4DD8-BA4A-E74EF6E4F774}"/>
      </w:docPartPr>
      <w:docPartBody>
        <w:p w14:paraId="7BDBA6CA">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B74"/>
    <w:rsid w:val="000367EF"/>
    <w:rsid w:val="000779FE"/>
    <w:rsid w:val="000A3A35"/>
    <w:rsid w:val="000F1765"/>
    <w:rsid w:val="00165EF2"/>
    <w:rsid w:val="00181FC9"/>
    <w:rsid w:val="00186A6E"/>
    <w:rsid w:val="00186F5D"/>
    <w:rsid w:val="001A4CA6"/>
    <w:rsid w:val="001A67A2"/>
    <w:rsid w:val="00210110"/>
    <w:rsid w:val="0025086D"/>
    <w:rsid w:val="002572F0"/>
    <w:rsid w:val="002A741C"/>
    <w:rsid w:val="002F2F03"/>
    <w:rsid w:val="003210BE"/>
    <w:rsid w:val="00360AF3"/>
    <w:rsid w:val="0038713F"/>
    <w:rsid w:val="003C270E"/>
    <w:rsid w:val="003C56CE"/>
    <w:rsid w:val="00421989"/>
    <w:rsid w:val="00483F8D"/>
    <w:rsid w:val="00492860"/>
    <w:rsid w:val="00520926"/>
    <w:rsid w:val="005316F5"/>
    <w:rsid w:val="00550815"/>
    <w:rsid w:val="005E118A"/>
    <w:rsid w:val="00605A8D"/>
    <w:rsid w:val="006436CB"/>
    <w:rsid w:val="0065594F"/>
    <w:rsid w:val="00657743"/>
    <w:rsid w:val="00676205"/>
    <w:rsid w:val="00682033"/>
    <w:rsid w:val="006A3849"/>
    <w:rsid w:val="006B64AA"/>
    <w:rsid w:val="006C4E26"/>
    <w:rsid w:val="00733593"/>
    <w:rsid w:val="0076092D"/>
    <w:rsid w:val="00790FD5"/>
    <w:rsid w:val="007A3616"/>
    <w:rsid w:val="007B69E3"/>
    <w:rsid w:val="007C119E"/>
    <w:rsid w:val="008455E7"/>
    <w:rsid w:val="0088644A"/>
    <w:rsid w:val="00890B49"/>
    <w:rsid w:val="008A0674"/>
    <w:rsid w:val="008A4D47"/>
    <w:rsid w:val="008A5DA4"/>
    <w:rsid w:val="00927C56"/>
    <w:rsid w:val="00956E5E"/>
    <w:rsid w:val="00994825"/>
    <w:rsid w:val="009E186A"/>
    <w:rsid w:val="00A24DFF"/>
    <w:rsid w:val="00AD2B28"/>
    <w:rsid w:val="00AE12E5"/>
    <w:rsid w:val="00AE7FB8"/>
    <w:rsid w:val="00B1064C"/>
    <w:rsid w:val="00B63EDC"/>
    <w:rsid w:val="00B74B1B"/>
    <w:rsid w:val="00B8607D"/>
    <w:rsid w:val="00B91768"/>
    <w:rsid w:val="00BB1EDF"/>
    <w:rsid w:val="00BE50C2"/>
    <w:rsid w:val="00C2114A"/>
    <w:rsid w:val="00C21494"/>
    <w:rsid w:val="00C761BF"/>
    <w:rsid w:val="00CA7C41"/>
    <w:rsid w:val="00CF5B56"/>
    <w:rsid w:val="00D138BD"/>
    <w:rsid w:val="00D30BD1"/>
    <w:rsid w:val="00D436E9"/>
    <w:rsid w:val="00D862D6"/>
    <w:rsid w:val="00DA2F29"/>
    <w:rsid w:val="00DA7AEF"/>
    <w:rsid w:val="00E24838"/>
    <w:rsid w:val="00E25100"/>
    <w:rsid w:val="00E26F75"/>
    <w:rsid w:val="00E30F22"/>
    <w:rsid w:val="00E67F0C"/>
    <w:rsid w:val="00E774E4"/>
    <w:rsid w:val="00E86A09"/>
    <w:rsid w:val="00E91E54"/>
    <w:rsid w:val="00EA4BAB"/>
    <w:rsid w:val="00EA7C58"/>
    <w:rsid w:val="00EE100C"/>
    <w:rsid w:val="00EE3637"/>
    <w:rsid w:val="00EF37DB"/>
    <w:rsid w:val="00F36802"/>
    <w:rsid w:val="00F55E06"/>
    <w:rsid w:val="00F65247"/>
    <w:rsid w:val="00F70D5E"/>
    <w:rsid w:val="00F81D62"/>
    <w:rsid w:val="00FB5B76"/>
    <w:rsid w:val="00FC1B74"/>
    <w:rsid w:val="00FE1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CCA950F1575C4720B889F3B5D199435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D5F96284AA704D28AD23F0A2F4B324D7"/>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C828CFCDF8A44CA995B2D67F2DF8B3B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3D4185-EC6D-4766-BCA1-9DFEECE32B90}">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8</Pages>
  <Words>1680</Words>
  <Characters>2107</Characters>
  <Lines>36</Lines>
  <Paragraphs>10</Paragraphs>
  <TotalTime>2</TotalTime>
  <ScaleCrop>false</ScaleCrop>
  <LinksUpToDate>false</LinksUpToDate>
  <CharactersWithSpaces>2193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2025-11-26T07:33:00Z</dcterms:created>
  <dc:creator>田茂军</dc:creator>
  <dc:description>&lt;config cover="true" show_menu="true" version="1.0.0" doctype="SDKXY"&gt;_x000d_
&lt;/config&gt;</dc:description>
  <cp:lastModifiedBy>龚华</cp:lastModifiedBy>
  <cp:lastPrinted>2025-12-31T01:28:00Z</cp:lastPrinted>
  <dcterms:modified xsi:type="dcterms:W3CDTF">2026-09-01T05:52:34Z</dcterms:modified>
  <dc:title>团体标准</dc:title>
  <cp:revision>344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eyJoZGlkIjoiODMxZjkyZDlmN2VlYTliYmNkOWVhMDA0MmU2MTNmYWQiLCJ1c2VySWQiOiIzNzM3NTgzMTkifQ==</vt:lpwstr>
  </property>
  <property fmtid="{D5CDD505-2E9C-101B-9397-08002B2CF9AE}" pid="15" name="KSOProductBuildVer">
    <vt:lpwstr>2052-12.1.0.28043</vt:lpwstr>
  </property>
  <property fmtid="{D5CDD505-2E9C-101B-9397-08002B2CF9AE}" pid="16" name="ICV">
    <vt:lpwstr>B678C46EB8A94DDDB56501EC46E4F5C8_13</vt:lpwstr>
  </property>
</Properties>
</file>