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1D3D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20B8EAE">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506D72A4">
            <w:pPr>
              <w:pStyle w:val="18"/>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43.040.99</w:t>
            </w:r>
            <w:r>
              <w:rPr>
                <w:rFonts w:ascii="黑体" w:hAnsi="黑体" w:eastAsia="黑体"/>
                <w:sz w:val="21"/>
                <w:szCs w:val="21"/>
              </w:rPr>
              <w:fldChar w:fldCharType="end"/>
            </w:r>
            <w:bookmarkEnd w:id="0"/>
          </w:p>
        </w:tc>
      </w:tr>
      <w:tr w14:paraId="28000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7077508">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4DFE498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44215673">
                  <w:pPr>
                    <w:pStyle w:val="49"/>
                    <w:framePr w:wrap="notBeside" w:vAnchor="page" w:hAnchor="page" w:x="1372" w:y="568"/>
                    <w:ind w:left="420" w:right="624"/>
                    <w:rPr>
                      <w:rFonts w:ascii="宋体" w:hAnsi="宋体"/>
                      <w:sz w:val="28"/>
                      <w:szCs w:val="28"/>
                    </w:rPr>
                  </w:pPr>
                </w:p>
              </w:tc>
            </w:tr>
          </w:tbl>
          <w:p w14:paraId="2F569788">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 xml:space="preserve">T47 </w:t>
            </w:r>
            <w:r>
              <w:rPr>
                <w:rFonts w:ascii="黑体" w:hAnsi="黑体" w:eastAsia="黑体"/>
                <w:sz w:val="21"/>
                <w:szCs w:val="21"/>
              </w:rPr>
              <w:fldChar w:fldCharType="end"/>
            </w:r>
            <w:bookmarkEnd w:id="1"/>
          </w:p>
        </w:tc>
      </w:tr>
    </w:tbl>
    <w:p w14:paraId="23740251">
      <w:pPr>
        <w:pStyle w:val="50"/>
        <w:framePr w:w="9639" w:h="624" w:hRule="exact" w:hSpace="181" w:vSpace="181" w:wrap="around" w:hAnchor="page" w:x="1305" w:y="2269"/>
        <w:rPr>
          <w:rFonts w:hint="eastAsia" w:ascii="黑体" w:hAnsi="黑体" w:eastAsia="黑体"/>
          <w:b w:val="0"/>
          <w:bCs w:val="0"/>
          <w:w w:val="100"/>
          <w:sz w:val="48"/>
          <w:szCs w:val="48"/>
        </w:rPr>
      </w:pPr>
      <w:bookmarkStart w:id="2"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2"/>
    <w:p w14:paraId="348991E0">
      <w:pPr>
        <w:pStyle w:val="195"/>
        <w:framePr/>
      </w:pPr>
      <w:r>
        <w:t>T/</w:t>
      </w:r>
      <w:r>
        <w:fldChar w:fldCharType="begin">
          <w:ffData>
            <w:name w:val="文字1"/>
            <w:enabled/>
            <w:calcOnExit w:val="0"/>
            <w:textInput>
              <w:default w:val="XXX"/>
            </w:textInput>
          </w:ffData>
        </w:fldChar>
      </w:r>
      <w:bookmarkStart w:id="3" w:name="文字1"/>
      <w:r>
        <w:instrText xml:space="preserve"> FORMTEXT </w:instrText>
      </w:r>
      <w:r>
        <w:fldChar w:fldCharType="separate"/>
      </w:r>
      <w:r>
        <w:t>XXX</w:t>
      </w:r>
      <w:r>
        <w:fldChar w:fldCharType="end"/>
      </w:r>
      <w:bookmarkEnd w:id="3"/>
      <w:r>
        <w:t xml:space="preserve"> </w:t>
      </w:r>
      <w:r>
        <w:fldChar w:fldCharType="begin">
          <w:ffData>
            <w:name w:val="NSTD_CODE_F"/>
            <w:enabled/>
            <w:calcOnExit w:val="0"/>
            <w:textInput>
              <w:default w:val="XXXX"/>
            </w:textInput>
          </w:ffData>
        </w:fldChar>
      </w:r>
      <w:bookmarkStart w:id="4" w:name="NSTD_CODE_F"/>
      <w:r>
        <w:instrText xml:space="preserve"> FORMTEXT </w:instrText>
      </w:r>
      <w:r>
        <w:fldChar w:fldCharType="separate"/>
      </w:r>
      <w:r>
        <w:t>XXXX</w:t>
      </w:r>
      <w:r>
        <w:fldChar w:fldCharType="end"/>
      </w:r>
      <w:bookmarkEnd w:id="4"/>
      <w:r>
        <w:rPr>
          <w:rFonts w:hAnsi="黑体"/>
        </w:rPr>
        <w:t>—</w:t>
      </w:r>
      <w:r>
        <w:fldChar w:fldCharType="begin">
          <w:ffData>
            <w:name w:val="NSTD_CODE_B"/>
            <w:enabled/>
            <w:calcOnExit w:val="0"/>
            <w:textInput>
              <w:default w:val="XXXX"/>
            </w:textInput>
          </w:ffData>
        </w:fldChar>
      </w:r>
      <w:bookmarkStart w:id="5" w:name="NSTD_CODE_B"/>
      <w:r>
        <w:instrText xml:space="preserve"> FORMTEXT </w:instrText>
      </w:r>
      <w:r>
        <w:fldChar w:fldCharType="separate"/>
      </w:r>
      <w:r>
        <w:t>XXXX</w:t>
      </w:r>
      <w:r>
        <w:fldChar w:fldCharType="end"/>
      </w:r>
      <w:bookmarkEnd w:id="5"/>
    </w:p>
    <w:p w14:paraId="1CAE1DE9">
      <w:pPr>
        <w:pStyle w:val="196"/>
        <w:framePr/>
        <w:rPr>
          <w:rFonts w:hint="eastAsia"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14:paraId="5EBE3DD2">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43569ABF">
      <w:pPr>
        <w:pStyle w:val="50"/>
        <w:framePr w:w="9639" w:h="6976" w:hRule="exact" w:hSpace="0" w:vSpace="0" w:wrap="around" w:hAnchor="page" w:y="6408"/>
        <w:jc w:val="center"/>
        <w:rPr>
          <w:rFonts w:hint="eastAsia" w:ascii="黑体" w:hAnsi="黑体" w:eastAsia="黑体"/>
          <w:b w:val="0"/>
          <w:bCs w:val="0"/>
          <w:w w:val="100"/>
        </w:rPr>
      </w:pPr>
    </w:p>
    <w:p w14:paraId="6C7B7C15">
      <w:pPr>
        <w:pStyle w:val="197"/>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rPr>
          <w:rFonts w:hint="eastAsia"/>
        </w:rPr>
        <w:t>汽车用氢气比例阀</w:t>
      </w:r>
      <w:r>
        <w:fldChar w:fldCharType="end"/>
      </w:r>
      <w:bookmarkEnd w:id="7"/>
    </w:p>
    <w:p w14:paraId="585424A5">
      <w:pPr>
        <w:framePr w:w="9639" w:h="6974" w:hRule="exact" w:wrap="around" w:vAnchor="page" w:hAnchor="page" w:x="1419" w:y="6408" w:anchorLock="1"/>
        <w:ind w:left="-1418"/>
      </w:pPr>
    </w:p>
    <w:p w14:paraId="2F0EA0E3">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fldChar w:fldCharType="separate"/>
      </w:r>
      <w:r>
        <w:rPr>
          <w:rFonts w:hint="eastAsia" w:eastAsia="黑体"/>
          <w:szCs w:val="28"/>
        </w:rPr>
        <w:t>Hydrogen proportional valve for vehicles</w:t>
      </w:r>
      <w:r>
        <w:rPr>
          <w:rFonts w:eastAsia="黑体"/>
          <w:szCs w:val="28"/>
        </w:rPr>
        <w:fldChar w:fldCharType="end"/>
      </w:r>
      <w:bookmarkEnd w:id="8"/>
    </w:p>
    <w:p w14:paraId="5F3F0139">
      <w:pPr>
        <w:framePr w:w="9639" w:h="6974" w:hRule="exact" w:wrap="around" w:vAnchor="page" w:hAnchor="page" w:x="1419" w:y="6408" w:anchorLock="1"/>
        <w:spacing w:line="760" w:lineRule="exact"/>
        <w:ind w:left="-1418"/>
      </w:pPr>
    </w:p>
    <w:p w14:paraId="0F1EE2F8">
      <w:pPr>
        <w:pStyle w:val="125"/>
        <w:framePr w:w="9639" w:h="6974" w:hRule="exact" w:wrap="around" w:vAnchor="page" w:hAnchor="page" w:x="1419" w:y="6408" w:anchorLock="1"/>
        <w:textAlignment w:val="bottom"/>
        <w:rPr>
          <w:rFonts w:eastAsia="黑体"/>
          <w:szCs w:val="28"/>
        </w:rPr>
      </w:pPr>
    </w:p>
    <w:p w14:paraId="2EF5EFDA">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9" w:name="下拉1"/>
      <w:r>
        <w:rPr>
          <w:sz w:val="24"/>
          <w:szCs w:val="28"/>
        </w:rPr>
        <w:instrText xml:space="preserve"> FORMDROPDOWN </w:instrText>
      </w:r>
      <w:r>
        <w:rPr>
          <w:sz w:val="24"/>
          <w:szCs w:val="28"/>
        </w:rPr>
        <w:fldChar w:fldCharType="separate"/>
      </w:r>
      <w:r>
        <w:rPr>
          <w:sz w:val="24"/>
          <w:szCs w:val="28"/>
        </w:rPr>
        <w:fldChar w:fldCharType="end"/>
      </w:r>
      <w:bookmarkEnd w:id="9"/>
    </w:p>
    <w:p w14:paraId="2BFF5B08">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0" w:name="CMPLSH_DATE"/>
      <w:r>
        <w:rPr>
          <w:sz w:val="21"/>
          <w:szCs w:val="28"/>
        </w:rPr>
        <w:instrText xml:space="preserve"> FORMTEXT </w:instrText>
      </w:r>
      <w:r>
        <w:rPr>
          <w:sz w:val="21"/>
          <w:szCs w:val="28"/>
        </w:rPr>
        <w:fldChar w:fldCharType="separate"/>
      </w:r>
      <w:r>
        <w:rPr>
          <w:rFonts w:hint="eastAsia"/>
          <w:sz w:val="21"/>
          <w:szCs w:val="28"/>
        </w:rPr>
        <w:t>（本草案完成时间：2026.08.24）</w:t>
      </w:r>
      <w:r>
        <w:rPr>
          <w:sz w:val="21"/>
          <w:szCs w:val="28"/>
        </w:rPr>
        <w:fldChar w:fldCharType="end"/>
      </w:r>
      <w:bookmarkEnd w:id="10"/>
    </w:p>
    <w:p w14:paraId="7E541DC4">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fldChar w:fldCharType="separate"/>
      </w:r>
      <w:r>
        <w:rPr>
          <w:b/>
          <w:sz w:val="21"/>
          <w:szCs w:val="28"/>
        </w:rPr>
        <w:fldChar w:fldCharType="end"/>
      </w:r>
      <w:bookmarkEnd w:id="11"/>
    </w:p>
    <w:p w14:paraId="7C06DC90">
      <w:pPr>
        <w:pStyle w:val="193"/>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rPr>
          <w:rFonts w:hint="eastAsia"/>
        </w:rPr>
        <w:t>发布</w:t>
      </w:r>
    </w:p>
    <w:p w14:paraId="2E4883F7">
      <w:pPr>
        <w:pStyle w:val="194"/>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rPr>
          <w:rFonts w:hint="eastAsia"/>
        </w:rPr>
        <w:t>实施</w:t>
      </w:r>
    </w:p>
    <w:p w14:paraId="2EFB53C1">
      <w:pPr>
        <w:pStyle w:val="151"/>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18" w:name="fm"/>
      <w:r>
        <w:rPr>
          <w:rFonts w:hAnsi="黑体"/>
          <w:w w:val="100"/>
          <w:sz w:val="28"/>
        </w:rPr>
        <w:instrText xml:space="preserve"> FORMTEXT </w:instrText>
      </w:r>
      <w:r>
        <w:rPr>
          <w:rFonts w:hAnsi="黑体"/>
          <w:w w:val="100"/>
          <w:sz w:val="28"/>
        </w:rPr>
        <w:fldChar w:fldCharType="separate"/>
      </w:r>
      <w:r>
        <w:rPr>
          <w:rFonts w:hAnsi="黑体"/>
          <w:w w:val="100"/>
          <w:sz w:val="28"/>
        </w:rPr>
        <w:t>     </w:t>
      </w:r>
      <w:r>
        <w:rPr>
          <w:rFonts w:hAnsi="黑体"/>
          <w:w w:val="100"/>
          <w:sz w:val="28"/>
        </w:rPr>
        <w:fldChar w:fldCharType="end"/>
      </w:r>
      <w:bookmarkEnd w:id="18"/>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7AC8CF5A">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04C7B166">
      <w:pPr>
        <w:pStyle w:val="91"/>
        <w:spacing w:after="360"/>
      </w:pPr>
      <w:bookmarkStart w:id="19" w:name="BookMark1"/>
      <w:bookmarkStart w:id="20" w:name="_Toc220145315"/>
      <w:bookmarkStart w:id="21" w:name="_Toc220145364"/>
      <w:bookmarkStart w:id="22" w:name="_Toc220166826"/>
      <w:r>
        <w:rPr>
          <w:rFonts w:hint="eastAsia"/>
          <w:spacing w:val="320"/>
        </w:rPr>
        <w:t>目</w:t>
      </w:r>
      <w:r>
        <w:rPr>
          <w:rFonts w:hint="eastAsia"/>
        </w:rPr>
        <w:t>次</w:t>
      </w:r>
    </w:p>
    <w:p w14:paraId="7BED59B6">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TOC \o "1-1" \h </w:instrText>
      </w:r>
      <w:r>
        <w:fldChar w:fldCharType="separate"/>
      </w:r>
      <w:r>
        <w:fldChar w:fldCharType="begin"/>
      </w:r>
      <w:r>
        <w:instrText xml:space="preserve"> HYPERLINK \l "_Toc220166845" </w:instrText>
      </w:r>
      <w:r>
        <w:fldChar w:fldCharType="separate"/>
      </w:r>
      <w:r>
        <w:rPr>
          <w:rStyle w:val="32"/>
          <w:rFonts w:hint="eastAsia"/>
        </w:rPr>
        <w:t>前言</w:t>
      </w:r>
      <w:r>
        <w:rPr>
          <w:rFonts w:hint="eastAsia"/>
        </w:rPr>
        <w:tab/>
      </w:r>
      <w:r>
        <w:rPr>
          <w:rFonts w:hint="eastAsia"/>
        </w:rPr>
        <w:fldChar w:fldCharType="begin"/>
      </w:r>
      <w:r>
        <w:rPr>
          <w:rFonts w:hint="eastAsia"/>
        </w:rPr>
        <w:instrText xml:space="preserve"> </w:instrText>
      </w:r>
      <w:r>
        <w:instrText xml:space="preserve">PAGEREF _Toc220166845 \h</w:instrText>
      </w:r>
      <w:r>
        <w:rPr>
          <w:rFonts w:hint="eastAsia"/>
        </w:rPr>
        <w:instrText xml:space="preserve"> </w:instrText>
      </w:r>
      <w:r>
        <w:rPr>
          <w:rFonts w:hint="eastAsia"/>
        </w:rPr>
        <w:fldChar w:fldCharType="separate"/>
      </w:r>
      <w:r>
        <w:t>II</w:t>
      </w:r>
      <w:r>
        <w:rPr>
          <w:rFonts w:hint="eastAsia"/>
        </w:rPr>
        <w:fldChar w:fldCharType="end"/>
      </w:r>
      <w:r>
        <w:rPr>
          <w:rFonts w:hint="eastAsia"/>
        </w:rPr>
        <w:fldChar w:fldCharType="end"/>
      </w:r>
    </w:p>
    <w:p w14:paraId="5B979C24">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"_Toc220166846" </w:instrText>
      </w:r>
      <w:r>
        <w:fldChar w:fldCharType="separate"/>
      </w:r>
      <w:r>
        <w:rPr>
          <w:rStyle w:val="32"/>
          <w:rFonts w:hint="eastAsia"/>
        </w:rPr>
        <w:t>1</w:t>
      </w:r>
      <w:r>
        <w:rPr>
          <w:rStyle w:val="32"/>
        </w:rPr>
        <w:t xml:space="preserve"> </w:t>
      </w:r>
      <w:r>
        <w:rPr>
          <w:rStyle w:val="32"/>
          <w:rFonts w:hint="eastAsia"/>
        </w:rPr>
        <w:t xml:space="preserve"> 范围</w:t>
      </w:r>
      <w:r>
        <w:rPr>
          <w:rFonts w:hint="eastAsia"/>
        </w:rPr>
        <w:tab/>
      </w:r>
      <w:r>
        <w:rPr>
          <w:rFonts w:hint="eastAsia"/>
        </w:rPr>
        <w:fldChar w:fldCharType="begin"/>
      </w:r>
      <w:r>
        <w:rPr>
          <w:rFonts w:hint="eastAsia"/>
        </w:rPr>
        <w:instrText xml:space="preserve"> </w:instrText>
      </w:r>
      <w:r>
        <w:instrText xml:space="preserve">PAGEREF _Toc220166846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624E0930">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"_Toc220166847" </w:instrText>
      </w:r>
      <w:r>
        <w:fldChar w:fldCharType="separate"/>
      </w:r>
      <w:r>
        <w:rPr>
          <w:rStyle w:val="32"/>
          <w:rFonts w:hint="eastAsia"/>
        </w:rPr>
        <w:t>2</w:t>
      </w:r>
      <w:r>
        <w:rPr>
          <w:rStyle w:val="32"/>
        </w:rPr>
        <w:t xml:space="preserve"> </w:t>
      </w:r>
      <w:r>
        <w:rPr>
          <w:rStyle w:val="32"/>
          <w:rFonts w:hint="eastAsia"/>
        </w:rPr>
        <w:t xml:space="preserve"> 规范性引用文件</w:t>
      </w:r>
      <w:r>
        <w:rPr>
          <w:rFonts w:hint="eastAsia"/>
        </w:rPr>
        <w:tab/>
      </w:r>
      <w:r>
        <w:rPr>
          <w:rFonts w:hint="eastAsia"/>
        </w:rPr>
        <w:fldChar w:fldCharType="begin"/>
      </w:r>
      <w:r>
        <w:rPr>
          <w:rFonts w:hint="eastAsia"/>
        </w:rPr>
        <w:instrText xml:space="preserve"> </w:instrText>
      </w:r>
      <w:r>
        <w:instrText xml:space="preserve">PAGEREF _Toc220166847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66C356CB">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"_Toc220166848" </w:instrText>
      </w:r>
      <w:r>
        <w:fldChar w:fldCharType="separate"/>
      </w:r>
      <w:r>
        <w:rPr>
          <w:rStyle w:val="32"/>
          <w:rFonts w:hint="eastAsia"/>
        </w:rPr>
        <w:t>3</w:t>
      </w:r>
      <w:r>
        <w:rPr>
          <w:rStyle w:val="32"/>
        </w:rPr>
        <w:t xml:space="preserve"> </w:t>
      </w:r>
      <w:r>
        <w:rPr>
          <w:rStyle w:val="32"/>
          <w:rFonts w:hint="eastAsia"/>
        </w:rPr>
        <w:t xml:space="preserve"> 术语和定义</w:t>
      </w:r>
      <w:r>
        <w:rPr>
          <w:rFonts w:hint="eastAsia"/>
        </w:rPr>
        <w:tab/>
      </w:r>
      <w:r>
        <w:rPr>
          <w:rFonts w:hint="eastAsia"/>
        </w:rPr>
        <w:fldChar w:fldCharType="begin"/>
      </w:r>
      <w:r>
        <w:rPr>
          <w:rFonts w:hint="eastAsia"/>
        </w:rPr>
        <w:instrText xml:space="preserve"> </w:instrText>
      </w:r>
      <w:r>
        <w:instrText xml:space="preserve">PAGEREF _Toc220166848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6EE59A36">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"_Toc220166849" </w:instrText>
      </w:r>
      <w:r>
        <w:fldChar w:fldCharType="separate"/>
      </w:r>
      <w:r>
        <w:rPr>
          <w:rStyle w:val="32"/>
          <w:rFonts w:hint="eastAsia"/>
        </w:rPr>
        <w:t>4</w:t>
      </w:r>
      <w:r>
        <w:rPr>
          <w:rStyle w:val="32"/>
        </w:rPr>
        <w:t xml:space="preserve"> </w:t>
      </w:r>
      <w:r>
        <w:rPr>
          <w:rStyle w:val="32"/>
          <w:rFonts w:hint="eastAsia"/>
        </w:rPr>
        <w:t xml:space="preserve"> 技术要求</w:t>
      </w:r>
      <w:r>
        <w:rPr>
          <w:rFonts w:hint="eastAsia"/>
        </w:rPr>
        <w:tab/>
      </w:r>
      <w:r>
        <w:rPr>
          <w:rFonts w:hint="eastAsia"/>
        </w:rPr>
        <w:fldChar w:fldCharType="begin"/>
      </w:r>
      <w:r>
        <w:rPr>
          <w:rFonts w:hint="eastAsia"/>
        </w:rPr>
        <w:instrText xml:space="preserve"> </w:instrText>
      </w:r>
      <w:r>
        <w:instrText xml:space="preserve">PAGEREF _Toc220166849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7959FC1B">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"_Toc220166850" </w:instrText>
      </w:r>
      <w:r>
        <w:fldChar w:fldCharType="separate"/>
      </w:r>
      <w:r>
        <w:rPr>
          <w:rStyle w:val="32"/>
          <w:rFonts w:hint="eastAsia"/>
        </w:rPr>
        <w:t>5</w:t>
      </w:r>
      <w:r>
        <w:rPr>
          <w:rStyle w:val="32"/>
        </w:rPr>
        <w:t xml:space="preserve"> </w:t>
      </w:r>
      <w:r>
        <w:rPr>
          <w:rStyle w:val="32"/>
          <w:rFonts w:hint="eastAsia"/>
        </w:rPr>
        <w:t xml:space="preserve"> 试验方法</w:t>
      </w:r>
      <w:r>
        <w:rPr>
          <w:rFonts w:hint="eastAsia"/>
        </w:rPr>
        <w:tab/>
      </w:r>
      <w:r>
        <w:rPr>
          <w:rFonts w:hint="eastAsia"/>
        </w:rPr>
        <w:fldChar w:fldCharType="begin"/>
      </w:r>
      <w:r>
        <w:rPr>
          <w:rFonts w:hint="eastAsia"/>
        </w:rPr>
        <w:instrText xml:space="preserve"> </w:instrText>
      </w:r>
      <w:r>
        <w:instrText xml:space="preserve">PAGEREF _Toc220166850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0C2986A2">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"_Toc220166851" </w:instrText>
      </w:r>
      <w:r>
        <w:fldChar w:fldCharType="separate"/>
      </w:r>
      <w:r>
        <w:rPr>
          <w:rStyle w:val="32"/>
          <w:rFonts w:hint="eastAsia"/>
        </w:rPr>
        <w:t>6</w:t>
      </w:r>
      <w:r>
        <w:rPr>
          <w:rStyle w:val="32"/>
        </w:rPr>
        <w:t xml:space="preserve"> </w:t>
      </w:r>
      <w:r>
        <w:rPr>
          <w:rStyle w:val="32"/>
          <w:rFonts w:hint="eastAsia"/>
        </w:rPr>
        <w:t xml:space="preserve"> 标志、包装、运输和贮存</w:t>
      </w:r>
      <w:r>
        <w:rPr>
          <w:rFonts w:hint="eastAsia"/>
        </w:rPr>
        <w:tab/>
      </w:r>
      <w:r>
        <w:rPr>
          <w:rFonts w:hint="eastAsia"/>
        </w:rPr>
        <w:fldChar w:fldCharType="begin"/>
      </w:r>
      <w:r>
        <w:rPr>
          <w:rFonts w:hint="eastAsia"/>
        </w:rPr>
        <w:instrText xml:space="preserve"> </w:instrText>
      </w:r>
      <w:r>
        <w:instrText xml:space="preserve">PAGEREF _Toc220166851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301E9AD7">
      <w:pPr>
        <w:pStyle w:val="91"/>
        <w:spacing w:after="36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19"/>
    <w:p w14:paraId="21270778">
      <w:pPr>
        <w:pStyle w:val="89"/>
        <w:spacing w:before="900" w:after="360"/>
      </w:pPr>
      <w:bookmarkStart w:id="23" w:name="_Toc220166845"/>
      <w:bookmarkStart w:id="24" w:name="BookMark2"/>
      <w:r>
        <w:rPr>
          <w:rFonts w:hint="eastAsia"/>
          <w:spacing w:val="320"/>
        </w:rPr>
        <w:t>前</w:t>
      </w:r>
      <w:r>
        <w:rPr>
          <w:rFonts w:hint="eastAsia"/>
        </w:rPr>
        <w:t>言</w:t>
      </w:r>
      <w:bookmarkEnd w:id="20"/>
      <w:bookmarkEnd w:id="21"/>
      <w:bookmarkEnd w:id="22"/>
      <w:bookmarkEnd w:id="23"/>
    </w:p>
    <w:p w14:paraId="71564681">
      <w:pPr>
        <w:pStyle w:val="56"/>
        <w:ind w:firstLine="420"/>
      </w:pPr>
      <w:r>
        <w:rPr>
          <w:rFonts w:hint="eastAsia"/>
        </w:rPr>
        <w:t>本文件按照GB/T 1.1—2020《标准化工作导则  第1部分：标准化文件的结构和起草规则》的规定起草。</w:t>
      </w:r>
    </w:p>
    <w:p w14:paraId="15DBC0BF">
      <w:pPr>
        <w:pStyle w:val="56"/>
        <w:ind w:firstLine="420"/>
      </w:pPr>
      <w:r>
        <w:rPr>
          <w:rFonts w:hint="eastAsia"/>
        </w:rPr>
        <w:t>请注意本文件的某些内容可能涉及专利。本文件的发布机构不承担识别专利的责任。</w:t>
      </w:r>
    </w:p>
    <w:p w14:paraId="2A7E18DC">
      <w:pPr>
        <w:pStyle w:val="56"/>
        <w:ind w:firstLine="420"/>
      </w:pPr>
      <w:r>
        <w:rPr>
          <w:rFonts w:hint="eastAsia"/>
        </w:rPr>
        <w:t>本文件由</w:t>
      </w:r>
      <w:bookmarkStart w:id="25" w:name="OLE_LINK45"/>
      <w:r>
        <w:rPr>
          <w:rFonts w:hint="eastAsia"/>
        </w:rPr>
        <w:t>中国汽车工业协会标准法规工作委员会低碳燃料汽车专业委员会</w:t>
      </w:r>
      <w:bookmarkEnd w:id="25"/>
      <w:r>
        <w:rPr>
          <w:rFonts w:hint="eastAsia"/>
        </w:rPr>
        <w:t>提出。</w:t>
      </w:r>
    </w:p>
    <w:p w14:paraId="428C6F9C">
      <w:pPr>
        <w:pStyle w:val="56"/>
        <w:ind w:firstLine="420"/>
      </w:pPr>
      <w:r>
        <w:rPr>
          <w:rFonts w:hint="eastAsia"/>
        </w:rPr>
        <w:t>本文件由中国汽车工业协会归口。</w:t>
      </w:r>
    </w:p>
    <w:p w14:paraId="20A29CA6">
      <w:pPr>
        <w:pStyle w:val="56"/>
        <w:ind w:firstLine="420"/>
      </w:pPr>
      <w:r>
        <w:rPr>
          <w:rFonts w:hint="eastAsia"/>
        </w:rPr>
        <w:t>本文件起草单位：湖北创偲诺电气科技股份有限公司</w:t>
      </w:r>
      <w:r>
        <w:rPr>
          <w:rFonts w:hint="eastAsia"/>
          <w:lang w:eastAsia="zh-CN"/>
        </w:rPr>
        <w:t>、</w:t>
      </w:r>
      <w:r>
        <w:rPr>
          <w:rFonts w:hint="eastAsia"/>
        </w:rPr>
        <w:t>中国汽车工程研究院股份有限公司</w:t>
      </w:r>
      <w:r>
        <w:rPr>
          <w:rFonts w:hint="eastAsia"/>
          <w:lang w:eastAsia="zh-CN"/>
        </w:rPr>
        <w:t>、</w:t>
      </w:r>
      <w:r>
        <w:rPr>
          <w:rFonts w:hint="eastAsia"/>
        </w:rPr>
        <w:t>武汉理工大学</w:t>
      </w:r>
      <w:r>
        <w:rPr>
          <w:rFonts w:hint="eastAsia"/>
          <w:lang w:eastAsia="zh-CN"/>
        </w:rPr>
        <w:t>、</w:t>
      </w:r>
      <w:r>
        <w:t>鸾鸣新能源技术(成都)有限公司</w:t>
      </w:r>
    </w:p>
    <w:p w14:paraId="19605224">
      <w:pPr>
        <w:pStyle w:val="56"/>
        <w:ind w:firstLine="420"/>
      </w:pPr>
      <w:r>
        <w:rPr>
          <w:rFonts w:hint="eastAsia"/>
        </w:rPr>
        <w:t>本文件主要起草人：邓小青</w:t>
      </w:r>
      <w:r>
        <w:rPr>
          <w:rFonts w:hint="eastAsia"/>
          <w:lang w:eastAsia="zh-CN"/>
        </w:rPr>
        <w:t>、</w:t>
      </w:r>
      <w:r>
        <w:rPr>
          <w:rFonts w:hint="eastAsia"/>
        </w:rPr>
        <w:t>曾繁卓</w:t>
      </w:r>
      <w:r>
        <w:rPr>
          <w:rFonts w:hint="eastAsia"/>
          <w:lang w:eastAsia="zh-CN"/>
        </w:rPr>
        <w:t>、</w:t>
      </w:r>
      <w:r>
        <w:rPr>
          <w:rFonts w:hint="eastAsia"/>
        </w:rPr>
        <w:t>李维波</w:t>
      </w:r>
      <w:r>
        <w:rPr>
          <w:rFonts w:hint="eastAsia"/>
          <w:lang w:eastAsia="zh-CN"/>
        </w:rPr>
        <w:t>、</w:t>
      </w:r>
      <w:r>
        <w:rPr>
          <w:rFonts w:hint="eastAsia"/>
        </w:rPr>
        <w:t>罗仁超</w:t>
      </w:r>
    </w:p>
    <w:p w14:paraId="1F3BEDA5">
      <w:pPr>
        <w:pStyle w:val="56"/>
        <w:ind w:firstLine="0" w:firstLineChars="0"/>
        <w:sectPr>
          <w:pgSz w:w="11906" w:h="16838"/>
          <w:pgMar w:top="1928" w:right="1134" w:bottom="1134" w:left="1134" w:header="1418" w:footer="1134" w:gutter="284"/>
          <w:pgNumType w:fmt="upperRoman"/>
          <w:cols w:space="425" w:num="1"/>
          <w:formProt w:val="0"/>
          <w:docGrid w:linePitch="312" w:charSpace="0"/>
        </w:sectPr>
      </w:pPr>
    </w:p>
    <w:bookmarkEnd w:id="24"/>
    <w:p w14:paraId="5918A01E">
      <w:pPr>
        <w:spacing w:line="20" w:lineRule="exact"/>
        <w:jc w:val="center"/>
        <w:rPr>
          <w:rFonts w:hint="eastAsia" w:ascii="黑体" w:hAnsi="黑体" w:eastAsia="黑体"/>
          <w:sz w:val="32"/>
          <w:szCs w:val="32"/>
        </w:rPr>
      </w:pPr>
      <w:bookmarkStart w:id="26" w:name="BookMark4"/>
    </w:p>
    <w:p w14:paraId="20C37C30">
      <w:pPr>
        <w:spacing w:line="20" w:lineRule="exact"/>
        <w:jc w:val="center"/>
        <w:rPr>
          <w:rFonts w:hint="eastAsia" w:ascii="黑体" w:hAnsi="黑体" w:eastAsia="黑体"/>
          <w:sz w:val="32"/>
          <w:szCs w:val="32"/>
        </w:rPr>
      </w:pPr>
    </w:p>
    <w:sdt>
      <w:sdtPr>
        <w:tag w:val="NEW_STAND_NAME"/>
        <w:id w:val="595910757"/>
        <w:lock w:val="sdtLocked"/>
        <w:placeholder>
          <w:docPart w:val="788AE50EBF9F4F51B7492F1466706180"/>
        </w:placeholder>
      </w:sdtPr>
      <w:sdtContent>
        <w:p w14:paraId="067FF663">
          <w:pPr>
            <w:pStyle w:val="177"/>
            <w:spacing w:before="240" w:beforeLines="100" w:after="528" w:afterLines="220"/>
            <w:rPr>
              <w:rFonts w:ascii="Calibri" w:hAnsi="Calibri" w:eastAsia="宋体"/>
              <w:szCs w:val="21"/>
            </w:rPr>
          </w:pPr>
          <w:bookmarkStart w:id="27" w:name="NEW_STAND_NAME"/>
          <w:bookmarkStart w:id="28" w:name="OLE_LINK46"/>
          <w:r>
            <w:rPr>
              <w:rFonts w:hint="eastAsia"/>
            </w:rPr>
            <w:t>汽车用氢气比例阀</w:t>
          </w:r>
        </w:p>
      </w:sdtContent>
    </w:sdt>
    <w:bookmarkEnd w:id="27"/>
    <w:bookmarkEnd w:id="28"/>
    <w:p w14:paraId="761BE93C">
      <w:pPr>
        <w:pStyle w:val="104"/>
        <w:spacing w:before="240" w:after="240"/>
      </w:pPr>
      <w:bookmarkStart w:id="29" w:name="_Toc17233325"/>
      <w:bookmarkStart w:id="30" w:name="_Toc24884218"/>
      <w:bookmarkStart w:id="31" w:name="_Toc26648465"/>
      <w:bookmarkStart w:id="32" w:name="_Toc26986530"/>
      <w:bookmarkStart w:id="33" w:name="_Toc220145365"/>
      <w:bookmarkStart w:id="34" w:name="_Toc220166846"/>
      <w:bookmarkStart w:id="35" w:name="_Toc220145316"/>
      <w:bookmarkStart w:id="36" w:name="_Toc220166827"/>
      <w:bookmarkStart w:id="37" w:name="_Toc26986771"/>
      <w:bookmarkStart w:id="38" w:name="_Toc97192964"/>
      <w:bookmarkStart w:id="39" w:name="_Toc17233333"/>
      <w:bookmarkStart w:id="40" w:name="_Toc26718930"/>
      <w:bookmarkStart w:id="41" w:name="_Toc220144583"/>
      <w:bookmarkStart w:id="42" w:name="_Toc24884211"/>
      <w:r>
        <w:rPr>
          <w:rFonts w:hint="eastAsia"/>
        </w:rPr>
        <w:t>范围</w:t>
      </w:r>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27CFA89F">
      <w:pPr>
        <w:pStyle w:val="56"/>
        <w:ind w:firstLine="420"/>
        <w:jc w:val="left"/>
      </w:pPr>
      <w:bookmarkStart w:id="43" w:name="_Toc26648466"/>
      <w:bookmarkStart w:id="44" w:name="_Toc24884219"/>
      <w:bookmarkStart w:id="45" w:name="_Toc17233334"/>
      <w:bookmarkStart w:id="46" w:name="_Toc24884212"/>
      <w:bookmarkStart w:id="47" w:name="_Toc17233326"/>
      <w:r>
        <w:rPr>
          <w:rFonts w:hint="eastAsia"/>
        </w:rPr>
        <w:t xml:space="preserve">本文件规定了汽车用氢气比例阀（以下简称比例阀）的技术要求、试验方法、标志、包装、运输和贮存。 </w:t>
      </w:r>
    </w:p>
    <w:p w14:paraId="64849F1F">
      <w:pPr>
        <w:pStyle w:val="56"/>
        <w:ind w:firstLine="420"/>
        <w:jc w:val="left"/>
      </w:pPr>
      <w:r>
        <w:rPr>
          <w:rFonts w:hint="eastAsia"/>
        </w:rPr>
        <w:t>本文件适用于公称工作压力不大于1.6MPa，环境温度为</w:t>
      </w:r>
      <w:bookmarkStart w:id="48" w:name="OLE_LINK1"/>
      <w:r>
        <w:rPr>
          <w:rFonts w:hint="eastAsia"/>
        </w:rPr>
        <w:t>-40℃</w:t>
      </w:r>
      <w:r>
        <w:rPr>
          <w:rFonts w:hint="eastAsia" w:hAnsi="宋体"/>
        </w:rPr>
        <w:t>～</w:t>
      </w:r>
      <w:r>
        <w:rPr>
          <w:rFonts w:hint="eastAsia"/>
        </w:rPr>
        <w:t>85℃</w:t>
      </w:r>
      <w:bookmarkEnd w:id="48"/>
      <w:r>
        <w:rPr>
          <w:rFonts w:hint="eastAsia"/>
        </w:rPr>
        <w:t>，工作介质符合GB/T 37244规定的汽车燃料电池发动机氢气供应系统用比例阀。</w:t>
      </w:r>
    </w:p>
    <w:p w14:paraId="4ED94D6A">
      <w:pPr>
        <w:pStyle w:val="179"/>
      </w:pPr>
      <w:r>
        <w:rPr>
          <w:rFonts w:hint="eastAsia"/>
        </w:rPr>
        <w:t>除非另有说明，本文件中所有提及的压力均指表压。</w:t>
      </w:r>
    </w:p>
    <w:p w14:paraId="017BBD98">
      <w:pPr>
        <w:pStyle w:val="104"/>
        <w:spacing w:before="240" w:after="240"/>
      </w:pPr>
      <w:bookmarkStart w:id="49" w:name="_Toc220144584"/>
      <w:bookmarkStart w:id="50" w:name="_Toc220145366"/>
      <w:bookmarkStart w:id="51" w:name="_Toc26986531"/>
      <w:bookmarkStart w:id="52" w:name="_Toc97192965"/>
      <w:bookmarkStart w:id="53" w:name="_Toc26986772"/>
      <w:bookmarkStart w:id="54" w:name="_Toc220145317"/>
      <w:bookmarkStart w:id="55" w:name="_Toc220166847"/>
      <w:bookmarkStart w:id="56" w:name="_Toc26718931"/>
      <w:bookmarkStart w:id="57" w:name="_Toc220166828"/>
      <w:r>
        <w:rPr>
          <w:rFonts w:hint="eastAsia"/>
        </w:rPr>
        <w:t>规范性引用文件</w:t>
      </w:r>
      <w:bookmarkEnd w:id="43"/>
      <w:bookmarkEnd w:id="44"/>
      <w:bookmarkEnd w:id="45"/>
      <w:bookmarkEnd w:id="46"/>
      <w:bookmarkEnd w:id="47"/>
      <w:bookmarkEnd w:id="49"/>
      <w:bookmarkEnd w:id="50"/>
      <w:bookmarkEnd w:id="51"/>
      <w:bookmarkEnd w:id="52"/>
      <w:bookmarkEnd w:id="53"/>
      <w:bookmarkEnd w:id="54"/>
      <w:bookmarkEnd w:id="55"/>
      <w:bookmarkEnd w:id="56"/>
      <w:bookmarkEnd w:id="57"/>
    </w:p>
    <w:sdt>
      <w:sdtPr>
        <w:rPr>
          <w:rFonts w:hint="eastAsia"/>
        </w:rPr>
        <w:id w:val="715848253"/>
        <w:placeholder>
          <w:docPart w:val="CB72E8E8585D458B86A228E93E924BDC"/>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03251AC8">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26AD025">
      <w:pPr>
        <w:pStyle w:val="56"/>
        <w:ind w:firstLine="420"/>
      </w:pPr>
      <w:r>
        <w:rPr>
          <w:rFonts w:hint="eastAsia"/>
        </w:rPr>
        <w:t xml:space="preserve">GB/T 528 </w:t>
      </w:r>
      <w:r>
        <w:t>硫化橡胶或热塑性橡胶</w:t>
      </w:r>
      <w:r>
        <w:rPr>
          <w:rFonts w:hint="eastAsia"/>
        </w:rPr>
        <w:t xml:space="preserve"> </w:t>
      </w:r>
      <w:r>
        <w:t>拉伸应力应变性能的测定</w:t>
      </w:r>
    </w:p>
    <w:p w14:paraId="26BFDB22">
      <w:pPr>
        <w:pStyle w:val="56"/>
        <w:ind w:firstLine="420"/>
      </w:pPr>
      <w:r>
        <w:t xml:space="preserve">GB/T 4208 </w:t>
      </w:r>
      <w:r>
        <w:rPr>
          <w:rFonts w:hint="eastAsia"/>
        </w:rPr>
        <w:t>外壳防护等级（</w:t>
      </w:r>
      <w:r>
        <w:t>IP</w:t>
      </w:r>
      <w:r>
        <w:rPr>
          <w:rFonts w:hint="eastAsia"/>
        </w:rPr>
        <w:t>代码）</w:t>
      </w:r>
    </w:p>
    <w:p w14:paraId="294669F7">
      <w:pPr>
        <w:pStyle w:val="56"/>
        <w:ind w:firstLine="420"/>
      </w:pPr>
      <w:r>
        <w:rPr>
          <w:rFonts w:hint="eastAsia"/>
        </w:rPr>
        <w:t>GB/T 4857.5 包装 运输包装件跌落试验方法</w:t>
      </w:r>
    </w:p>
    <w:p w14:paraId="0D5BEE91">
      <w:pPr>
        <w:pStyle w:val="56"/>
        <w:ind w:firstLine="420"/>
      </w:pPr>
      <w:r>
        <w:t xml:space="preserve">GB/T 9969 </w:t>
      </w:r>
      <w:r>
        <w:rPr>
          <w:rFonts w:hint="eastAsia"/>
        </w:rPr>
        <w:t>工业产品使用说明书</w:t>
      </w:r>
      <w:r>
        <w:t xml:space="preserve"> </w:t>
      </w:r>
      <w:r>
        <w:rPr>
          <w:rFonts w:hint="eastAsia"/>
        </w:rPr>
        <w:t>总则</w:t>
      </w:r>
    </w:p>
    <w:p w14:paraId="1ADBEF3E">
      <w:pPr>
        <w:pStyle w:val="56"/>
        <w:ind w:firstLine="420"/>
      </w:pPr>
      <w:r>
        <w:rPr>
          <w:rFonts w:hint="eastAsia"/>
        </w:rPr>
        <w:t>GB/T 10125 人造气氛腐蚀试验 盐雾试验</w:t>
      </w:r>
    </w:p>
    <w:p w14:paraId="0275EAB4">
      <w:pPr>
        <w:pStyle w:val="56"/>
        <w:ind w:firstLine="420"/>
        <w:rPr>
          <w:highlight w:val="none"/>
        </w:rPr>
      </w:pPr>
      <w:r>
        <w:rPr>
          <w:rFonts w:hint="eastAsia"/>
          <w:highlight w:val="none"/>
        </w:rPr>
        <w:t>GB/T 21465 阀门 术语</w:t>
      </w:r>
    </w:p>
    <w:p w14:paraId="00B9B251">
      <w:pPr>
        <w:pStyle w:val="56"/>
        <w:ind w:firstLine="420"/>
        <w:rPr>
          <w:highlight w:val="none"/>
        </w:rPr>
      </w:pPr>
      <w:r>
        <w:rPr>
          <w:highlight w:val="none"/>
        </w:rPr>
        <w:t>GB/T</w:t>
      </w:r>
      <w:r>
        <w:rPr>
          <w:rFonts w:hint="eastAsia"/>
          <w:highlight w:val="none"/>
        </w:rPr>
        <w:t xml:space="preserve"> </w:t>
      </w:r>
      <w:r>
        <w:rPr>
          <w:highlight w:val="none"/>
        </w:rPr>
        <w:t>2423.1 电工电子产品环境试验</w:t>
      </w:r>
      <w:r>
        <w:rPr>
          <w:rFonts w:hint="eastAsia"/>
          <w:highlight w:val="none"/>
        </w:rPr>
        <w:t xml:space="preserve"> </w:t>
      </w:r>
      <w:r>
        <w:rPr>
          <w:highlight w:val="none"/>
        </w:rPr>
        <w:t>第2部分</w:t>
      </w:r>
      <w:r>
        <w:rPr>
          <w:rFonts w:hint="eastAsia"/>
          <w:highlight w:val="none"/>
        </w:rPr>
        <w:t>：</w:t>
      </w:r>
      <w:r>
        <w:rPr>
          <w:highlight w:val="none"/>
        </w:rPr>
        <w:t>试验方法</w:t>
      </w:r>
      <w:r>
        <w:rPr>
          <w:rFonts w:hint="eastAsia"/>
          <w:highlight w:val="none"/>
        </w:rPr>
        <w:t xml:space="preserve"> </w:t>
      </w:r>
      <w:r>
        <w:rPr>
          <w:highlight w:val="none"/>
        </w:rPr>
        <w:t xml:space="preserve">试验A:低温 </w:t>
      </w:r>
    </w:p>
    <w:p w14:paraId="6EFA865F">
      <w:pPr>
        <w:pStyle w:val="56"/>
        <w:ind w:firstLine="420"/>
        <w:rPr>
          <w:highlight w:val="none"/>
        </w:rPr>
      </w:pPr>
      <w:r>
        <w:rPr>
          <w:highlight w:val="none"/>
        </w:rPr>
        <w:t>GB/T</w:t>
      </w:r>
      <w:r>
        <w:rPr>
          <w:rFonts w:hint="eastAsia"/>
          <w:highlight w:val="none"/>
        </w:rPr>
        <w:t xml:space="preserve"> </w:t>
      </w:r>
      <w:r>
        <w:rPr>
          <w:highlight w:val="none"/>
        </w:rPr>
        <w:t>2423.</w:t>
      </w:r>
      <w:r>
        <w:rPr>
          <w:rFonts w:hint="eastAsia"/>
          <w:highlight w:val="none"/>
        </w:rPr>
        <w:t>2</w:t>
      </w:r>
      <w:r>
        <w:rPr>
          <w:highlight w:val="none"/>
        </w:rPr>
        <w:t xml:space="preserve"> 电工电子产品环境试验</w:t>
      </w:r>
      <w:r>
        <w:rPr>
          <w:rFonts w:hint="eastAsia"/>
          <w:highlight w:val="none"/>
        </w:rPr>
        <w:t xml:space="preserve"> </w:t>
      </w:r>
      <w:r>
        <w:rPr>
          <w:highlight w:val="none"/>
        </w:rPr>
        <w:t>第2部分</w:t>
      </w:r>
      <w:r>
        <w:rPr>
          <w:rFonts w:hint="eastAsia"/>
          <w:highlight w:val="none"/>
        </w:rPr>
        <w:t>：</w:t>
      </w:r>
      <w:r>
        <w:rPr>
          <w:highlight w:val="none"/>
        </w:rPr>
        <w:t>试验方法</w:t>
      </w:r>
      <w:r>
        <w:rPr>
          <w:rFonts w:hint="eastAsia"/>
          <w:highlight w:val="none"/>
        </w:rPr>
        <w:t xml:space="preserve"> </w:t>
      </w:r>
      <w:r>
        <w:rPr>
          <w:highlight w:val="none"/>
        </w:rPr>
        <w:t>试验</w:t>
      </w:r>
      <w:r>
        <w:rPr>
          <w:rFonts w:hint="eastAsia"/>
          <w:highlight w:val="none"/>
        </w:rPr>
        <w:t>B</w:t>
      </w:r>
      <w:r>
        <w:rPr>
          <w:highlight w:val="none"/>
        </w:rPr>
        <w:t>:</w:t>
      </w:r>
      <w:r>
        <w:rPr>
          <w:rFonts w:hint="eastAsia"/>
          <w:highlight w:val="none"/>
        </w:rPr>
        <w:t>高</w:t>
      </w:r>
      <w:r>
        <w:rPr>
          <w:highlight w:val="none"/>
        </w:rPr>
        <w:t xml:space="preserve">温 </w:t>
      </w:r>
    </w:p>
    <w:p w14:paraId="1C01DD26">
      <w:pPr>
        <w:pStyle w:val="56"/>
        <w:ind w:firstLine="420"/>
        <w:rPr>
          <w:highlight w:val="none"/>
        </w:rPr>
      </w:pPr>
      <w:r>
        <w:rPr>
          <w:highlight w:val="none"/>
        </w:rPr>
        <w:t>GB/T</w:t>
      </w:r>
      <w:r>
        <w:rPr>
          <w:rFonts w:hint="eastAsia"/>
          <w:highlight w:val="none"/>
        </w:rPr>
        <w:t xml:space="preserve"> </w:t>
      </w:r>
      <w:r>
        <w:rPr>
          <w:highlight w:val="none"/>
        </w:rPr>
        <w:t>2423.</w:t>
      </w:r>
      <w:r>
        <w:rPr>
          <w:rFonts w:hint="eastAsia"/>
          <w:highlight w:val="none"/>
        </w:rPr>
        <w:t>3</w:t>
      </w:r>
      <w:r>
        <w:rPr>
          <w:highlight w:val="none"/>
        </w:rPr>
        <w:t xml:space="preserve"> 电工电子产品环境试验</w:t>
      </w:r>
      <w:r>
        <w:rPr>
          <w:rFonts w:hint="eastAsia"/>
          <w:highlight w:val="none"/>
        </w:rPr>
        <w:t xml:space="preserve"> </w:t>
      </w:r>
      <w:r>
        <w:rPr>
          <w:highlight w:val="none"/>
        </w:rPr>
        <w:t>第2部分</w:t>
      </w:r>
      <w:r>
        <w:rPr>
          <w:rFonts w:hint="eastAsia"/>
          <w:highlight w:val="none"/>
        </w:rPr>
        <w:t>：</w:t>
      </w:r>
      <w:r>
        <w:rPr>
          <w:highlight w:val="none"/>
        </w:rPr>
        <w:t>试验方法</w:t>
      </w:r>
      <w:r>
        <w:rPr>
          <w:rFonts w:hint="eastAsia"/>
          <w:highlight w:val="none"/>
        </w:rPr>
        <w:t xml:space="preserve"> </w:t>
      </w:r>
      <w:r>
        <w:rPr>
          <w:highlight w:val="none"/>
        </w:rPr>
        <w:t>试验Cab:</w:t>
      </w:r>
      <w:r>
        <w:rPr>
          <w:rFonts w:hint="eastAsia"/>
          <w:highlight w:val="none"/>
        </w:rPr>
        <w:t>恒定湿热试验</w:t>
      </w:r>
      <w:r>
        <w:rPr>
          <w:highlight w:val="none"/>
        </w:rPr>
        <w:t xml:space="preserve"> </w:t>
      </w:r>
    </w:p>
    <w:p w14:paraId="0E8DBE2B">
      <w:pPr>
        <w:pStyle w:val="56"/>
        <w:ind w:firstLine="420"/>
        <w:rPr>
          <w:highlight w:val="none"/>
        </w:rPr>
      </w:pPr>
      <w:r>
        <w:rPr>
          <w:highlight w:val="none"/>
        </w:rPr>
        <w:t>GB/T</w:t>
      </w:r>
      <w:r>
        <w:rPr>
          <w:rFonts w:hint="eastAsia"/>
          <w:highlight w:val="none"/>
        </w:rPr>
        <w:t xml:space="preserve"> </w:t>
      </w:r>
      <w:r>
        <w:rPr>
          <w:highlight w:val="none"/>
        </w:rPr>
        <w:t>2423.</w:t>
      </w:r>
      <w:r>
        <w:rPr>
          <w:rFonts w:hint="eastAsia"/>
          <w:highlight w:val="none"/>
        </w:rPr>
        <w:t>4</w:t>
      </w:r>
      <w:r>
        <w:rPr>
          <w:highlight w:val="none"/>
        </w:rPr>
        <w:t xml:space="preserve"> 电工电子产品环境试验</w:t>
      </w:r>
      <w:r>
        <w:rPr>
          <w:rFonts w:hint="eastAsia"/>
          <w:highlight w:val="none"/>
        </w:rPr>
        <w:t xml:space="preserve"> </w:t>
      </w:r>
      <w:r>
        <w:rPr>
          <w:highlight w:val="none"/>
        </w:rPr>
        <w:t>第2部分</w:t>
      </w:r>
      <w:r>
        <w:rPr>
          <w:rFonts w:hint="eastAsia"/>
          <w:highlight w:val="none"/>
        </w:rPr>
        <w:t>：</w:t>
      </w:r>
      <w:r>
        <w:rPr>
          <w:highlight w:val="none"/>
        </w:rPr>
        <w:t>试验方法</w:t>
      </w:r>
      <w:r>
        <w:rPr>
          <w:rFonts w:hint="eastAsia"/>
          <w:highlight w:val="none"/>
        </w:rPr>
        <w:t xml:space="preserve"> </w:t>
      </w:r>
      <w:r>
        <w:rPr>
          <w:highlight w:val="none"/>
        </w:rPr>
        <w:t>试验</w:t>
      </w:r>
      <w:r>
        <w:rPr>
          <w:rFonts w:hint="eastAsia"/>
          <w:highlight w:val="none"/>
        </w:rPr>
        <w:t>D</w:t>
      </w:r>
      <w:r>
        <w:rPr>
          <w:highlight w:val="none"/>
        </w:rPr>
        <w:t xml:space="preserve">b: 交变湿热(12h+12h循环) </w:t>
      </w:r>
    </w:p>
    <w:p w14:paraId="6EC53669">
      <w:pPr>
        <w:pStyle w:val="56"/>
        <w:ind w:firstLine="420"/>
        <w:rPr>
          <w:highlight w:val="none"/>
        </w:rPr>
      </w:pPr>
      <w:r>
        <w:rPr>
          <w:highlight w:val="none"/>
        </w:rPr>
        <w:t>GB/T</w:t>
      </w:r>
      <w:r>
        <w:rPr>
          <w:rFonts w:hint="eastAsia"/>
          <w:highlight w:val="none"/>
        </w:rPr>
        <w:t xml:space="preserve"> </w:t>
      </w:r>
      <w:r>
        <w:rPr>
          <w:highlight w:val="none"/>
        </w:rPr>
        <w:t>2423.6 电工电子产品环境试验 第</w:t>
      </w:r>
      <w:r>
        <w:rPr>
          <w:rFonts w:hint="eastAsia"/>
          <w:highlight w:val="none"/>
        </w:rPr>
        <w:t>2</w:t>
      </w:r>
      <w:r>
        <w:rPr>
          <w:highlight w:val="none"/>
        </w:rPr>
        <w:t xml:space="preserve">部分:试验方法 试验Eb和导则:碰撞 </w:t>
      </w:r>
    </w:p>
    <w:p w14:paraId="1EC53C3A">
      <w:pPr>
        <w:pStyle w:val="56"/>
        <w:ind w:firstLine="420"/>
        <w:rPr>
          <w:highlight w:val="none"/>
        </w:rPr>
      </w:pPr>
      <w:r>
        <w:rPr>
          <w:highlight w:val="none"/>
        </w:rPr>
        <w:t>GB/T</w:t>
      </w:r>
      <w:r>
        <w:rPr>
          <w:rFonts w:hint="eastAsia"/>
          <w:highlight w:val="none"/>
        </w:rPr>
        <w:t xml:space="preserve"> </w:t>
      </w:r>
      <w:r>
        <w:rPr>
          <w:highlight w:val="none"/>
        </w:rPr>
        <w:t>2423.8 电工电子产品环境试验 第</w:t>
      </w:r>
      <w:r>
        <w:rPr>
          <w:rFonts w:hint="eastAsia"/>
          <w:highlight w:val="none"/>
        </w:rPr>
        <w:t>2</w:t>
      </w:r>
      <w:r>
        <w:rPr>
          <w:highlight w:val="none"/>
        </w:rPr>
        <w:t>部分:试验方法 试验Ed:自由跌落</w:t>
      </w:r>
    </w:p>
    <w:p w14:paraId="0FA44E12">
      <w:pPr>
        <w:pStyle w:val="56"/>
        <w:ind w:firstLine="420"/>
        <w:rPr>
          <w:highlight w:val="none"/>
        </w:rPr>
      </w:pPr>
      <w:r>
        <w:rPr>
          <w:highlight w:val="none"/>
        </w:rPr>
        <w:t>GB/T</w:t>
      </w:r>
      <w:r>
        <w:rPr>
          <w:rFonts w:hint="eastAsia"/>
          <w:highlight w:val="none"/>
        </w:rPr>
        <w:t xml:space="preserve"> </w:t>
      </w:r>
      <w:r>
        <w:rPr>
          <w:highlight w:val="none"/>
        </w:rPr>
        <w:t>2423.</w:t>
      </w:r>
      <w:r>
        <w:rPr>
          <w:rFonts w:hint="eastAsia"/>
          <w:highlight w:val="none"/>
        </w:rPr>
        <w:t>10</w:t>
      </w:r>
      <w:r>
        <w:rPr>
          <w:highlight w:val="none"/>
        </w:rPr>
        <w:t xml:space="preserve"> 电工电子产品环境试验</w:t>
      </w:r>
      <w:r>
        <w:rPr>
          <w:rFonts w:hint="eastAsia"/>
          <w:highlight w:val="none"/>
        </w:rPr>
        <w:t xml:space="preserve"> </w:t>
      </w:r>
      <w:r>
        <w:rPr>
          <w:highlight w:val="none"/>
        </w:rPr>
        <w:t>第2部分</w:t>
      </w:r>
      <w:r>
        <w:rPr>
          <w:rFonts w:hint="eastAsia"/>
          <w:highlight w:val="none"/>
        </w:rPr>
        <w:t>：</w:t>
      </w:r>
      <w:r>
        <w:rPr>
          <w:highlight w:val="none"/>
        </w:rPr>
        <w:t>试验方法</w:t>
      </w:r>
      <w:r>
        <w:rPr>
          <w:rFonts w:hint="eastAsia"/>
          <w:highlight w:val="none"/>
        </w:rPr>
        <w:t xml:space="preserve"> </w:t>
      </w:r>
      <w:r>
        <w:rPr>
          <w:highlight w:val="none"/>
        </w:rPr>
        <w:t xml:space="preserve">试验Fc: </w:t>
      </w:r>
      <w:r>
        <w:rPr>
          <w:rFonts w:hint="eastAsia"/>
          <w:highlight w:val="none"/>
        </w:rPr>
        <w:t>振动</w:t>
      </w:r>
      <w:r>
        <w:rPr>
          <w:highlight w:val="none"/>
        </w:rPr>
        <w:t>(</w:t>
      </w:r>
      <w:r>
        <w:rPr>
          <w:rFonts w:hint="eastAsia"/>
          <w:highlight w:val="none"/>
        </w:rPr>
        <w:t>正弦</w:t>
      </w:r>
      <w:r>
        <w:rPr>
          <w:highlight w:val="none"/>
        </w:rPr>
        <w:t xml:space="preserve">) </w:t>
      </w:r>
    </w:p>
    <w:p w14:paraId="2D53C994">
      <w:pPr>
        <w:pStyle w:val="56"/>
        <w:ind w:firstLine="420"/>
        <w:rPr>
          <w:highlight w:val="none"/>
        </w:rPr>
      </w:pPr>
      <w:r>
        <w:rPr>
          <w:rFonts w:hint="eastAsia"/>
          <w:highlight w:val="none"/>
        </w:rPr>
        <w:t xml:space="preserve">GB/T 24499 </w:t>
      </w:r>
      <w:r>
        <w:rPr>
          <w:highlight w:val="none"/>
        </w:rPr>
        <w:t>氢气、氢能与氢能系统术语</w:t>
      </w:r>
    </w:p>
    <w:p w14:paraId="0268FFB9">
      <w:pPr>
        <w:pStyle w:val="56"/>
        <w:ind w:firstLine="420"/>
        <w:rPr>
          <w:highlight w:val="none"/>
        </w:rPr>
      </w:pPr>
      <w:r>
        <w:rPr>
          <w:rFonts w:hint="eastAsia"/>
          <w:highlight w:val="none"/>
        </w:rPr>
        <w:t xml:space="preserve">GB/T 24548 </w:t>
      </w:r>
      <w:r>
        <w:rPr>
          <w:highlight w:val="none"/>
        </w:rPr>
        <w:t>燃料电池电动汽车</w:t>
      </w:r>
      <w:r>
        <w:rPr>
          <w:rFonts w:hint="eastAsia"/>
          <w:highlight w:val="none"/>
        </w:rPr>
        <w:t xml:space="preserve"> </w:t>
      </w:r>
      <w:r>
        <w:rPr>
          <w:highlight w:val="none"/>
        </w:rPr>
        <w:t>术语</w:t>
      </w:r>
    </w:p>
    <w:p w14:paraId="1126FE3A">
      <w:pPr>
        <w:pStyle w:val="56"/>
        <w:ind w:firstLine="420"/>
        <w:rPr>
          <w:highlight w:val="none"/>
        </w:rPr>
      </w:pPr>
      <w:bookmarkStart w:id="58" w:name="OLE_LINK47"/>
      <w:r>
        <w:rPr>
          <w:rFonts w:hint="eastAsia"/>
          <w:highlight w:val="none"/>
        </w:rPr>
        <w:t>GB/T 30439.4</w:t>
      </w:r>
      <w:bookmarkEnd w:id="58"/>
      <w:r>
        <w:rPr>
          <w:rFonts w:hint="eastAsia"/>
          <w:highlight w:val="none"/>
        </w:rPr>
        <w:t xml:space="preserve"> 工业自动化产品安全要求 第4部分: 控制阀的安全要求</w:t>
      </w:r>
    </w:p>
    <w:p w14:paraId="1FF3BC62">
      <w:pPr>
        <w:pStyle w:val="56"/>
        <w:ind w:firstLine="420"/>
        <w:rPr>
          <w:highlight w:val="none"/>
        </w:rPr>
      </w:pPr>
      <w:r>
        <w:rPr>
          <w:rFonts w:hint="eastAsia"/>
          <w:highlight w:val="none"/>
        </w:rPr>
        <w:t>GB/T 30439.6 工业自动化产品安全要求 第6部分: 电磁阀的安全要求</w:t>
      </w:r>
    </w:p>
    <w:p w14:paraId="648EC6C1">
      <w:pPr>
        <w:pStyle w:val="56"/>
        <w:ind w:firstLine="420"/>
      </w:pPr>
      <w:r>
        <w:rPr>
          <w:rFonts w:hint="eastAsia"/>
        </w:rPr>
        <w:t>GB/T 34542.2 氢气储存输送系统 第2部分：金属材料与氢环境相容性试验方法</w:t>
      </w:r>
    </w:p>
    <w:p w14:paraId="546BBB12">
      <w:pPr>
        <w:pStyle w:val="56"/>
        <w:ind w:firstLine="420"/>
      </w:pPr>
      <w:r>
        <w:rPr>
          <w:rFonts w:hint="eastAsia"/>
        </w:rPr>
        <w:t>GB/T 34542.3 氢气储存输送系统 第3部分：金属材料氢脆敏感度试验方法</w:t>
      </w:r>
    </w:p>
    <w:p w14:paraId="43F47D07">
      <w:pPr>
        <w:pStyle w:val="56"/>
        <w:ind w:firstLine="420"/>
      </w:pPr>
      <w:bookmarkStart w:id="59" w:name="OLE_LINK4"/>
      <w:r>
        <w:rPr>
          <w:rFonts w:hint="eastAsia"/>
        </w:rPr>
        <w:t>GB/T 37244</w:t>
      </w:r>
      <w:bookmarkEnd w:id="59"/>
      <w:r>
        <w:rPr>
          <w:rFonts w:hint="eastAsia"/>
        </w:rPr>
        <w:t xml:space="preserve"> 质子交换膜燃料电池汽车用燃料 氢气</w:t>
      </w:r>
    </w:p>
    <w:p w14:paraId="156D4711">
      <w:pPr>
        <w:pStyle w:val="56"/>
        <w:ind w:firstLine="420"/>
      </w:pPr>
      <w:r>
        <w:rPr>
          <w:rFonts w:hint="eastAsia"/>
        </w:rPr>
        <w:t>GB 50156 汽车加油加气加氢站技术标准</w:t>
      </w:r>
    </w:p>
    <w:p w14:paraId="1C4C22A2">
      <w:pPr>
        <w:pStyle w:val="56"/>
        <w:ind w:firstLine="420"/>
      </w:pPr>
      <w:bookmarkStart w:id="60" w:name="OLE_LINK2"/>
      <w:r>
        <w:rPr>
          <w:rFonts w:hint="eastAsia"/>
        </w:rPr>
        <w:t>GB 50516</w:t>
      </w:r>
      <w:bookmarkEnd w:id="60"/>
      <w:r>
        <w:rPr>
          <w:rFonts w:hint="eastAsia"/>
        </w:rPr>
        <w:t xml:space="preserve"> 加氢站技术规范</w:t>
      </w:r>
    </w:p>
    <w:p w14:paraId="2FD950F5">
      <w:pPr>
        <w:pStyle w:val="56"/>
        <w:ind w:firstLine="420"/>
      </w:pPr>
      <w:r>
        <w:t>GB 3836.1</w:t>
      </w:r>
      <w:r>
        <w:rPr>
          <w:rFonts w:hint="eastAsia"/>
        </w:rPr>
        <w:t xml:space="preserve"> </w:t>
      </w:r>
      <w:r>
        <w:t>爆炸性环境 第1部分：设备 通用要求</w:t>
      </w:r>
    </w:p>
    <w:p w14:paraId="3F039202">
      <w:pPr>
        <w:pStyle w:val="104"/>
        <w:spacing w:before="240" w:after="240"/>
      </w:pPr>
      <w:bookmarkStart w:id="61" w:name="_Toc220166829"/>
      <w:bookmarkStart w:id="62" w:name="_Toc220145367"/>
      <w:bookmarkStart w:id="63" w:name="_Toc220166848"/>
      <w:bookmarkStart w:id="64" w:name="_Toc220145318"/>
      <w:bookmarkStart w:id="65" w:name="_Toc220144585"/>
      <w:bookmarkStart w:id="66" w:name="_Toc97192966"/>
      <w:r>
        <w:rPr>
          <w:rFonts w:hint="eastAsia"/>
          <w:szCs w:val="21"/>
        </w:rPr>
        <w:t>术语和定义</w:t>
      </w:r>
      <w:bookmarkEnd w:id="61"/>
      <w:bookmarkEnd w:id="62"/>
      <w:bookmarkEnd w:id="63"/>
      <w:bookmarkEnd w:id="64"/>
      <w:bookmarkEnd w:id="65"/>
      <w:bookmarkEnd w:id="66"/>
    </w:p>
    <w:sdt>
      <w:sdtPr>
        <w:rPr>
          <w:rFonts w:hint="eastAsia"/>
        </w:rPr>
        <w:id w:val="-1909835108"/>
        <w:placeholder>
          <w:docPart w:val="61ED1078C2144AD7B3A789A32C817838"/>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rPr>
      </w:sdtEndPr>
      <w:sdtContent>
        <w:p w14:paraId="070529C0">
          <w:pPr>
            <w:pStyle w:val="56"/>
            <w:ind w:firstLine="420"/>
          </w:pPr>
          <w:bookmarkStart w:id="67" w:name="_Toc26986532"/>
          <w:bookmarkEnd w:id="67"/>
          <w:r>
            <w:rPr>
              <w:rFonts w:hint="eastAsia"/>
            </w:rPr>
            <w:t>GB/T 21465、GB/T 24499、GB/T 24548、GB/T 30439.4、GB/T 30439.6界定的以及下列术语和定义适用于本文件。</w:t>
          </w:r>
        </w:p>
      </w:sdtContent>
    </w:sdt>
    <w:p w14:paraId="6C1F681D">
      <w:pPr>
        <w:pStyle w:val="105"/>
        <w:spacing w:before="120" w:after="120"/>
      </w:pPr>
      <w:bookmarkStart w:id="68" w:name="_Toc220145319"/>
      <w:bookmarkEnd w:id="68"/>
    </w:p>
    <w:p w14:paraId="0BEA17AD">
      <w:pPr>
        <w:pStyle w:val="56"/>
        <w:ind w:firstLine="420"/>
        <w:rPr>
          <w:rFonts w:hint="eastAsia" w:ascii="黑体" w:hAnsi="黑体" w:eastAsia="黑体"/>
        </w:rPr>
      </w:pPr>
      <w:bookmarkStart w:id="69" w:name="OLE_LINK3"/>
      <w:r>
        <w:rPr>
          <w:rFonts w:hint="eastAsia" w:ascii="黑体" w:hAnsi="黑体" w:eastAsia="黑体"/>
        </w:rPr>
        <w:t xml:space="preserve">比例阀 </w:t>
      </w:r>
      <w:r>
        <w:rPr>
          <w:rFonts w:ascii="Times New Roman" w:eastAsia="黑体"/>
          <w:b/>
          <w:bCs/>
        </w:rPr>
        <w:t>proportional valve</w:t>
      </w:r>
    </w:p>
    <w:p w14:paraId="2E9AF422">
      <w:pPr>
        <w:pStyle w:val="56"/>
        <w:ind w:firstLine="420"/>
      </w:pPr>
      <w:r>
        <w:rPr>
          <w:rFonts w:hint="eastAsia"/>
        </w:rPr>
        <w:t>用电磁线圈作为控制部分，输入的电气信号按比例对氢气的流量进行控制的装置。</w:t>
      </w:r>
    </w:p>
    <w:bookmarkEnd w:id="69"/>
    <w:p w14:paraId="09947D3E">
      <w:pPr>
        <w:pStyle w:val="105"/>
        <w:spacing w:before="120" w:after="120"/>
      </w:pPr>
      <w:bookmarkStart w:id="70" w:name="_Toc215474222"/>
      <w:bookmarkEnd w:id="70"/>
      <w:bookmarkStart w:id="71" w:name="_Toc220145320"/>
      <w:bookmarkEnd w:id="71"/>
    </w:p>
    <w:p w14:paraId="2095728A">
      <w:pPr>
        <w:pStyle w:val="56"/>
        <w:ind w:firstLine="420"/>
      </w:pPr>
      <w:r>
        <w:rPr>
          <w:rFonts w:hint="eastAsia" w:ascii="黑体" w:hAnsi="黑体" w:eastAsia="黑体"/>
        </w:rPr>
        <w:t>公称工作压力</w:t>
      </w:r>
      <w:r>
        <w:rPr>
          <w:rFonts w:hint="eastAsia"/>
        </w:rPr>
        <w:t xml:space="preserve"> </w:t>
      </w:r>
      <w:r>
        <w:rPr>
          <w:rFonts w:ascii="Times New Roman"/>
          <w:b/>
          <w:bCs/>
        </w:rPr>
        <w:t>nominal working pressure</w:t>
      </w:r>
    </w:p>
    <w:p w14:paraId="2057E8C2">
      <w:pPr>
        <w:pStyle w:val="56"/>
        <w:ind w:firstLine="420"/>
      </w:pPr>
      <w:r>
        <w:rPr>
          <w:rFonts w:hint="eastAsia"/>
        </w:rPr>
        <w:t>比例阀正常工作时入口端允许的最大压力。</w:t>
      </w:r>
    </w:p>
    <w:p w14:paraId="67891F09">
      <w:pPr>
        <w:pStyle w:val="105"/>
        <w:spacing w:before="120" w:after="120"/>
      </w:pPr>
      <w:bookmarkStart w:id="72" w:name="_Toc215474223"/>
      <w:bookmarkEnd w:id="72"/>
      <w:bookmarkStart w:id="73" w:name="_Toc220145321"/>
      <w:bookmarkEnd w:id="73"/>
    </w:p>
    <w:p w14:paraId="12787DD4">
      <w:pPr>
        <w:pStyle w:val="56"/>
        <w:ind w:firstLine="420"/>
        <w:rPr>
          <w:rFonts w:ascii="Times New Roman"/>
          <w:b/>
          <w:bCs/>
        </w:rPr>
      </w:pPr>
      <w:r>
        <w:rPr>
          <w:rFonts w:hint="eastAsia" w:ascii="黑体" w:hAnsi="黑体" w:eastAsia="黑体"/>
        </w:rPr>
        <w:t>流量特性曲线</w:t>
      </w:r>
      <w:r>
        <w:rPr>
          <w:rFonts w:hint="eastAsia"/>
        </w:rPr>
        <w:t xml:space="preserve"> </w:t>
      </w:r>
      <w:r>
        <w:rPr>
          <w:rFonts w:hint="eastAsia" w:ascii="Times New Roman"/>
          <w:b/>
          <w:bCs/>
        </w:rPr>
        <w:t>flow characteristic curve</w:t>
      </w:r>
    </w:p>
    <w:p w14:paraId="337FF486">
      <w:pPr>
        <w:pStyle w:val="56"/>
        <w:ind w:firstLine="420"/>
        <w:rPr>
          <w:rFonts w:hAnsi="宋体"/>
        </w:rPr>
      </w:pPr>
      <w:r>
        <w:rPr>
          <w:rFonts w:hint="eastAsia" w:hAnsi="宋体"/>
        </w:rPr>
        <w:t>比例阀输入电信号与输出流量的</w:t>
      </w:r>
      <w:r>
        <w:rPr>
          <w:rFonts w:hAnsi="宋体"/>
        </w:rPr>
        <w:t>关系曲线</w:t>
      </w:r>
      <w:r>
        <w:rPr>
          <w:rFonts w:hint="eastAsia" w:hAnsi="宋体"/>
        </w:rPr>
        <w:t>。</w:t>
      </w:r>
    </w:p>
    <w:p w14:paraId="4ED48F99">
      <w:pPr>
        <w:pStyle w:val="56"/>
        <w:ind w:firstLine="0" w:firstLineChars="0"/>
        <w:jc w:val="center"/>
      </w:pPr>
      <w:r>
        <w:drawing>
          <wp:inline distT="0" distB="0" distL="0" distR="0">
            <wp:extent cx="4977130" cy="2561590"/>
            <wp:effectExtent l="0" t="0" r="0" b="0"/>
            <wp:docPr id="10400206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020695" name="图片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036936" cy="2592778"/>
                    </a:xfrm>
                    <a:prstGeom prst="rect">
                      <a:avLst/>
                    </a:prstGeom>
                    <a:noFill/>
                    <a:ln>
                      <a:noFill/>
                    </a:ln>
                  </pic:spPr>
                </pic:pic>
              </a:graphicData>
            </a:graphic>
          </wp:inline>
        </w:drawing>
      </w:r>
    </w:p>
    <w:p w14:paraId="4B95AF08">
      <w:pPr>
        <w:pStyle w:val="182"/>
        <w:ind w:firstLine="360"/>
      </w:pPr>
      <w:r>
        <w:rPr>
          <w:rFonts w:hint="eastAsia"/>
        </w:rPr>
        <w:t>标引序号说明：</w:t>
      </w:r>
    </w:p>
    <w:p w14:paraId="4868A690">
      <w:pPr>
        <w:pStyle w:val="182"/>
        <w:ind w:firstLine="360"/>
        <w:rPr>
          <w:rFonts w:hAnsi="宋体"/>
        </w:rPr>
      </w:pPr>
      <w:r>
        <w:rPr>
          <w:rFonts w:hint="eastAsia"/>
        </w:rPr>
        <w:t>1</w:t>
      </w:r>
      <w:r>
        <w:rPr>
          <w:rFonts w:hint="eastAsia" w:hAnsi="宋体"/>
        </w:rPr>
        <w:t>——升载流量特性曲线；</w:t>
      </w:r>
    </w:p>
    <w:p w14:paraId="71CAC84A">
      <w:pPr>
        <w:pStyle w:val="182"/>
        <w:ind w:firstLine="360"/>
        <w:rPr>
          <w:rFonts w:hAnsi="宋体"/>
        </w:rPr>
      </w:pPr>
      <w:r>
        <w:rPr>
          <w:rFonts w:hint="eastAsia"/>
        </w:rPr>
        <w:t>2</w:t>
      </w:r>
      <w:r>
        <w:rPr>
          <w:rFonts w:hint="eastAsia" w:hAnsi="宋体"/>
        </w:rPr>
        <w:t>——降载流量特性曲线；</w:t>
      </w:r>
    </w:p>
    <w:p w14:paraId="0B72A0E4">
      <w:pPr>
        <w:pStyle w:val="182"/>
        <w:ind w:firstLine="360"/>
        <w:rPr>
          <w:rFonts w:hAnsi="宋体"/>
        </w:rPr>
      </w:pPr>
      <w:r>
        <w:rPr>
          <w:rFonts w:hint="eastAsia"/>
        </w:rPr>
        <w:t>H</w:t>
      </w:r>
      <w:r>
        <w:rPr>
          <w:rFonts w:hint="eastAsia" w:hAnsi="宋体"/>
        </w:rPr>
        <w:t>——迟滞；</w:t>
      </w:r>
    </w:p>
    <w:p w14:paraId="479314C8">
      <w:pPr>
        <w:pStyle w:val="182"/>
        <w:ind w:firstLine="360"/>
        <w:rPr>
          <w:rFonts w:hAnsi="宋体"/>
        </w:rPr>
      </w:pPr>
      <w:r>
        <w:rPr>
          <w:rFonts w:hint="eastAsia"/>
        </w:rPr>
        <w:t>F</w:t>
      </w:r>
      <w:bookmarkStart w:id="74" w:name="OLE_LINK90"/>
      <w:r>
        <w:rPr>
          <w:rFonts w:hint="eastAsia" w:hAnsi="宋体"/>
        </w:rPr>
        <w:t>——最大流量；</w:t>
      </w:r>
      <w:bookmarkEnd w:id="74"/>
    </w:p>
    <w:p w14:paraId="70912135">
      <w:pPr>
        <w:pStyle w:val="182"/>
        <w:ind w:firstLine="360"/>
      </w:pPr>
      <w:r>
        <w:rPr>
          <w:rFonts w:hint="eastAsia"/>
        </w:rPr>
        <w:t>I</w:t>
      </w:r>
      <w:r>
        <w:rPr>
          <w:rFonts w:hint="eastAsia"/>
          <w:lang w:eastAsia="zh-CN"/>
        </w:rPr>
        <w:t>——</w:t>
      </w:r>
      <w:r>
        <w:rPr>
          <w:rFonts w:hint="eastAsia" w:hAnsi="宋体"/>
        </w:rPr>
        <w:t>起步电流。</w:t>
      </w:r>
    </w:p>
    <w:p w14:paraId="0AB3E552">
      <w:pPr>
        <w:pStyle w:val="114"/>
        <w:spacing w:before="120" w:after="120"/>
      </w:pPr>
      <w:r>
        <w:rPr>
          <w:rFonts w:hint="eastAsia"/>
        </w:rPr>
        <w:t>流量特性曲线示意图</w:t>
      </w:r>
    </w:p>
    <w:p w14:paraId="32712008">
      <w:pPr>
        <w:pStyle w:val="105"/>
        <w:spacing w:before="120" w:after="120"/>
      </w:pPr>
      <w:bookmarkStart w:id="75" w:name="_Toc220145322"/>
      <w:bookmarkEnd w:id="75"/>
      <w:bookmarkStart w:id="76" w:name="_Toc215474224"/>
      <w:bookmarkEnd w:id="76"/>
    </w:p>
    <w:p w14:paraId="38E690F3">
      <w:pPr>
        <w:pStyle w:val="56"/>
        <w:ind w:firstLine="420"/>
        <w:rPr>
          <w:rFonts w:ascii="Times New Roman"/>
          <w:b/>
          <w:bCs/>
        </w:rPr>
      </w:pPr>
      <w:bookmarkStart w:id="77" w:name="OLE_LINK16"/>
      <w:bookmarkStart w:id="78" w:name="OLE_LINK15"/>
      <w:r>
        <w:rPr>
          <w:rFonts w:hint="eastAsia" w:ascii="黑体" w:hAnsi="黑体" w:eastAsia="黑体"/>
        </w:rPr>
        <w:t>升载流量特性曲线</w:t>
      </w:r>
      <w:r>
        <w:rPr>
          <w:rFonts w:hint="eastAsia"/>
        </w:rPr>
        <w:t xml:space="preserve"> </w:t>
      </w:r>
      <w:r>
        <w:rPr>
          <w:rFonts w:ascii="Times New Roman"/>
          <w:b/>
          <w:bCs/>
        </w:rPr>
        <w:t>increasing</w:t>
      </w:r>
      <w:r>
        <w:rPr>
          <w:rFonts w:hint="eastAsia"/>
        </w:rPr>
        <w:t xml:space="preserve"> </w:t>
      </w:r>
      <w:r>
        <w:rPr>
          <w:rFonts w:hint="eastAsia" w:ascii="Times New Roman"/>
          <w:b/>
          <w:bCs/>
        </w:rPr>
        <w:t>f</w:t>
      </w:r>
      <w:r>
        <w:rPr>
          <w:rFonts w:ascii="Times New Roman"/>
          <w:b/>
          <w:bCs/>
        </w:rPr>
        <w:t>low characteristic curve</w:t>
      </w:r>
    </w:p>
    <w:p w14:paraId="00537D0B">
      <w:pPr>
        <w:pStyle w:val="56"/>
        <w:ind w:firstLine="420"/>
      </w:pPr>
      <w:r>
        <w:rPr>
          <w:rFonts w:hint="eastAsia"/>
        </w:rPr>
        <w:t>比例阀阀门打开过程中的流量特性曲线。</w:t>
      </w:r>
    </w:p>
    <w:bookmarkEnd w:id="77"/>
    <w:p w14:paraId="1DF0BC68">
      <w:pPr>
        <w:pStyle w:val="105"/>
        <w:spacing w:before="120" w:after="120"/>
      </w:pPr>
      <w:bookmarkStart w:id="79" w:name="_Toc215474225"/>
      <w:bookmarkEnd w:id="79"/>
      <w:bookmarkStart w:id="80" w:name="_Toc220145323"/>
      <w:bookmarkEnd w:id="80"/>
    </w:p>
    <w:p w14:paraId="3778981B">
      <w:pPr>
        <w:pStyle w:val="56"/>
        <w:ind w:firstLine="420"/>
      </w:pPr>
      <w:r>
        <w:rPr>
          <w:rFonts w:hint="eastAsia" w:ascii="黑体" w:hAnsi="黑体" w:eastAsia="黑体"/>
        </w:rPr>
        <w:t>降载流量特性</w:t>
      </w:r>
      <w:r>
        <w:rPr>
          <w:rFonts w:hint="eastAsia" w:ascii="Times New Roman"/>
          <w:b/>
          <w:bCs/>
        </w:rPr>
        <w:t>曲线 decreasing  flow characteristic curve</w:t>
      </w:r>
    </w:p>
    <w:p w14:paraId="2870201F">
      <w:pPr>
        <w:pStyle w:val="56"/>
        <w:ind w:firstLine="420"/>
      </w:pPr>
      <w:r>
        <w:rPr>
          <w:rFonts w:hint="eastAsia"/>
        </w:rPr>
        <w:t>比例阀阀门关闭过程中的流量特性曲线。</w:t>
      </w:r>
    </w:p>
    <w:bookmarkEnd w:id="78"/>
    <w:p w14:paraId="708D16B5">
      <w:pPr>
        <w:pStyle w:val="105"/>
        <w:spacing w:before="120" w:after="120"/>
      </w:pPr>
      <w:bookmarkStart w:id="81" w:name="_Toc215474226"/>
      <w:bookmarkEnd w:id="81"/>
      <w:bookmarkStart w:id="82" w:name="_Toc220145324"/>
      <w:bookmarkEnd w:id="82"/>
    </w:p>
    <w:p w14:paraId="6FAD0899">
      <w:pPr>
        <w:pStyle w:val="56"/>
        <w:ind w:firstLine="420"/>
        <w:rPr>
          <w:rFonts w:ascii="Times New Roman" w:eastAsia="黑体"/>
          <w:b/>
          <w:bCs/>
        </w:rPr>
      </w:pPr>
      <w:r>
        <w:rPr>
          <w:rFonts w:hint="eastAsia" w:ascii="黑体" w:hAnsi="黑体" w:eastAsia="黑体"/>
        </w:rPr>
        <w:t xml:space="preserve">线性度 </w:t>
      </w:r>
      <w:r>
        <w:rPr>
          <w:rFonts w:ascii="Times New Roman" w:eastAsia="黑体"/>
          <w:b/>
          <w:bCs/>
        </w:rPr>
        <w:t>linearity</w:t>
      </w:r>
    </w:p>
    <w:p w14:paraId="5C2FD6AF">
      <w:pPr>
        <w:pStyle w:val="56"/>
        <w:ind w:firstLine="420"/>
        <w:rPr>
          <w:rFonts w:hAnsi="宋体"/>
        </w:rPr>
      </w:pPr>
      <w:r>
        <w:rPr>
          <w:rFonts w:hint="eastAsia" w:hAnsi="宋体"/>
        </w:rPr>
        <w:t>比例阀流量特性</w:t>
      </w:r>
      <w:r>
        <w:rPr>
          <w:rFonts w:hAnsi="宋体"/>
        </w:rPr>
        <w:t>曲线与</w:t>
      </w:r>
      <w:r>
        <w:rPr>
          <w:rFonts w:hint="eastAsia" w:hAnsi="宋体"/>
        </w:rPr>
        <w:t>理想直线</w:t>
      </w:r>
      <w:r>
        <w:rPr>
          <w:rFonts w:hAnsi="宋体"/>
        </w:rPr>
        <w:t>的偏离程度。</w:t>
      </w:r>
    </w:p>
    <w:p w14:paraId="324BD037">
      <w:pPr>
        <w:pStyle w:val="105"/>
        <w:spacing w:before="120" w:after="120"/>
      </w:pPr>
      <w:bookmarkStart w:id="83" w:name="_Toc215474227"/>
      <w:bookmarkEnd w:id="83"/>
      <w:bookmarkStart w:id="84" w:name="_Toc220145325"/>
      <w:bookmarkEnd w:id="84"/>
    </w:p>
    <w:p w14:paraId="217FA340">
      <w:pPr>
        <w:pStyle w:val="56"/>
        <w:ind w:firstLine="420"/>
        <w:rPr>
          <w:rFonts w:ascii="Times New Roman" w:eastAsia="黑体"/>
          <w:b/>
          <w:bCs/>
        </w:rPr>
      </w:pPr>
      <w:bookmarkStart w:id="85" w:name="OLE_LINK17"/>
      <w:r>
        <w:rPr>
          <w:rFonts w:hint="eastAsia" w:ascii="黑体" w:hAnsi="黑体" w:eastAsia="黑体"/>
        </w:rPr>
        <w:t>迟滞</w:t>
      </w:r>
      <w:bookmarkEnd w:id="85"/>
      <w:r>
        <w:rPr>
          <w:rFonts w:hint="eastAsia" w:ascii="黑体" w:hAnsi="黑体" w:eastAsia="黑体"/>
        </w:rPr>
        <w:t xml:space="preserve"> </w:t>
      </w:r>
      <w:r>
        <w:rPr>
          <w:rFonts w:ascii="Times New Roman" w:eastAsia="黑体"/>
          <w:b/>
          <w:bCs/>
        </w:rPr>
        <w:t>hysteresis</w:t>
      </w:r>
    </w:p>
    <w:p w14:paraId="38A69CDA">
      <w:pPr>
        <w:pStyle w:val="56"/>
        <w:ind w:firstLine="420"/>
        <w:rPr>
          <w:rFonts w:hAnsi="宋体"/>
        </w:rPr>
      </w:pPr>
      <w:r>
        <w:rPr>
          <w:rFonts w:hint="eastAsia" w:hAnsi="宋体"/>
        </w:rPr>
        <w:t>升载流量特性曲线与降载流量特性曲线在同一电信号位置流量的最大差值。</w:t>
      </w:r>
    </w:p>
    <w:p w14:paraId="6ADC1F6D">
      <w:pPr>
        <w:pStyle w:val="105"/>
        <w:spacing w:before="120" w:after="120"/>
      </w:pPr>
      <w:bookmarkStart w:id="86" w:name="_Toc220145326"/>
      <w:bookmarkEnd w:id="86"/>
      <w:bookmarkStart w:id="87" w:name="_Toc215474228"/>
      <w:bookmarkEnd w:id="87"/>
    </w:p>
    <w:p w14:paraId="19AE7656">
      <w:pPr>
        <w:pStyle w:val="56"/>
        <w:ind w:firstLine="420"/>
        <w:rPr>
          <w:rFonts w:ascii="Times New Roman"/>
          <w:b/>
          <w:bCs/>
        </w:rPr>
      </w:pPr>
      <w:r>
        <w:rPr>
          <w:rFonts w:hint="eastAsia" w:ascii="黑体" w:hAnsi="黑体" w:eastAsia="黑体"/>
        </w:rPr>
        <w:t xml:space="preserve">最大流量 </w:t>
      </w:r>
      <w:r>
        <w:rPr>
          <w:rFonts w:ascii="Times New Roman"/>
          <w:b/>
          <w:bCs/>
        </w:rPr>
        <w:t>maximum flow</w:t>
      </w:r>
    </w:p>
    <w:p w14:paraId="54FE7DB5">
      <w:pPr>
        <w:pStyle w:val="56"/>
        <w:ind w:firstLine="420"/>
      </w:pPr>
      <w:r>
        <w:rPr>
          <w:rFonts w:hint="eastAsia"/>
        </w:rPr>
        <w:t>在标准状态下，比例阀输入公称工作压力，阀门完全打开状态下输出的稳定流量。</w:t>
      </w:r>
    </w:p>
    <w:p w14:paraId="422978FF">
      <w:pPr>
        <w:pStyle w:val="105"/>
        <w:spacing w:before="120" w:after="120"/>
      </w:pPr>
      <w:bookmarkStart w:id="88" w:name="_Toc215474229"/>
      <w:bookmarkEnd w:id="88"/>
      <w:bookmarkStart w:id="89" w:name="_Toc220145327"/>
      <w:bookmarkEnd w:id="89"/>
    </w:p>
    <w:p w14:paraId="4C13AC39">
      <w:pPr>
        <w:pStyle w:val="56"/>
        <w:ind w:firstLine="420"/>
      </w:pPr>
      <w:r>
        <w:rPr>
          <w:rFonts w:hint="eastAsia" w:ascii="黑体" w:hAnsi="黑体" w:eastAsia="黑体"/>
        </w:rPr>
        <w:t>响应时间</w:t>
      </w:r>
      <w:r>
        <w:rPr>
          <w:rFonts w:hint="eastAsia"/>
        </w:rPr>
        <w:t xml:space="preserve"> </w:t>
      </w:r>
      <w:r>
        <w:rPr>
          <w:rFonts w:ascii="Times New Roman"/>
          <w:b/>
          <w:bCs/>
        </w:rPr>
        <w:t>response time</w:t>
      </w:r>
    </w:p>
    <w:p w14:paraId="29C2DB87">
      <w:pPr>
        <w:pStyle w:val="56"/>
        <w:ind w:firstLine="420"/>
      </w:pPr>
      <w:r>
        <w:rPr>
          <w:rFonts w:hint="eastAsia"/>
        </w:rPr>
        <w:t>公称工作压力下，</w:t>
      </w:r>
      <w:bookmarkStart w:id="90" w:name="OLE_LINK5"/>
      <w:r>
        <w:rPr>
          <w:rFonts w:hint="eastAsia"/>
        </w:rPr>
        <w:t>比例阀输出最大流量</w:t>
      </w:r>
      <w:bookmarkEnd w:id="90"/>
      <w:r>
        <w:rPr>
          <w:rFonts w:hint="eastAsia"/>
        </w:rPr>
        <w:t>的5%到最大流量90%所需的时间。</w:t>
      </w:r>
    </w:p>
    <w:p w14:paraId="336C9532">
      <w:pPr>
        <w:pStyle w:val="105"/>
        <w:spacing w:before="120" w:after="120"/>
      </w:pPr>
      <w:bookmarkStart w:id="91" w:name="_Toc215474230"/>
      <w:bookmarkEnd w:id="91"/>
      <w:bookmarkStart w:id="92" w:name="_Toc220145328"/>
      <w:bookmarkEnd w:id="92"/>
    </w:p>
    <w:p w14:paraId="67A4801F">
      <w:pPr>
        <w:pStyle w:val="56"/>
        <w:ind w:firstLine="420"/>
        <w:rPr>
          <w:rFonts w:ascii="Times New Roman"/>
          <w:b/>
          <w:bCs/>
        </w:rPr>
      </w:pPr>
      <w:r>
        <w:rPr>
          <w:rFonts w:hint="eastAsia" w:ascii="黑体" w:hAnsi="黑体" w:eastAsia="黑体"/>
        </w:rPr>
        <w:t xml:space="preserve">起步电流 </w:t>
      </w:r>
      <w:r>
        <w:rPr>
          <w:rFonts w:hint="eastAsia" w:ascii="Times New Roman"/>
          <w:b/>
          <w:bCs/>
        </w:rPr>
        <w:t>start-up current</w:t>
      </w:r>
    </w:p>
    <w:p w14:paraId="2CD400C0">
      <w:pPr>
        <w:pStyle w:val="56"/>
        <w:ind w:firstLine="420"/>
      </w:pPr>
      <w:r>
        <w:rPr>
          <w:rFonts w:hint="eastAsia"/>
        </w:rPr>
        <w:t>比例阀开启过程中，</w:t>
      </w:r>
      <w:bookmarkStart w:id="93" w:name="OLE_LINK51"/>
      <w:r>
        <w:rPr>
          <w:rFonts w:hint="eastAsia"/>
        </w:rPr>
        <w:t>出口流量达到最大流量1%时对应的输入电流值。</w:t>
      </w:r>
      <w:bookmarkEnd w:id="93"/>
    </w:p>
    <w:p w14:paraId="5C2D9745">
      <w:pPr>
        <w:pStyle w:val="105"/>
        <w:spacing w:before="120" w:after="120"/>
      </w:pPr>
      <w:bookmarkStart w:id="94" w:name="_Toc220145329"/>
      <w:bookmarkEnd w:id="94"/>
      <w:bookmarkStart w:id="95" w:name="_Toc215474231"/>
      <w:bookmarkEnd w:id="95"/>
    </w:p>
    <w:p w14:paraId="5C1123E2">
      <w:pPr>
        <w:pStyle w:val="56"/>
        <w:ind w:firstLine="420"/>
        <w:rPr>
          <w:rFonts w:ascii="Times New Roman"/>
          <w:b/>
          <w:bCs/>
          <w:color w:val="EE0000"/>
        </w:rPr>
      </w:pPr>
      <w:r>
        <w:rPr>
          <w:rFonts w:hint="eastAsia" w:ascii="黑体" w:hAnsi="黑体" w:eastAsia="黑体"/>
        </w:rPr>
        <w:t>最大工作压差</w:t>
      </w:r>
      <w:r>
        <w:rPr>
          <w:rFonts w:hint="eastAsia"/>
        </w:rPr>
        <w:t xml:space="preserve"> </w:t>
      </w:r>
      <w:r>
        <w:rPr>
          <w:rFonts w:hint="eastAsia" w:ascii="Times New Roman"/>
          <w:b/>
          <w:bCs/>
        </w:rPr>
        <w:t xml:space="preserve">maximum working pressure differential </w:t>
      </w:r>
    </w:p>
    <w:p w14:paraId="189A6B92">
      <w:pPr>
        <w:pStyle w:val="56"/>
        <w:ind w:firstLine="420"/>
      </w:pPr>
      <w:r>
        <w:rPr>
          <w:rFonts w:hint="eastAsia"/>
        </w:rPr>
        <w:t>比例阀能正常开启并可以实现调节功能的最大进出口压力差值。</w:t>
      </w:r>
    </w:p>
    <w:p w14:paraId="771D8B0A">
      <w:pPr>
        <w:pStyle w:val="104"/>
        <w:spacing w:before="240" w:after="240"/>
      </w:pPr>
      <w:bookmarkStart w:id="96" w:name="_Toc215474232"/>
      <w:bookmarkStart w:id="97" w:name="_Toc220166830"/>
      <w:bookmarkStart w:id="98" w:name="_Toc215474269"/>
      <w:bookmarkStart w:id="99" w:name="_Toc215474674"/>
      <w:bookmarkStart w:id="100" w:name="_Toc220145368"/>
      <w:bookmarkStart w:id="101" w:name="_Toc220145330"/>
      <w:bookmarkStart w:id="102" w:name="_Toc220166849"/>
      <w:r>
        <w:rPr>
          <w:rFonts w:hint="eastAsia"/>
        </w:rPr>
        <w:t>技术要求</w:t>
      </w:r>
      <w:bookmarkEnd w:id="96"/>
      <w:bookmarkEnd w:id="97"/>
      <w:bookmarkEnd w:id="98"/>
      <w:bookmarkEnd w:id="99"/>
      <w:bookmarkEnd w:id="100"/>
      <w:bookmarkEnd w:id="101"/>
      <w:bookmarkEnd w:id="102"/>
    </w:p>
    <w:p w14:paraId="436BF804">
      <w:pPr>
        <w:pStyle w:val="105"/>
        <w:spacing w:before="120" w:after="120"/>
      </w:pPr>
      <w:bookmarkStart w:id="103" w:name="_Toc220145331"/>
      <w:bookmarkStart w:id="104" w:name="_Toc215474233"/>
      <w:r>
        <w:rPr>
          <w:rFonts w:hint="eastAsia"/>
        </w:rPr>
        <w:t>一般要求</w:t>
      </w:r>
      <w:bookmarkEnd w:id="103"/>
      <w:bookmarkEnd w:id="104"/>
    </w:p>
    <w:p w14:paraId="2016952F">
      <w:pPr>
        <w:pStyle w:val="165"/>
        <w:bidi w:val="0"/>
      </w:pPr>
      <w:bookmarkStart w:id="234" w:name="_GoBack"/>
      <w:r>
        <w:rPr>
          <w:rFonts w:hint="eastAsia"/>
        </w:rPr>
        <w:t>比例阀应密封可靠，洁净，防止内、外部杂质污染氢气，阀体表面敷层应光洁，不应有剥落、碰伤和划痕等缺陷。紧固件不应有松动、损伤现象。标识应清晰。</w:t>
      </w:r>
    </w:p>
    <w:p w14:paraId="1D65FCD9">
      <w:pPr>
        <w:pStyle w:val="165"/>
        <w:bidi w:val="0"/>
      </w:pPr>
      <w:r>
        <w:rPr>
          <w:rFonts w:hint="eastAsia"/>
        </w:rPr>
        <w:t>比例阀的安装固定板若能导磁，则不应与线圈导磁元件接触，以免降低比例阀工作特性。</w:t>
      </w:r>
    </w:p>
    <w:p w14:paraId="6CA1E353">
      <w:pPr>
        <w:pStyle w:val="165"/>
        <w:bidi w:val="0"/>
      </w:pPr>
      <w:r>
        <w:rPr>
          <w:rFonts w:hint="eastAsia"/>
        </w:rPr>
        <w:t>比例阀线圈防护等级应符合GB/T 4208规定的要求，不低于IP67。</w:t>
      </w:r>
    </w:p>
    <w:p w14:paraId="199AE6D5">
      <w:pPr>
        <w:pStyle w:val="165"/>
        <w:bidi w:val="0"/>
      </w:pPr>
      <w:r>
        <w:rPr>
          <w:rFonts w:hint="eastAsia"/>
        </w:rPr>
        <w:t>比例阀应采用防爆</w:t>
      </w:r>
      <w:r>
        <w:t>电气部件</w:t>
      </w:r>
      <w:r>
        <w:rPr>
          <w:rFonts w:hint="eastAsia"/>
        </w:rPr>
        <w:t>，防爆等级选型应符合GB 50156、GB 50516、</w:t>
      </w:r>
      <w:r>
        <w:t>GB 3836.1</w:t>
      </w:r>
      <w:r>
        <w:rPr>
          <w:rFonts w:hint="eastAsia"/>
        </w:rPr>
        <w:t>规定的要求。</w:t>
      </w:r>
    </w:p>
    <w:bookmarkEnd w:id="234"/>
    <w:p w14:paraId="669640A2">
      <w:pPr>
        <w:pStyle w:val="105"/>
        <w:spacing w:before="120" w:after="120"/>
      </w:pPr>
      <w:bookmarkStart w:id="105" w:name="_Toc215474234"/>
      <w:bookmarkStart w:id="106" w:name="_Toc220145332"/>
      <w:r>
        <w:rPr>
          <w:rFonts w:hint="eastAsia"/>
        </w:rPr>
        <w:t>材料要求</w:t>
      </w:r>
      <w:bookmarkEnd w:id="105"/>
      <w:bookmarkEnd w:id="106"/>
    </w:p>
    <w:p w14:paraId="2D3A7D17">
      <w:pPr>
        <w:pStyle w:val="165"/>
        <w:bidi w:val="0"/>
      </w:pPr>
      <w:r>
        <w:rPr>
          <w:rFonts w:hint="eastAsia"/>
        </w:rPr>
        <w:t>比例阀用材料应考虑到耐腐蚀性、耐磨性、耐老化性、导电性、冲击强度、耐热性、耐低温冲击性、耐紫外线照射性和抗氢脆性。</w:t>
      </w:r>
    </w:p>
    <w:p w14:paraId="37DDA6F5">
      <w:pPr>
        <w:pStyle w:val="165"/>
        <w:bidi w:val="0"/>
      </w:pPr>
      <w:r>
        <w:rPr>
          <w:rFonts w:hint="eastAsia"/>
        </w:rPr>
        <w:t>金属材料</w:t>
      </w:r>
      <w:bookmarkStart w:id="107" w:name="OLE_LINK7"/>
      <w:r>
        <w:rPr>
          <w:rFonts w:hint="eastAsia"/>
        </w:rPr>
        <w:t>应具有良好的氢相容性，</w:t>
      </w:r>
      <w:bookmarkEnd w:id="107"/>
      <w:r>
        <w:rPr>
          <w:rFonts w:hint="eastAsia"/>
        </w:rPr>
        <w:t>其试验方法应按照</w:t>
      </w:r>
      <w:bookmarkStart w:id="108" w:name="OLE_LINK6"/>
      <w:r>
        <w:rPr>
          <w:rFonts w:hint="eastAsia"/>
        </w:rPr>
        <w:t>GB/T 34542.2</w:t>
      </w:r>
      <w:bookmarkEnd w:id="108"/>
      <w:r>
        <w:rPr>
          <w:rFonts w:hint="eastAsia"/>
        </w:rPr>
        <w:t>和GB/T 34542.3规定的要求执行。</w:t>
      </w:r>
    </w:p>
    <w:p w14:paraId="4D5AE968">
      <w:pPr>
        <w:pStyle w:val="165"/>
        <w:bidi w:val="0"/>
      </w:pPr>
      <w:r>
        <w:rPr>
          <w:rFonts w:hint="eastAsia"/>
        </w:rPr>
        <w:t>非金属材料应具有良好的氢相容性，其疲劳性能、耐久极限和蠕变强度在比例阀设计寿命内应能满足</w:t>
      </w:r>
      <w:r>
        <w:t>供需双方技术协议的规定</w:t>
      </w:r>
      <w:r>
        <w:rPr>
          <w:rFonts w:hint="eastAsia"/>
        </w:rPr>
        <w:t>。</w:t>
      </w:r>
    </w:p>
    <w:p w14:paraId="33B923E8">
      <w:pPr>
        <w:pStyle w:val="165"/>
        <w:bidi w:val="0"/>
      </w:pPr>
      <w:r>
        <w:rPr>
          <w:rFonts w:hint="eastAsia"/>
        </w:rPr>
        <w:t>非金属密封件材料的使用温度范围应满足比例阀工作温度的要求，其拉伸强度和断后伸长率应按GB/T 528规定的要求测定，并满足</w:t>
      </w:r>
      <w:r>
        <w:t>供需双方技术协议的规定</w:t>
      </w:r>
      <w:r>
        <w:rPr>
          <w:rFonts w:hint="eastAsia"/>
        </w:rPr>
        <w:t>。</w:t>
      </w:r>
    </w:p>
    <w:p w14:paraId="60A34F0D">
      <w:pPr>
        <w:pStyle w:val="105"/>
        <w:spacing w:before="120" w:after="120"/>
      </w:pPr>
      <w:bookmarkStart w:id="109" w:name="_Toc220145333"/>
      <w:bookmarkStart w:id="110" w:name="_Toc215474235"/>
      <w:r>
        <w:rPr>
          <w:rFonts w:hint="eastAsia"/>
        </w:rPr>
        <w:t>性能要求</w:t>
      </w:r>
      <w:bookmarkEnd w:id="109"/>
      <w:bookmarkEnd w:id="110"/>
    </w:p>
    <w:p w14:paraId="741C8268">
      <w:pPr>
        <w:pStyle w:val="65"/>
        <w:spacing w:before="120" w:after="120"/>
      </w:pPr>
      <w:r>
        <w:rPr>
          <w:rFonts w:hint="eastAsia"/>
        </w:rPr>
        <w:t>直流供电电压范围</w:t>
      </w:r>
    </w:p>
    <w:p w14:paraId="04C3C413">
      <w:pPr>
        <w:pStyle w:val="56"/>
        <w:ind w:firstLine="420"/>
      </w:pPr>
      <w:bookmarkStart w:id="111" w:name="OLE_LINK10"/>
      <w:r>
        <w:rPr>
          <w:rFonts w:hint="eastAsia"/>
        </w:rPr>
        <w:t>按5.2的规定进行试验，</w:t>
      </w:r>
      <w:bookmarkStart w:id="112" w:name="OLE_LINK81"/>
      <w:bookmarkStart w:id="113" w:name="OLE_LINK83"/>
      <w:r>
        <w:rPr>
          <w:rFonts w:hint="eastAsia"/>
        </w:rPr>
        <w:t>试验后，</w:t>
      </w:r>
      <w:bookmarkEnd w:id="112"/>
      <w:bookmarkStart w:id="114" w:name="OLE_LINK86"/>
      <w:bookmarkStart w:id="115" w:name="OLE_LINK9"/>
      <w:r>
        <w:rPr>
          <w:rFonts w:hint="eastAsia"/>
        </w:rPr>
        <w:t>符合</w:t>
      </w:r>
      <w:r>
        <w:t>4.3.8</w:t>
      </w:r>
      <w:r>
        <w:rPr>
          <w:rFonts w:hint="eastAsia"/>
        </w:rPr>
        <w:t>、</w:t>
      </w:r>
      <w:r>
        <w:t>4.3.9</w:t>
      </w:r>
      <w:r>
        <w:rPr>
          <w:rFonts w:hint="eastAsia"/>
        </w:rPr>
        <w:t>的规定</w:t>
      </w:r>
      <w:bookmarkEnd w:id="114"/>
      <w:r>
        <w:rPr>
          <w:rFonts w:hint="eastAsia"/>
        </w:rPr>
        <w:t>。</w:t>
      </w:r>
      <w:bookmarkEnd w:id="113"/>
      <w:bookmarkEnd w:id="115"/>
    </w:p>
    <w:bookmarkEnd w:id="111"/>
    <w:p w14:paraId="6545BCC8">
      <w:pPr>
        <w:pStyle w:val="65"/>
        <w:spacing w:before="120" w:after="120"/>
      </w:pPr>
      <w:r>
        <w:rPr>
          <w:rFonts w:hint="eastAsia"/>
        </w:rPr>
        <w:t>过电压</w:t>
      </w:r>
    </w:p>
    <w:p w14:paraId="3F68211E">
      <w:pPr>
        <w:pStyle w:val="56"/>
        <w:ind w:firstLine="420"/>
      </w:pPr>
      <w:r>
        <w:rPr>
          <w:rFonts w:hint="eastAsia"/>
        </w:rPr>
        <w:t>按5.3的规定进行试验，试验后，符合</w:t>
      </w:r>
      <w:r>
        <w:t>4.3.8</w:t>
      </w:r>
      <w:r>
        <w:rPr>
          <w:rFonts w:hint="eastAsia"/>
        </w:rPr>
        <w:t>、</w:t>
      </w:r>
      <w:r>
        <w:t>4.3.9</w:t>
      </w:r>
      <w:r>
        <w:rPr>
          <w:rFonts w:hint="eastAsia"/>
        </w:rPr>
        <w:t>的规定。</w:t>
      </w:r>
    </w:p>
    <w:p w14:paraId="18CB5B49">
      <w:pPr>
        <w:pStyle w:val="65"/>
        <w:spacing w:before="120" w:after="120"/>
      </w:pPr>
      <w:r>
        <w:rPr>
          <w:rFonts w:hint="eastAsia"/>
        </w:rPr>
        <w:t>反向电压</w:t>
      </w:r>
    </w:p>
    <w:p w14:paraId="4C79BBC3">
      <w:pPr>
        <w:pStyle w:val="56"/>
        <w:ind w:firstLine="420"/>
      </w:pPr>
      <w:r>
        <w:rPr>
          <w:rFonts w:hint="eastAsia"/>
        </w:rPr>
        <w:t>按5.4的规定进行试验，</w:t>
      </w:r>
      <w:bookmarkStart w:id="116" w:name="OLE_LINK82"/>
      <w:r>
        <w:rPr>
          <w:rFonts w:hint="eastAsia"/>
        </w:rPr>
        <w:t>试验后，</w:t>
      </w:r>
      <w:bookmarkEnd w:id="116"/>
      <w:r>
        <w:rPr>
          <w:rFonts w:hint="eastAsia"/>
        </w:rPr>
        <w:t>符合</w:t>
      </w:r>
      <w:r>
        <w:t>4.3.8</w:t>
      </w:r>
      <w:r>
        <w:rPr>
          <w:rFonts w:hint="eastAsia"/>
        </w:rPr>
        <w:t>、</w:t>
      </w:r>
      <w:r>
        <w:t>4.3.9</w:t>
      </w:r>
      <w:r>
        <w:rPr>
          <w:rFonts w:hint="eastAsia"/>
        </w:rPr>
        <w:t>的规定。</w:t>
      </w:r>
    </w:p>
    <w:p w14:paraId="7525032D">
      <w:pPr>
        <w:pStyle w:val="65"/>
        <w:spacing w:before="120" w:after="120"/>
      </w:pPr>
      <w:r>
        <w:rPr>
          <w:rFonts w:hint="eastAsia"/>
        </w:rPr>
        <w:t>耐电压</w:t>
      </w:r>
    </w:p>
    <w:p w14:paraId="27F7BF4C">
      <w:pPr>
        <w:pStyle w:val="56"/>
        <w:ind w:firstLine="420"/>
      </w:pPr>
      <w:r>
        <w:rPr>
          <w:rFonts w:hint="eastAsia"/>
        </w:rPr>
        <w:t>按5.5的规定进行试验</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试验时不得出现击穿和闪络</w:t>
      </w:r>
      <w:r>
        <w:rPr>
          <w:rFonts w:hint="eastAsia"/>
          <w:color w:val="000000" w:themeColor="text1"/>
          <w14:textFill>
            <w14:solidFill>
              <w14:schemeClr w14:val="tx1"/>
            </w14:solidFill>
          </w14:textFill>
        </w:rPr>
        <w:t>。</w:t>
      </w:r>
    </w:p>
    <w:p w14:paraId="66729A74">
      <w:pPr>
        <w:pStyle w:val="65"/>
        <w:spacing w:before="120" w:after="120"/>
      </w:pPr>
      <w:r>
        <w:rPr>
          <w:rFonts w:hint="eastAsia"/>
        </w:rPr>
        <w:t>绝缘电阻</w:t>
      </w:r>
    </w:p>
    <w:p w14:paraId="559C37CB">
      <w:pPr>
        <w:pStyle w:val="56"/>
        <w:ind w:firstLine="420"/>
      </w:pPr>
      <w:r>
        <w:rPr>
          <w:rFonts w:hint="eastAsia"/>
        </w:rPr>
        <w:t>按5.6的规定进行试验，</w:t>
      </w:r>
      <w:r>
        <w:t>绝缘电阻应大于10</w:t>
      </w:r>
      <w:r>
        <w:rPr>
          <w:rFonts w:hint="eastAsia"/>
          <w:lang w:eastAsia="zh-CN"/>
        </w:rPr>
        <w:t> </w:t>
      </w:r>
      <w:r>
        <w:t>MΩ</w:t>
      </w:r>
      <w:r>
        <w:rPr>
          <w:rFonts w:hint="eastAsia"/>
        </w:rPr>
        <w:t>。</w:t>
      </w:r>
    </w:p>
    <w:p w14:paraId="651556E9">
      <w:pPr>
        <w:pStyle w:val="65"/>
        <w:spacing w:before="120" w:after="120"/>
      </w:pPr>
      <w:r>
        <w:rPr>
          <w:rFonts w:hint="eastAsia"/>
        </w:rPr>
        <w:t>液静压强度</w:t>
      </w:r>
    </w:p>
    <w:p w14:paraId="7EB4259F">
      <w:pPr>
        <w:pStyle w:val="56"/>
        <w:ind w:firstLine="420"/>
      </w:pPr>
      <w:r>
        <w:rPr>
          <w:rFonts w:hint="eastAsia"/>
        </w:rPr>
        <w:t>按5.7的规定进行试验后，比例阀不应出现破裂、永久变形等现象。</w:t>
      </w:r>
    </w:p>
    <w:p w14:paraId="60144410">
      <w:pPr>
        <w:pStyle w:val="65"/>
        <w:spacing w:before="120" w:after="120"/>
      </w:pPr>
      <w:r>
        <w:rPr>
          <w:rFonts w:hint="eastAsia"/>
        </w:rPr>
        <w:t>泄漏</w:t>
      </w:r>
    </w:p>
    <w:p w14:paraId="04840B08">
      <w:pPr>
        <w:pStyle w:val="56"/>
        <w:ind w:firstLine="420"/>
      </w:pPr>
      <w:bookmarkStart w:id="117" w:name="OLE_LINK18"/>
      <w:r>
        <w:rPr>
          <w:rFonts w:hint="eastAsia"/>
        </w:rPr>
        <w:t>按5.8的规定进行试验</w:t>
      </w:r>
      <w:bookmarkEnd w:id="117"/>
      <w:r>
        <w:rPr>
          <w:rFonts w:hint="eastAsia"/>
        </w:rPr>
        <w:t>，3 min内应无气泡或检测其泄漏率不应超过1.5×10</w:t>
      </w:r>
      <w:r>
        <w:rPr>
          <w:rFonts w:hint="eastAsia"/>
          <w:vertAlign w:val="superscript"/>
        </w:rPr>
        <w:t>-5  </w:t>
      </w:r>
      <w:r>
        <w:rPr>
          <w:rFonts w:hint="eastAsia"/>
        </w:rPr>
        <w:t>N</w:t>
      </w:r>
      <w:r>
        <w:rPr>
          <w:rFonts w:hint="eastAsia" w:hAnsi="宋体"/>
        </w:rPr>
        <w:t>•</w:t>
      </w:r>
      <w:r>
        <w:rPr>
          <w:rFonts w:hint="eastAsia"/>
        </w:rPr>
        <w:t>m</w:t>
      </w:r>
      <w:r>
        <w:rPr>
          <w:rFonts w:hint="eastAsia"/>
          <w:vertAlign w:val="superscript"/>
        </w:rPr>
        <w:t>3</w:t>
      </w:r>
      <w:r>
        <w:rPr>
          <w:rFonts w:hint="eastAsia"/>
        </w:rPr>
        <w:t>/h。</w:t>
      </w:r>
    </w:p>
    <w:p w14:paraId="58A7F6FD">
      <w:pPr>
        <w:pStyle w:val="65"/>
        <w:spacing w:before="120" w:after="120"/>
      </w:pPr>
      <w:r>
        <w:rPr>
          <w:rFonts w:hint="eastAsia"/>
        </w:rPr>
        <w:t>流量特性</w:t>
      </w:r>
    </w:p>
    <w:p w14:paraId="3EBB33E2">
      <w:pPr>
        <w:pStyle w:val="164"/>
        <w:bidi w:val="0"/>
      </w:pPr>
      <w:bookmarkStart w:id="118" w:name="OLE_LINK19"/>
      <w:r>
        <w:rPr>
          <w:rFonts w:hint="eastAsia"/>
        </w:rPr>
        <w:t>按5.9的规定进行试验，</w:t>
      </w:r>
      <w:r>
        <w:t>流量特性曲线</w:t>
      </w:r>
      <w:r>
        <w:rPr>
          <w:rFonts w:hint="eastAsia"/>
        </w:rPr>
        <w:t>应符合供需双方技术协议的规定。</w:t>
      </w:r>
    </w:p>
    <w:p w14:paraId="2EC23520">
      <w:pPr>
        <w:pStyle w:val="164"/>
        <w:bidi w:val="0"/>
      </w:pPr>
      <w:r>
        <w:rPr>
          <w:rFonts w:hint="eastAsia"/>
        </w:rPr>
        <w:t>按</w:t>
      </w:r>
      <w:bookmarkStart w:id="119" w:name="OLE_LINK53"/>
      <w:r>
        <w:rPr>
          <w:rFonts w:hint="eastAsia"/>
        </w:rPr>
        <w:t>5.9的规定进行试验，</w:t>
      </w:r>
      <w:r>
        <w:t>最大流量</w:t>
      </w:r>
      <w:r>
        <w:rPr>
          <w:rFonts w:hint="eastAsia"/>
        </w:rPr>
        <w:t>应符合供需双方技术协议的规定。</w:t>
      </w:r>
      <w:bookmarkEnd w:id="119"/>
    </w:p>
    <w:p w14:paraId="6B7CE629">
      <w:pPr>
        <w:pStyle w:val="164"/>
        <w:bidi w:val="0"/>
      </w:pPr>
      <w:bookmarkStart w:id="120" w:name="OLE_LINK52"/>
      <w:r>
        <w:rPr>
          <w:rFonts w:hint="eastAsia"/>
        </w:rPr>
        <w:t>按5.9的规定进行试验，</w:t>
      </w:r>
      <w:r>
        <w:t>起步电流</w:t>
      </w:r>
      <w:r>
        <w:rPr>
          <w:rFonts w:hint="eastAsia"/>
        </w:rPr>
        <w:t>应符合供需双方技术协议的规定。</w:t>
      </w:r>
    </w:p>
    <w:bookmarkEnd w:id="118"/>
    <w:bookmarkEnd w:id="120"/>
    <w:p w14:paraId="3196B56C">
      <w:pPr>
        <w:pStyle w:val="164"/>
        <w:bidi w:val="0"/>
      </w:pPr>
      <w:r>
        <w:rPr>
          <w:rFonts w:hint="eastAsia"/>
        </w:rPr>
        <w:t>线性度应</w:t>
      </w:r>
      <w:bookmarkStart w:id="121" w:name="OLE_LINK42"/>
      <w:r>
        <w:rPr>
          <w:rFonts w:hint="eastAsia"/>
        </w:rPr>
        <w:t>不大于</w:t>
      </w:r>
      <w:bookmarkStart w:id="122" w:name="OLE_LINK48"/>
      <w:r>
        <w:t>±</w:t>
      </w:r>
      <w:r>
        <w:rPr>
          <w:rFonts w:hint="eastAsia"/>
        </w:rPr>
        <w:t>10</w:t>
      </w:r>
      <w:r>
        <w:t>%</w:t>
      </w:r>
      <w:bookmarkEnd w:id="122"/>
      <w:r>
        <w:rPr>
          <w:rFonts w:hint="eastAsia"/>
        </w:rPr>
        <w:t> </w:t>
      </w:r>
      <w:r>
        <w:t>F</w:t>
      </w:r>
      <w:r>
        <w:rPr>
          <w:rFonts w:hint="eastAsia"/>
        </w:rPr>
        <w:t>.</w:t>
      </w:r>
      <w:r>
        <w:t>S</w:t>
      </w:r>
      <w:r>
        <w:rPr>
          <w:rFonts w:hint="eastAsia"/>
        </w:rPr>
        <w:t>。</w:t>
      </w:r>
      <w:bookmarkEnd w:id="121"/>
    </w:p>
    <w:p w14:paraId="7DBAB3E4">
      <w:pPr>
        <w:pStyle w:val="164"/>
        <w:bidi w:val="0"/>
      </w:pPr>
      <w:r>
        <w:rPr>
          <w:rFonts w:hint="eastAsia"/>
        </w:rPr>
        <w:t>迟滞应不大于</w:t>
      </w:r>
      <w:r>
        <w:t>±</w:t>
      </w:r>
      <w:r>
        <w:rPr>
          <w:rFonts w:hint="eastAsia"/>
        </w:rPr>
        <w:t>15</w:t>
      </w:r>
      <w:r>
        <w:t>%</w:t>
      </w:r>
      <w:r>
        <w:rPr>
          <w:rFonts w:hint="eastAsia"/>
        </w:rPr>
        <w:t> </w:t>
      </w:r>
      <w:r>
        <w:t>F</w:t>
      </w:r>
      <w:r>
        <w:rPr>
          <w:rFonts w:hint="eastAsia"/>
        </w:rPr>
        <w:t>.</w:t>
      </w:r>
      <w:r>
        <w:t>S</w:t>
      </w:r>
      <w:r>
        <w:rPr>
          <w:rFonts w:hint="eastAsia"/>
        </w:rPr>
        <w:t>。</w:t>
      </w:r>
    </w:p>
    <w:p w14:paraId="7E9432DA">
      <w:pPr>
        <w:pStyle w:val="65"/>
        <w:spacing w:before="120" w:after="120"/>
      </w:pPr>
      <w:r>
        <w:rPr>
          <w:rFonts w:hint="eastAsia"/>
        </w:rPr>
        <w:t>响应特性</w:t>
      </w:r>
    </w:p>
    <w:p w14:paraId="166FCD4F">
      <w:pPr>
        <w:pStyle w:val="56"/>
        <w:ind w:firstLine="420"/>
      </w:pPr>
      <w:bookmarkStart w:id="123" w:name="OLE_LINK41"/>
      <w:bookmarkStart w:id="124" w:name="OLE_LINK20"/>
      <w:r>
        <w:rPr>
          <w:rFonts w:hint="eastAsia"/>
        </w:rPr>
        <w:t>按5.10的规定进行试验，响应时间应不大于15 ms。</w:t>
      </w:r>
    </w:p>
    <w:bookmarkEnd w:id="123"/>
    <w:p w14:paraId="5A2409C4">
      <w:pPr>
        <w:pStyle w:val="65"/>
        <w:spacing w:before="120" w:after="120"/>
      </w:pPr>
      <w:r>
        <w:rPr>
          <w:rFonts w:hint="eastAsia"/>
        </w:rPr>
        <w:t>重复性</w:t>
      </w:r>
    </w:p>
    <w:p w14:paraId="33979BA4">
      <w:pPr>
        <w:pStyle w:val="56"/>
        <w:ind w:firstLine="420"/>
      </w:pPr>
      <w:r>
        <w:rPr>
          <w:rFonts w:hint="eastAsia"/>
        </w:rPr>
        <w:t>按5.11的规定进行试验，重复性精度不大于</w:t>
      </w:r>
      <w:r>
        <w:t>±</w:t>
      </w:r>
      <w:r>
        <w:rPr>
          <w:rFonts w:hint="eastAsia"/>
        </w:rPr>
        <w:t>5</w:t>
      </w:r>
      <w:r>
        <w:t>%</w:t>
      </w:r>
      <w:r>
        <w:rPr>
          <w:rFonts w:hint="eastAsia"/>
        </w:rPr>
        <w:t> </w:t>
      </w:r>
      <w:r>
        <w:t>F</w:t>
      </w:r>
      <w:r>
        <w:rPr>
          <w:rFonts w:hint="eastAsia"/>
        </w:rPr>
        <w:t>.</w:t>
      </w:r>
      <w:r>
        <w:t>S</w:t>
      </w:r>
      <w:r>
        <w:rPr>
          <w:rFonts w:hint="eastAsia"/>
        </w:rPr>
        <w:t>。</w:t>
      </w:r>
    </w:p>
    <w:p w14:paraId="5A3AAA95">
      <w:pPr>
        <w:pStyle w:val="65"/>
        <w:spacing w:before="120" w:after="120"/>
      </w:pPr>
      <w:r>
        <w:rPr>
          <w:rFonts w:hint="eastAsia"/>
        </w:rPr>
        <w:t>最大工作压差</w:t>
      </w:r>
    </w:p>
    <w:p w14:paraId="17AF0553">
      <w:pPr>
        <w:pStyle w:val="56"/>
        <w:ind w:firstLine="420"/>
      </w:pPr>
      <w:r>
        <w:rPr>
          <w:rFonts w:hint="eastAsia"/>
        </w:rPr>
        <w:t>按5.12的规定进行试验，最大工作压差满足</w:t>
      </w:r>
      <w:r>
        <w:t>供需双方技术协议的规定</w:t>
      </w:r>
      <w:r>
        <w:rPr>
          <w:rFonts w:hint="eastAsia"/>
        </w:rPr>
        <w:t>。</w:t>
      </w:r>
    </w:p>
    <w:p w14:paraId="306C09E9">
      <w:pPr>
        <w:pStyle w:val="65"/>
        <w:spacing w:before="120" w:after="120"/>
      </w:pPr>
      <w:r>
        <w:rPr>
          <w:rFonts w:hint="eastAsia"/>
        </w:rPr>
        <w:t>低温试验</w:t>
      </w:r>
    </w:p>
    <w:p w14:paraId="3BC4F16F">
      <w:pPr>
        <w:pStyle w:val="56"/>
        <w:ind w:firstLine="420"/>
      </w:pPr>
      <w:bookmarkStart w:id="125" w:name="OLE_LINK23"/>
      <w:r>
        <w:rPr>
          <w:rFonts w:hint="eastAsia"/>
        </w:rPr>
        <w:t>按5.13的规定进行试验，试验后，符合</w:t>
      </w:r>
      <w:r>
        <w:t>4.3.7</w:t>
      </w:r>
      <w:r>
        <w:rPr>
          <w:rFonts w:hint="eastAsia"/>
        </w:rPr>
        <w:t>、</w:t>
      </w:r>
      <w:r>
        <w:t>4.3.8</w:t>
      </w:r>
      <w:r>
        <w:rPr>
          <w:rFonts w:hint="eastAsia"/>
        </w:rPr>
        <w:t>、</w:t>
      </w:r>
      <w:r>
        <w:t>4.3.9</w:t>
      </w:r>
      <w:r>
        <w:rPr>
          <w:rFonts w:hint="eastAsia"/>
        </w:rPr>
        <w:t>的规定。</w:t>
      </w:r>
    </w:p>
    <w:bookmarkEnd w:id="125"/>
    <w:p w14:paraId="0D6EF53C">
      <w:pPr>
        <w:pStyle w:val="65"/>
        <w:spacing w:before="120" w:after="120"/>
      </w:pPr>
      <w:r>
        <w:rPr>
          <w:rFonts w:hint="eastAsia"/>
        </w:rPr>
        <w:t>高温试验</w:t>
      </w:r>
    </w:p>
    <w:p w14:paraId="74C2C454">
      <w:pPr>
        <w:pStyle w:val="56"/>
        <w:ind w:firstLine="420"/>
      </w:pPr>
      <w:bookmarkStart w:id="126" w:name="OLE_LINK24"/>
      <w:r>
        <w:rPr>
          <w:rFonts w:hint="eastAsia"/>
        </w:rPr>
        <w:t>按5.14的规定进行试验，试验后，符合</w:t>
      </w:r>
      <w:r>
        <w:t>4.3.7</w:t>
      </w:r>
      <w:r>
        <w:rPr>
          <w:rFonts w:hint="eastAsia"/>
        </w:rPr>
        <w:t>、</w:t>
      </w:r>
      <w:r>
        <w:t>4.3.8</w:t>
      </w:r>
      <w:r>
        <w:rPr>
          <w:rFonts w:hint="eastAsia"/>
        </w:rPr>
        <w:t>、</w:t>
      </w:r>
      <w:r>
        <w:t>4.3.9</w:t>
      </w:r>
      <w:r>
        <w:rPr>
          <w:rFonts w:hint="eastAsia"/>
        </w:rPr>
        <w:t>的规定。</w:t>
      </w:r>
    </w:p>
    <w:bookmarkEnd w:id="126"/>
    <w:p w14:paraId="6EF2B9EE">
      <w:pPr>
        <w:pStyle w:val="65"/>
        <w:spacing w:before="120" w:after="120"/>
      </w:pPr>
      <w:r>
        <w:rPr>
          <w:rFonts w:hint="eastAsia"/>
        </w:rPr>
        <w:t>冰水冲击</w:t>
      </w:r>
    </w:p>
    <w:p w14:paraId="70D3E38F">
      <w:pPr>
        <w:pStyle w:val="56"/>
        <w:ind w:firstLine="420"/>
      </w:pPr>
      <w:r>
        <w:rPr>
          <w:rFonts w:hint="eastAsia"/>
        </w:rPr>
        <w:t>按5.15的规定进行试验，试验后，符合</w:t>
      </w:r>
      <w:r>
        <w:t>4.3.7</w:t>
      </w:r>
      <w:r>
        <w:rPr>
          <w:rFonts w:hint="eastAsia"/>
        </w:rPr>
        <w:t>、</w:t>
      </w:r>
      <w:r>
        <w:t>4.3.8</w:t>
      </w:r>
      <w:r>
        <w:rPr>
          <w:rFonts w:hint="eastAsia"/>
        </w:rPr>
        <w:t>、</w:t>
      </w:r>
      <w:r>
        <w:t>4.3.9</w:t>
      </w:r>
      <w:r>
        <w:rPr>
          <w:rFonts w:hint="eastAsia"/>
        </w:rPr>
        <w:t>的规定。</w:t>
      </w:r>
    </w:p>
    <w:p w14:paraId="0BCDC7C8">
      <w:pPr>
        <w:pStyle w:val="65"/>
        <w:spacing w:before="120" w:after="120"/>
      </w:pPr>
      <w:r>
        <w:rPr>
          <w:rFonts w:hint="eastAsia"/>
        </w:rPr>
        <w:t>湿热循环</w:t>
      </w:r>
    </w:p>
    <w:p w14:paraId="70760D9C">
      <w:pPr>
        <w:pStyle w:val="56"/>
        <w:ind w:firstLine="420"/>
      </w:pPr>
      <w:bookmarkStart w:id="127" w:name="_Hlk214982629"/>
      <w:r>
        <w:rPr>
          <w:rFonts w:hint="eastAsia"/>
        </w:rPr>
        <w:t>按5.16的规定进行试验，试验后，符合</w:t>
      </w:r>
      <w:r>
        <w:t>4.3.7</w:t>
      </w:r>
      <w:r>
        <w:rPr>
          <w:rFonts w:hint="eastAsia"/>
        </w:rPr>
        <w:t>、</w:t>
      </w:r>
      <w:r>
        <w:t>4.3.8</w:t>
      </w:r>
      <w:r>
        <w:rPr>
          <w:rFonts w:hint="eastAsia"/>
        </w:rPr>
        <w:t>、</w:t>
      </w:r>
      <w:r>
        <w:t>4.3.9</w:t>
      </w:r>
      <w:r>
        <w:rPr>
          <w:rFonts w:hint="eastAsia"/>
        </w:rPr>
        <w:t>的规定。</w:t>
      </w:r>
    </w:p>
    <w:bookmarkEnd w:id="127"/>
    <w:p w14:paraId="7BF4FE39">
      <w:pPr>
        <w:pStyle w:val="65"/>
        <w:spacing w:before="120" w:after="120"/>
      </w:pPr>
      <w:r>
        <w:rPr>
          <w:rFonts w:hint="eastAsia"/>
        </w:rPr>
        <w:t>稳态湿热</w:t>
      </w:r>
    </w:p>
    <w:p w14:paraId="00C9C7EC">
      <w:pPr>
        <w:pStyle w:val="56"/>
        <w:ind w:firstLine="420"/>
      </w:pPr>
      <w:r>
        <w:rPr>
          <w:rFonts w:hint="eastAsia"/>
        </w:rPr>
        <w:t>按5.17的规定进行试验，</w:t>
      </w:r>
      <w:bookmarkStart w:id="128" w:name="OLE_LINK87"/>
      <w:r>
        <w:rPr>
          <w:rFonts w:hint="eastAsia"/>
        </w:rPr>
        <w:t>试验后，</w:t>
      </w:r>
      <w:bookmarkEnd w:id="128"/>
      <w:bookmarkStart w:id="129" w:name="OLE_LINK88"/>
      <w:r>
        <w:rPr>
          <w:rFonts w:hint="eastAsia"/>
        </w:rPr>
        <w:t>符合4.3.7、4.3.8、4.3.9的规定</w:t>
      </w:r>
      <w:bookmarkEnd w:id="129"/>
      <w:r>
        <w:rPr>
          <w:rFonts w:hint="eastAsia"/>
        </w:rPr>
        <w:t>。</w:t>
      </w:r>
    </w:p>
    <w:p w14:paraId="58075BE9">
      <w:pPr>
        <w:pStyle w:val="65"/>
        <w:spacing w:before="120" w:after="120"/>
      </w:pPr>
      <w:r>
        <w:rPr>
          <w:rFonts w:hint="eastAsia"/>
        </w:rPr>
        <w:t>耐腐蚀性</w:t>
      </w:r>
    </w:p>
    <w:p w14:paraId="2D5DD5CF">
      <w:pPr>
        <w:pStyle w:val="56"/>
        <w:ind w:firstLine="420"/>
      </w:pPr>
      <w:bookmarkStart w:id="130" w:name="OLE_LINK31"/>
      <w:r>
        <w:rPr>
          <w:rFonts w:hint="eastAsia"/>
        </w:rPr>
        <w:t>按5.18的规定进行试验后，金属镀层不应损坏或脱落。</w:t>
      </w:r>
    </w:p>
    <w:bookmarkEnd w:id="130"/>
    <w:p w14:paraId="03E0352D">
      <w:pPr>
        <w:pStyle w:val="65"/>
        <w:spacing w:before="120" w:after="120"/>
      </w:pPr>
      <w:r>
        <w:rPr>
          <w:rFonts w:hint="eastAsia"/>
        </w:rPr>
        <w:t>工作耐久性</w:t>
      </w:r>
    </w:p>
    <w:p w14:paraId="4B64C40E">
      <w:pPr>
        <w:pStyle w:val="56"/>
        <w:ind w:firstLine="420"/>
      </w:pPr>
      <w:r>
        <w:rPr>
          <w:rFonts w:hint="eastAsia"/>
        </w:rPr>
        <w:t>按5.19的规定进行试验后，比例阀外观应无破坏，且</w:t>
      </w:r>
      <w:bookmarkStart w:id="131" w:name="OLE_LINK84"/>
      <w:r>
        <w:rPr>
          <w:rFonts w:hint="eastAsia"/>
        </w:rPr>
        <w:t>符合</w:t>
      </w:r>
      <w:bookmarkStart w:id="132" w:name="OLE_LINK32"/>
      <w:r>
        <w:rPr>
          <w:rFonts w:hint="eastAsia"/>
        </w:rPr>
        <w:t>4.3.7、4.3.8、</w:t>
      </w:r>
      <w:bookmarkEnd w:id="132"/>
      <w:r>
        <w:rPr>
          <w:rFonts w:hint="eastAsia"/>
        </w:rPr>
        <w:t>4.3.9、4.3.10的规定</w:t>
      </w:r>
      <w:bookmarkEnd w:id="131"/>
      <w:r>
        <w:rPr>
          <w:rFonts w:hint="eastAsia"/>
        </w:rPr>
        <w:t>。</w:t>
      </w:r>
    </w:p>
    <w:p w14:paraId="73C23C94">
      <w:pPr>
        <w:pStyle w:val="65"/>
        <w:spacing w:before="120" w:after="120"/>
      </w:pPr>
      <w:r>
        <w:rPr>
          <w:rFonts w:hint="eastAsia"/>
        </w:rPr>
        <w:t>振动</w:t>
      </w:r>
    </w:p>
    <w:p w14:paraId="7D9ADE64">
      <w:pPr>
        <w:pStyle w:val="56"/>
        <w:ind w:firstLine="420"/>
      </w:pPr>
      <w:bookmarkStart w:id="133" w:name="OLE_LINK34"/>
      <w:r>
        <w:rPr>
          <w:rFonts w:hint="eastAsia"/>
        </w:rPr>
        <w:t>按5.20的规定进行试验，</w:t>
      </w:r>
      <w:bookmarkStart w:id="134" w:name="OLE_LINK89"/>
      <w:r>
        <w:rPr>
          <w:rFonts w:hint="eastAsia"/>
        </w:rPr>
        <w:t>试验后，</w:t>
      </w:r>
      <w:r>
        <w:rPr>
          <w:color w:val="000000" w:themeColor="text1"/>
          <w14:textFill>
            <w14:solidFill>
              <w14:schemeClr w14:val="tx1"/>
            </w14:solidFill>
          </w14:textFill>
        </w:rPr>
        <w:t>不允许出现损坏</w:t>
      </w:r>
      <w:r>
        <w:rPr>
          <w:rFonts w:hint="eastAsia"/>
          <w:color w:val="000000" w:themeColor="text1"/>
          <w14:textFill>
            <w14:solidFill>
              <w14:schemeClr w14:val="tx1"/>
            </w14:solidFill>
          </w14:textFill>
        </w:rPr>
        <w:t>，且符合4.3.7、4.3.8、4.3.9的规定</w:t>
      </w:r>
      <w:r>
        <w:rPr>
          <w:color w:val="000000" w:themeColor="text1"/>
          <w14:textFill>
            <w14:solidFill>
              <w14:schemeClr w14:val="tx1"/>
            </w14:solidFill>
          </w14:textFill>
        </w:rPr>
        <w:t>。</w:t>
      </w:r>
      <w:bookmarkEnd w:id="134"/>
    </w:p>
    <w:bookmarkEnd w:id="133"/>
    <w:p w14:paraId="3952A06F">
      <w:pPr>
        <w:pStyle w:val="65"/>
        <w:spacing w:before="120" w:after="120"/>
      </w:pPr>
      <w:r>
        <w:rPr>
          <w:rFonts w:hint="eastAsia"/>
        </w:rPr>
        <w:t>机械冲击</w:t>
      </w:r>
    </w:p>
    <w:p w14:paraId="31E190C6">
      <w:pPr>
        <w:pStyle w:val="56"/>
        <w:ind w:firstLine="420"/>
      </w:pPr>
      <w:r>
        <w:rPr>
          <w:rFonts w:hint="eastAsia"/>
        </w:rPr>
        <w:t>按5.21的规定进行试验，试验后，</w:t>
      </w:r>
      <w:r>
        <w:rPr>
          <w:color w:val="000000" w:themeColor="text1"/>
          <w14:textFill>
            <w14:solidFill>
              <w14:schemeClr w14:val="tx1"/>
            </w14:solidFill>
          </w14:textFill>
        </w:rPr>
        <w:t>不允许出现损坏</w:t>
      </w:r>
      <w:r>
        <w:rPr>
          <w:rFonts w:hint="eastAsia"/>
          <w:color w:val="000000" w:themeColor="text1"/>
          <w14:textFill>
            <w14:solidFill>
              <w14:schemeClr w14:val="tx1"/>
            </w14:solidFill>
          </w14:textFill>
        </w:rPr>
        <w:t>，且符合4.3.8、4.3.9的规定</w:t>
      </w:r>
      <w:r>
        <w:rPr>
          <w:color w:val="000000" w:themeColor="text1"/>
          <w14:textFill>
            <w14:solidFill>
              <w14:schemeClr w14:val="tx1"/>
            </w14:solidFill>
          </w14:textFill>
        </w:rPr>
        <w:t>。</w:t>
      </w:r>
    </w:p>
    <w:p w14:paraId="357BDC97">
      <w:pPr>
        <w:pStyle w:val="65"/>
        <w:spacing w:before="120" w:after="120"/>
      </w:pPr>
      <w:bookmarkStart w:id="135" w:name="OLE_LINK43"/>
      <w:r>
        <w:rPr>
          <w:rFonts w:hint="eastAsia"/>
        </w:rPr>
        <w:t>自由跌落</w:t>
      </w:r>
    </w:p>
    <w:bookmarkEnd w:id="135"/>
    <w:p w14:paraId="6BCA4C78">
      <w:pPr>
        <w:pStyle w:val="56"/>
        <w:ind w:firstLine="420"/>
        <w:rPr>
          <w:color w:val="EE0000"/>
        </w:rPr>
      </w:pPr>
      <w:r>
        <w:rPr>
          <w:rFonts w:hint="eastAsia"/>
        </w:rPr>
        <w:t>按5.22的规定进行试验</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不允许有隐性损坏,在不影响</w:t>
      </w:r>
      <w:r>
        <w:rPr>
          <w:rFonts w:hint="eastAsia"/>
          <w:color w:val="000000" w:themeColor="text1"/>
          <w14:textFill>
            <w14:solidFill>
              <w14:schemeClr w14:val="tx1"/>
            </w14:solidFill>
          </w14:textFill>
        </w:rPr>
        <w:t>比例阀</w:t>
      </w:r>
      <w:r>
        <w:rPr>
          <w:color w:val="000000" w:themeColor="text1"/>
          <w14:textFill>
            <w14:solidFill>
              <w14:schemeClr w14:val="tx1"/>
            </w14:solidFill>
          </w14:textFill>
        </w:rPr>
        <w:t>性能的情况下允许外壳有微小损坏。</w:t>
      </w:r>
    </w:p>
    <w:bookmarkEnd w:id="124"/>
    <w:p w14:paraId="4AE4799A">
      <w:pPr>
        <w:pStyle w:val="104"/>
        <w:spacing w:before="240" w:after="240"/>
      </w:pPr>
      <w:bookmarkStart w:id="136" w:name="_Toc220166831"/>
      <w:bookmarkStart w:id="137" w:name="_Toc220166850"/>
      <w:bookmarkStart w:id="138" w:name="_Toc215474236"/>
      <w:bookmarkStart w:id="139" w:name="_Toc215474270"/>
      <w:bookmarkStart w:id="140" w:name="_Toc215474675"/>
      <w:bookmarkStart w:id="141" w:name="_Toc220145369"/>
      <w:bookmarkStart w:id="142" w:name="_Toc220145334"/>
      <w:r>
        <w:rPr>
          <w:rFonts w:hint="eastAsia"/>
        </w:rPr>
        <w:t>试验方法</w:t>
      </w:r>
      <w:bookmarkEnd w:id="136"/>
      <w:bookmarkEnd w:id="137"/>
      <w:bookmarkEnd w:id="138"/>
      <w:bookmarkEnd w:id="139"/>
      <w:bookmarkEnd w:id="140"/>
      <w:bookmarkEnd w:id="141"/>
      <w:bookmarkEnd w:id="142"/>
    </w:p>
    <w:p w14:paraId="3A19D2E6">
      <w:pPr>
        <w:pStyle w:val="105"/>
        <w:spacing w:before="120" w:after="120"/>
      </w:pPr>
      <w:bookmarkStart w:id="143" w:name="_Toc220145335"/>
      <w:bookmarkStart w:id="144" w:name="_Toc215474237"/>
      <w:r>
        <w:rPr>
          <w:rFonts w:hint="eastAsia"/>
        </w:rPr>
        <w:t>一般规定</w:t>
      </w:r>
      <w:bookmarkEnd w:id="143"/>
      <w:bookmarkEnd w:id="144"/>
    </w:p>
    <w:p w14:paraId="0BBCA61D">
      <w:pPr>
        <w:pStyle w:val="65"/>
        <w:spacing w:before="120" w:after="120"/>
      </w:pPr>
      <w:r>
        <w:rPr>
          <w:rFonts w:hint="eastAsia"/>
        </w:rPr>
        <w:t>试验条件</w:t>
      </w:r>
    </w:p>
    <w:p w14:paraId="5F3D50DE">
      <w:pPr>
        <w:pStyle w:val="56"/>
        <w:ind w:firstLine="420"/>
      </w:pPr>
      <w:r>
        <w:t>除非另有规定,试验应在下述条件下进行</w:t>
      </w:r>
      <w:r>
        <w:rPr>
          <w:rFonts w:hint="eastAsia"/>
        </w:rPr>
        <w:t>：</w:t>
      </w:r>
    </w:p>
    <w:p w14:paraId="4E54468A">
      <w:pPr>
        <w:pStyle w:val="174"/>
        <w:bidi w:val="0"/>
      </w:pPr>
      <w:r>
        <w:rPr>
          <w:rFonts w:hint="eastAsia"/>
        </w:rPr>
        <w:t>试验压力为比例阀公称工作压力；</w:t>
      </w:r>
    </w:p>
    <w:p w14:paraId="1222F992">
      <w:pPr>
        <w:pStyle w:val="174"/>
        <w:bidi w:val="0"/>
      </w:pPr>
      <w:bookmarkStart w:id="145" w:name="OLE_LINK57"/>
      <w:r>
        <w:rPr>
          <w:rFonts w:hint="eastAsia"/>
        </w:rPr>
        <w:t>试验环境温度</w:t>
      </w:r>
      <w:bookmarkEnd w:id="145"/>
      <w:r>
        <w:rPr>
          <w:rFonts w:hint="eastAsia"/>
        </w:rPr>
        <w:t>为 (20±5)</w:t>
      </w:r>
      <w:r>
        <w:rPr>
          <w:rFonts w:hint="eastAsia"/>
          <w:lang w:eastAsia="zh-CN"/>
        </w:rPr>
        <w:t> </w:t>
      </w:r>
      <w:r>
        <w:rPr>
          <w:rFonts w:hint="eastAsia"/>
        </w:rPr>
        <w:t>℃；</w:t>
      </w:r>
    </w:p>
    <w:p w14:paraId="62CD1CEB">
      <w:pPr>
        <w:pStyle w:val="174"/>
        <w:bidi w:val="0"/>
      </w:pPr>
      <w:r>
        <w:rPr>
          <w:rFonts w:hint="eastAsia"/>
        </w:rPr>
        <w:t>密封性试验介质为氢气，液静压强度试验介质为水，其余试验介质为</w:t>
      </w:r>
      <w:r>
        <w:t>清洁干燥的空气、氮气或氮氦混合气体</w:t>
      </w:r>
      <w:r>
        <w:rPr>
          <w:rFonts w:hint="eastAsia"/>
        </w:rPr>
        <w:t>。</w:t>
      </w:r>
    </w:p>
    <w:p w14:paraId="71DB5D20">
      <w:pPr>
        <w:pStyle w:val="65"/>
        <w:spacing w:before="120" w:after="120"/>
      </w:pPr>
      <w:r>
        <w:rPr>
          <w:rFonts w:hint="eastAsia"/>
        </w:rPr>
        <w:t>试验用仪表</w:t>
      </w:r>
    </w:p>
    <w:p w14:paraId="07909B33">
      <w:pPr>
        <w:pStyle w:val="56"/>
        <w:ind w:firstLine="420"/>
      </w:pPr>
      <w:r>
        <w:rPr>
          <w:rFonts w:hint="eastAsia"/>
        </w:rPr>
        <w:t>除非另有规定,试验用仪表应满足如下要求：</w:t>
      </w:r>
    </w:p>
    <w:p w14:paraId="519EAFB2">
      <w:pPr>
        <w:pStyle w:val="174"/>
        <w:numPr>
          <w:ilvl w:val="0"/>
          <w:numId w:val="32"/>
        </w:numPr>
      </w:pPr>
      <w:r>
        <w:rPr>
          <w:rFonts w:hint="eastAsia"/>
        </w:rPr>
        <w:t>电工仪表：准确度等级不低于1.0级，量程应为测量值的1.5倍</w:t>
      </w:r>
      <w:r>
        <w:rPr>
          <w:rFonts w:hint="eastAsia" w:hAnsi="宋体"/>
        </w:rPr>
        <w:t>～</w:t>
      </w:r>
      <w:r>
        <w:rPr>
          <w:rFonts w:hint="eastAsia"/>
        </w:rPr>
        <w:t>3倍；</w:t>
      </w:r>
    </w:p>
    <w:p w14:paraId="4FC71408">
      <w:pPr>
        <w:pStyle w:val="174"/>
        <w:numPr>
          <w:ilvl w:val="0"/>
          <w:numId w:val="32"/>
        </w:numPr>
      </w:pPr>
      <w:r>
        <w:rPr>
          <w:rFonts w:hint="eastAsia"/>
        </w:rPr>
        <w:t>压力仪表：准确度等级不低于1.5级，量程应为测量值的1.5倍</w:t>
      </w:r>
      <w:r>
        <w:rPr>
          <w:rFonts w:hint="eastAsia" w:hAnsi="宋体"/>
        </w:rPr>
        <w:t>～</w:t>
      </w:r>
      <w:r>
        <w:rPr>
          <w:rFonts w:hint="eastAsia"/>
        </w:rPr>
        <w:t>3倍；</w:t>
      </w:r>
    </w:p>
    <w:p w14:paraId="235864FA">
      <w:pPr>
        <w:pStyle w:val="174"/>
        <w:numPr>
          <w:ilvl w:val="0"/>
          <w:numId w:val="32"/>
        </w:numPr>
      </w:pPr>
      <w:r>
        <w:rPr>
          <w:rFonts w:hint="eastAsia"/>
        </w:rPr>
        <w:t>流量仪表：准确度等级不低于1.5级，量程应为测量值的1.5倍</w:t>
      </w:r>
      <w:r>
        <w:rPr>
          <w:rFonts w:hint="eastAsia" w:hAnsi="宋体"/>
        </w:rPr>
        <w:t>～</w:t>
      </w:r>
      <w:r>
        <w:rPr>
          <w:rFonts w:hint="eastAsia"/>
        </w:rPr>
        <w:t>3倍；</w:t>
      </w:r>
    </w:p>
    <w:p w14:paraId="11269E25">
      <w:pPr>
        <w:pStyle w:val="174"/>
        <w:numPr>
          <w:ilvl w:val="0"/>
          <w:numId w:val="32"/>
        </w:numPr>
      </w:pPr>
      <w:r>
        <w:rPr>
          <w:rFonts w:hint="eastAsia"/>
        </w:rPr>
        <w:t>温度仪表：准确度为</w:t>
      </w:r>
      <w:r>
        <w:rPr>
          <w:rFonts w:hint="cs"/>
        </w:rPr>
        <w:t>±</w:t>
      </w:r>
      <w:r>
        <w:t>0.5</w:t>
      </w:r>
      <w:r>
        <w:rPr>
          <w:rFonts w:hint="eastAsia"/>
          <w:lang w:eastAsia="zh-CN"/>
        </w:rPr>
        <w:t> </w:t>
      </w:r>
      <w:r>
        <w:rPr>
          <w:rFonts w:hint="eastAsia"/>
        </w:rPr>
        <w:t>℃，最小分辨率不大于测量值的</w:t>
      </w:r>
      <w:r>
        <w:t>2</w:t>
      </w:r>
      <w:r>
        <w:rPr>
          <w:rFonts w:hint="eastAsia"/>
        </w:rPr>
        <w:t>倍</w:t>
      </w:r>
      <w:r>
        <w:t>(</w:t>
      </w:r>
      <w:r>
        <w:rPr>
          <w:rFonts w:hint="eastAsia"/>
        </w:rPr>
        <w:t>即</w:t>
      </w:r>
      <w:r>
        <w:t>1</w:t>
      </w:r>
      <w:r>
        <w:rPr>
          <w:rFonts w:hint="eastAsia"/>
          <w:lang w:eastAsia="zh-CN"/>
        </w:rPr>
        <w:t> </w:t>
      </w:r>
      <w:r>
        <w:rPr>
          <w:rFonts w:hint="eastAsia"/>
        </w:rPr>
        <w:t>℃</w:t>
      </w:r>
      <w:r>
        <w:t>)</w:t>
      </w:r>
      <w:r>
        <w:rPr>
          <w:rFonts w:hint="eastAsia"/>
        </w:rPr>
        <w:t>。</w:t>
      </w:r>
    </w:p>
    <w:p w14:paraId="118DA452">
      <w:pPr>
        <w:pStyle w:val="105"/>
        <w:spacing w:before="120" w:after="120"/>
      </w:pPr>
      <w:bookmarkStart w:id="146" w:name="_Toc215474238"/>
      <w:bookmarkStart w:id="147" w:name="_Toc220145336"/>
      <w:r>
        <w:rPr>
          <w:rFonts w:hint="eastAsia"/>
        </w:rPr>
        <w:t>直流供电电压范围</w:t>
      </w:r>
      <w:bookmarkEnd w:id="146"/>
      <w:bookmarkEnd w:id="147"/>
    </w:p>
    <w:p w14:paraId="01E59E15">
      <w:pPr>
        <w:pStyle w:val="65"/>
        <w:numPr>
          <w:ilvl w:val="0"/>
          <w:numId w:val="0"/>
        </w:numPr>
        <w:spacing w:before="120" w:after="120"/>
        <w:ind w:firstLine="420" w:firstLineChars="200"/>
        <w:rPr>
          <w:rFonts w:ascii="宋体" w:eastAsia="宋体"/>
        </w:rPr>
      </w:pPr>
      <w:bookmarkStart w:id="148" w:name="OLE_LINK38"/>
      <w:r>
        <w:rPr>
          <w:rFonts w:ascii="宋体" w:eastAsia="宋体"/>
        </w:rPr>
        <w:t>按表1或表2对</w:t>
      </w:r>
      <w:r>
        <w:rPr>
          <w:rFonts w:hint="eastAsia" w:ascii="宋体" w:eastAsia="宋体"/>
        </w:rPr>
        <w:t>比例阀</w:t>
      </w:r>
      <w:r>
        <w:rPr>
          <w:rFonts w:ascii="宋体" w:eastAsia="宋体"/>
        </w:rPr>
        <w:t>的有效输入端供电</w:t>
      </w:r>
      <w:r>
        <w:rPr>
          <w:rFonts w:hint="eastAsia" w:ascii="宋体" w:eastAsia="宋体"/>
        </w:rPr>
        <w:t>。</w:t>
      </w:r>
    </w:p>
    <w:bookmarkEnd w:id="148"/>
    <w:p w14:paraId="60EE3942">
      <w:pPr>
        <w:pStyle w:val="112"/>
        <w:spacing w:before="120" w:after="120"/>
      </w:pPr>
      <w:r>
        <w:t>12V系统供电电压</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75F3DC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vAlign w:val="center"/>
          </w:tcPr>
          <w:p w14:paraId="2E178A92">
            <w:pPr>
              <w:pStyle w:val="178"/>
            </w:pPr>
            <w:bookmarkStart w:id="149" w:name="_Hlk220147367"/>
            <w:r>
              <w:t>代码</w:t>
            </w:r>
          </w:p>
        </w:tc>
        <w:tc>
          <w:tcPr>
            <w:tcW w:w="3112" w:type="dxa"/>
            <w:tcBorders>
              <w:top w:val="single" w:color="auto" w:sz="8" w:space="0"/>
              <w:bottom w:val="single" w:color="auto" w:sz="8" w:space="0"/>
            </w:tcBorders>
            <w:vAlign w:val="center"/>
          </w:tcPr>
          <w:p w14:paraId="582BDB9A">
            <w:pPr>
              <w:pStyle w:val="178"/>
            </w:pPr>
            <w:bookmarkStart w:id="150" w:name="OLE_LINK49"/>
            <w:r>
              <w:t>最低供电电压</w:t>
            </w:r>
          </w:p>
          <w:p w14:paraId="2594979C">
            <w:pPr>
              <w:pStyle w:val="178"/>
            </w:pPr>
            <w:r>
              <w:rPr>
                <w:rFonts w:hint="eastAsia"/>
              </w:rPr>
              <w:t>V</w:t>
            </w:r>
            <w:bookmarkEnd w:id="150"/>
          </w:p>
        </w:tc>
        <w:tc>
          <w:tcPr>
            <w:tcW w:w="3112" w:type="dxa"/>
            <w:tcBorders>
              <w:top w:val="single" w:color="auto" w:sz="8" w:space="0"/>
              <w:bottom w:val="single" w:color="auto" w:sz="8" w:space="0"/>
            </w:tcBorders>
            <w:vAlign w:val="center"/>
          </w:tcPr>
          <w:p w14:paraId="50890E64">
            <w:pPr>
              <w:pStyle w:val="178"/>
            </w:pPr>
            <w:r>
              <w:t>最</w:t>
            </w:r>
            <w:r>
              <w:rPr>
                <w:rFonts w:hint="eastAsia"/>
              </w:rPr>
              <w:t>高</w:t>
            </w:r>
            <w:r>
              <w:t>供电电压</w:t>
            </w:r>
          </w:p>
          <w:p w14:paraId="34FA008C">
            <w:pPr>
              <w:pStyle w:val="178"/>
            </w:pPr>
            <w:r>
              <w:rPr>
                <w:rFonts w:hint="eastAsia"/>
              </w:rPr>
              <w:t>V</w:t>
            </w:r>
          </w:p>
        </w:tc>
      </w:tr>
      <w:bookmarkEnd w:id="149"/>
      <w:tr w14:paraId="3D52AD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tcBorders>
            <w:vAlign w:val="center"/>
          </w:tcPr>
          <w:p w14:paraId="27503BE6">
            <w:pPr>
              <w:pStyle w:val="178"/>
            </w:pPr>
            <w:r>
              <w:rPr>
                <w:rFonts w:hint="eastAsia"/>
              </w:rPr>
              <w:t>A</w:t>
            </w:r>
          </w:p>
        </w:tc>
        <w:tc>
          <w:tcPr>
            <w:tcW w:w="3112" w:type="dxa"/>
            <w:tcBorders>
              <w:top w:val="single" w:color="auto" w:sz="8" w:space="0"/>
            </w:tcBorders>
            <w:vAlign w:val="center"/>
          </w:tcPr>
          <w:p w14:paraId="4C16A7AB">
            <w:pPr>
              <w:pStyle w:val="178"/>
            </w:pPr>
            <w:r>
              <w:rPr>
                <w:rFonts w:hint="eastAsia"/>
              </w:rPr>
              <w:t>6</w:t>
            </w:r>
          </w:p>
        </w:tc>
        <w:tc>
          <w:tcPr>
            <w:tcW w:w="3112" w:type="dxa"/>
            <w:tcBorders>
              <w:top w:val="single" w:color="auto" w:sz="8" w:space="0"/>
            </w:tcBorders>
            <w:vAlign w:val="center"/>
          </w:tcPr>
          <w:p w14:paraId="1C2B1F0B">
            <w:pPr>
              <w:pStyle w:val="178"/>
            </w:pPr>
            <w:r>
              <w:rPr>
                <w:rFonts w:hint="eastAsia"/>
              </w:rPr>
              <w:t>16</w:t>
            </w:r>
          </w:p>
        </w:tc>
      </w:tr>
      <w:tr w14:paraId="5E172F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Align w:val="center"/>
          </w:tcPr>
          <w:p w14:paraId="27CD82A9">
            <w:pPr>
              <w:pStyle w:val="178"/>
            </w:pPr>
            <w:r>
              <w:rPr>
                <w:rFonts w:hint="eastAsia"/>
              </w:rPr>
              <w:t>B</w:t>
            </w:r>
          </w:p>
        </w:tc>
        <w:tc>
          <w:tcPr>
            <w:tcW w:w="3112" w:type="dxa"/>
            <w:vAlign w:val="center"/>
          </w:tcPr>
          <w:p w14:paraId="121A6464">
            <w:pPr>
              <w:pStyle w:val="178"/>
            </w:pPr>
            <w:r>
              <w:rPr>
                <w:rFonts w:hint="eastAsia"/>
              </w:rPr>
              <w:t>8</w:t>
            </w:r>
          </w:p>
        </w:tc>
        <w:tc>
          <w:tcPr>
            <w:tcW w:w="3112" w:type="dxa"/>
            <w:vAlign w:val="center"/>
          </w:tcPr>
          <w:p w14:paraId="1989FF63">
            <w:pPr>
              <w:pStyle w:val="178"/>
            </w:pPr>
            <w:r>
              <w:rPr>
                <w:rFonts w:hint="eastAsia"/>
              </w:rPr>
              <w:t>16</w:t>
            </w:r>
          </w:p>
        </w:tc>
      </w:tr>
      <w:tr w14:paraId="115F57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Align w:val="center"/>
          </w:tcPr>
          <w:p w14:paraId="3A783811">
            <w:pPr>
              <w:pStyle w:val="178"/>
            </w:pPr>
            <w:r>
              <w:rPr>
                <w:rFonts w:hint="eastAsia"/>
              </w:rPr>
              <w:t>C</w:t>
            </w:r>
          </w:p>
        </w:tc>
        <w:tc>
          <w:tcPr>
            <w:tcW w:w="3112" w:type="dxa"/>
            <w:vAlign w:val="center"/>
          </w:tcPr>
          <w:p w14:paraId="310BC2A9">
            <w:pPr>
              <w:pStyle w:val="178"/>
            </w:pPr>
            <w:r>
              <w:rPr>
                <w:rFonts w:hint="eastAsia"/>
              </w:rPr>
              <w:t>9</w:t>
            </w:r>
          </w:p>
        </w:tc>
        <w:tc>
          <w:tcPr>
            <w:tcW w:w="3112" w:type="dxa"/>
            <w:vAlign w:val="center"/>
          </w:tcPr>
          <w:p w14:paraId="2B37A91C">
            <w:pPr>
              <w:pStyle w:val="178"/>
            </w:pPr>
            <w:r>
              <w:rPr>
                <w:rFonts w:hint="eastAsia"/>
              </w:rPr>
              <w:t>16</w:t>
            </w:r>
          </w:p>
        </w:tc>
      </w:tr>
      <w:tr w14:paraId="377660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Align w:val="center"/>
          </w:tcPr>
          <w:p w14:paraId="11A27E41">
            <w:pPr>
              <w:pStyle w:val="178"/>
            </w:pPr>
            <w:r>
              <w:rPr>
                <w:rFonts w:hint="eastAsia"/>
              </w:rPr>
              <w:t>D</w:t>
            </w:r>
          </w:p>
        </w:tc>
        <w:tc>
          <w:tcPr>
            <w:tcW w:w="3112" w:type="dxa"/>
            <w:vAlign w:val="center"/>
          </w:tcPr>
          <w:p w14:paraId="21D234D8">
            <w:pPr>
              <w:pStyle w:val="178"/>
            </w:pPr>
            <w:r>
              <w:rPr>
                <w:rFonts w:hint="eastAsia"/>
              </w:rPr>
              <w:t>10.5</w:t>
            </w:r>
          </w:p>
        </w:tc>
        <w:tc>
          <w:tcPr>
            <w:tcW w:w="3112" w:type="dxa"/>
            <w:vAlign w:val="center"/>
          </w:tcPr>
          <w:p w14:paraId="184202E9">
            <w:pPr>
              <w:pStyle w:val="178"/>
            </w:pPr>
            <w:r>
              <w:rPr>
                <w:rFonts w:hint="eastAsia"/>
              </w:rPr>
              <w:t>16</w:t>
            </w:r>
          </w:p>
        </w:tc>
      </w:tr>
    </w:tbl>
    <w:p w14:paraId="5355E0F7">
      <w:pPr>
        <w:pStyle w:val="112"/>
        <w:spacing w:before="120" w:after="120"/>
      </w:pPr>
      <w:r>
        <w:t>24V系统供电电压</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1CF3EC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vAlign w:val="center"/>
          </w:tcPr>
          <w:p w14:paraId="20A44C68">
            <w:pPr>
              <w:pStyle w:val="178"/>
            </w:pPr>
            <w:r>
              <w:t>代码</w:t>
            </w:r>
          </w:p>
        </w:tc>
        <w:tc>
          <w:tcPr>
            <w:tcW w:w="3112" w:type="dxa"/>
            <w:tcBorders>
              <w:top w:val="single" w:color="auto" w:sz="8" w:space="0"/>
              <w:bottom w:val="single" w:color="auto" w:sz="8" w:space="0"/>
            </w:tcBorders>
            <w:vAlign w:val="center"/>
          </w:tcPr>
          <w:p w14:paraId="5A14021A">
            <w:pPr>
              <w:pStyle w:val="178"/>
            </w:pPr>
            <w:r>
              <w:t>最低供电电压</w:t>
            </w:r>
          </w:p>
          <w:p w14:paraId="4CA194DC">
            <w:pPr>
              <w:pStyle w:val="178"/>
            </w:pPr>
            <w:r>
              <w:rPr>
                <w:rFonts w:hint="eastAsia"/>
              </w:rPr>
              <w:t>V</w:t>
            </w:r>
          </w:p>
        </w:tc>
        <w:tc>
          <w:tcPr>
            <w:tcW w:w="3112" w:type="dxa"/>
            <w:tcBorders>
              <w:top w:val="single" w:color="auto" w:sz="8" w:space="0"/>
              <w:bottom w:val="single" w:color="auto" w:sz="8" w:space="0"/>
            </w:tcBorders>
            <w:vAlign w:val="center"/>
          </w:tcPr>
          <w:p w14:paraId="6DD88799">
            <w:pPr>
              <w:pStyle w:val="178"/>
            </w:pPr>
            <w:r>
              <w:t>最</w:t>
            </w:r>
            <w:r>
              <w:rPr>
                <w:rFonts w:hint="eastAsia"/>
              </w:rPr>
              <w:t>高</w:t>
            </w:r>
            <w:r>
              <w:t>供电电压</w:t>
            </w:r>
          </w:p>
          <w:p w14:paraId="26D6E3F5">
            <w:pPr>
              <w:pStyle w:val="178"/>
            </w:pPr>
            <w:r>
              <w:rPr>
                <w:rFonts w:hint="eastAsia"/>
              </w:rPr>
              <w:t>V</w:t>
            </w:r>
          </w:p>
        </w:tc>
      </w:tr>
      <w:tr w14:paraId="3A4612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tcBorders>
            <w:vAlign w:val="center"/>
          </w:tcPr>
          <w:p w14:paraId="54CD29F5">
            <w:pPr>
              <w:pStyle w:val="178"/>
            </w:pPr>
            <w:r>
              <w:rPr>
                <w:rFonts w:hint="eastAsia"/>
              </w:rPr>
              <w:t>E</w:t>
            </w:r>
          </w:p>
        </w:tc>
        <w:tc>
          <w:tcPr>
            <w:tcW w:w="3112" w:type="dxa"/>
            <w:tcBorders>
              <w:top w:val="single" w:color="auto" w:sz="8" w:space="0"/>
            </w:tcBorders>
            <w:vAlign w:val="center"/>
          </w:tcPr>
          <w:p w14:paraId="5DCF710C">
            <w:pPr>
              <w:pStyle w:val="178"/>
            </w:pPr>
            <w:r>
              <w:rPr>
                <w:rFonts w:hint="eastAsia"/>
              </w:rPr>
              <w:t>10</w:t>
            </w:r>
          </w:p>
        </w:tc>
        <w:tc>
          <w:tcPr>
            <w:tcW w:w="3112" w:type="dxa"/>
            <w:tcBorders>
              <w:top w:val="single" w:color="auto" w:sz="8" w:space="0"/>
            </w:tcBorders>
            <w:vAlign w:val="center"/>
          </w:tcPr>
          <w:p w14:paraId="7A30B96A">
            <w:pPr>
              <w:pStyle w:val="178"/>
            </w:pPr>
            <w:r>
              <w:rPr>
                <w:rFonts w:hint="eastAsia"/>
              </w:rPr>
              <w:t>32</w:t>
            </w:r>
          </w:p>
        </w:tc>
      </w:tr>
      <w:tr w14:paraId="7C2950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Align w:val="center"/>
          </w:tcPr>
          <w:p w14:paraId="2D3F3BEB">
            <w:pPr>
              <w:pStyle w:val="178"/>
            </w:pPr>
            <w:r>
              <w:rPr>
                <w:rFonts w:hint="eastAsia"/>
              </w:rPr>
              <w:t>F</w:t>
            </w:r>
          </w:p>
        </w:tc>
        <w:tc>
          <w:tcPr>
            <w:tcW w:w="3112" w:type="dxa"/>
            <w:vAlign w:val="center"/>
          </w:tcPr>
          <w:p w14:paraId="6DEA744B">
            <w:pPr>
              <w:pStyle w:val="178"/>
            </w:pPr>
            <w:r>
              <w:rPr>
                <w:rFonts w:hint="eastAsia"/>
              </w:rPr>
              <w:t>16</w:t>
            </w:r>
          </w:p>
        </w:tc>
        <w:tc>
          <w:tcPr>
            <w:tcW w:w="3112" w:type="dxa"/>
            <w:vAlign w:val="center"/>
          </w:tcPr>
          <w:p w14:paraId="567C5DDA">
            <w:pPr>
              <w:pStyle w:val="178"/>
            </w:pPr>
            <w:r>
              <w:rPr>
                <w:rFonts w:hint="eastAsia"/>
              </w:rPr>
              <w:t>32</w:t>
            </w:r>
          </w:p>
        </w:tc>
      </w:tr>
      <w:tr w14:paraId="053DC0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Align w:val="center"/>
          </w:tcPr>
          <w:p w14:paraId="580AFC49">
            <w:pPr>
              <w:pStyle w:val="178"/>
            </w:pPr>
            <w:r>
              <w:rPr>
                <w:rFonts w:hint="eastAsia"/>
              </w:rPr>
              <w:t>G</w:t>
            </w:r>
          </w:p>
        </w:tc>
        <w:tc>
          <w:tcPr>
            <w:tcW w:w="3112" w:type="dxa"/>
            <w:vAlign w:val="center"/>
          </w:tcPr>
          <w:p w14:paraId="387D5B28">
            <w:pPr>
              <w:pStyle w:val="178"/>
            </w:pPr>
            <w:r>
              <w:rPr>
                <w:rFonts w:hint="eastAsia"/>
              </w:rPr>
              <w:t>22</w:t>
            </w:r>
          </w:p>
        </w:tc>
        <w:tc>
          <w:tcPr>
            <w:tcW w:w="3112" w:type="dxa"/>
            <w:vAlign w:val="center"/>
          </w:tcPr>
          <w:p w14:paraId="3C1ED0D1">
            <w:pPr>
              <w:pStyle w:val="178"/>
            </w:pPr>
            <w:r>
              <w:rPr>
                <w:rFonts w:hint="eastAsia"/>
              </w:rPr>
              <w:t>32</w:t>
            </w:r>
          </w:p>
        </w:tc>
      </w:tr>
      <w:tr w14:paraId="793741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Align w:val="center"/>
          </w:tcPr>
          <w:p w14:paraId="2CFFD860">
            <w:pPr>
              <w:pStyle w:val="178"/>
            </w:pPr>
            <w:r>
              <w:rPr>
                <w:rFonts w:hint="eastAsia"/>
              </w:rPr>
              <w:t>H</w:t>
            </w:r>
          </w:p>
        </w:tc>
        <w:tc>
          <w:tcPr>
            <w:tcW w:w="3112" w:type="dxa"/>
            <w:vAlign w:val="center"/>
          </w:tcPr>
          <w:p w14:paraId="6E1CAB6C">
            <w:pPr>
              <w:pStyle w:val="178"/>
            </w:pPr>
            <w:r>
              <w:rPr>
                <w:rFonts w:hint="eastAsia"/>
              </w:rPr>
              <w:t>18</w:t>
            </w:r>
          </w:p>
        </w:tc>
        <w:tc>
          <w:tcPr>
            <w:tcW w:w="3112" w:type="dxa"/>
            <w:vAlign w:val="center"/>
          </w:tcPr>
          <w:p w14:paraId="5CE93230">
            <w:pPr>
              <w:pStyle w:val="178"/>
            </w:pPr>
            <w:r>
              <w:rPr>
                <w:rFonts w:hint="eastAsia"/>
              </w:rPr>
              <w:t>32</w:t>
            </w:r>
          </w:p>
        </w:tc>
      </w:tr>
    </w:tbl>
    <w:p w14:paraId="57CFA1C6">
      <w:pPr>
        <w:pStyle w:val="105"/>
        <w:spacing w:before="120" w:after="120"/>
      </w:pPr>
      <w:bookmarkStart w:id="151" w:name="_Toc220145337"/>
      <w:bookmarkStart w:id="152" w:name="_Toc215474239"/>
      <w:r>
        <w:rPr>
          <w:rFonts w:hint="eastAsia"/>
        </w:rPr>
        <w:t>过电压</w:t>
      </w:r>
      <w:bookmarkEnd w:id="151"/>
      <w:bookmarkEnd w:id="152"/>
    </w:p>
    <w:p w14:paraId="537DFB46">
      <w:pPr>
        <w:pStyle w:val="65"/>
        <w:spacing w:before="120" w:after="120"/>
      </w:pPr>
      <w:r>
        <w:rPr>
          <w:rFonts w:hint="eastAsia"/>
        </w:rPr>
        <w:t>12 V系统</w:t>
      </w:r>
    </w:p>
    <w:p w14:paraId="231D9E2C">
      <w:pPr>
        <w:pStyle w:val="164"/>
      </w:pPr>
      <w:r>
        <w:rPr>
          <w:rFonts w:hint="eastAsia"/>
        </w:rPr>
        <w:t>将</w:t>
      </w:r>
      <w:bookmarkStart w:id="153" w:name="OLE_LINK56"/>
      <w:r>
        <w:rPr>
          <w:rFonts w:hint="eastAsia"/>
        </w:rPr>
        <w:t>比例阀</w:t>
      </w:r>
      <w:bookmarkEnd w:id="153"/>
      <w:r>
        <w:rPr>
          <w:rFonts w:hint="eastAsia"/>
        </w:rPr>
        <w:t>放置在(65</w:t>
      </w:r>
      <w:bookmarkStart w:id="154" w:name="OLE_LINK54"/>
      <w:r>
        <w:rPr>
          <w:rFonts w:hint="eastAsia"/>
        </w:rPr>
        <w:t>±</w:t>
      </w:r>
      <w:bookmarkEnd w:id="154"/>
      <w:r>
        <w:rPr>
          <w:rFonts w:hint="eastAsia"/>
        </w:rPr>
        <w:t>2)</w:t>
      </w:r>
      <w:r>
        <w:rPr>
          <w:rFonts w:hint="eastAsia"/>
          <w:lang w:eastAsia="zh-CN"/>
        </w:rPr>
        <w:t> </w:t>
      </w:r>
      <w:r>
        <w:rPr>
          <w:rFonts w:hint="eastAsia"/>
        </w:rPr>
        <w:t>℃的环境</w:t>
      </w:r>
      <w:r>
        <w:t>箱中</w:t>
      </w:r>
      <w:r>
        <w:rPr>
          <w:rFonts w:hint="eastAsia"/>
        </w:rPr>
        <w:t>，</w:t>
      </w:r>
      <w:r>
        <w:t>向</w:t>
      </w:r>
      <w:bookmarkStart w:id="155" w:name="OLE_LINK58"/>
      <w:r>
        <w:rPr>
          <w:rFonts w:hint="eastAsia"/>
        </w:rPr>
        <w:t>比例阀</w:t>
      </w:r>
      <w:bookmarkEnd w:id="155"/>
      <w:r>
        <w:t>有效输入端施加18</w:t>
      </w:r>
      <w:r>
        <w:rPr>
          <w:rFonts w:hint="eastAsia"/>
        </w:rPr>
        <w:t> </w:t>
      </w:r>
      <w:r>
        <w:t>V电压,持续60</w:t>
      </w:r>
      <w:r>
        <w:rPr>
          <w:rFonts w:hint="eastAsia"/>
        </w:rPr>
        <w:t> </w:t>
      </w:r>
      <w:r>
        <w:t>min。</w:t>
      </w:r>
    </w:p>
    <w:p w14:paraId="4249CD7C">
      <w:pPr>
        <w:pStyle w:val="94"/>
        <w:spacing w:before="120" w:after="120"/>
      </w:pPr>
      <w:r>
        <w:rPr>
          <w:rFonts w:hint="eastAsia" w:ascii="宋体" w:eastAsia="宋体"/>
        </w:rPr>
        <w:t>使比例阀在试验环境温度下处于稳定状态,向比例阀有效输入端施加24 V电压,持续(60±6) s。</w:t>
      </w:r>
    </w:p>
    <w:p w14:paraId="245CDD2C">
      <w:pPr>
        <w:pStyle w:val="65"/>
        <w:spacing w:before="120" w:after="120"/>
      </w:pPr>
      <w:r>
        <w:t>24</w:t>
      </w:r>
      <w:r>
        <w:rPr>
          <w:rFonts w:hint="eastAsia"/>
        </w:rPr>
        <w:t> </w:t>
      </w:r>
      <w:r>
        <w:t>V系统</w:t>
      </w:r>
    </w:p>
    <w:p w14:paraId="199DB3A2">
      <w:pPr>
        <w:pStyle w:val="94"/>
        <w:spacing w:before="120" w:after="120"/>
        <w:rPr>
          <w:rFonts w:ascii="宋体" w:eastAsia="宋体"/>
        </w:rPr>
      </w:pPr>
      <w:r>
        <w:rPr>
          <w:rFonts w:hint="eastAsia" w:ascii="宋体" w:eastAsia="宋体"/>
        </w:rPr>
        <w:t>将比例阀放置在(65±2)</w:t>
      </w:r>
      <w:r>
        <w:rPr>
          <w:rFonts w:hint="eastAsia" w:ascii="宋体" w:eastAsia="宋体"/>
          <w:lang w:eastAsia="zh-CN"/>
        </w:rPr>
        <w:t> </w:t>
      </w:r>
      <w:r>
        <w:rPr>
          <w:rFonts w:hint="eastAsia" w:ascii="宋体" w:eastAsia="宋体"/>
        </w:rPr>
        <w:t>℃的环境</w:t>
      </w:r>
      <w:r>
        <w:rPr>
          <w:rFonts w:ascii="宋体" w:eastAsia="宋体"/>
        </w:rPr>
        <w:t>箱中</w:t>
      </w:r>
      <w:r>
        <w:rPr>
          <w:rFonts w:hint="eastAsia" w:ascii="宋体" w:eastAsia="宋体"/>
        </w:rPr>
        <w:t>，</w:t>
      </w:r>
      <w:r>
        <w:rPr>
          <w:rFonts w:ascii="宋体" w:eastAsia="宋体"/>
        </w:rPr>
        <w:t>向</w:t>
      </w:r>
      <w:r>
        <w:rPr>
          <w:rFonts w:hint="eastAsia" w:ascii="宋体" w:eastAsia="宋体"/>
        </w:rPr>
        <w:t>比例阀</w:t>
      </w:r>
      <w:r>
        <w:rPr>
          <w:rFonts w:ascii="宋体" w:eastAsia="宋体"/>
        </w:rPr>
        <w:t>有效输入端施加</w:t>
      </w:r>
      <w:r>
        <w:rPr>
          <w:rFonts w:hint="eastAsia" w:ascii="宋体" w:eastAsia="宋体"/>
        </w:rPr>
        <w:t>36 </w:t>
      </w:r>
      <w:r>
        <w:rPr>
          <w:rFonts w:ascii="宋体" w:eastAsia="宋体"/>
        </w:rPr>
        <w:t>V电压,持续60</w:t>
      </w:r>
      <w:r>
        <w:rPr>
          <w:rFonts w:hint="eastAsia" w:ascii="宋体" w:eastAsia="宋体"/>
        </w:rPr>
        <w:t> </w:t>
      </w:r>
      <w:r>
        <w:rPr>
          <w:rFonts w:ascii="宋体" w:eastAsia="宋体"/>
        </w:rPr>
        <w:t>min。</w:t>
      </w:r>
    </w:p>
    <w:p w14:paraId="52010EBD">
      <w:pPr>
        <w:pStyle w:val="105"/>
        <w:spacing w:before="120" w:after="120"/>
      </w:pPr>
      <w:bookmarkStart w:id="156" w:name="_Toc220145338"/>
      <w:bookmarkStart w:id="157" w:name="_Toc215474240"/>
      <w:r>
        <w:rPr>
          <w:rFonts w:hint="eastAsia"/>
        </w:rPr>
        <w:t>反向电压</w:t>
      </w:r>
      <w:bookmarkEnd w:id="156"/>
      <w:bookmarkEnd w:id="157"/>
    </w:p>
    <w:p w14:paraId="0D9F4E0B">
      <w:pPr>
        <w:pStyle w:val="56"/>
        <w:ind w:firstLine="420"/>
      </w:pPr>
      <w:bookmarkStart w:id="158" w:name="OLE_LINK11"/>
      <w:r>
        <w:rPr>
          <w:rFonts w:hint="eastAsia"/>
        </w:rPr>
        <w:t>按表3</w:t>
      </w:r>
      <w:r>
        <w:t>反向电压施加</w:t>
      </w:r>
      <w:r>
        <w:rPr>
          <w:rFonts w:hint="eastAsia"/>
        </w:rPr>
        <w:t>到比例阀</w:t>
      </w:r>
      <w:r>
        <w:t>有效输入端子上持续(60</w:t>
      </w:r>
      <w:r>
        <w:rPr>
          <w:rFonts w:hint="eastAsia"/>
        </w:rPr>
        <w:t>±</w:t>
      </w:r>
      <w:r>
        <w:t>6)</w:t>
      </w:r>
      <w:r>
        <w:rPr>
          <w:rFonts w:hint="eastAsia"/>
          <w:lang w:eastAsia="zh-CN"/>
        </w:rPr>
        <w:t> </w:t>
      </w:r>
      <w:r>
        <w:t>s。</w:t>
      </w:r>
    </w:p>
    <w:p w14:paraId="3381A642">
      <w:pPr>
        <w:pStyle w:val="112"/>
        <w:spacing w:before="120" w:after="120"/>
      </w:pPr>
      <w:r>
        <w:rPr>
          <w:rFonts w:hint="eastAsia"/>
        </w:rPr>
        <w:t>反向电压</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672"/>
        <w:gridCol w:w="4672"/>
      </w:tblGrid>
      <w:tr w14:paraId="7D641E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4672" w:type="dxa"/>
            <w:tcBorders>
              <w:top w:val="single" w:color="auto" w:sz="8" w:space="0"/>
              <w:bottom w:val="single" w:color="auto" w:sz="8" w:space="0"/>
            </w:tcBorders>
            <w:vAlign w:val="center"/>
          </w:tcPr>
          <w:p w14:paraId="0FD3F68A">
            <w:pPr>
              <w:pStyle w:val="178"/>
            </w:pPr>
            <w:r>
              <w:rPr>
                <w:rFonts w:hint="eastAsia"/>
              </w:rPr>
              <w:t>标称电压</w:t>
            </w:r>
          </w:p>
          <w:p w14:paraId="51A5C753">
            <w:pPr>
              <w:pStyle w:val="178"/>
            </w:pPr>
            <w:r>
              <w:rPr>
                <w:rFonts w:hint="eastAsia"/>
              </w:rPr>
              <w:t>V</w:t>
            </w:r>
          </w:p>
        </w:tc>
        <w:tc>
          <w:tcPr>
            <w:tcW w:w="4672" w:type="dxa"/>
            <w:tcBorders>
              <w:top w:val="single" w:color="auto" w:sz="8" w:space="0"/>
              <w:bottom w:val="single" w:color="auto" w:sz="8" w:space="0"/>
            </w:tcBorders>
            <w:vAlign w:val="center"/>
          </w:tcPr>
          <w:p w14:paraId="5FDCA806">
            <w:pPr>
              <w:pStyle w:val="178"/>
            </w:pPr>
            <w:r>
              <w:rPr>
                <w:rFonts w:hint="eastAsia"/>
              </w:rPr>
              <w:t>反向电压</w:t>
            </w:r>
          </w:p>
          <w:p w14:paraId="2F26C519">
            <w:pPr>
              <w:pStyle w:val="178"/>
            </w:pPr>
            <w:r>
              <w:rPr>
                <w:rFonts w:hint="eastAsia"/>
              </w:rPr>
              <w:t>V</w:t>
            </w:r>
          </w:p>
        </w:tc>
      </w:tr>
      <w:tr w14:paraId="321C8E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72" w:type="dxa"/>
            <w:tcBorders>
              <w:top w:val="single" w:color="auto" w:sz="8" w:space="0"/>
            </w:tcBorders>
            <w:vAlign w:val="center"/>
          </w:tcPr>
          <w:p w14:paraId="04F42811">
            <w:pPr>
              <w:pStyle w:val="178"/>
            </w:pPr>
            <w:r>
              <w:rPr>
                <w:rFonts w:hint="eastAsia"/>
              </w:rPr>
              <w:t>12</w:t>
            </w:r>
          </w:p>
        </w:tc>
        <w:tc>
          <w:tcPr>
            <w:tcW w:w="4672" w:type="dxa"/>
            <w:tcBorders>
              <w:top w:val="single" w:color="auto" w:sz="8" w:space="0"/>
            </w:tcBorders>
            <w:vAlign w:val="center"/>
          </w:tcPr>
          <w:p w14:paraId="25B1D3F1">
            <w:pPr>
              <w:pStyle w:val="178"/>
            </w:pPr>
            <w:r>
              <w:rPr>
                <w:rFonts w:hint="eastAsia"/>
              </w:rPr>
              <w:t>14</w:t>
            </w:r>
          </w:p>
        </w:tc>
      </w:tr>
      <w:tr w14:paraId="1D3677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72" w:type="dxa"/>
            <w:vAlign w:val="center"/>
          </w:tcPr>
          <w:p w14:paraId="0C857011">
            <w:pPr>
              <w:pStyle w:val="178"/>
            </w:pPr>
            <w:r>
              <w:rPr>
                <w:rFonts w:hint="eastAsia"/>
              </w:rPr>
              <w:t>24</w:t>
            </w:r>
          </w:p>
        </w:tc>
        <w:tc>
          <w:tcPr>
            <w:tcW w:w="4672" w:type="dxa"/>
            <w:vAlign w:val="center"/>
          </w:tcPr>
          <w:p w14:paraId="7628FB1D">
            <w:pPr>
              <w:pStyle w:val="178"/>
            </w:pPr>
            <w:r>
              <w:rPr>
                <w:rFonts w:hint="eastAsia"/>
              </w:rPr>
              <w:t>28</w:t>
            </w:r>
          </w:p>
        </w:tc>
      </w:tr>
      <w:bookmarkEnd w:id="158"/>
    </w:tbl>
    <w:p w14:paraId="4D954B57">
      <w:pPr>
        <w:pStyle w:val="105"/>
        <w:spacing w:before="120" w:after="120"/>
      </w:pPr>
      <w:bookmarkStart w:id="159" w:name="_Toc220145340"/>
      <w:bookmarkStart w:id="160" w:name="_Toc215474242"/>
      <w:r>
        <w:rPr>
          <w:rFonts w:hint="eastAsia"/>
        </w:rPr>
        <w:t>耐电压</w:t>
      </w:r>
      <w:bookmarkEnd w:id="159"/>
      <w:bookmarkEnd w:id="160"/>
    </w:p>
    <w:p w14:paraId="737830C1">
      <w:pPr>
        <w:pStyle w:val="56"/>
        <w:ind w:firstLine="420"/>
      </w:pPr>
      <w:bookmarkStart w:id="161" w:name="OLE_LINK13"/>
      <w:r>
        <w:rPr>
          <w:rFonts w:hint="eastAsia"/>
        </w:rPr>
        <w:t>按如下要求对</w:t>
      </w:r>
      <w:bookmarkStart w:id="162" w:name="OLE_LINK44"/>
      <w:r>
        <w:rPr>
          <w:rFonts w:hint="eastAsia"/>
        </w:rPr>
        <w:t>比例阀</w:t>
      </w:r>
      <w:bookmarkEnd w:id="162"/>
      <w:r>
        <w:rPr>
          <w:rFonts w:hint="eastAsia"/>
        </w:rPr>
        <w:t>施加</w:t>
      </w:r>
      <w:r>
        <w:t>50 Hz</w:t>
      </w:r>
      <w:r>
        <w:rPr>
          <w:rFonts w:ascii="Times New Roman"/>
        </w:rPr>
        <w:t>~</w:t>
      </w:r>
      <w:r>
        <w:t>60 Hz</w:t>
      </w:r>
      <w:r>
        <w:rPr>
          <w:rFonts w:hint="eastAsia"/>
        </w:rPr>
        <w:t>的正弦电压</w:t>
      </w:r>
      <w:r>
        <w:t>500 V(</w:t>
      </w:r>
      <w:r>
        <w:rPr>
          <w:rFonts w:hint="eastAsia"/>
        </w:rPr>
        <w:t>有效值</w:t>
      </w:r>
      <w:r>
        <w:t>)</w:t>
      </w:r>
      <w:r>
        <w:rPr>
          <w:rFonts w:hint="eastAsia"/>
        </w:rPr>
        <w:t>，持续</w:t>
      </w:r>
      <w:r>
        <w:t xml:space="preserve">60 s </w:t>
      </w:r>
      <w:r>
        <w:rPr>
          <w:rFonts w:hint="eastAsia"/>
        </w:rPr>
        <w:t>：</w:t>
      </w:r>
    </w:p>
    <w:p w14:paraId="64F34862">
      <w:pPr>
        <w:pStyle w:val="132"/>
      </w:pPr>
      <w:r>
        <w:t>在带有电绝缘的端子间</w:t>
      </w:r>
      <w:r>
        <w:rPr>
          <w:rFonts w:hint="eastAsia"/>
        </w:rPr>
        <w:t>；</w:t>
      </w:r>
    </w:p>
    <w:p w14:paraId="642CC392">
      <w:pPr>
        <w:pStyle w:val="132"/>
      </w:pPr>
      <w:r>
        <w:t>在带有电绝缘的端子和带有电传导面的壳体间</w:t>
      </w:r>
      <w:r>
        <w:rPr>
          <w:rFonts w:hint="eastAsia"/>
        </w:rPr>
        <w:t>；</w:t>
      </w:r>
    </w:p>
    <w:p w14:paraId="2457AE6E">
      <w:pPr>
        <w:pStyle w:val="132"/>
      </w:pPr>
      <w:r>
        <w:t>塑料外壳情况下,在端子和包裹外壳的电极(例如金属箔)间</w:t>
      </w:r>
      <w:r>
        <w:rPr>
          <w:rFonts w:hint="eastAsia"/>
        </w:rPr>
        <w:t>。</w:t>
      </w:r>
    </w:p>
    <w:bookmarkEnd w:id="161"/>
    <w:p w14:paraId="52CB6523">
      <w:pPr>
        <w:pStyle w:val="105"/>
        <w:spacing w:before="120" w:after="120"/>
      </w:pPr>
      <w:bookmarkStart w:id="163" w:name="_Toc215474243"/>
      <w:bookmarkStart w:id="164" w:name="_Toc220145341"/>
      <w:r>
        <w:rPr>
          <w:rFonts w:hint="eastAsia"/>
        </w:rPr>
        <w:t>绝缘电阻</w:t>
      </w:r>
      <w:bookmarkEnd w:id="163"/>
      <w:bookmarkEnd w:id="164"/>
    </w:p>
    <w:p w14:paraId="5FF3CBE0">
      <w:pPr>
        <w:pStyle w:val="56"/>
        <w:ind w:firstLine="420"/>
      </w:pPr>
      <w:r>
        <w:t>按如下要求对</w:t>
      </w:r>
      <w:r>
        <w:rPr>
          <w:rFonts w:hint="eastAsia"/>
        </w:rPr>
        <w:t>比例阀</w:t>
      </w:r>
      <w:r>
        <w:t>施加500</w:t>
      </w:r>
      <w:r>
        <w:rPr>
          <w:rFonts w:hint="eastAsia"/>
        </w:rPr>
        <w:t> </w:t>
      </w:r>
      <w:r>
        <w:t>V直流电压</w:t>
      </w:r>
      <w:r>
        <w:rPr>
          <w:rFonts w:hint="eastAsia"/>
        </w:rPr>
        <w:t>，</w:t>
      </w:r>
      <w:r>
        <w:t>持续60</w:t>
      </w:r>
      <w:r>
        <w:rPr>
          <w:rFonts w:hint="eastAsia"/>
        </w:rPr>
        <w:t> </w:t>
      </w:r>
      <w:r>
        <w:t>s</w:t>
      </w:r>
      <w:r>
        <w:rPr>
          <w:rFonts w:hint="eastAsia"/>
        </w:rPr>
        <w:t>：</w:t>
      </w:r>
    </w:p>
    <w:p w14:paraId="26E13A40">
      <w:pPr>
        <w:pStyle w:val="132"/>
      </w:pPr>
      <w:r>
        <w:t>在带有电绝缘的端子间</w:t>
      </w:r>
      <w:r>
        <w:rPr>
          <w:rFonts w:hint="eastAsia"/>
        </w:rPr>
        <w:t>；</w:t>
      </w:r>
    </w:p>
    <w:p w14:paraId="298475FA">
      <w:pPr>
        <w:pStyle w:val="132"/>
      </w:pPr>
      <w:r>
        <w:t>在带有电绝缘的端子和带有电传导面的壳体间</w:t>
      </w:r>
      <w:r>
        <w:rPr>
          <w:rFonts w:hint="eastAsia"/>
        </w:rPr>
        <w:t>；</w:t>
      </w:r>
    </w:p>
    <w:p w14:paraId="59AED1A8">
      <w:pPr>
        <w:pStyle w:val="132"/>
      </w:pPr>
      <w:r>
        <w:t>在塑料外壳情况下,在端子和包裹外壳的电极(例如金属箔)间</w:t>
      </w:r>
      <w:r>
        <w:rPr>
          <w:rFonts w:hint="eastAsia"/>
        </w:rPr>
        <w:t>。</w:t>
      </w:r>
    </w:p>
    <w:p w14:paraId="22AE1212">
      <w:pPr>
        <w:pStyle w:val="105"/>
        <w:spacing w:before="120" w:after="120"/>
      </w:pPr>
      <w:bookmarkStart w:id="165" w:name="_Toc215474244"/>
      <w:bookmarkStart w:id="166" w:name="_Toc220145342"/>
      <w:r>
        <w:rPr>
          <w:rFonts w:hint="eastAsia"/>
        </w:rPr>
        <w:t>液静压强度</w:t>
      </w:r>
      <w:bookmarkEnd w:id="165"/>
      <w:bookmarkEnd w:id="166"/>
    </w:p>
    <w:p w14:paraId="0AF7EF92">
      <w:pPr>
        <w:pStyle w:val="56"/>
        <w:ind w:firstLine="420"/>
      </w:pPr>
      <w:r>
        <w:rPr>
          <w:rFonts w:hint="eastAsia"/>
        </w:rPr>
        <w:t>使用未进行其它项目试验的比例阀，使内部阀芯处于开启状态（或通过机械方式保持开启），封闭出口，在其入口处缓慢充入水压至2.5倍公称工作压力，并保持此压力3 min。</w:t>
      </w:r>
    </w:p>
    <w:p w14:paraId="64AE5BE6">
      <w:pPr>
        <w:pStyle w:val="105"/>
        <w:spacing w:before="120" w:after="120"/>
      </w:pPr>
      <w:bookmarkStart w:id="167" w:name="_Toc220145343"/>
      <w:bookmarkStart w:id="168" w:name="_Toc215474245"/>
      <w:r>
        <w:rPr>
          <w:rFonts w:hint="eastAsia"/>
        </w:rPr>
        <w:t>泄漏</w:t>
      </w:r>
      <w:bookmarkEnd w:id="167"/>
      <w:bookmarkEnd w:id="168"/>
      <w:r>
        <w:rPr>
          <w:rFonts w:hint="eastAsia"/>
        </w:rPr>
        <w:t>试验</w:t>
      </w:r>
    </w:p>
    <w:p w14:paraId="100878AC">
      <w:pPr>
        <w:pStyle w:val="165"/>
      </w:pPr>
      <w:r>
        <w:rPr>
          <w:rFonts w:hint="eastAsia"/>
        </w:rPr>
        <w:t>试验前用氮气对比例阀进行吹扫，进行高低温试验前，将比例阀静止在相应温度下8 h；</w:t>
      </w:r>
    </w:p>
    <w:p w14:paraId="300A2A77">
      <w:pPr>
        <w:pStyle w:val="165"/>
      </w:pPr>
      <w:r>
        <w:rPr>
          <w:rFonts w:hint="eastAsia"/>
        </w:rPr>
        <w:t>比例阀入口经正向截止阀连接到气源上，出口连接到可关闭的管路上。将比例阀浸入合适介质中3min检查是否有气泡或用氢气检漏仪或其它等效方法检测泄漏率。向比例阀内充入公称工作压力的氢气，关闭正向截止阀。</w:t>
      </w:r>
    </w:p>
    <w:p w14:paraId="110BD1C1">
      <w:pPr>
        <w:pStyle w:val="165"/>
      </w:pPr>
      <w:r>
        <w:rPr>
          <w:rFonts w:hint="eastAsia"/>
        </w:rPr>
        <w:t>泄漏试验应在室温（</w:t>
      </w:r>
      <w:r>
        <w:t>20±5</w:t>
      </w:r>
      <w:r>
        <w:rPr>
          <w:rFonts w:hint="eastAsia"/>
        </w:rPr>
        <w:t>）</w:t>
      </w:r>
      <w:r>
        <w:rPr>
          <w:rFonts w:hint="eastAsia"/>
          <w:lang w:eastAsia="zh-CN"/>
        </w:rPr>
        <w:t> </w:t>
      </w:r>
      <w:r>
        <w:rPr>
          <w:rFonts w:hint="eastAsia"/>
        </w:rPr>
        <w:t>℃、高温（</w:t>
      </w:r>
      <w:r>
        <w:t>85±2</w:t>
      </w:r>
      <w:r>
        <w:rPr>
          <w:rFonts w:hint="eastAsia"/>
        </w:rPr>
        <w:t>）</w:t>
      </w:r>
      <w:r>
        <w:rPr>
          <w:rFonts w:hint="eastAsia"/>
          <w:lang w:eastAsia="zh-CN"/>
        </w:rPr>
        <w:t> </w:t>
      </w:r>
      <w:r>
        <w:rPr>
          <w:rFonts w:hint="eastAsia"/>
        </w:rPr>
        <w:t>℃、低温（</w:t>
      </w:r>
      <w:r>
        <w:t>-40±2</w:t>
      </w:r>
      <w:r>
        <w:rPr>
          <w:rFonts w:hint="eastAsia"/>
        </w:rPr>
        <w:t>）</w:t>
      </w:r>
      <w:r>
        <w:rPr>
          <w:rFonts w:hint="eastAsia"/>
          <w:lang w:eastAsia="zh-CN"/>
        </w:rPr>
        <w:t> </w:t>
      </w:r>
      <w:r>
        <w:rPr>
          <w:rFonts w:hint="eastAsia"/>
        </w:rPr>
        <w:t>℃情况下，分别进行外泄漏试验和内泄漏试验：</w:t>
      </w:r>
    </w:p>
    <w:p w14:paraId="0D7A8746">
      <w:pPr>
        <w:pStyle w:val="174"/>
        <w:numPr>
          <w:ilvl w:val="0"/>
          <w:numId w:val="33"/>
        </w:numPr>
      </w:pPr>
      <w:r>
        <w:rPr>
          <w:rFonts w:hint="eastAsia"/>
        </w:rPr>
        <w:t>外泄漏试验：</w:t>
      </w:r>
      <w:bookmarkStart w:id="169" w:name="OLE_LINK14"/>
      <w:r>
        <w:rPr>
          <w:rFonts w:hint="eastAsia"/>
        </w:rPr>
        <w:t>比例阀出口管路封闭，内部阀门处于完全打开状态；</w:t>
      </w:r>
      <w:bookmarkEnd w:id="169"/>
    </w:p>
    <w:p w14:paraId="30A437B6">
      <w:pPr>
        <w:pStyle w:val="174"/>
        <w:numPr>
          <w:ilvl w:val="0"/>
          <w:numId w:val="33"/>
        </w:numPr>
      </w:pPr>
      <w:r>
        <w:rPr>
          <w:rFonts w:hint="eastAsia"/>
        </w:rPr>
        <w:t>内泄漏试验：比例阀出口管路打开，内部阀门处于完全关闭状态；</w:t>
      </w:r>
    </w:p>
    <w:p w14:paraId="26FA0C32">
      <w:pPr>
        <w:pStyle w:val="105"/>
        <w:spacing w:before="120" w:after="120"/>
      </w:pPr>
      <w:bookmarkStart w:id="170" w:name="_Toc220145344"/>
      <w:bookmarkStart w:id="171" w:name="_Toc215474246"/>
      <w:r>
        <w:rPr>
          <w:rFonts w:hint="eastAsia"/>
        </w:rPr>
        <w:t>流量特性</w:t>
      </w:r>
      <w:bookmarkEnd w:id="170"/>
      <w:bookmarkEnd w:id="171"/>
    </w:p>
    <w:p w14:paraId="61B2B427">
      <w:pPr>
        <w:pStyle w:val="165"/>
      </w:pPr>
      <w:bookmarkStart w:id="172" w:name="OLE_LINK50"/>
      <w:bookmarkStart w:id="173" w:name="OLE_LINK28"/>
      <w:r>
        <w:rPr>
          <w:rFonts w:hint="eastAsia"/>
        </w:rPr>
        <w:t>在标准状态下，设置比例阀入口压力为公称工作压力，电压为额定工作电压，比例阀出口连接流量计后与大气相连。</w:t>
      </w:r>
    </w:p>
    <w:bookmarkEnd w:id="172"/>
    <w:p w14:paraId="1FB61BC7">
      <w:pPr>
        <w:pStyle w:val="165"/>
      </w:pPr>
      <w:r>
        <w:rPr>
          <w:rFonts w:hint="eastAsia"/>
        </w:rPr>
        <w:t>调节比例阀阀门开度，使阀门缓慢从完全关闭至完全打开状态，记录升载流量特性曲线。</w:t>
      </w:r>
    </w:p>
    <w:p w14:paraId="28547271">
      <w:pPr>
        <w:pStyle w:val="165"/>
      </w:pPr>
      <w:r>
        <w:rPr>
          <w:rFonts w:hint="eastAsia"/>
        </w:rPr>
        <w:t>5.9.2结束后，调节比例阀阀门开度，使阀门缓慢从完全打开至完全关闭状态，记录降载流量特性曲线。</w:t>
      </w:r>
    </w:p>
    <w:p w14:paraId="4AB72806">
      <w:pPr>
        <w:pStyle w:val="165"/>
      </w:pPr>
      <w:bookmarkStart w:id="174" w:name="OLE_LINK21"/>
      <w:r>
        <w:rPr>
          <w:rFonts w:hint="eastAsia"/>
        </w:rPr>
        <w:t>通过升载流量特性曲线和降载流量特性曲线计算起步电流、线性度和迟滞。</w:t>
      </w:r>
    </w:p>
    <w:bookmarkEnd w:id="173"/>
    <w:bookmarkEnd w:id="174"/>
    <w:p w14:paraId="6F875940">
      <w:pPr>
        <w:pStyle w:val="105"/>
        <w:bidi w:val="0"/>
      </w:pPr>
      <w:bookmarkStart w:id="175" w:name="_Toc220145345"/>
      <w:bookmarkStart w:id="176" w:name="_Toc215474247"/>
      <w:r>
        <w:rPr>
          <w:rFonts w:hint="eastAsia"/>
        </w:rPr>
        <w:t>响应特性</w:t>
      </w:r>
      <w:bookmarkEnd w:id="175"/>
      <w:bookmarkEnd w:id="176"/>
    </w:p>
    <w:p w14:paraId="3677DBBF">
      <w:pPr>
        <w:pStyle w:val="165"/>
      </w:pPr>
      <w:r>
        <w:rPr>
          <w:rFonts w:hint="eastAsia"/>
        </w:rPr>
        <w:t>在标准状态下，设置比例阀入口压力为公称工作压力，电压为额定工作电压，比例阀出口连接流量计后与大气相连。</w:t>
      </w:r>
    </w:p>
    <w:p w14:paraId="2F35ECA7">
      <w:pPr>
        <w:pStyle w:val="165"/>
      </w:pPr>
      <w:bookmarkStart w:id="177" w:name="OLE_LINK80"/>
      <w:r>
        <w:rPr>
          <w:rFonts w:hint="eastAsia"/>
        </w:rPr>
        <w:t>调节比例阀阀门开度</w:t>
      </w:r>
      <w:bookmarkEnd w:id="177"/>
      <w:r>
        <w:rPr>
          <w:rFonts w:hint="eastAsia"/>
        </w:rPr>
        <w:t>，使阀门从完全关闭迅速至完全打开状态，记录升载流量特性曲线。</w:t>
      </w:r>
    </w:p>
    <w:p w14:paraId="42C49A56">
      <w:pPr>
        <w:pStyle w:val="165"/>
      </w:pPr>
      <w:bookmarkStart w:id="178" w:name="OLE_LINK40"/>
      <w:r>
        <w:rPr>
          <w:rFonts w:hint="eastAsia"/>
        </w:rPr>
        <w:t>通过升载流量特性曲线计算响应时间</w:t>
      </w:r>
      <w:bookmarkEnd w:id="178"/>
      <w:r>
        <w:rPr>
          <w:rFonts w:hint="eastAsia"/>
        </w:rPr>
        <w:t>。</w:t>
      </w:r>
    </w:p>
    <w:p w14:paraId="0B619CA7">
      <w:pPr>
        <w:pStyle w:val="105"/>
        <w:spacing w:before="120" w:after="120"/>
      </w:pPr>
      <w:bookmarkStart w:id="179" w:name="_Toc215474248"/>
      <w:bookmarkStart w:id="180" w:name="_Toc220145346"/>
      <w:r>
        <w:rPr>
          <w:rFonts w:hint="eastAsia"/>
        </w:rPr>
        <w:t>重复性</w:t>
      </w:r>
      <w:bookmarkEnd w:id="179"/>
      <w:bookmarkEnd w:id="180"/>
    </w:p>
    <w:p w14:paraId="3AC36A1E">
      <w:pPr>
        <w:pStyle w:val="56"/>
        <w:bidi w:val="0"/>
      </w:pPr>
      <w:r>
        <w:rPr>
          <w:rFonts w:hint="eastAsia"/>
        </w:rPr>
        <w:t>按5.9流量特性的测试方法，重复测量10次，计算重复性精度。</w:t>
      </w:r>
    </w:p>
    <w:p w14:paraId="75CAC442">
      <w:pPr>
        <w:pStyle w:val="105"/>
        <w:spacing w:before="120" w:after="120"/>
      </w:pPr>
      <w:bookmarkStart w:id="181" w:name="_Toc215474249"/>
      <w:bookmarkStart w:id="182" w:name="_Toc220145347"/>
      <w:r>
        <w:rPr>
          <w:rFonts w:hint="eastAsia"/>
        </w:rPr>
        <w:t>最大工作压差</w:t>
      </w:r>
      <w:bookmarkEnd w:id="181"/>
      <w:bookmarkEnd w:id="182"/>
    </w:p>
    <w:p w14:paraId="7ED7FD20">
      <w:pPr>
        <w:pStyle w:val="165"/>
      </w:pPr>
      <w:r>
        <w:rPr>
          <w:rFonts w:hint="eastAsia"/>
        </w:rPr>
        <w:t>在标准状态下，设置比例阀电压为额定工作电压，气源经调压阀、气压表接入比例阀入口；比例阀出口连接流量计后与大气相连。</w:t>
      </w:r>
    </w:p>
    <w:p w14:paraId="3F16BD38">
      <w:pPr>
        <w:pStyle w:val="165"/>
      </w:pPr>
      <w:r>
        <w:rPr>
          <w:rFonts w:hint="eastAsia"/>
        </w:rPr>
        <w:t>比例阀阀门开度信号为完全打开状态，调节比例阀进口的调压阀压力，记录当比例阀出口流量达到最大流量1%时对应的输入电流值。</w:t>
      </w:r>
    </w:p>
    <w:p w14:paraId="6665EC47">
      <w:pPr>
        <w:pStyle w:val="105"/>
        <w:spacing w:before="120" w:after="120"/>
      </w:pPr>
      <w:bookmarkStart w:id="183" w:name="_Toc215474250"/>
      <w:bookmarkStart w:id="184" w:name="_Toc220145348"/>
      <w:r>
        <w:rPr>
          <w:rFonts w:hint="eastAsia"/>
        </w:rPr>
        <w:t>低温试验</w:t>
      </w:r>
      <w:bookmarkEnd w:id="183"/>
      <w:bookmarkEnd w:id="184"/>
    </w:p>
    <w:p w14:paraId="6F263EF3">
      <w:pPr>
        <w:pStyle w:val="65"/>
        <w:spacing w:before="120" w:after="120"/>
      </w:pPr>
      <w:bookmarkStart w:id="185" w:name="OLE_LINK22"/>
      <w:r>
        <w:rPr>
          <w:rFonts w:hint="eastAsia"/>
        </w:rPr>
        <w:t>低温</w:t>
      </w:r>
      <w:r>
        <w:t>贮存</w:t>
      </w:r>
      <w:r>
        <w:rPr>
          <w:rFonts w:hint="eastAsia"/>
        </w:rPr>
        <w:t>试验</w:t>
      </w:r>
    </w:p>
    <w:p w14:paraId="2949E458">
      <w:pPr>
        <w:pStyle w:val="56"/>
        <w:bidi w:val="0"/>
        <w:rPr>
          <w:rFonts w:hAnsi="宋体"/>
        </w:rPr>
      </w:pPr>
      <w:bookmarkStart w:id="186" w:name="OLE_LINK59"/>
      <w:r>
        <w:rPr>
          <w:rFonts w:hint="eastAsia" w:hAnsi="宋体"/>
        </w:rPr>
        <w:t>比例阀不连接线束，</w:t>
      </w:r>
      <w:r>
        <w:rPr>
          <w:rFonts w:hAnsi="宋体"/>
        </w:rPr>
        <w:t>在低温</w:t>
      </w:r>
      <w:r>
        <w:rPr>
          <w:rFonts w:hint="eastAsia"/>
        </w:rPr>
        <w:t>（-40±2）</w:t>
      </w:r>
      <w:r>
        <w:rPr>
          <w:rFonts w:hint="eastAsia"/>
          <w:lang w:eastAsia="zh-CN"/>
        </w:rPr>
        <w:t> </w:t>
      </w:r>
      <w:r>
        <w:rPr>
          <w:rFonts w:hAnsi="宋体"/>
        </w:rPr>
        <w:t>℃</w:t>
      </w:r>
      <w:r>
        <w:rPr>
          <w:rFonts w:hint="eastAsia" w:hAnsi="宋体"/>
        </w:rPr>
        <w:t>环境下，</w:t>
      </w:r>
      <w:r>
        <w:rPr>
          <w:rFonts w:hAnsi="宋体"/>
        </w:rPr>
        <w:t>按 GB/T</w:t>
      </w:r>
      <w:r>
        <w:rPr>
          <w:rFonts w:hint="eastAsia" w:hAnsi="宋体"/>
        </w:rPr>
        <w:t xml:space="preserve"> </w:t>
      </w:r>
      <w:r>
        <w:rPr>
          <w:rFonts w:hAnsi="宋体"/>
        </w:rPr>
        <w:t>2423.1进行试验</w:t>
      </w:r>
      <w:r>
        <w:rPr>
          <w:rFonts w:hint="eastAsia" w:hAnsi="宋体"/>
        </w:rPr>
        <w:t>，</w:t>
      </w:r>
      <w:r>
        <w:rPr>
          <w:rFonts w:hAnsi="宋体"/>
        </w:rPr>
        <w:t>持续24</w:t>
      </w:r>
      <w:r>
        <w:rPr>
          <w:rFonts w:hint="eastAsia" w:hAnsi="宋体"/>
        </w:rPr>
        <w:t> </w:t>
      </w:r>
      <w:r>
        <w:rPr>
          <w:rFonts w:hAnsi="宋体"/>
        </w:rPr>
        <w:t>h。</w:t>
      </w:r>
    </w:p>
    <w:bookmarkEnd w:id="186"/>
    <w:p w14:paraId="12C9C562">
      <w:pPr>
        <w:pStyle w:val="65"/>
        <w:spacing w:before="120" w:after="120"/>
      </w:pPr>
      <w:r>
        <w:rPr>
          <w:rFonts w:hint="eastAsia"/>
        </w:rPr>
        <w:t>低温运行试验</w:t>
      </w:r>
    </w:p>
    <w:p w14:paraId="61A60A08">
      <w:pPr>
        <w:pStyle w:val="56"/>
        <w:bidi w:val="0"/>
      </w:pPr>
      <w:r>
        <w:rPr>
          <w:rFonts w:hint="eastAsia"/>
        </w:rPr>
        <w:t>比例阀</w:t>
      </w:r>
      <w:bookmarkStart w:id="187" w:name="OLE_LINK63"/>
      <w:r>
        <w:rPr>
          <w:rFonts w:hint="eastAsia"/>
        </w:rPr>
        <w:t>带电运行并控制在经典运行模式</w:t>
      </w:r>
      <w:bookmarkEnd w:id="187"/>
      <w:r>
        <w:rPr>
          <w:rFonts w:hint="eastAsia"/>
        </w:rPr>
        <w:t>，在低温（-40±2）</w:t>
      </w:r>
      <w:r>
        <w:rPr>
          <w:rFonts w:hint="eastAsia"/>
          <w:lang w:eastAsia="zh-CN"/>
        </w:rPr>
        <w:t> </w:t>
      </w:r>
      <w:r>
        <w:rPr>
          <w:rFonts w:hint="eastAsia"/>
        </w:rPr>
        <w:t>℃环境下，按 GB/T 2423.1进行试验，持续24 h。</w:t>
      </w:r>
    </w:p>
    <w:bookmarkEnd w:id="185"/>
    <w:p w14:paraId="39DBAF0C">
      <w:pPr>
        <w:pStyle w:val="105"/>
        <w:spacing w:before="120" w:after="120"/>
      </w:pPr>
      <w:bookmarkStart w:id="188" w:name="_Toc215474251"/>
      <w:bookmarkStart w:id="189" w:name="_Toc220145349"/>
      <w:r>
        <w:rPr>
          <w:rFonts w:hint="eastAsia"/>
        </w:rPr>
        <w:t>高温试验</w:t>
      </w:r>
      <w:bookmarkEnd w:id="188"/>
      <w:bookmarkEnd w:id="189"/>
    </w:p>
    <w:p w14:paraId="3BD7268B">
      <w:pPr>
        <w:pStyle w:val="65"/>
        <w:spacing w:before="120" w:after="120"/>
      </w:pPr>
      <w:bookmarkStart w:id="190" w:name="OLE_LINK25"/>
      <w:r>
        <w:rPr>
          <w:rFonts w:hint="eastAsia"/>
        </w:rPr>
        <w:t>高温</w:t>
      </w:r>
      <w:r>
        <w:t>贮存</w:t>
      </w:r>
      <w:r>
        <w:rPr>
          <w:rFonts w:hint="eastAsia"/>
        </w:rPr>
        <w:t>试验</w:t>
      </w:r>
    </w:p>
    <w:p w14:paraId="47EE6B67">
      <w:pPr>
        <w:pStyle w:val="56"/>
        <w:ind w:firstLine="420"/>
        <w:rPr>
          <w:rFonts w:hAnsi="宋体"/>
        </w:rPr>
      </w:pPr>
      <w:r>
        <w:rPr>
          <w:rFonts w:hint="eastAsia" w:hAnsi="宋体"/>
        </w:rPr>
        <w:t>比例阀不连接线束，</w:t>
      </w:r>
      <w:r>
        <w:rPr>
          <w:rFonts w:hAnsi="宋体"/>
        </w:rPr>
        <w:t>在</w:t>
      </w:r>
      <w:r>
        <w:rPr>
          <w:rFonts w:hint="eastAsia" w:hAnsi="宋体"/>
        </w:rPr>
        <w:t>高</w:t>
      </w:r>
      <w:r>
        <w:rPr>
          <w:rFonts w:hAnsi="宋体"/>
        </w:rPr>
        <w:t>温</w:t>
      </w:r>
      <w:r>
        <w:rPr>
          <w:rFonts w:hint="eastAsia"/>
        </w:rPr>
        <w:t>（85±2）</w:t>
      </w:r>
      <w:r>
        <w:rPr>
          <w:rFonts w:hint="eastAsia"/>
          <w:lang w:eastAsia="zh-CN"/>
        </w:rPr>
        <w:t> </w:t>
      </w:r>
      <w:r>
        <w:rPr>
          <w:rFonts w:hAnsi="宋体"/>
        </w:rPr>
        <w:t>℃</w:t>
      </w:r>
      <w:r>
        <w:rPr>
          <w:rFonts w:hint="eastAsia" w:hAnsi="宋体"/>
        </w:rPr>
        <w:t>环境下，</w:t>
      </w:r>
      <w:r>
        <w:rPr>
          <w:rFonts w:hAnsi="宋体"/>
        </w:rPr>
        <w:t>按 GB/T</w:t>
      </w:r>
      <w:r>
        <w:rPr>
          <w:rFonts w:hint="eastAsia" w:hAnsi="宋体"/>
        </w:rPr>
        <w:t xml:space="preserve"> </w:t>
      </w:r>
      <w:r>
        <w:rPr>
          <w:rFonts w:hAnsi="宋体"/>
        </w:rPr>
        <w:t>2423.</w:t>
      </w:r>
      <w:r>
        <w:rPr>
          <w:rFonts w:hint="eastAsia" w:hAnsi="宋体"/>
        </w:rPr>
        <w:t>2</w:t>
      </w:r>
      <w:r>
        <w:rPr>
          <w:rFonts w:hAnsi="宋体"/>
        </w:rPr>
        <w:t>进行试验</w:t>
      </w:r>
      <w:r>
        <w:rPr>
          <w:rFonts w:hint="eastAsia" w:hAnsi="宋体"/>
        </w:rPr>
        <w:t>，</w:t>
      </w:r>
      <w:r>
        <w:rPr>
          <w:rFonts w:hAnsi="宋体"/>
        </w:rPr>
        <w:t>持续</w:t>
      </w:r>
      <w:r>
        <w:rPr>
          <w:rFonts w:hint="eastAsia" w:hAnsi="宋体"/>
        </w:rPr>
        <w:t>48 </w:t>
      </w:r>
      <w:r>
        <w:rPr>
          <w:rFonts w:hAnsi="宋体"/>
        </w:rPr>
        <w:t>h。</w:t>
      </w:r>
    </w:p>
    <w:p w14:paraId="209B1E25">
      <w:pPr>
        <w:pStyle w:val="65"/>
        <w:spacing w:before="120" w:after="120"/>
      </w:pPr>
      <w:r>
        <w:rPr>
          <w:rFonts w:hint="eastAsia"/>
        </w:rPr>
        <w:t>高温运行试验</w:t>
      </w:r>
    </w:p>
    <w:p w14:paraId="79E02F1B">
      <w:pPr>
        <w:pStyle w:val="56"/>
        <w:ind w:firstLine="420"/>
      </w:pPr>
      <w:r>
        <w:rPr>
          <w:rFonts w:hint="eastAsia"/>
        </w:rPr>
        <w:t>比例阀带电运行并控制在经典运行模式，在高温</w:t>
      </w:r>
      <w:bookmarkStart w:id="191" w:name="OLE_LINK60"/>
      <w:r>
        <w:rPr>
          <w:rFonts w:hint="eastAsia"/>
        </w:rPr>
        <w:t>（85±2）</w:t>
      </w:r>
      <w:bookmarkStart w:id="192" w:name="OLE_LINK62"/>
      <w:r>
        <w:rPr>
          <w:rFonts w:hint="eastAsia"/>
          <w:lang w:eastAsia="zh-CN"/>
        </w:rPr>
        <w:t> </w:t>
      </w:r>
      <w:r>
        <w:rPr>
          <w:rFonts w:hint="eastAsia"/>
        </w:rPr>
        <w:t>℃</w:t>
      </w:r>
      <w:bookmarkEnd w:id="191"/>
      <w:bookmarkEnd w:id="192"/>
      <w:r>
        <w:rPr>
          <w:rFonts w:hint="eastAsia"/>
        </w:rPr>
        <w:t>环境下，按 GB/T 2423.2进行试验，持续96</w:t>
      </w:r>
      <w:r>
        <w:rPr>
          <w:rFonts w:hint="eastAsia"/>
          <w:lang w:eastAsia="zh-CN"/>
        </w:rPr>
        <w:t> </w:t>
      </w:r>
      <w:r>
        <w:rPr>
          <w:rFonts w:hint="eastAsia"/>
        </w:rPr>
        <w:t>h。</w:t>
      </w:r>
    </w:p>
    <w:bookmarkEnd w:id="190"/>
    <w:p w14:paraId="287C0B75">
      <w:pPr>
        <w:pStyle w:val="105"/>
        <w:spacing w:before="120" w:after="120"/>
      </w:pPr>
      <w:bookmarkStart w:id="193" w:name="_Toc215474253"/>
      <w:bookmarkStart w:id="194" w:name="_Toc220145351"/>
      <w:r>
        <w:rPr>
          <w:rFonts w:hint="eastAsia"/>
        </w:rPr>
        <w:t>冰水冲击</w:t>
      </w:r>
      <w:bookmarkEnd w:id="193"/>
      <w:bookmarkEnd w:id="194"/>
    </w:p>
    <w:p w14:paraId="39D049AB">
      <w:pPr>
        <w:pStyle w:val="56"/>
        <w:ind w:firstLine="420"/>
      </w:pPr>
      <w:bookmarkStart w:id="195" w:name="OLE_LINK26"/>
      <w:r>
        <w:rPr>
          <w:rFonts w:hint="eastAsia"/>
        </w:rPr>
        <w:t>比例阀按装车方向固定带电运行并控制在经典运行模式，在（</w:t>
      </w:r>
      <w:r>
        <w:t>85±2</w:t>
      </w:r>
      <w:r>
        <w:rPr>
          <w:rFonts w:hint="eastAsia"/>
        </w:rPr>
        <w:t>）</w:t>
      </w:r>
      <w:r>
        <w:rPr>
          <w:rFonts w:hint="eastAsia"/>
          <w:lang w:eastAsia="zh-CN"/>
        </w:rPr>
        <w:t> </w:t>
      </w:r>
      <w:r>
        <w:rPr>
          <w:rFonts w:hint="eastAsia"/>
        </w:rPr>
        <w:t>℃环境箱中保持</w:t>
      </w:r>
      <w:r>
        <w:t>1</w:t>
      </w:r>
      <w:r>
        <w:rPr>
          <w:rFonts w:hint="eastAsia"/>
          <w:lang w:eastAsia="zh-CN"/>
        </w:rPr>
        <w:t> </w:t>
      </w:r>
      <w:r>
        <w:t>h</w:t>
      </w:r>
      <w:r>
        <w:rPr>
          <w:rFonts w:hint="eastAsia"/>
        </w:rPr>
        <w:t>（或温度稳定）后，于</w:t>
      </w:r>
      <w:r>
        <w:t>20</w:t>
      </w:r>
      <w:r>
        <w:rPr>
          <w:rFonts w:hint="eastAsia"/>
          <w:lang w:eastAsia="zh-CN"/>
        </w:rPr>
        <w:t> </w:t>
      </w:r>
      <w:r>
        <w:t>s</w:t>
      </w:r>
      <w:r>
        <w:rPr>
          <w:rFonts w:hint="eastAsia"/>
        </w:rPr>
        <w:t>内转移至</w:t>
      </w:r>
      <w:r>
        <w:t>0</w:t>
      </w:r>
      <w:r>
        <w:rPr>
          <w:rFonts w:hint="eastAsia"/>
        </w:rPr>
        <w:t>℃</w:t>
      </w:r>
      <w:r>
        <w:t>~4</w:t>
      </w:r>
      <w:r>
        <w:rPr>
          <w:rFonts w:hint="eastAsia"/>
          <w:lang w:eastAsia="zh-CN"/>
        </w:rPr>
        <w:t> </w:t>
      </w:r>
      <w:r>
        <w:rPr>
          <w:rFonts w:hint="eastAsia"/>
        </w:rPr>
        <w:t>℃去离子冰水中浸没</w:t>
      </w:r>
      <w:r>
        <w:t>5min</w:t>
      </w:r>
      <w:r>
        <w:rPr>
          <w:rFonts w:hint="eastAsia"/>
        </w:rPr>
        <w:t>（深度不小于</w:t>
      </w:r>
      <w:r>
        <w:t>10</w:t>
      </w:r>
      <w:r>
        <w:rPr>
          <w:rFonts w:hint="eastAsia"/>
          <w:lang w:eastAsia="zh-CN"/>
        </w:rPr>
        <w:t> </w:t>
      </w:r>
      <w:r>
        <w:t>mm</w:t>
      </w:r>
      <w:r>
        <w:rPr>
          <w:rFonts w:hint="eastAsia"/>
        </w:rPr>
        <w:t>），如此循环</w:t>
      </w:r>
      <w:r>
        <w:t>10</w:t>
      </w:r>
      <w:r>
        <w:rPr>
          <w:rFonts w:hint="eastAsia"/>
        </w:rPr>
        <w:t>次。试验参数包括：</w:t>
      </w:r>
    </w:p>
    <w:bookmarkEnd w:id="195"/>
    <w:p w14:paraId="06A6E783">
      <w:pPr>
        <w:pStyle w:val="105"/>
        <w:spacing w:before="120" w:after="120"/>
      </w:pPr>
      <w:bookmarkStart w:id="196" w:name="_Toc220145352"/>
      <w:bookmarkStart w:id="197" w:name="_Toc215474254"/>
      <w:r>
        <w:rPr>
          <w:rFonts w:hint="eastAsia"/>
        </w:rPr>
        <w:t>湿热循环</w:t>
      </w:r>
      <w:bookmarkEnd w:id="196"/>
      <w:bookmarkEnd w:id="197"/>
    </w:p>
    <w:p w14:paraId="4C0C3D85">
      <w:pPr>
        <w:pStyle w:val="56"/>
        <w:ind w:firstLine="420"/>
      </w:pPr>
      <w:bookmarkStart w:id="198" w:name="OLE_LINK27"/>
      <w:r>
        <w:rPr>
          <w:rFonts w:hint="eastAsia"/>
        </w:rPr>
        <w:t>比例阀按</w:t>
      </w:r>
      <w:r>
        <w:t>GB/T 2423.4 Db</w:t>
      </w:r>
      <w:r>
        <w:rPr>
          <w:rFonts w:hint="eastAsia"/>
        </w:rPr>
        <w:t>变量</w:t>
      </w:r>
      <w:r>
        <w:t>1</w:t>
      </w:r>
      <w:r>
        <w:rPr>
          <w:rFonts w:hint="eastAsia"/>
        </w:rPr>
        <w:t>方法进行试验，在上限温度</w:t>
      </w:r>
      <w:r>
        <w:t>55</w:t>
      </w:r>
      <w:r>
        <w:rPr>
          <w:rFonts w:hint="eastAsia"/>
        </w:rPr>
        <w:t>℃下循环</w:t>
      </w:r>
      <w:r>
        <w:t>6</w:t>
      </w:r>
      <w:r>
        <w:rPr>
          <w:rFonts w:hint="eastAsia"/>
        </w:rPr>
        <w:t>次，达到最大循环温度时带电运行并控制于经典运行模式。</w:t>
      </w:r>
    </w:p>
    <w:bookmarkEnd w:id="198"/>
    <w:p w14:paraId="0CA0E240">
      <w:pPr>
        <w:pStyle w:val="105"/>
        <w:spacing w:before="120" w:after="120"/>
      </w:pPr>
      <w:bookmarkStart w:id="199" w:name="_Toc220145353"/>
      <w:bookmarkStart w:id="200" w:name="_Toc215474255"/>
      <w:r>
        <w:rPr>
          <w:rFonts w:hint="eastAsia"/>
        </w:rPr>
        <w:t>稳态湿热</w:t>
      </w:r>
      <w:bookmarkEnd w:id="199"/>
      <w:bookmarkEnd w:id="200"/>
    </w:p>
    <w:p w14:paraId="131456F1">
      <w:pPr>
        <w:pStyle w:val="56"/>
        <w:ind w:firstLine="420"/>
      </w:pPr>
      <w:bookmarkStart w:id="201" w:name="OLE_LINK33"/>
      <w:r>
        <w:rPr>
          <w:rFonts w:hint="eastAsia"/>
        </w:rPr>
        <w:t>按GB/T 2423.3 进行试验，试验持续时间为21天，比例阀以带电但功能不被激活模式运行(如休眠模式)。</w:t>
      </w:r>
    </w:p>
    <w:bookmarkEnd w:id="201"/>
    <w:p w14:paraId="0E581D0B">
      <w:pPr>
        <w:pStyle w:val="105"/>
        <w:spacing w:before="120" w:after="120"/>
      </w:pPr>
      <w:bookmarkStart w:id="202" w:name="_Toc220145354"/>
      <w:bookmarkStart w:id="203" w:name="_Toc215474256"/>
      <w:r>
        <w:rPr>
          <w:rFonts w:hint="eastAsia"/>
        </w:rPr>
        <w:t>耐腐蚀性</w:t>
      </w:r>
      <w:bookmarkEnd w:id="202"/>
      <w:bookmarkEnd w:id="203"/>
    </w:p>
    <w:p w14:paraId="655ED907">
      <w:pPr>
        <w:pStyle w:val="165"/>
      </w:pPr>
      <w:r>
        <w:rPr>
          <w:rFonts w:hint="eastAsia"/>
        </w:rPr>
        <w:t>堵住比例阀进气口和出气口，按GB/T 10125中规定的中性盐雾试验方法，进行144</w:t>
      </w:r>
      <w:r>
        <w:rPr>
          <w:rFonts w:hint="eastAsia"/>
          <w:lang w:eastAsia="zh-CN"/>
        </w:rPr>
        <w:t> </w:t>
      </w:r>
      <w:r>
        <w:rPr>
          <w:rFonts w:hint="eastAsia"/>
        </w:rPr>
        <w:t>h的盐雾试验。</w:t>
      </w:r>
    </w:p>
    <w:p w14:paraId="02B8DDEE">
      <w:pPr>
        <w:pStyle w:val="165"/>
      </w:pPr>
      <w:r>
        <w:rPr>
          <w:rFonts w:hint="eastAsia"/>
        </w:rPr>
        <w:t>盐雾试验后，立即冲洗样品并清除盐沉积物，然后</w:t>
      </w:r>
      <w:bookmarkStart w:id="204" w:name="OLE_LINK30"/>
      <w:r>
        <w:rPr>
          <w:rFonts w:hint="eastAsia"/>
        </w:rPr>
        <w:t>按</w:t>
      </w:r>
      <w:r>
        <w:t>5.8</w:t>
      </w:r>
      <w:r>
        <w:rPr>
          <w:rFonts w:hint="eastAsia"/>
        </w:rPr>
        <w:t>规定的方法对比例阀进行泄漏试验</w:t>
      </w:r>
      <w:bookmarkEnd w:id="204"/>
      <w:r>
        <w:rPr>
          <w:rFonts w:hint="eastAsia"/>
        </w:rPr>
        <w:t>。</w:t>
      </w:r>
    </w:p>
    <w:p w14:paraId="092694A8">
      <w:pPr>
        <w:pStyle w:val="165"/>
      </w:pPr>
      <w:r>
        <w:rPr>
          <w:rFonts w:hint="eastAsia"/>
        </w:rPr>
        <w:t>按</w:t>
      </w:r>
      <w:r>
        <w:t>5.7</w:t>
      </w:r>
      <w:r>
        <w:rPr>
          <w:rFonts w:hint="eastAsia"/>
        </w:rPr>
        <w:t>规定的方法对比例阀进行液静压强度试验。</w:t>
      </w:r>
    </w:p>
    <w:p w14:paraId="2821B66B">
      <w:pPr>
        <w:pStyle w:val="105"/>
        <w:spacing w:before="120" w:after="120"/>
      </w:pPr>
      <w:bookmarkStart w:id="205" w:name="_Toc215474257"/>
      <w:bookmarkStart w:id="206" w:name="_Toc220145355"/>
      <w:r>
        <w:rPr>
          <w:rFonts w:hint="eastAsia"/>
        </w:rPr>
        <w:t>工作耐久性</w:t>
      </w:r>
      <w:bookmarkEnd w:id="205"/>
      <w:bookmarkEnd w:id="206"/>
    </w:p>
    <w:p w14:paraId="305FF8FC">
      <w:pPr>
        <w:pStyle w:val="165"/>
      </w:pPr>
      <w:r>
        <w:rPr>
          <w:rFonts w:hint="eastAsia"/>
        </w:rPr>
        <w:t>设置比例阀入口压力为公称工作压力，电压为额定工作电压，比例阀出口连接流量计后与大气相连。在规定的试验温度下，调节比例阀阀门开度，使阀门从完全关闭到完全打开再回到完全关闭为一个循环，循环频率不高于15 Hz, 共进行200万次工作耐久测试。</w:t>
      </w:r>
    </w:p>
    <w:p w14:paraId="6CDFA922">
      <w:pPr>
        <w:pStyle w:val="165"/>
      </w:pPr>
      <w:bookmarkStart w:id="207" w:name="OLE_LINK29"/>
      <w:r>
        <w:rPr>
          <w:rFonts w:hint="eastAsia"/>
        </w:rPr>
        <w:t>常温工作耐久性，温度为（20±5）</w:t>
      </w:r>
      <w:r>
        <w:rPr>
          <w:rFonts w:hint="eastAsia"/>
          <w:lang w:eastAsia="zh-CN"/>
        </w:rPr>
        <w:t> </w:t>
      </w:r>
      <w:r>
        <w:rPr>
          <w:rFonts w:hint="eastAsia"/>
        </w:rPr>
        <w:t>℃，</w:t>
      </w:r>
      <w:bookmarkEnd w:id="207"/>
      <w:r>
        <w:rPr>
          <w:rFonts w:hint="eastAsia"/>
        </w:rPr>
        <w:t>对比例阀连续进行140万次循环。</w:t>
      </w:r>
    </w:p>
    <w:p w14:paraId="5B686DC8">
      <w:pPr>
        <w:pStyle w:val="165"/>
      </w:pPr>
      <w:r>
        <w:rPr>
          <w:rFonts w:hint="eastAsia"/>
        </w:rPr>
        <w:t>高温工作耐久性，温度为（85±2）</w:t>
      </w:r>
      <w:r>
        <w:rPr>
          <w:rFonts w:hint="eastAsia"/>
          <w:lang w:eastAsia="zh-CN"/>
        </w:rPr>
        <w:t> </w:t>
      </w:r>
      <w:r>
        <w:rPr>
          <w:rFonts w:hint="eastAsia"/>
        </w:rPr>
        <w:t>℃，对比例阀连续进行50万次循环。</w:t>
      </w:r>
    </w:p>
    <w:p w14:paraId="50486D98">
      <w:pPr>
        <w:pStyle w:val="165"/>
      </w:pPr>
      <w:r>
        <w:rPr>
          <w:rFonts w:hint="eastAsia"/>
        </w:rPr>
        <w:t>低温工作耐久性，温度为（-40±2）</w:t>
      </w:r>
      <w:r>
        <w:rPr>
          <w:rFonts w:hint="eastAsia"/>
          <w:lang w:eastAsia="zh-CN"/>
        </w:rPr>
        <w:t> </w:t>
      </w:r>
      <w:r>
        <w:rPr>
          <w:rFonts w:hint="eastAsia"/>
        </w:rPr>
        <w:t>℃，对比例阀连续进行10万次循环。</w:t>
      </w:r>
    </w:p>
    <w:p w14:paraId="05A13531">
      <w:pPr>
        <w:pStyle w:val="165"/>
      </w:pPr>
      <w:r>
        <w:rPr>
          <w:rFonts w:hint="eastAsia"/>
        </w:rPr>
        <w:t>工作耐久性结束后，检查比例阀外观，按5.8规定的方法对比例阀进行泄漏试验，按5.9规定的方法对比例阀进行流量特性试验，按5.10规定的方法对比例阀进行响应特性试验。</w:t>
      </w:r>
    </w:p>
    <w:p w14:paraId="14824B88">
      <w:pPr>
        <w:pStyle w:val="105"/>
        <w:spacing w:before="120" w:after="120"/>
      </w:pPr>
      <w:bookmarkStart w:id="208" w:name="_Toc220145356"/>
      <w:bookmarkStart w:id="209" w:name="_Toc215474258"/>
      <w:r>
        <w:rPr>
          <w:rFonts w:hint="eastAsia"/>
        </w:rPr>
        <w:t>振动</w:t>
      </w:r>
      <w:bookmarkEnd w:id="208"/>
      <w:bookmarkEnd w:id="209"/>
    </w:p>
    <w:p w14:paraId="659852C2">
      <w:pPr>
        <w:pStyle w:val="56"/>
        <w:ind w:firstLine="420"/>
      </w:pPr>
      <w:r>
        <w:rPr>
          <w:rFonts w:hint="eastAsia"/>
        </w:rPr>
        <w:t>正弦振动试验按GB/T 2423.10在室温下进行。</w:t>
      </w:r>
    </w:p>
    <w:p w14:paraId="1FABB8B7">
      <w:pPr>
        <w:pStyle w:val="105"/>
        <w:spacing w:before="120" w:after="120"/>
      </w:pPr>
      <w:bookmarkStart w:id="210" w:name="_Toc215474259"/>
      <w:bookmarkStart w:id="211" w:name="_Toc220145357"/>
      <w:r>
        <w:rPr>
          <w:rFonts w:hint="eastAsia"/>
        </w:rPr>
        <w:t>机械冲击</w:t>
      </w:r>
      <w:bookmarkEnd w:id="210"/>
      <w:bookmarkEnd w:id="211"/>
    </w:p>
    <w:p w14:paraId="19DA0EF6">
      <w:pPr>
        <w:pStyle w:val="56"/>
        <w:ind w:firstLine="420"/>
      </w:pPr>
      <w:bookmarkStart w:id="212" w:name="OLE_LINK35"/>
      <w:r>
        <w:rPr>
          <w:rFonts w:hint="eastAsia"/>
        </w:rPr>
        <w:t>比例阀按</w:t>
      </w:r>
      <w:r>
        <w:t>GB/T 2423.6</w:t>
      </w:r>
      <w:r>
        <w:rPr>
          <w:rFonts w:hint="eastAsia"/>
        </w:rPr>
        <w:t>方法进行试验，在带电运行并控制于经典运行模式下，采用半正弦波冲击脉冲（加速度</w:t>
      </w:r>
      <w:r>
        <w:t>500 m/s²</w:t>
      </w:r>
      <w:r>
        <w:rPr>
          <w:rFonts w:hint="eastAsia"/>
        </w:rPr>
        <w:t>、持续时间</w:t>
      </w:r>
      <w:r>
        <w:t>6 ms</w:t>
      </w:r>
      <w:r>
        <w:rPr>
          <w:rFonts w:hint="eastAsia"/>
        </w:rPr>
        <w:t>），每个试验方向冲击</w:t>
      </w:r>
      <w:r>
        <w:t>10</w:t>
      </w:r>
      <w:r>
        <w:rPr>
          <w:rFonts w:hint="eastAsia"/>
        </w:rPr>
        <w:t>次，加速度方向与车辆实际冲击方向一致（方向未知时在</w:t>
      </w:r>
      <w:r>
        <w:t>6</w:t>
      </w:r>
      <w:r>
        <w:rPr>
          <w:rFonts w:hint="eastAsia"/>
        </w:rPr>
        <w:t>个方向上各进行试验）。</w:t>
      </w:r>
    </w:p>
    <w:bookmarkEnd w:id="212"/>
    <w:p w14:paraId="5D7CBBF9">
      <w:pPr>
        <w:pStyle w:val="105"/>
        <w:spacing w:before="120" w:after="120"/>
      </w:pPr>
      <w:bookmarkStart w:id="213" w:name="_Toc220145358"/>
      <w:bookmarkStart w:id="214" w:name="_Toc215474260"/>
      <w:r>
        <w:rPr>
          <w:rFonts w:hint="eastAsia"/>
        </w:rPr>
        <w:t>自由跌落</w:t>
      </w:r>
      <w:bookmarkEnd w:id="213"/>
      <w:bookmarkEnd w:id="214"/>
    </w:p>
    <w:p w14:paraId="154419AC">
      <w:pPr>
        <w:pStyle w:val="56"/>
        <w:bidi w:val="0"/>
      </w:pPr>
      <w:r>
        <w:rPr>
          <w:rFonts w:hint="eastAsia"/>
        </w:rPr>
        <w:t>比例阀按</w:t>
      </w:r>
      <w:r>
        <w:t>GB/T 2423.8</w:t>
      </w:r>
      <w:r>
        <w:rPr>
          <w:rFonts w:hint="eastAsia"/>
        </w:rPr>
        <w:t>方法进行试验，取</w:t>
      </w:r>
      <w:r>
        <w:t>3</w:t>
      </w:r>
      <w:r>
        <w:rPr>
          <w:rFonts w:hint="eastAsia"/>
        </w:rPr>
        <w:t>只比例阀在不接线束状态下，从</w:t>
      </w:r>
      <w:r>
        <w:t>1</w:t>
      </w:r>
      <w:r>
        <w:rPr>
          <w:rFonts w:hint="eastAsia"/>
          <w:lang w:eastAsia="zh-CN"/>
        </w:rPr>
        <w:t> </w:t>
      </w:r>
      <w:r>
        <w:t>m</w:t>
      </w:r>
      <w:r>
        <w:rPr>
          <w:rFonts w:hint="eastAsia"/>
        </w:rPr>
        <w:t>高度自由跌落至混凝土地面或钢板</w:t>
      </w:r>
      <w:r>
        <w:t>2</w:t>
      </w:r>
      <w:r>
        <w:rPr>
          <w:rFonts w:hint="eastAsia"/>
        </w:rPr>
        <w:t>次，其中第</w:t>
      </w:r>
      <w:r>
        <w:t>2</w:t>
      </w:r>
      <w:r>
        <w:rPr>
          <w:rFonts w:hint="eastAsia"/>
        </w:rPr>
        <w:t>次跌落与第</w:t>
      </w:r>
      <w:r>
        <w:t>1</w:t>
      </w:r>
      <w:r>
        <w:rPr>
          <w:rFonts w:hint="eastAsia"/>
        </w:rPr>
        <w:t>次空间轴向相同但方向相反且</w:t>
      </w:r>
      <w:r>
        <w:t>3</w:t>
      </w:r>
      <w:r>
        <w:rPr>
          <w:rFonts w:hint="eastAsia"/>
        </w:rPr>
        <w:t>只阀的第</w:t>
      </w:r>
      <w:r>
        <w:t>1</w:t>
      </w:r>
      <w:r>
        <w:rPr>
          <w:rFonts w:hint="eastAsia"/>
        </w:rPr>
        <w:t>次跌落方向各不相同，试验温度由供需双方协商确定。</w:t>
      </w:r>
    </w:p>
    <w:p w14:paraId="7099A9A2">
      <w:pPr>
        <w:pStyle w:val="104"/>
        <w:spacing w:before="240" w:after="240"/>
      </w:pPr>
      <w:bookmarkStart w:id="215" w:name="_Toc220145359"/>
      <w:bookmarkStart w:id="216" w:name="_Toc220166832"/>
      <w:bookmarkStart w:id="217" w:name="_Toc220166851"/>
      <w:bookmarkStart w:id="218" w:name="_Toc215474271"/>
      <w:bookmarkStart w:id="219" w:name="_Toc215474261"/>
      <w:bookmarkStart w:id="220" w:name="_Toc215474676"/>
      <w:bookmarkStart w:id="221" w:name="_Toc220145370"/>
      <w:bookmarkStart w:id="222" w:name="OLE_LINK39"/>
      <w:r>
        <w:rPr>
          <w:rFonts w:hint="eastAsia"/>
        </w:rPr>
        <w:t>标志、包装、运输和贮存</w:t>
      </w:r>
      <w:bookmarkEnd w:id="215"/>
      <w:bookmarkEnd w:id="216"/>
      <w:bookmarkEnd w:id="217"/>
      <w:bookmarkEnd w:id="218"/>
      <w:bookmarkEnd w:id="219"/>
      <w:bookmarkEnd w:id="220"/>
      <w:bookmarkEnd w:id="221"/>
    </w:p>
    <w:bookmarkEnd w:id="222"/>
    <w:p w14:paraId="520D9700">
      <w:pPr>
        <w:pStyle w:val="105"/>
        <w:spacing w:before="120" w:after="120"/>
      </w:pPr>
      <w:bookmarkStart w:id="223" w:name="_Toc220145360"/>
      <w:bookmarkStart w:id="224" w:name="_Toc215474262"/>
      <w:r>
        <w:rPr>
          <w:rFonts w:hint="eastAsia"/>
        </w:rPr>
        <w:t>标志</w:t>
      </w:r>
      <w:bookmarkEnd w:id="223"/>
      <w:bookmarkEnd w:id="224"/>
    </w:p>
    <w:p w14:paraId="6E66AB3F">
      <w:pPr>
        <w:pStyle w:val="56"/>
        <w:ind w:firstLine="420"/>
      </w:pPr>
      <w:r>
        <w:rPr>
          <w:rFonts w:hint="eastAsia"/>
        </w:rPr>
        <w:t>应在比例阀的适当位置提供如下信息，包括：</w:t>
      </w:r>
    </w:p>
    <w:p w14:paraId="73C47E54">
      <w:pPr>
        <w:pStyle w:val="174"/>
        <w:numPr>
          <w:numId w:val="34"/>
        </w:numPr>
        <w:bidi w:val="0"/>
      </w:pPr>
      <w:r>
        <w:rPr>
          <w:rFonts w:hint="eastAsia"/>
        </w:rPr>
        <w:t>产品名称和型号；</w:t>
      </w:r>
    </w:p>
    <w:p w14:paraId="542F52D4">
      <w:pPr>
        <w:pStyle w:val="174"/>
        <w:numPr>
          <w:numId w:val="34"/>
        </w:numPr>
        <w:bidi w:val="0"/>
      </w:pPr>
      <w:r>
        <w:rPr>
          <w:rFonts w:hint="eastAsia"/>
        </w:rPr>
        <w:t>电压类型和额定电压；</w:t>
      </w:r>
    </w:p>
    <w:p w14:paraId="368961AA">
      <w:pPr>
        <w:pStyle w:val="174"/>
        <w:numPr>
          <w:numId w:val="34"/>
        </w:numPr>
        <w:bidi w:val="0"/>
      </w:pPr>
      <w:r>
        <w:rPr>
          <w:rFonts w:hint="eastAsia"/>
        </w:rPr>
        <w:t>公称工作压力；</w:t>
      </w:r>
    </w:p>
    <w:p w14:paraId="4F7477A5">
      <w:pPr>
        <w:pStyle w:val="174"/>
        <w:numPr>
          <w:numId w:val="34"/>
        </w:numPr>
        <w:bidi w:val="0"/>
      </w:pPr>
      <w:r>
        <w:rPr>
          <w:rFonts w:hint="eastAsia"/>
        </w:rPr>
        <w:t>工作介质；</w:t>
      </w:r>
    </w:p>
    <w:p w14:paraId="421EDA52">
      <w:pPr>
        <w:pStyle w:val="174"/>
        <w:numPr>
          <w:numId w:val="34"/>
        </w:numPr>
        <w:bidi w:val="0"/>
      </w:pPr>
      <w:r>
        <w:rPr>
          <w:rFonts w:hint="eastAsia"/>
        </w:rPr>
        <w:t>永久性的表示介质流向的箭头；</w:t>
      </w:r>
    </w:p>
    <w:p w14:paraId="34AA4C6A">
      <w:pPr>
        <w:pStyle w:val="174"/>
        <w:numPr>
          <w:numId w:val="34"/>
        </w:numPr>
        <w:bidi w:val="0"/>
      </w:pPr>
      <w:r>
        <w:rPr>
          <w:rFonts w:hint="eastAsia"/>
        </w:rPr>
        <w:t>制造厂名；</w:t>
      </w:r>
    </w:p>
    <w:p w14:paraId="04424312">
      <w:pPr>
        <w:pStyle w:val="174"/>
        <w:numPr>
          <w:numId w:val="34"/>
        </w:numPr>
        <w:bidi w:val="0"/>
      </w:pPr>
      <w:r>
        <w:rPr>
          <w:rFonts w:hint="eastAsia"/>
        </w:rPr>
        <w:t>产品编号；</w:t>
      </w:r>
    </w:p>
    <w:p w14:paraId="7D13C4BB">
      <w:pPr>
        <w:pStyle w:val="174"/>
        <w:numPr>
          <w:numId w:val="34"/>
        </w:numPr>
        <w:bidi w:val="0"/>
      </w:pPr>
      <w:r>
        <w:rPr>
          <w:rFonts w:hint="eastAsia"/>
        </w:rPr>
        <w:t>制造年月。</w:t>
      </w:r>
    </w:p>
    <w:p w14:paraId="7A6F26CD">
      <w:pPr>
        <w:pStyle w:val="105"/>
        <w:spacing w:before="120" w:after="120"/>
      </w:pPr>
      <w:bookmarkStart w:id="225" w:name="_Toc215474263"/>
      <w:bookmarkStart w:id="226" w:name="_Toc220145361"/>
      <w:r>
        <w:rPr>
          <w:rFonts w:hint="eastAsia"/>
        </w:rPr>
        <w:t>包装</w:t>
      </w:r>
      <w:bookmarkEnd w:id="225"/>
      <w:bookmarkEnd w:id="226"/>
    </w:p>
    <w:p w14:paraId="153083D5">
      <w:pPr>
        <w:pStyle w:val="165"/>
      </w:pPr>
      <w:r>
        <w:rPr>
          <w:rFonts w:hint="eastAsia"/>
        </w:rPr>
        <w:t>产品包装应符合GB 4857.5的规定，必须保证在运输、存放过程中不受机械损伤，并防潮、防尘、防腐蚀、防污染。</w:t>
      </w:r>
    </w:p>
    <w:p w14:paraId="013E3183">
      <w:pPr>
        <w:pStyle w:val="165"/>
      </w:pPr>
      <w:r>
        <w:rPr>
          <w:rFonts w:hint="eastAsia"/>
        </w:rPr>
        <w:t>包装箱内应有下列技术文件：</w:t>
      </w:r>
    </w:p>
    <w:p w14:paraId="49FE2BBB">
      <w:pPr>
        <w:pStyle w:val="174"/>
        <w:numPr>
          <w:numId w:val="35"/>
        </w:numPr>
        <w:bidi w:val="0"/>
      </w:pPr>
      <w:r>
        <w:rPr>
          <w:rFonts w:hint="eastAsia"/>
        </w:rPr>
        <w:t>产品合格证；</w:t>
      </w:r>
    </w:p>
    <w:p w14:paraId="36E0872B">
      <w:pPr>
        <w:pStyle w:val="174"/>
        <w:numPr>
          <w:numId w:val="35"/>
        </w:numPr>
        <w:bidi w:val="0"/>
      </w:pPr>
      <w:r>
        <w:rPr>
          <w:rFonts w:hint="eastAsia"/>
        </w:rPr>
        <w:t>产品使用说明书应符合GB/T 9969的要求；</w:t>
      </w:r>
    </w:p>
    <w:p w14:paraId="5EAE4094">
      <w:pPr>
        <w:pStyle w:val="174"/>
        <w:numPr>
          <w:numId w:val="35"/>
        </w:numPr>
        <w:bidi w:val="0"/>
      </w:pPr>
      <w:r>
        <w:rPr>
          <w:rFonts w:hint="eastAsia"/>
        </w:rPr>
        <w:t>产品备件和附件一览表。</w:t>
      </w:r>
    </w:p>
    <w:p w14:paraId="5DF0644D">
      <w:pPr>
        <w:pStyle w:val="105"/>
        <w:spacing w:before="120" w:after="120"/>
      </w:pPr>
      <w:bookmarkStart w:id="227" w:name="_Toc215474264"/>
      <w:bookmarkStart w:id="228" w:name="_Toc220145362"/>
      <w:r>
        <w:rPr>
          <w:rFonts w:hint="eastAsia"/>
        </w:rPr>
        <w:t>运输</w:t>
      </w:r>
      <w:bookmarkEnd w:id="227"/>
      <w:bookmarkEnd w:id="228"/>
    </w:p>
    <w:p w14:paraId="6A44C572">
      <w:pPr>
        <w:pStyle w:val="56"/>
        <w:ind w:firstLine="420"/>
      </w:pPr>
      <w:r>
        <w:rPr>
          <w:rFonts w:hint="eastAsia"/>
        </w:rPr>
        <w:t>包装好的产品应适合公路、铁路、水路运输，运输过程中应防雨、防潮、避免强烈的振动和撞击。</w:t>
      </w:r>
    </w:p>
    <w:p w14:paraId="6B57A0B2">
      <w:pPr>
        <w:pStyle w:val="105"/>
        <w:spacing w:before="120" w:after="120"/>
      </w:pPr>
      <w:bookmarkStart w:id="229" w:name="_Toc220145363"/>
      <w:bookmarkStart w:id="230" w:name="_Toc215474265"/>
      <w:r>
        <w:rPr>
          <w:rFonts w:hint="eastAsia"/>
        </w:rPr>
        <w:t>贮存</w:t>
      </w:r>
      <w:bookmarkEnd w:id="229"/>
      <w:bookmarkEnd w:id="230"/>
    </w:p>
    <w:p w14:paraId="1BBCB74A">
      <w:pPr>
        <w:pStyle w:val="165"/>
      </w:pPr>
      <w:r>
        <w:rPr>
          <w:rFonts w:hint="eastAsia"/>
        </w:rPr>
        <w:t>宜存放在通风良好，无污染，无腐蚀性气体的仓库内；</w:t>
      </w:r>
    </w:p>
    <w:p w14:paraId="31D057A4">
      <w:pPr>
        <w:pStyle w:val="165"/>
      </w:pPr>
      <w:r>
        <w:rPr>
          <w:rFonts w:hint="eastAsia"/>
        </w:rPr>
        <w:t>温度宜为（10</w:t>
      </w:r>
      <w:bookmarkStart w:id="231" w:name="OLE_LINK36"/>
      <w:r>
        <w:rPr>
          <w:rFonts w:hint="eastAsia"/>
        </w:rPr>
        <w:t>～</w:t>
      </w:r>
      <w:bookmarkEnd w:id="231"/>
      <w:r>
        <w:rPr>
          <w:rFonts w:hint="eastAsia"/>
        </w:rPr>
        <w:t>35）</w:t>
      </w:r>
      <w:r>
        <w:rPr>
          <w:rFonts w:hint="eastAsia"/>
          <w:lang w:eastAsia="zh-CN"/>
        </w:rPr>
        <w:t> </w:t>
      </w:r>
      <w:r>
        <w:rPr>
          <w:rFonts w:hint="eastAsia"/>
        </w:rPr>
        <w:t>℃；</w:t>
      </w:r>
    </w:p>
    <w:p w14:paraId="20BF0C8A">
      <w:pPr>
        <w:pStyle w:val="165"/>
      </w:pPr>
      <w:r>
        <w:rPr>
          <w:rFonts w:hint="eastAsia"/>
        </w:rPr>
        <w:t>相对湿度宜为</w:t>
      </w:r>
      <w:bookmarkStart w:id="232" w:name="OLE_LINK37"/>
      <w:r>
        <w:rPr>
          <w:rFonts w:hint="eastAsia"/>
        </w:rPr>
        <w:t>20% RH</w:t>
      </w:r>
      <w:bookmarkEnd w:id="232"/>
      <w:r>
        <w:rPr>
          <w:rFonts w:hint="eastAsia"/>
        </w:rPr>
        <w:t>～80% RH；</w:t>
      </w:r>
    </w:p>
    <w:p w14:paraId="5C50DB6E">
      <w:pPr>
        <w:pStyle w:val="165"/>
      </w:pPr>
      <w:r>
        <w:rPr>
          <w:rFonts w:hint="eastAsia"/>
        </w:rPr>
        <w:t>贮存周期宜不大于6个月。</w:t>
      </w:r>
    </w:p>
    <w:bookmarkEnd w:id="26"/>
    <w:p w14:paraId="24FEE7E0">
      <w:pPr>
        <w:pStyle w:val="56"/>
        <w:ind w:firstLine="0" w:firstLineChars="0"/>
        <w:jc w:val="center"/>
        <w:rPr>
          <w:rFonts w:hint="eastAsia" w:eastAsia="宋体"/>
          <w:lang w:eastAsia="zh-CN"/>
        </w:rPr>
      </w:pPr>
      <w:bookmarkStart w:id="233" w:name="BookMark8"/>
      <w:r>
        <w:rPr>
          <w:rFonts w:hint="eastAsia" w:eastAsia="宋体"/>
          <w:lang w:eastAsia="zh-CN"/>
        </w:rPr>
        <w:drawing>
          <wp:inline distT="0" distB="0" distL="114300" distR="114300">
            <wp:extent cx="1485900" cy="317500"/>
            <wp:effectExtent l="0" t="0" r="0" b="0"/>
            <wp:docPr id="1" name="图片 1" descr="1"/>
            <wp:cNvGraphicFramePr/>
            <a:graphic xmlns:a="http://schemas.openxmlformats.org/drawingml/2006/main">
              <a:graphicData uri="http://schemas.openxmlformats.org/drawingml/2006/picture">
                <pic:pic xmlns:pic="http://schemas.openxmlformats.org/drawingml/2006/picture">
                  <pic:nvPicPr>
                    <pic:cNvPr id="1" name="图片 1" descr="1"/>
                    <pic:cNvPicPr/>
                  </pic:nvPicPr>
                  <pic:blipFill>
                    <a:blip r:embed="rId16"/>
                    <a:stretch>
                      <a:fillRect/>
                    </a:stretch>
                  </pic:blipFill>
                  <pic:spPr>
                    <a:xfrm>
                      <a:off x="0" y="0"/>
                      <a:ext cx="1485900" cy="317500"/>
                    </a:xfrm>
                    <a:prstGeom prst="rect">
                      <a:avLst/>
                    </a:prstGeom>
                  </pic:spPr>
                </pic:pic>
              </a:graphicData>
            </a:graphic>
          </wp:inline>
        </w:drawing>
      </w:r>
      <w:bookmarkEnd w:id="233"/>
    </w:p>
    <w:sectPr>
      <w:pgSz w:w="11906" w:h="16838"/>
      <w:pgMar w:top="1928" w:right="1134" w:bottom="1134" w:left="1134" w:header="1418" w:footer="1134" w:gutter="284"/>
      <w:pgNumType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0CE9C">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248D7">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AD942">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97485">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8965">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E01DB">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1A2AD">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72DC5">
    <w:pPr>
      <w:pStyle w:val="61"/>
      <w:rPr>
        <w:rFonts w:hint="eastAsia"/>
      </w:rPr>
    </w:pPr>
    <w:r>
      <w:fldChar w:fldCharType="begin"/>
    </w:r>
    <w:r>
      <w:instrText xml:space="preserve"> STYLEREF  标准文件_文件编号  \* MERGEFORMAT </w:instrText>
    </w:r>
    <w:r>
      <w:fldChar w:fldCharType="separate"/>
    </w:r>
    <w:r>
      <w:t>T/XXX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64EB5">
    <w:pPr>
      <w:pStyle w:val="18"/>
      <w:jc w:val="right"/>
    </w:pPr>
    <w:r>
      <w:fldChar w:fldCharType="begin"/>
    </w:r>
    <w:r>
      <w:instrText xml:space="preserve"> STYLEREF  标准文件_文件编号  \* MERGEFORMAT </w:instrText>
    </w:r>
    <w:r>
      <w:fldChar w:fldCharType="separate"/>
    </w:r>
    <w:r>
      <w:t>T/XXX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bordersDoNotSurroundHeader w:val="1"/>
  <w:bordersDoNotSurroundFooter w:val="1"/>
  <w:revisionView w:markup="0"/>
  <w:documentProtection w:edit="forms" w:enforcement="1" w:cryptProviderType="rsaFull" w:cryptAlgorithmClass="hash" w:cryptAlgorithmType="typeAny" w:cryptAlgorithmSid="4" w:cryptSpinCount="0" w:hash="ZuN2nG86UY5rYe8b2d7WXadqJf0=" w:salt="hn4WTO7z2k0ry0OxGEdwFQ=="/>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1F"/>
    <w:rsid w:val="0000040A"/>
    <w:rsid w:val="00000A94"/>
    <w:rsid w:val="00001972"/>
    <w:rsid w:val="00001D9A"/>
    <w:rsid w:val="00005824"/>
    <w:rsid w:val="0000765C"/>
    <w:rsid w:val="00007B3A"/>
    <w:rsid w:val="000107E0"/>
    <w:rsid w:val="00011FDE"/>
    <w:rsid w:val="00012FFD"/>
    <w:rsid w:val="00014162"/>
    <w:rsid w:val="00014340"/>
    <w:rsid w:val="0001688E"/>
    <w:rsid w:val="00016A9C"/>
    <w:rsid w:val="00020A02"/>
    <w:rsid w:val="00022184"/>
    <w:rsid w:val="00022762"/>
    <w:rsid w:val="000238E0"/>
    <w:rsid w:val="000249DB"/>
    <w:rsid w:val="0002595E"/>
    <w:rsid w:val="00025F7A"/>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48AD"/>
    <w:rsid w:val="000556ED"/>
    <w:rsid w:val="00055FE2"/>
    <w:rsid w:val="0005616F"/>
    <w:rsid w:val="00060C2E"/>
    <w:rsid w:val="00061033"/>
    <w:rsid w:val="000619E9"/>
    <w:rsid w:val="000622D4"/>
    <w:rsid w:val="00063120"/>
    <w:rsid w:val="0006357D"/>
    <w:rsid w:val="00067F1E"/>
    <w:rsid w:val="00071CC0"/>
    <w:rsid w:val="00071CFC"/>
    <w:rsid w:val="00072583"/>
    <w:rsid w:val="00073C8C"/>
    <w:rsid w:val="00074A37"/>
    <w:rsid w:val="00077B64"/>
    <w:rsid w:val="00080A1C"/>
    <w:rsid w:val="00082317"/>
    <w:rsid w:val="00083D2C"/>
    <w:rsid w:val="00083E51"/>
    <w:rsid w:val="00086AA1"/>
    <w:rsid w:val="00087A77"/>
    <w:rsid w:val="00090CA6"/>
    <w:rsid w:val="00092B8A"/>
    <w:rsid w:val="00092FB0"/>
    <w:rsid w:val="000934C5"/>
    <w:rsid w:val="00093D25"/>
    <w:rsid w:val="00093DAB"/>
    <w:rsid w:val="00094C6F"/>
    <w:rsid w:val="00094D73"/>
    <w:rsid w:val="00096D63"/>
    <w:rsid w:val="000A0B60"/>
    <w:rsid w:val="000A0EB8"/>
    <w:rsid w:val="000A19FC"/>
    <w:rsid w:val="000A296B"/>
    <w:rsid w:val="000A6B18"/>
    <w:rsid w:val="000A7311"/>
    <w:rsid w:val="000B02B1"/>
    <w:rsid w:val="000B060F"/>
    <w:rsid w:val="000B1592"/>
    <w:rsid w:val="000B1FF2"/>
    <w:rsid w:val="000B3CDA"/>
    <w:rsid w:val="000B478D"/>
    <w:rsid w:val="000B6A0B"/>
    <w:rsid w:val="000C0F6C"/>
    <w:rsid w:val="000C11DB"/>
    <w:rsid w:val="000C1492"/>
    <w:rsid w:val="000C1655"/>
    <w:rsid w:val="000C27D2"/>
    <w:rsid w:val="000C2F81"/>
    <w:rsid w:val="000C2FBD"/>
    <w:rsid w:val="000C4B41"/>
    <w:rsid w:val="000C57D6"/>
    <w:rsid w:val="000C6362"/>
    <w:rsid w:val="000C7666"/>
    <w:rsid w:val="000D0A9C"/>
    <w:rsid w:val="000D1795"/>
    <w:rsid w:val="000D1B38"/>
    <w:rsid w:val="000D329A"/>
    <w:rsid w:val="000D4B9C"/>
    <w:rsid w:val="000D4EB6"/>
    <w:rsid w:val="000D753B"/>
    <w:rsid w:val="000E1739"/>
    <w:rsid w:val="000E4C9E"/>
    <w:rsid w:val="000E6FD7"/>
    <w:rsid w:val="000E7144"/>
    <w:rsid w:val="000F06E1"/>
    <w:rsid w:val="000F0E3C"/>
    <w:rsid w:val="000F19D5"/>
    <w:rsid w:val="000F3DBA"/>
    <w:rsid w:val="000F4050"/>
    <w:rsid w:val="000F4AEA"/>
    <w:rsid w:val="000F5404"/>
    <w:rsid w:val="000F67E9"/>
    <w:rsid w:val="00104926"/>
    <w:rsid w:val="001076C5"/>
    <w:rsid w:val="001130D2"/>
    <w:rsid w:val="00113B1E"/>
    <w:rsid w:val="00116572"/>
    <w:rsid w:val="0011711C"/>
    <w:rsid w:val="0011798C"/>
    <w:rsid w:val="0012194A"/>
    <w:rsid w:val="00124E4F"/>
    <w:rsid w:val="001260B7"/>
    <w:rsid w:val="001265CB"/>
    <w:rsid w:val="001302BC"/>
    <w:rsid w:val="001321C6"/>
    <w:rsid w:val="001325C4"/>
    <w:rsid w:val="00133010"/>
    <w:rsid w:val="001338EE"/>
    <w:rsid w:val="00133AAE"/>
    <w:rsid w:val="00135323"/>
    <w:rsid w:val="001356C4"/>
    <w:rsid w:val="00137565"/>
    <w:rsid w:val="00141114"/>
    <w:rsid w:val="0014261D"/>
    <w:rsid w:val="00142969"/>
    <w:rsid w:val="001446C2"/>
    <w:rsid w:val="001457E7"/>
    <w:rsid w:val="00145D9D"/>
    <w:rsid w:val="00146388"/>
    <w:rsid w:val="0014793C"/>
    <w:rsid w:val="001529E5"/>
    <w:rsid w:val="00152FB3"/>
    <w:rsid w:val="00153C7E"/>
    <w:rsid w:val="00156B25"/>
    <w:rsid w:val="00156E1A"/>
    <w:rsid w:val="001573C0"/>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5384"/>
    <w:rsid w:val="00176DFD"/>
    <w:rsid w:val="001852C9"/>
    <w:rsid w:val="00187A0B"/>
    <w:rsid w:val="00190087"/>
    <w:rsid w:val="001913C4"/>
    <w:rsid w:val="00192EE3"/>
    <w:rsid w:val="0019348F"/>
    <w:rsid w:val="00193A07"/>
    <w:rsid w:val="00193CD7"/>
    <w:rsid w:val="00194C95"/>
    <w:rsid w:val="00195C34"/>
    <w:rsid w:val="00196EF5"/>
    <w:rsid w:val="0019751F"/>
    <w:rsid w:val="001A0DFD"/>
    <w:rsid w:val="001A1A53"/>
    <w:rsid w:val="001A234A"/>
    <w:rsid w:val="001A4CF3"/>
    <w:rsid w:val="001A6696"/>
    <w:rsid w:val="001B06E8"/>
    <w:rsid w:val="001B3F3C"/>
    <w:rsid w:val="001B71D0"/>
    <w:rsid w:val="001B71EE"/>
    <w:rsid w:val="001C04A8"/>
    <w:rsid w:val="001C058A"/>
    <w:rsid w:val="001C2C03"/>
    <w:rsid w:val="001C42F7"/>
    <w:rsid w:val="001C49E5"/>
    <w:rsid w:val="001C680C"/>
    <w:rsid w:val="001C7FEA"/>
    <w:rsid w:val="001D0499"/>
    <w:rsid w:val="001D0BBE"/>
    <w:rsid w:val="001D0ED4"/>
    <w:rsid w:val="001D1E1A"/>
    <w:rsid w:val="001D212F"/>
    <w:rsid w:val="001D29D7"/>
    <w:rsid w:val="001D2DE7"/>
    <w:rsid w:val="001D411C"/>
    <w:rsid w:val="001E1B6A"/>
    <w:rsid w:val="001E2484"/>
    <w:rsid w:val="001E3CC4"/>
    <w:rsid w:val="001E4566"/>
    <w:rsid w:val="001E4882"/>
    <w:rsid w:val="001E6858"/>
    <w:rsid w:val="001E6E69"/>
    <w:rsid w:val="001E73AB"/>
    <w:rsid w:val="001F092D"/>
    <w:rsid w:val="001F0D5B"/>
    <w:rsid w:val="001F143A"/>
    <w:rsid w:val="001F1605"/>
    <w:rsid w:val="001F2508"/>
    <w:rsid w:val="001F32A7"/>
    <w:rsid w:val="001F4816"/>
    <w:rsid w:val="001F5C56"/>
    <w:rsid w:val="001F69B4"/>
    <w:rsid w:val="001F77C7"/>
    <w:rsid w:val="00200183"/>
    <w:rsid w:val="00200333"/>
    <w:rsid w:val="0020107D"/>
    <w:rsid w:val="002029F3"/>
    <w:rsid w:val="00202AA4"/>
    <w:rsid w:val="002031F7"/>
    <w:rsid w:val="002040E6"/>
    <w:rsid w:val="0020527B"/>
    <w:rsid w:val="00205F2C"/>
    <w:rsid w:val="00206AB7"/>
    <w:rsid w:val="002106D2"/>
    <w:rsid w:val="00210B15"/>
    <w:rsid w:val="002142EA"/>
    <w:rsid w:val="00215ADD"/>
    <w:rsid w:val="002202C4"/>
    <w:rsid w:val="002204BB"/>
    <w:rsid w:val="00221B79"/>
    <w:rsid w:val="00221C6B"/>
    <w:rsid w:val="00222010"/>
    <w:rsid w:val="00222A92"/>
    <w:rsid w:val="002253A1"/>
    <w:rsid w:val="00225CF8"/>
    <w:rsid w:val="002267AA"/>
    <w:rsid w:val="002276BC"/>
    <w:rsid w:val="0022794E"/>
    <w:rsid w:val="00233D64"/>
    <w:rsid w:val="0023482A"/>
    <w:rsid w:val="002359CB"/>
    <w:rsid w:val="002423CC"/>
    <w:rsid w:val="00243540"/>
    <w:rsid w:val="0024497B"/>
    <w:rsid w:val="0024515B"/>
    <w:rsid w:val="00246021"/>
    <w:rsid w:val="0024666E"/>
    <w:rsid w:val="0024741F"/>
    <w:rsid w:val="00247F52"/>
    <w:rsid w:val="00250B25"/>
    <w:rsid w:val="00250BBE"/>
    <w:rsid w:val="002515C2"/>
    <w:rsid w:val="0025194F"/>
    <w:rsid w:val="002569B9"/>
    <w:rsid w:val="00261289"/>
    <w:rsid w:val="0026148A"/>
    <w:rsid w:val="002614B4"/>
    <w:rsid w:val="00262696"/>
    <w:rsid w:val="00263D25"/>
    <w:rsid w:val="002643C3"/>
    <w:rsid w:val="00264A0C"/>
    <w:rsid w:val="00265804"/>
    <w:rsid w:val="00266AB4"/>
    <w:rsid w:val="00266EEB"/>
    <w:rsid w:val="00267EF4"/>
    <w:rsid w:val="00270CB8"/>
    <w:rsid w:val="00272B08"/>
    <w:rsid w:val="0027432D"/>
    <w:rsid w:val="00281BB8"/>
    <w:rsid w:val="00281E9E"/>
    <w:rsid w:val="00282405"/>
    <w:rsid w:val="00285170"/>
    <w:rsid w:val="00285361"/>
    <w:rsid w:val="002915B7"/>
    <w:rsid w:val="00291914"/>
    <w:rsid w:val="00292D60"/>
    <w:rsid w:val="00293B30"/>
    <w:rsid w:val="00294D34"/>
    <w:rsid w:val="00294E3B"/>
    <w:rsid w:val="00295273"/>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4E9A"/>
    <w:rsid w:val="002C5278"/>
    <w:rsid w:val="002C72B5"/>
    <w:rsid w:val="002C7EBB"/>
    <w:rsid w:val="002D06C1"/>
    <w:rsid w:val="002D0F26"/>
    <w:rsid w:val="002D1604"/>
    <w:rsid w:val="002D42B5"/>
    <w:rsid w:val="002D4C24"/>
    <w:rsid w:val="002D4D17"/>
    <w:rsid w:val="002D4F1A"/>
    <w:rsid w:val="002D6EC6"/>
    <w:rsid w:val="002D79AC"/>
    <w:rsid w:val="002E039D"/>
    <w:rsid w:val="002E0F2F"/>
    <w:rsid w:val="002E3FC6"/>
    <w:rsid w:val="002E4D5A"/>
    <w:rsid w:val="002E61A9"/>
    <w:rsid w:val="002E6326"/>
    <w:rsid w:val="002F30E0"/>
    <w:rsid w:val="002F35E4"/>
    <w:rsid w:val="002F3730"/>
    <w:rsid w:val="002F38E1"/>
    <w:rsid w:val="002F445A"/>
    <w:rsid w:val="002F7AF6"/>
    <w:rsid w:val="00300D50"/>
    <w:rsid w:val="00300E63"/>
    <w:rsid w:val="00302F5F"/>
    <w:rsid w:val="003030E6"/>
    <w:rsid w:val="0030441D"/>
    <w:rsid w:val="003046EC"/>
    <w:rsid w:val="00306063"/>
    <w:rsid w:val="00313B85"/>
    <w:rsid w:val="003149D2"/>
    <w:rsid w:val="00317988"/>
    <w:rsid w:val="003221B4"/>
    <w:rsid w:val="0032258D"/>
    <w:rsid w:val="00322E62"/>
    <w:rsid w:val="00324D13"/>
    <w:rsid w:val="00324EDD"/>
    <w:rsid w:val="003331E4"/>
    <w:rsid w:val="00336C64"/>
    <w:rsid w:val="00337162"/>
    <w:rsid w:val="00340B06"/>
    <w:rsid w:val="0034194F"/>
    <w:rsid w:val="00344605"/>
    <w:rsid w:val="003474AA"/>
    <w:rsid w:val="00350D1D"/>
    <w:rsid w:val="00352C83"/>
    <w:rsid w:val="00352F1A"/>
    <w:rsid w:val="00356878"/>
    <w:rsid w:val="0036107C"/>
    <w:rsid w:val="003612B4"/>
    <w:rsid w:val="003615D2"/>
    <w:rsid w:val="003615FF"/>
    <w:rsid w:val="00363848"/>
    <w:rsid w:val="0036429C"/>
    <w:rsid w:val="00364A53"/>
    <w:rsid w:val="00364B73"/>
    <w:rsid w:val="003654CB"/>
    <w:rsid w:val="00365AA9"/>
    <w:rsid w:val="00365F86"/>
    <w:rsid w:val="00365F87"/>
    <w:rsid w:val="00366570"/>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650"/>
    <w:rsid w:val="00390EE6"/>
    <w:rsid w:val="0039118F"/>
    <w:rsid w:val="0039162B"/>
    <w:rsid w:val="00392AD7"/>
    <w:rsid w:val="003938D9"/>
    <w:rsid w:val="00394376"/>
    <w:rsid w:val="003943FF"/>
    <w:rsid w:val="003974EB"/>
    <w:rsid w:val="00397CC5"/>
    <w:rsid w:val="003A11D1"/>
    <w:rsid w:val="003A1582"/>
    <w:rsid w:val="003A2136"/>
    <w:rsid w:val="003A3D9C"/>
    <w:rsid w:val="003A4077"/>
    <w:rsid w:val="003A4AA7"/>
    <w:rsid w:val="003B09AD"/>
    <w:rsid w:val="003B1F18"/>
    <w:rsid w:val="003B5BF0"/>
    <w:rsid w:val="003B60BF"/>
    <w:rsid w:val="003B6BE3"/>
    <w:rsid w:val="003C010C"/>
    <w:rsid w:val="003C0A6C"/>
    <w:rsid w:val="003C14F8"/>
    <w:rsid w:val="003C2D39"/>
    <w:rsid w:val="003C5A43"/>
    <w:rsid w:val="003D0519"/>
    <w:rsid w:val="003D0FF6"/>
    <w:rsid w:val="003D262C"/>
    <w:rsid w:val="003D6D61"/>
    <w:rsid w:val="003E019F"/>
    <w:rsid w:val="003E091D"/>
    <w:rsid w:val="003E1C53"/>
    <w:rsid w:val="003E2463"/>
    <w:rsid w:val="003E2A69"/>
    <w:rsid w:val="003E2D49"/>
    <w:rsid w:val="003E2FD4"/>
    <w:rsid w:val="003E3EEA"/>
    <w:rsid w:val="003E49F6"/>
    <w:rsid w:val="003E660F"/>
    <w:rsid w:val="003F0841"/>
    <w:rsid w:val="003F23D3"/>
    <w:rsid w:val="003F336E"/>
    <w:rsid w:val="003F3F08"/>
    <w:rsid w:val="003F49F1"/>
    <w:rsid w:val="003F6272"/>
    <w:rsid w:val="00400E72"/>
    <w:rsid w:val="00401400"/>
    <w:rsid w:val="00402BF4"/>
    <w:rsid w:val="004030F5"/>
    <w:rsid w:val="004043AC"/>
    <w:rsid w:val="00404869"/>
    <w:rsid w:val="004054E9"/>
    <w:rsid w:val="00405553"/>
    <w:rsid w:val="004056E5"/>
    <w:rsid w:val="00405884"/>
    <w:rsid w:val="00406C77"/>
    <w:rsid w:val="00407D39"/>
    <w:rsid w:val="004114B9"/>
    <w:rsid w:val="0041477A"/>
    <w:rsid w:val="004167A3"/>
    <w:rsid w:val="00416E6C"/>
    <w:rsid w:val="00417F14"/>
    <w:rsid w:val="00421AB4"/>
    <w:rsid w:val="00430C1F"/>
    <w:rsid w:val="00432DAA"/>
    <w:rsid w:val="00434305"/>
    <w:rsid w:val="00435454"/>
    <w:rsid w:val="00435DF7"/>
    <w:rsid w:val="0044083F"/>
    <w:rsid w:val="00441AE7"/>
    <w:rsid w:val="00445574"/>
    <w:rsid w:val="004467FB"/>
    <w:rsid w:val="00446EF4"/>
    <w:rsid w:val="004507F8"/>
    <w:rsid w:val="00452D6B"/>
    <w:rsid w:val="00454158"/>
    <w:rsid w:val="00454484"/>
    <w:rsid w:val="0045517B"/>
    <w:rsid w:val="004634EB"/>
    <w:rsid w:val="00463B77"/>
    <w:rsid w:val="00463C7B"/>
    <w:rsid w:val="004644A6"/>
    <w:rsid w:val="004659BD"/>
    <w:rsid w:val="00470775"/>
    <w:rsid w:val="00473829"/>
    <w:rsid w:val="004746B1"/>
    <w:rsid w:val="0047583F"/>
    <w:rsid w:val="00475DE8"/>
    <w:rsid w:val="00476B0C"/>
    <w:rsid w:val="00481C44"/>
    <w:rsid w:val="004842B6"/>
    <w:rsid w:val="00484936"/>
    <w:rsid w:val="00484BDE"/>
    <w:rsid w:val="00485C89"/>
    <w:rsid w:val="00486BE3"/>
    <w:rsid w:val="004905E4"/>
    <w:rsid w:val="00490A89"/>
    <w:rsid w:val="00490AB4"/>
    <w:rsid w:val="00492F02"/>
    <w:rsid w:val="004939AE"/>
    <w:rsid w:val="004A12DF"/>
    <w:rsid w:val="004A1BA8"/>
    <w:rsid w:val="004A1F45"/>
    <w:rsid w:val="004A4B57"/>
    <w:rsid w:val="004A63FA"/>
    <w:rsid w:val="004A6A3D"/>
    <w:rsid w:val="004B0272"/>
    <w:rsid w:val="004B2701"/>
    <w:rsid w:val="004B2E1B"/>
    <w:rsid w:val="004B3AA8"/>
    <w:rsid w:val="004B3E93"/>
    <w:rsid w:val="004C1FBC"/>
    <w:rsid w:val="004C25A2"/>
    <w:rsid w:val="004C3F1D"/>
    <w:rsid w:val="004C458D"/>
    <w:rsid w:val="004C63DA"/>
    <w:rsid w:val="004C7556"/>
    <w:rsid w:val="004C7E8B"/>
    <w:rsid w:val="004C7E9D"/>
    <w:rsid w:val="004C7F67"/>
    <w:rsid w:val="004D076D"/>
    <w:rsid w:val="004D0EF1"/>
    <w:rsid w:val="004D2253"/>
    <w:rsid w:val="004D4406"/>
    <w:rsid w:val="004D7C42"/>
    <w:rsid w:val="004E0465"/>
    <w:rsid w:val="004E127B"/>
    <w:rsid w:val="004E1C0A"/>
    <w:rsid w:val="004E30C5"/>
    <w:rsid w:val="004E3715"/>
    <w:rsid w:val="004E4AA5"/>
    <w:rsid w:val="004E4AEE"/>
    <w:rsid w:val="004E59E3"/>
    <w:rsid w:val="004E67C0"/>
    <w:rsid w:val="004F165F"/>
    <w:rsid w:val="004F391A"/>
    <w:rsid w:val="004F3CFB"/>
    <w:rsid w:val="004F4C74"/>
    <w:rsid w:val="004F6456"/>
    <w:rsid w:val="004F696E"/>
    <w:rsid w:val="004F6C2D"/>
    <w:rsid w:val="004F6C71"/>
    <w:rsid w:val="00501139"/>
    <w:rsid w:val="0050363E"/>
    <w:rsid w:val="005039BC"/>
    <w:rsid w:val="00503A49"/>
    <w:rsid w:val="005043BB"/>
    <w:rsid w:val="00504A3D"/>
    <w:rsid w:val="00505767"/>
    <w:rsid w:val="00506E34"/>
    <w:rsid w:val="005073F0"/>
    <w:rsid w:val="00510A7B"/>
    <w:rsid w:val="00512F6E"/>
    <w:rsid w:val="00513038"/>
    <w:rsid w:val="00514174"/>
    <w:rsid w:val="00516088"/>
    <w:rsid w:val="00516B0B"/>
    <w:rsid w:val="00520F13"/>
    <w:rsid w:val="005220EC"/>
    <w:rsid w:val="00523F95"/>
    <w:rsid w:val="00524D65"/>
    <w:rsid w:val="00525B16"/>
    <w:rsid w:val="0053086F"/>
    <w:rsid w:val="00533D04"/>
    <w:rsid w:val="005344A2"/>
    <w:rsid w:val="00534804"/>
    <w:rsid w:val="00534BDF"/>
    <w:rsid w:val="005354EA"/>
    <w:rsid w:val="0053585F"/>
    <w:rsid w:val="00535EC4"/>
    <w:rsid w:val="00535ED9"/>
    <w:rsid w:val="0053692B"/>
    <w:rsid w:val="00541853"/>
    <w:rsid w:val="00543210"/>
    <w:rsid w:val="00543BDA"/>
    <w:rsid w:val="005441CC"/>
    <w:rsid w:val="005479DA"/>
    <w:rsid w:val="00547BCC"/>
    <w:rsid w:val="0055013B"/>
    <w:rsid w:val="00551F6F"/>
    <w:rsid w:val="00555044"/>
    <w:rsid w:val="00555E65"/>
    <w:rsid w:val="00561475"/>
    <w:rsid w:val="00562308"/>
    <w:rsid w:val="0056487B"/>
    <w:rsid w:val="00564FB9"/>
    <w:rsid w:val="00573D9E"/>
    <w:rsid w:val="005801E3"/>
    <w:rsid w:val="00581802"/>
    <w:rsid w:val="00582125"/>
    <w:rsid w:val="005836A8"/>
    <w:rsid w:val="0058409C"/>
    <w:rsid w:val="00584262"/>
    <w:rsid w:val="00585C54"/>
    <w:rsid w:val="00586033"/>
    <w:rsid w:val="00586630"/>
    <w:rsid w:val="00587ADD"/>
    <w:rsid w:val="00590CAA"/>
    <w:rsid w:val="00593A49"/>
    <w:rsid w:val="0059508A"/>
    <w:rsid w:val="00596160"/>
    <w:rsid w:val="005966E2"/>
    <w:rsid w:val="00597007"/>
    <w:rsid w:val="005977A0"/>
    <w:rsid w:val="005A0966"/>
    <w:rsid w:val="005A11B7"/>
    <w:rsid w:val="005A19CD"/>
    <w:rsid w:val="005A260B"/>
    <w:rsid w:val="005A3D93"/>
    <w:rsid w:val="005A3FCF"/>
    <w:rsid w:val="005A4A1B"/>
    <w:rsid w:val="005A7830"/>
    <w:rsid w:val="005A7FCE"/>
    <w:rsid w:val="005B0F3F"/>
    <w:rsid w:val="005B191C"/>
    <w:rsid w:val="005B4903"/>
    <w:rsid w:val="005B4EF3"/>
    <w:rsid w:val="005B51CE"/>
    <w:rsid w:val="005B5885"/>
    <w:rsid w:val="005B5CD7"/>
    <w:rsid w:val="005B6CF6"/>
    <w:rsid w:val="005B7422"/>
    <w:rsid w:val="005B76FE"/>
    <w:rsid w:val="005C29B8"/>
    <w:rsid w:val="005C3B87"/>
    <w:rsid w:val="005C47E6"/>
    <w:rsid w:val="005C5F21"/>
    <w:rsid w:val="005C7156"/>
    <w:rsid w:val="005D0C75"/>
    <w:rsid w:val="005D4171"/>
    <w:rsid w:val="005D6A95"/>
    <w:rsid w:val="005D6B2C"/>
    <w:rsid w:val="005D6D9C"/>
    <w:rsid w:val="005E1F84"/>
    <w:rsid w:val="005E2335"/>
    <w:rsid w:val="005E34CA"/>
    <w:rsid w:val="005E3C18"/>
    <w:rsid w:val="005E4250"/>
    <w:rsid w:val="005E634D"/>
    <w:rsid w:val="005E6812"/>
    <w:rsid w:val="005E7881"/>
    <w:rsid w:val="005E78E0"/>
    <w:rsid w:val="005F0D9C"/>
    <w:rsid w:val="005F284E"/>
    <w:rsid w:val="005F2E41"/>
    <w:rsid w:val="006015CE"/>
    <w:rsid w:val="006033EA"/>
    <w:rsid w:val="00604784"/>
    <w:rsid w:val="00606419"/>
    <w:rsid w:val="00607D29"/>
    <w:rsid w:val="00612952"/>
    <w:rsid w:val="00614CC1"/>
    <w:rsid w:val="00615A9D"/>
    <w:rsid w:val="006172A7"/>
    <w:rsid w:val="00617387"/>
    <w:rsid w:val="006205D6"/>
    <w:rsid w:val="006224F5"/>
    <w:rsid w:val="006234BE"/>
    <w:rsid w:val="006252D8"/>
    <w:rsid w:val="006259BC"/>
    <w:rsid w:val="0062636B"/>
    <w:rsid w:val="006301EC"/>
    <w:rsid w:val="00632182"/>
    <w:rsid w:val="00632AE0"/>
    <w:rsid w:val="00633C17"/>
    <w:rsid w:val="00634D9E"/>
    <w:rsid w:val="00636E3E"/>
    <w:rsid w:val="006378DF"/>
    <w:rsid w:val="006379F7"/>
    <w:rsid w:val="00637E4D"/>
    <w:rsid w:val="00640620"/>
    <w:rsid w:val="00640D16"/>
    <w:rsid w:val="00641A1F"/>
    <w:rsid w:val="00645904"/>
    <w:rsid w:val="00651ACB"/>
    <w:rsid w:val="00651C47"/>
    <w:rsid w:val="00652AB2"/>
    <w:rsid w:val="0065380B"/>
    <w:rsid w:val="00653FED"/>
    <w:rsid w:val="00654EC0"/>
    <w:rsid w:val="0065525B"/>
    <w:rsid w:val="00655D4F"/>
    <w:rsid w:val="00656D29"/>
    <w:rsid w:val="006640E5"/>
    <w:rsid w:val="006646F1"/>
    <w:rsid w:val="00664929"/>
    <w:rsid w:val="00664F62"/>
    <w:rsid w:val="006655E1"/>
    <w:rsid w:val="00667451"/>
    <w:rsid w:val="00672060"/>
    <w:rsid w:val="00672BFD"/>
    <w:rsid w:val="00675089"/>
    <w:rsid w:val="006770F4"/>
    <w:rsid w:val="00677A84"/>
    <w:rsid w:val="0068026D"/>
    <w:rsid w:val="00680A27"/>
    <w:rsid w:val="006816A4"/>
    <w:rsid w:val="006819B8"/>
    <w:rsid w:val="00683006"/>
    <w:rsid w:val="006840A6"/>
    <w:rsid w:val="006850CD"/>
    <w:rsid w:val="00685AAB"/>
    <w:rsid w:val="00692288"/>
    <w:rsid w:val="00692615"/>
    <w:rsid w:val="006A07AA"/>
    <w:rsid w:val="006A25E5"/>
    <w:rsid w:val="006A2B46"/>
    <w:rsid w:val="006A336D"/>
    <w:rsid w:val="006A37B9"/>
    <w:rsid w:val="006B2672"/>
    <w:rsid w:val="006B54BF"/>
    <w:rsid w:val="006B5F44"/>
    <w:rsid w:val="006B5F90"/>
    <w:rsid w:val="006B62E4"/>
    <w:rsid w:val="006B6EAD"/>
    <w:rsid w:val="006C1BBA"/>
    <w:rsid w:val="006C2079"/>
    <w:rsid w:val="006C3796"/>
    <w:rsid w:val="006C5A62"/>
    <w:rsid w:val="006C5D68"/>
    <w:rsid w:val="006C6976"/>
    <w:rsid w:val="006C6DD0"/>
    <w:rsid w:val="006D04EA"/>
    <w:rsid w:val="006D16C4"/>
    <w:rsid w:val="006D2EC8"/>
    <w:rsid w:val="006D3E96"/>
    <w:rsid w:val="006D4515"/>
    <w:rsid w:val="006D4BB1"/>
    <w:rsid w:val="006D6593"/>
    <w:rsid w:val="006E0A88"/>
    <w:rsid w:val="006E2408"/>
    <w:rsid w:val="006E39FE"/>
    <w:rsid w:val="006E453E"/>
    <w:rsid w:val="006F03A8"/>
    <w:rsid w:val="006F2163"/>
    <w:rsid w:val="006F2ACA"/>
    <w:rsid w:val="006F2ADC"/>
    <w:rsid w:val="006F2BFE"/>
    <w:rsid w:val="006F31E9"/>
    <w:rsid w:val="006F51AD"/>
    <w:rsid w:val="006F55AF"/>
    <w:rsid w:val="006F6284"/>
    <w:rsid w:val="007002C5"/>
    <w:rsid w:val="00702393"/>
    <w:rsid w:val="00703819"/>
    <w:rsid w:val="00704387"/>
    <w:rsid w:val="00704EED"/>
    <w:rsid w:val="00707669"/>
    <w:rsid w:val="00711CBA"/>
    <w:rsid w:val="00711EB2"/>
    <w:rsid w:val="00711FB5"/>
    <w:rsid w:val="00712A01"/>
    <w:rsid w:val="00714F58"/>
    <w:rsid w:val="00722FBF"/>
    <w:rsid w:val="00722FC2"/>
    <w:rsid w:val="00724E1B"/>
    <w:rsid w:val="00725949"/>
    <w:rsid w:val="00727FA2"/>
    <w:rsid w:val="00730BF2"/>
    <w:rsid w:val="007322D9"/>
    <w:rsid w:val="00732BC0"/>
    <w:rsid w:val="0073720F"/>
    <w:rsid w:val="00737796"/>
    <w:rsid w:val="0074165C"/>
    <w:rsid w:val="00742492"/>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54B7"/>
    <w:rsid w:val="007557B5"/>
    <w:rsid w:val="00756B26"/>
    <w:rsid w:val="00756EDF"/>
    <w:rsid w:val="007600E3"/>
    <w:rsid w:val="00762DA2"/>
    <w:rsid w:val="00765C43"/>
    <w:rsid w:val="00765EFB"/>
    <w:rsid w:val="00766474"/>
    <w:rsid w:val="00766FA0"/>
    <w:rsid w:val="007671CA"/>
    <w:rsid w:val="00767C61"/>
    <w:rsid w:val="0077008A"/>
    <w:rsid w:val="00771886"/>
    <w:rsid w:val="00773C1F"/>
    <w:rsid w:val="00774DA4"/>
    <w:rsid w:val="00776599"/>
    <w:rsid w:val="0078114B"/>
    <w:rsid w:val="00781DD2"/>
    <w:rsid w:val="00782423"/>
    <w:rsid w:val="00783993"/>
    <w:rsid w:val="00783ECF"/>
    <w:rsid w:val="0078413A"/>
    <w:rsid w:val="00792FE1"/>
    <w:rsid w:val="007959E8"/>
    <w:rsid w:val="00795E9C"/>
    <w:rsid w:val="007A0521"/>
    <w:rsid w:val="007A2E12"/>
    <w:rsid w:val="007A3475"/>
    <w:rsid w:val="007A41C8"/>
    <w:rsid w:val="007A54CE"/>
    <w:rsid w:val="007A5D3A"/>
    <w:rsid w:val="007A6FD9"/>
    <w:rsid w:val="007A7FFA"/>
    <w:rsid w:val="007B04EB"/>
    <w:rsid w:val="007B0D4F"/>
    <w:rsid w:val="007B1149"/>
    <w:rsid w:val="007B5A3D"/>
    <w:rsid w:val="007B5B95"/>
    <w:rsid w:val="007B6032"/>
    <w:rsid w:val="007B68EA"/>
    <w:rsid w:val="007B7453"/>
    <w:rsid w:val="007B7FB7"/>
    <w:rsid w:val="007C03E4"/>
    <w:rsid w:val="007C08DD"/>
    <w:rsid w:val="007C2D89"/>
    <w:rsid w:val="007C4593"/>
    <w:rsid w:val="007C5309"/>
    <w:rsid w:val="007C6069"/>
    <w:rsid w:val="007C7CD6"/>
    <w:rsid w:val="007D06C4"/>
    <w:rsid w:val="007D0EAB"/>
    <w:rsid w:val="007D0F85"/>
    <w:rsid w:val="007D1352"/>
    <w:rsid w:val="007D2508"/>
    <w:rsid w:val="007D346A"/>
    <w:rsid w:val="007D61FA"/>
    <w:rsid w:val="007D6518"/>
    <w:rsid w:val="007D76BD"/>
    <w:rsid w:val="007E0BF1"/>
    <w:rsid w:val="007E30D3"/>
    <w:rsid w:val="007E4CEE"/>
    <w:rsid w:val="007F0ED8"/>
    <w:rsid w:val="007F0F63"/>
    <w:rsid w:val="007F5E90"/>
    <w:rsid w:val="007F60B0"/>
    <w:rsid w:val="007F6BF0"/>
    <w:rsid w:val="007F75CE"/>
    <w:rsid w:val="008013A4"/>
    <w:rsid w:val="008027CE"/>
    <w:rsid w:val="00802955"/>
    <w:rsid w:val="00802F42"/>
    <w:rsid w:val="008036B4"/>
    <w:rsid w:val="00804383"/>
    <w:rsid w:val="00804BB7"/>
    <w:rsid w:val="00804D41"/>
    <w:rsid w:val="0080505A"/>
    <w:rsid w:val="008057D6"/>
    <w:rsid w:val="008060DA"/>
    <w:rsid w:val="00810257"/>
    <w:rsid w:val="008104F5"/>
    <w:rsid w:val="00811072"/>
    <w:rsid w:val="00811369"/>
    <w:rsid w:val="00814890"/>
    <w:rsid w:val="00814EB0"/>
    <w:rsid w:val="00815419"/>
    <w:rsid w:val="008163C8"/>
    <w:rsid w:val="008164A1"/>
    <w:rsid w:val="00817325"/>
    <w:rsid w:val="00817C67"/>
    <w:rsid w:val="008209E6"/>
    <w:rsid w:val="00821D19"/>
    <w:rsid w:val="00823303"/>
    <w:rsid w:val="008233B2"/>
    <w:rsid w:val="00823A9F"/>
    <w:rsid w:val="00823C85"/>
    <w:rsid w:val="00825138"/>
    <w:rsid w:val="008269DD"/>
    <w:rsid w:val="00830621"/>
    <w:rsid w:val="008310A4"/>
    <w:rsid w:val="00831452"/>
    <w:rsid w:val="0083348C"/>
    <w:rsid w:val="008373D3"/>
    <w:rsid w:val="00840617"/>
    <w:rsid w:val="00840F84"/>
    <w:rsid w:val="00842A47"/>
    <w:rsid w:val="00843C13"/>
    <w:rsid w:val="00843DEF"/>
    <w:rsid w:val="008454F8"/>
    <w:rsid w:val="0085173A"/>
    <w:rsid w:val="0085503E"/>
    <w:rsid w:val="008603CE"/>
    <w:rsid w:val="008620FC"/>
    <w:rsid w:val="008627A5"/>
    <w:rsid w:val="00863E05"/>
    <w:rsid w:val="00865ACA"/>
    <w:rsid w:val="00865D28"/>
    <w:rsid w:val="00865F85"/>
    <w:rsid w:val="00867C10"/>
    <w:rsid w:val="00870439"/>
    <w:rsid w:val="00870DA1"/>
    <w:rsid w:val="008720A0"/>
    <w:rsid w:val="008734E7"/>
    <w:rsid w:val="00873DE7"/>
    <w:rsid w:val="00874FB3"/>
    <w:rsid w:val="00875D78"/>
    <w:rsid w:val="00875F2C"/>
    <w:rsid w:val="00876CCC"/>
    <w:rsid w:val="008776CA"/>
    <w:rsid w:val="00883BA0"/>
    <w:rsid w:val="00883F93"/>
    <w:rsid w:val="00884DB3"/>
    <w:rsid w:val="00885A9D"/>
    <w:rsid w:val="008864F6"/>
    <w:rsid w:val="0089049D"/>
    <w:rsid w:val="008916A3"/>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A7806"/>
    <w:rsid w:val="008B0C9C"/>
    <w:rsid w:val="008B166D"/>
    <w:rsid w:val="008B17F4"/>
    <w:rsid w:val="008B3615"/>
    <w:rsid w:val="008B4AC4"/>
    <w:rsid w:val="008B4E49"/>
    <w:rsid w:val="008B50C8"/>
    <w:rsid w:val="008B5281"/>
    <w:rsid w:val="008B7E05"/>
    <w:rsid w:val="008C1797"/>
    <w:rsid w:val="008C2182"/>
    <w:rsid w:val="008C219C"/>
    <w:rsid w:val="008C475E"/>
    <w:rsid w:val="008C53AE"/>
    <w:rsid w:val="008C607E"/>
    <w:rsid w:val="008C619A"/>
    <w:rsid w:val="008D0CE8"/>
    <w:rsid w:val="008D2D1D"/>
    <w:rsid w:val="008D3434"/>
    <w:rsid w:val="008D453D"/>
    <w:rsid w:val="008D53AD"/>
    <w:rsid w:val="008D562B"/>
    <w:rsid w:val="008D5733"/>
    <w:rsid w:val="008D622B"/>
    <w:rsid w:val="008D666C"/>
    <w:rsid w:val="008D79E2"/>
    <w:rsid w:val="008D7B54"/>
    <w:rsid w:val="008E0C9D"/>
    <w:rsid w:val="008E1648"/>
    <w:rsid w:val="008E1B3E"/>
    <w:rsid w:val="008E2319"/>
    <w:rsid w:val="008E47BA"/>
    <w:rsid w:val="008E4BB6"/>
    <w:rsid w:val="008E5518"/>
    <w:rsid w:val="008E6A84"/>
    <w:rsid w:val="008F0CDC"/>
    <w:rsid w:val="008F17A3"/>
    <w:rsid w:val="008F1ED3"/>
    <w:rsid w:val="008F4C29"/>
    <w:rsid w:val="008F6B88"/>
    <w:rsid w:val="008F70BD"/>
    <w:rsid w:val="008F788F"/>
    <w:rsid w:val="008F7EA2"/>
    <w:rsid w:val="00902722"/>
    <w:rsid w:val="009027BC"/>
    <w:rsid w:val="00903D89"/>
    <w:rsid w:val="009042BE"/>
    <w:rsid w:val="009062E6"/>
    <w:rsid w:val="009071EA"/>
    <w:rsid w:val="00907B78"/>
    <w:rsid w:val="00911BE5"/>
    <w:rsid w:val="00913CA9"/>
    <w:rsid w:val="009145AE"/>
    <w:rsid w:val="009146CE"/>
    <w:rsid w:val="00914CA7"/>
    <w:rsid w:val="00915C3E"/>
    <w:rsid w:val="009161A8"/>
    <w:rsid w:val="00916F7D"/>
    <w:rsid w:val="009245AE"/>
    <w:rsid w:val="009245F5"/>
    <w:rsid w:val="009249EC"/>
    <w:rsid w:val="009255C0"/>
    <w:rsid w:val="009273B3"/>
    <w:rsid w:val="009305B5"/>
    <w:rsid w:val="0093388B"/>
    <w:rsid w:val="0093558B"/>
    <w:rsid w:val="009378DD"/>
    <w:rsid w:val="009429D5"/>
    <w:rsid w:val="00942BF1"/>
    <w:rsid w:val="00945180"/>
    <w:rsid w:val="00945428"/>
    <w:rsid w:val="0094607B"/>
    <w:rsid w:val="00953604"/>
    <w:rsid w:val="0095496B"/>
    <w:rsid w:val="00957AB2"/>
    <w:rsid w:val="00960F1E"/>
    <w:rsid w:val="009610DC"/>
    <w:rsid w:val="00961490"/>
    <w:rsid w:val="0096381A"/>
    <w:rsid w:val="00965E04"/>
    <w:rsid w:val="00966743"/>
    <w:rsid w:val="00966CBF"/>
    <w:rsid w:val="009674AD"/>
    <w:rsid w:val="00970CDC"/>
    <w:rsid w:val="00974218"/>
    <w:rsid w:val="00975727"/>
    <w:rsid w:val="00977010"/>
    <w:rsid w:val="00977D02"/>
    <w:rsid w:val="00977F33"/>
    <w:rsid w:val="00977FF9"/>
    <w:rsid w:val="009809BB"/>
    <w:rsid w:val="00982999"/>
    <w:rsid w:val="0098364B"/>
    <w:rsid w:val="009868FE"/>
    <w:rsid w:val="009908A3"/>
    <w:rsid w:val="009911AF"/>
    <w:rsid w:val="00991875"/>
    <w:rsid w:val="00991D6D"/>
    <w:rsid w:val="00991F92"/>
    <w:rsid w:val="00992985"/>
    <w:rsid w:val="00993889"/>
    <w:rsid w:val="00994603"/>
    <w:rsid w:val="0099551B"/>
    <w:rsid w:val="0099629D"/>
    <w:rsid w:val="00996BD2"/>
    <w:rsid w:val="00997BF1"/>
    <w:rsid w:val="009A089C"/>
    <w:rsid w:val="009A118E"/>
    <w:rsid w:val="009A21CD"/>
    <w:rsid w:val="009A278C"/>
    <w:rsid w:val="009A2BC2"/>
    <w:rsid w:val="009A3155"/>
    <w:rsid w:val="009A42C1"/>
    <w:rsid w:val="009A5429"/>
    <w:rsid w:val="009A72AD"/>
    <w:rsid w:val="009A7705"/>
    <w:rsid w:val="009B09E0"/>
    <w:rsid w:val="009B0BC5"/>
    <w:rsid w:val="009B1247"/>
    <w:rsid w:val="009B50C8"/>
    <w:rsid w:val="009B6029"/>
    <w:rsid w:val="009B6971"/>
    <w:rsid w:val="009C0F1D"/>
    <w:rsid w:val="009C1343"/>
    <w:rsid w:val="009C27F1"/>
    <w:rsid w:val="009C3152"/>
    <w:rsid w:val="009C3257"/>
    <w:rsid w:val="009C4CFA"/>
    <w:rsid w:val="009C5070"/>
    <w:rsid w:val="009C6E19"/>
    <w:rsid w:val="009D112C"/>
    <w:rsid w:val="009D1385"/>
    <w:rsid w:val="009D34D1"/>
    <w:rsid w:val="009D47FA"/>
    <w:rsid w:val="009D4C5B"/>
    <w:rsid w:val="009D50D2"/>
    <w:rsid w:val="009D552D"/>
    <w:rsid w:val="009D5D7E"/>
    <w:rsid w:val="009D6BCA"/>
    <w:rsid w:val="009D6C17"/>
    <w:rsid w:val="009E0F62"/>
    <w:rsid w:val="009E4A58"/>
    <w:rsid w:val="009E5A2D"/>
    <w:rsid w:val="009E5AB2"/>
    <w:rsid w:val="009E6219"/>
    <w:rsid w:val="009E75CE"/>
    <w:rsid w:val="009F03B3"/>
    <w:rsid w:val="009F190E"/>
    <w:rsid w:val="009F3A4E"/>
    <w:rsid w:val="00A0096C"/>
    <w:rsid w:val="00A01757"/>
    <w:rsid w:val="00A028C0"/>
    <w:rsid w:val="00A02BAE"/>
    <w:rsid w:val="00A02FF6"/>
    <w:rsid w:val="00A036D8"/>
    <w:rsid w:val="00A06A6B"/>
    <w:rsid w:val="00A07E47"/>
    <w:rsid w:val="00A129D0"/>
    <w:rsid w:val="00A12C33"/>
    <w:rsid w:val="00A138BA"/>
    <w:rsid w:val="00A14C8E"/>
    <w:rsid w:val="00A153D9"/>
    <w:rsid w:val="00A156D0"/>
    <w:rsid w:val="00A15F09"/>
    <w:rsid w:val="00A169B6"/>
    <w:rsid w:val="00A21CD7"/>
    <w:rsid w:val="00A2271D"/>
    <w:rsid w:val="00A22B2B"/>
    <w:rsid w:val="00A237D5"/>
    <w:rsid w:val="00A30EFC"/>
    <w:rsid w:val="00A31984"/>
    <w:rsid w:val="00A31C2A"/>
    <w:rsid w:val="00A32D73"/>
    <w:rsid w:val="00A3367B"/>
    <w:rsid w:val="00A33C67"/>
    <w:rsid w:val="00A34742"/>
    <w:rsid w:val="00A3597D"/>
    <w:rsid w:val="00A36832"/>
    <w:rsid w:val="00A36DD1"/>
    <w:rsid w:val="00A37209"/>
    <w:rsid w:val="00A4006C"/>
    <w:rsid w:val="00A40091"/>
    <w:rsid w:val="00A4030F"/>
    <w:rsid w:val="00A41B6D"/>
    <w:rsid w:val="00A41C79"/>
    <w:rsid w:val="00A41CB5"/>
    <w:rsid w:val="00A42CDF"/>
    <w:rsid w:val="00A4452E"/>
    <w:rsid w:val="00A4472C"/>
    <w:rsid w:val="00A44E69"/>
    <w:rsid w:val="00A4661E"/>
    <w:rsid w:val="00A517B3"/>
    <w:rsid w:val="00A55BD6"/>
    <w:rsid w:val="00A55D50"/>
    <w:rsid w:val="00A5685F"/>
    <w:rsid w:val="00A57142"/>
    <w:rsid w:val="00A63469"/>
    <w:rsid w:val="00A648CD"/>
    <w:rsid w:val="00A6537A"/>
    <w:rsid w:val="00A67866"/>
    <w:rsid w:val="00A70B07"/>
    <w:rsid w:val="00A723F8"/>
    <w:rsid w:val="00A73D9B"/>
    <w:rsid w:val="00A77CCB"/>
    <w:rsid w:val="00A83D8D"/>
    <w:rsid w:val="00A8446B"/>
    <w:rsid w:val="00A8473F"/>
    <w:rsid w:val="00A862D6"/>
    <w:rsid w:val="00A868B8"/>
    <w:rsid w:val="00A8715E"/>
    <w:rsid w:val="00A878CA"/>
    <w:rsid w:val="00A91120"/>
    <w:rsid w:val="00A9295B"/>
    <w:rsid w:val="00A93B09"/>
    <w:rsid w:val="00A952D7"/>
    <w:rsid w:val="00A963F7"/>
    <w:rsid w:val="00A96AD8"/>
    <w:rsid w:val="00AA052C"/>
    <w:rsid w:val="00AA1E45"/>
    <w:rsid w:val="00AA3569"/>
    <w:rsid w:val="00AA4286"/>
    <w:rsid w:val="00AA456B"/>
    <w:rsid w:val="00AA57F5"/>
    <w:rsid w:val="00AA672E"/>
    <w:rsid w:val="00AA6EC9"/>
    <w:rsid w:val="00AB0CFF"/>
    <w:rsid w:val="00AB6309"/>
    <w:rsid w:val="00AB6C5F"/>
    <w:rsid w:val="00AB7129"/>
    <w:rsid w:val="00AC27A6"/>
    <w:rsid w:val="00AC30F7"/>
    <w:rsid w:val="00AC3A5A"/>
    <w:rsid w:val="00AC4D95"/>
    <w:rsid w:val="00AC51C6"/>
    <w:rsid w:val="00AC5DF4"/>
    <w:rsid w:val="00AC5E5C"/>
    <w:rsid w:val="00AC67FD"/>
    <w:rsid w:val="00AD0AEF"/>
    <w:rsid w:val="00AD11B7"/>
    <w:rsid w:val="00AD1A94"/>
    <w:rsid w:val="00AD1C05"/>
    <w:rsid w:val="00AD2911"/>
    <w:rsid w:val="00AD4126"/>
    <w:rsid w:val="00AD421C"/>
    <w:rsid w:val="00AD44FA"/>
    <w:rsid w:val="00AE070A"/>
    <w:rsid w:val="00AE101C"/>
    <w:rsid w:val="00AE2A69"/>
    <w:rsid w:val="00AE37E5"/>
    <w:rsid w:val="00AE479D"/>
    <w:rsid w:val="00AE5EB4"/>
    <w:rsid w:val="00AE62F8"/>
    <w:rsid w:val="00AF07CA"/>
    <w:rsid w:val="00AF0C18"/>
    <w:rsid w:val="00AF33D1"/>
    <w:rsid w:val="00AF47C5"/>
    <w:rsid w:val="00AF5398"/>
    <w:rsid w:val="00B049AF"/>
    <w:rsid w:val="00B0503E"/>
    <w:rsid w:val="00B07242"/>
    <w:rsid w:val="00B10534"/>
    <w:rsid w:val="00B113DB"/>
    <w:rsid w:val="00B11D8A"/>
    <w:rsid w:val="00B12981"/>
    <w:rsid w:val="00B147DD"/>
    <w:rsid w:val="00B156FD"/>
    <w:rsid w:val="00B178E2"/>
    <w:rsid w:val="00B21F61"/>
    <w:rsid w:val="00B24D42"/>
    <w:rsid w:val="00B261F1"/>
    <w:rsid w:val="00B265BC"/>
    <w:rsid w:val="00B31FB1"/>
    <w:rsid w:val="00B33952"/>
    <w:rsid w:val="00B33C5E"/>
    <w:rsid w:val="00B342F4"/>
    <w:rsid w:val="00B34369"/>
    <w:rsid w:val="00B34DC2"/>
    <w:rsid w:val="00B35365"/>
    <w:rsid w:val="00B378E5"/>
    <w:rsid w:val="00B4346D"/>
    <w:rsid w:val="00B440F4"/>
    <w:rsid w:val="00B447A5"/>
    <w:rsid w:val="00B459B8"/>
    <w:rsid w:val="00B4654C"/>
    <w:rsid w:val="00B47293"/>
    <w:rsid w:val="00B47B0A"/>
    <w:rsid w:val="00B50E50"/>
    <w:rsid w:val="00B52120"/>
    <w:rsid w:val="00B525B8"/>
    <w:rsid w:val="00B5330F"/>
    <w:rsid w:val="00B54ABC"/>
    <w:rsid w:val="00B56FBE"/>
    <w:rsid w:val="00B60ACF"/>
    <w:rsid w:val="00B62B58"/>
    <w:rsid w:val="00B65149"/>
    <w:rsid w:val="00B66567"/>
    <w:rsid w:val="00B66F52"/>
    <w:rsid w:val="00B66FE5"/>
    <w:rsid w:val="00B72880"/>
    <w:rsid w:val="00B758BF"/>
    <w:rsid w:val="00B77B18"/>
    <w:rsid w:val="00B77EC8"/>
    <w:rsid w:val="00B827A6"/>
    <w:rsid w:val="00B831CE"/>
    <w:rsid w:val="00B86677"/>
    <w:rsid w:val="00B87131"/>
    <w:rsid w:val="00B939B1"/>
    <w:rsid w:val="00B96D40"/>
    <w:rsid w:val="00B97386"/>
    <w:rsid w:val="00BA263B"/>
    <w:rsid w:val="00BA4051"/>
    <w:rsid w:val="00BA42B2"/>
    <w:rsid w:val="00BA58D4"/>
    <w:rsid w:val="00BA5B9E"/>
    <w:rsid w:val="00BA7A87"/>
    <w:rsid w:val="00BA7C9A"/>
    <w:rsid w:val="00BB5F8F"/>
    <w:rsid w:val="00BB657A"/>
    <w:rsid w:val="00BB65B2"/>
    <w:rsid w:val="00BC1A4E"/>
    <w:rsid w:val="00BC3105"/>
    <w:rsid w:val="00BC4B25"/>
    <w:rsid w:val="00BC5DC7"/>
    <w:rsid w:val="00BC6B8B"/>
    <w:rsid w:val="00BC73D8"/>
    <w:rsid w:val="00BC7601"/>
    <w:rsid w:val="00BD4FB9"/>
    <w:rsid w:val="00BD52D7"/>
    <w:rsid w:val="00BD5AD2"/>
    <w:rsid w:val="00BE22F3"/>
    <w:rsid w:val="00BE403B"/>
    <w:rsid w:val="00BE5B52"/>
    <w:rsid w:val="00BE7B8D"/>
    <w:rsid w:val="00BF05C8"/>
    <w:rsid w:val="00BF0993"/>
    <w:rsid w:val="00BF0BD5"/>
    <w:rsid w:val="00BF10A9"/>
    <w:rsid w:val="00BF1703"/>
    <w:rsid w:val="00BF231C"/>
    <w:rsid w:val="00BF51E5"/>
    <w:rsid w:val="00BF74A6"/>
    <w:rsid w:val="00C00DA8"/>
    <w:rsid w:val="00C013AD"/>
    <w:rsid w:val="00C04904"/>
    <w:rsid w:val="00C056B3"/>
    <w:rsid w:val="00C103E5"/>
    <w:rsid w:val="00C11986"/>
    <w:rsid w:val="00C13319"/>
    <w:rsid w:val="00C13EE9"/>
    <w:rsid w:val="00C15A23"/>
    <w:rsid w:val="00C20218"/>
    <w:rsid w:val="00C21540"/>
    <w:rsid w:val="00C21906"/>
    <w:rsid w:val="00C21BFA"/>
    <w:rsid w:val="00C241B1"/>
    <w:rsid w:val="00C24C8D"/>
    <w:rsid w:val="00C25FE2"/>
    <w:rsid w:val="00C26B53"/>
    <w:rsid w:val="00C279B2"/>
    <w:rsid w:val="00C30626"/>
    <w:rsid w:val="00C315CB"/>
    <w:rsid w:val="00C339A3"/>
    <w:rsid w:val="00C33E50"/>
    <w:rsid w:val="00C34C20"/>
    <w:rsid w:val="00C35A3E"/>
    <w:rsid w:val="00C42130"/>
    <w:rsid w:val="00C423A4"/>
    <w:rsid w:val="00C423E3"/>
    <w:rsid w:val="00C44BF5"/>
    <w:rsid w:val="00C4784F"/>
    <w:rsid w:val="00C521D6"/>
    <w:rsid w:val="00C5398E"/>
    <w:rsid w:val="00C54E77"/>
    <w:rsid w:val="00C55232"/>
    <w:rsid w:val="00C553A4"/>
    <w:rsid w:val="00C55A06"/>
    <w:rsid w:val="00C55D03"/>
    <w:rsid w:val="00C601BC"/>
    <w:rsid w:val="00C6329F"/>
    <w:rsid w:val="00C63340"/>
    <w:rsid w:val="00C633C1"/>
    <w:rsid w:val="00C643F9"/>
    <w:rsid w:val="00C64E95"/>
    <w:rsid w:val="00C64FD8"/>
    <w:rsid w:val="00C6651E"/>
    <w:rsid w:val="00C71372"/>
    <w:rsid w:val="00C72410"/>
    <w:rsid w:val="00C7287F"/>
    <w:rsid w:val="00C80CB8"/>
    <w:rsid w:val="00C819F8"/>
    <w:rsid w:val="00C8248C"/>
    <w:rsid w:val="00C84E33"/>
    <w:rsid w:val="00C86D6F"/>
    <w:rsid w:val="00C872A5"/>
    <w:rsid w:val="00C905FC"/>
    <w:rsid w:val="00C92D03"/>
    <w:rsid w:val="00C9319C"/>
    <w:rsid w:val="00C9435D"/>
    <w:rsid w:val="00C94DF2"/>
    <w:rsid w:val="00C95FE4"/>
    <w:rsid w:val="00C96741"/>
    <w:rsid w:val="00C97AFB"/>
    <w:rsid w:val="00CA2D1B"/>
    <w:rsid w:val="00CA375D"/>
    <w:rsid w:val="00CA5997"/>
    <w:rsid w:val="00CA662A"/>
    <w:rsid w:val="00CA7877"/>
    <w:rsid w:val="00CA7AFD"/>
    <w:rsid w:val="00CA7C3C"/>
    <w:rsid w:val="00CB0189"/>
    <w:rsid w:val="00CB0BA2"/>
    <w:rsid w:val="00CB1A42"/>
    <w:rsid w:val="00CB1B0C"/>
    <w:rsid w:val="00CB2C0B"/>
    <w:rsid w:val="00CB2D4C"/>
    <w:rsid w:val="00CB3595"/>
    <w:rsid w:val="00CB517D"/>
    <w:rsid w:val="00CB7C04"/>
    <w:rsid w:val="00CC038D"/>
    <w:rsid w:val="00CC08DB"/>
    <w:rsid w:val="00CC2666"/>
    <w:rsid w:val="00CC39FF"/>
    <w:rsid w:val="00CC3C2F"/>
    <w:rsid w:val="00CC4AC8"/>
    <w:rsid w:val="00CC5233"/>
    <w:rsid w:val="00CC5DE6"/>
    <w:rsid w:val="00CC60E9"/>
    <w:rsid w:val="00CC68FB"/>
    <w:rsid w:val="00CC6E4E"/>
    <w:rsid w:val="00CC6FE8"/>
    <w:rsid w:val="00CC7202"/>
    <w:rsid w:val="00CC7F00"/>
    <w:rsid w:val="00CD2808"/>
    <w:rsid w:val="00CD28BF"/>
    <w:rsid w:val="00CD4092"/>
    <w:rsid w:val="00CD4A20"/>
    <w:rsid w:val="00CD50A1"/>
    <w:rsid w:val="00CD519E"/>
    <w:rsid w:val="00CE0C4F"/>
    <w:rsid w:val="00CE2DF0"/>
    <w:rsid w:val="00CE30EA"/>
    <w:rsid w:val="00CF048A"/>
    <w:rsid w:val="00CF155A"/>
    <w:rsid w:val="00CF2947"/>
    <w:rsid w:val="00CF3041"/>
    <w:rsid w:val="00CF686F"/>
    <w:rsid w:val="00CF6E60"/>
    <w:rsid w:val="00CF7BCA"/>
    <w:rsid w:val="00D008FD"/>
    <w:rsid w:val="00D0321C"/>
    <w:rsid w:val="00D035EC"/>
    <w:rsid w:val="00D0574D"/>
    <w:rsid w:val="00D06AB1"/>
    <w:rsid w:val="00D06FC1"/>
    <w:rsid w:val="00D072ED"/>
    <w:rsid w:val="00D07A16"/>
    <w:rsid w:val="00D1067E"/>
    <w:rsid w:val="00D10F50"/>
    <w:rsid w:val="00D11272"/>
    <w:rsid w:val="00D126F5"/>
    <w:rsid w:val="00D13028"/>
    <w:rsid w:val="00D1489E"/>
    <w:rsid w:val="00D15F3C"/>
    <w:rsid w:val="00D16C6B"/>
    <w:rsid w:val="00D20737"/>
    <w:rsid w:val="00D21E81"/>
    <w:rsid w:val="00D21F15"/>
    <w:rsid w:val="00D22117"/>
    <w:rsid w:val="00D223DE"/>
    <w:rsid w:val="00D25E37"/>
    <w:rsid w:val="00D2661A"/>
    <w:rsid w:val="00D27582"/>
    <w:rsid w:val="00D27EC4"/>
    <w:rsid w:val="00D32719"/>
    <w:rsid w:val="00D33333"/>
    <w:rsid w:val="00D34A59"/>
    <w:rsid w:val="00D352A2"/>
    <w:rsid w:val="00D36B2E"/>
    <w:rsid w:val="00D4162B"/>
    <w:rsid w:val="00D4514F"/>
    <w:rsid w:val="00D451E2"/>
    <w:rsid w:val="00D45E89"/>
    <w:rsid w:val="00D45E8D"/>
    <w:rsid w:val="00D466AE"/>
    <w:rsid w:val="00D4734F"/>
    <w:rsid w:val="00D51BF3"/>
    <w:rsid w:val="00D55B1C"/>
    <w:rsid w:val="00D56E9D"/>
    <w:rsid w:val="00D66846"/>
    <w:rsid w:val="00D675FB"/>
    <w:rsid w:val="00D71F25"/>
    <w:rsid w:val="00D72A9C"/>
    <w:rsid w:val="00D77031"/>
    <w:rsid w:val="00D77D71"/>
    <w:rsid w:val="00D84941"/>
    <w:rsid w:val="00D84FA1"/>
    <w:rsid w:val="00D851F0"/>
    <w:rsid w:val="00D85438"/>
    <w:rsid w:val="00D85BA0"/>
    <w:rsid w:val="00D86DB7"/>
    <w:rsid w:val="00D87BF5"/>
    <w:rsid w:val="00D90721"/>
    <w:rsid w:val="00D926D0"/>
    <w:rsid w:val="00D93030"/>
    <w:rsid w:val="00D93FFE"/>
    <w:rsid w:val="00D950E1"/>
    <w:rsid w:val="00D952A6"/>
    <w:rsid w:val="00D97CCE"/>
    <w:rsid w:val="00D97F99"/>
    <w:rsid w:val="00DA15E4"/>
    <w:rsid w:val="00DA1E08"/>
    <w:rsid w:val="00DA24F8"/>
    <w:rsid w:val="00DA28E8"/>
    <w:rsid w:val="00DA310B"/>
    <w:rsid w:val="00DA38D3"/>
    <w:rsid w:val="00DA3932"/>
    <w:rsid w:val="00DA3AFC"/>
    <w:rsid w:val="00DA63EB"/>
    <w:rsid w:val="00DA64F8"/>
    <w:rsid w:val="00DA6C15"/>
    <w:rsid w:val="00DB0258"/>
    <w:rsid w:val="00DB38EE"/>
    <w:rsid w:val="00DB498B"/>
    <w:rsid w:val="00DB66CA"/>
    <w:rsid w:val="00DB6BCA"/>
    <w:rsid w:val="00DB6F54"/>
    <w:rsid w:val="00DB73F7"/>
    <w:rsid w:val="00DC0321"/>
    <w:rsid w:val="00DC1E9A"/>
    <w:rsid w:val="00DC3067"/>
    <w:rsid w:val="00DC30EE"/>
    <w:rsid w:val="00DC370B"/>
    <w:rsid w:val="00DC5731"/>
    <w:rsid w:val="00DC5B90"/>
    <w:rsid w:val="00DC7B87"/>
    <w:rsid w:val="00DD00FF"/>
    <w:rsid w:val="00DD0619"/>
    <w:rsid w:val="00DD07FB"/>
    <w:rsid w:val="00DD146B"/>
    <w:rsid w:val="00DD25C6"/>
    <w:rsid w:val="00DD41B7"/>
    <w:rsid w:val="00DD46B2"/>
    <w:rsid w:val="00DD4FE5"/>
    <w:rsid w:val="00DD538E"/>
    <w:rsid w:val="00DD54B0"/>
    <w:rsid w:val="00DD57EE"/>
    <w:rsid w:val="00DD6AD6"/>
    <w:rsid w:val="00DD6BCC"/>
    <w:rsid w:val="00DE0A4B"/>
    <w:rsid w:val="00DE2410"/>
    <w:rsid w:val="00DE2939"/>
    <w:rsid w:val="00DE3309"/>
    <w:rsid w:val="00DE6E81"/>
    <w:rsid w:val="00DE703F"/>
    <w:rsid w:val="00DE7595"/>
    <w:rsid w:val="00DF0A8A"/>
    <w:rsid w:val="00DF1961"/>
    <w:rsid w:val="00DF44DE"/>
    <w:rsid w:val="00E01138"/>
    <w:rsid w:val="00E02DFB"/>
    <w:rsid w:val="00E030F9"/>
    <w:rsid w:val="00E0311A"/>
    <w:rsid w:val="00E03138"/>
    <w:rsid w:val="00E06404"/>
    <w:rsid w:val="00E11A85"/>
    <w:rsid w:val="00E12495"/>
    <w:rsid w:val="00E15A34"/>
    <w:rsid w:val="00E15CCD"/>
    <w:rsid w:val="00E2011A"/>
    <w:rsid w:val="00E202EF"/>
    <w:rsid w:val="00E210B5"/>
    <w:rsid w:val="00E2552F"/>
    <w:rsid w:val="00E26961"/>
    <w:rsid w:val="00E3137A"/>
    <w:rsid w:val="00E323C0"/>
    <w:rsid w:val="00E32899"/>
    <w:rsid w:val="00E32CCF"/>
    <w:rsid w:val="00E32D29"/>
    <w:rsid w:val="00E34A98"/>
    <w:rsid w:val="00E35D1E"/>
    <w:rsid w:val="00E364F9"/>
    <w:rsid w:val="00E365FA"/>
    <w:rsid w:val="00E36789"/>
    <w:rsid w:val="00E41EFF"/>
    <w:rsid w:val="00E43ED7"/>
    <w:rsid w:val="00E44A83"/>
    <w:rsid w:val="00E45253"/>
    <w:rsid w:val="00E502C1"/>
    <w:rsid w:val="00E502DD"/>
    <w:rsid w:val="00E50D3A"/>
    <w:rsid w:val="00E51387"/>
    <w:rsid w:val="00E51E68"/>
    <w:rsid w:val="00E52EFD"/>
    <w:rsid w:val="00E5408A"/>
    <w:rsid w:val="00E56800"/>
    <w:rsid w:val="00E60C63"/>
    <w:rsid w:val="00E62B6B"/>
    <w:rsid w:val="00E62FF9"/>
    <w:rsid w:val="00E635D6"/>
    <w:rsid w:val="00E639BC"/>
    <w:rsid w:val="00E660E4"/>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0868"/>
    <w:rsid w:val="00E9311F"/>
    <w:rsid w:val="00E934D1"/>
    <w:rsid w:val="00E94473"/>
    <w:rsid w:val="00E94AF0"/>
    <w:rsid w:val="00E95D13"/>
    <w:rsid w:val="00E95DD3"/>
    <w:rsid w:val="00E969D5"/>
    <w:rsid w:val="00E97228"/>
    <w:rsid w:val="00EA58D1"/>
    <w:rsid w:val="00EA61BC"/>
    <w:rsid w:val="00EA681A"/>
    <w:rsid w:val="00EA735B"/>
    <w:rsid w:val="00EB02CC"/>
    <w:rsid w:val="00EB1E69"/>
    <w:rsid w:val="00EB2086"/>
    <w:rsid w:val="00EB26B2"/>
    <w:rsid w:val="00EB31ED"/>
    <w:rsid w:val="00EB5EDF"/>
    <w:rsid w:val="00EB60FE"/>
    <w:rsid w:val="00EB7102"/>
    <w:rsid w:val="00EB74DB"/>
    <w:rsid w:val="00EC5359"/>
    <w:rsid w:val="00EC562A"/>
    <w:rsid w:val="00ED067A"/>
    <w:rsid w:val="00ED2B50"/>
    <w:rsid w:val="00EE0350"/>
    <w:rsid w:val="00EE0719"/>
    <w:rsid w:val="00EE0E80"/>
    <w:rsid w:val="00EE4926"/>
    <w:rsid w:val="00EE613F"/>
    <w:rsid w:val="00EE7295"/>
    <w:rsid w:val="00EE7869"/>
    <w:rsid w:val="00EF054A"/>
    <w:rsid w:val="00EF3235"/>
    <w:rsid w:val="00EF7E72"/>
    <w:rsid w:val="00F06D37"/>
    <w:rsid w:val="00F07B9D"/>
    <w:rsid w:val="00F07D35"/>
    <w:rsid w:val="00F11586"/>
    <w:rsid w:val="00F1183B"/>
    <w:rsid w:val="00F11C9F"/>
    <w:rsid w:val="00F12263"/>
    <w:rsid w:val="00F1409D"/>
    <w:rsid w:val="00F14214"/>
    <w:rsid w:val="00F1520A"/>
    <w:rsid w:val="00F15282"/>
    <w:rsid w:val="00F157A9"/>
    <w:rsid w:val="00F16F00"/>
    <w:rsid w:val="00F20798"/>
    <w:rsid w:val="00F25BB6"/>
    <w:rsid w:val="00F26B7E"/>
    <w:rsid w:val="00F270FC"/>
    <w:rsid w:val="00F27A3B"/>
    <w:rsid w:val="00F32780"/>
    <w:rsid w:val="00F33817"/>
    <w:rsid w:val="00F3441E"/>
    <w:rsid w:val="00F34509"/>
    <w:rsid w:val="00F420D5"/>
    <w:rsid w:val="00F451EA"/>
    <w:rsid w:val="00F45447"/>
    <w:rsid w:val="00F456C6"/>
    <w:rsid w:val="00F4577B"/>
    <w:rsid w:val="00F46496"/>
    <w:rsid w:val="00F474D0"/>
    <w:rsid w:val="00F50179"/>
    <w:rsid w:val="00F50B06"/>
    <w:rsid w:val="00F50ED0"/>
    <w:rsid w:val="00F515EE"/>
    <w:rsid w:val="00F52B3D"/>
    <w:rsid w:val="00F53B27"/>
    <w:rsid w:val="00F55162"/>
    <w:rsid w:val="00F559BF"/>
    <w:rsid w:val="00F56511"/>
    <w:rsid w:val="00F609FF"/>
    <w:rsid w:val="00F6194E"/>
    <w:rsid w:val="00F623AC"/>
    <w:rsid w:val="00F6269B"/>
    <w:rsid w:val="00F6412A"/>
    <w:rsid w:val="00F65893"/>
    <w:rsid w:val="00F659F3"/>
    <w:rsid w:val="00F66A4A"/>
    <w:rsid w:val="00F716A2"/>
    <w:rsid w:val="00F71E22"/>
    <w:rsid w:val="00F71E33"/>
    <w:rsid w:val="00F72142"/>
    <w:rsid w:val="00F72AE7"/>
    <w:rsid w:val="00F75C88"/>
    <w:rsid w:val="00F833BA"/>
    <w:rsid w:val="00F84FD0"/>
    <w:rsid w:val="00F859A8"/>
    <w:rsid w:val="00F86D87"/>
    <w:rsid w:val="00F9108B"/>
    <w:rsid w:val="00F91349"/>
    <w:rsid w:val="00F93A8A"/>
    <w:rsid w:val="00F95248"/>
    <w:rsid w:val="00F956A9"/>
    <w:rsid w:val="00F963ED"/>
    <w:rsid w:val="00F966CF"/>
    <w:rsid w:val="00F96CAE"/>
    <w:rsid w:val="00F97C99"/>
    <w:rsid w:val="00FA4301"/>
    <w:rsid w:val="00FA4D35"/>
    <w:rsid w:val="00FA662D"/>
    <w:rsid w:val="00FA73B1"/>
    <w:rsid w:val="00FB0CB9"/>
    <w:rsid w:val="00FB231D"/>
    <w:rsid w:val="00FB400D"/>
    <w:rsid w:val="00FB45F1"/>
    <w:rsid w:val="00FB4A72"/>
    <w:rsid w:val="00FB54E8"/>
    <w:rsid w:val="00FB65AC"/>
    <w:rsid w:val="00FB7054"/>
    <w:rsid w:val="00FC0F35"/>
    <w:rsid w:val="00FC17B7"/>
    <w:rsid w:val="00FC2CB7"/>
    <w:rsid w:val="00FC4090"/>
    <w:rsid w:val="00FC4F88"/>
    <w:rsid w:val="00FC55B4"/>
    <w:rsid w:val="00FC6D87"/>
    <w:rsid w:val="00FD00E6"/>
    <w:rsid w:val="00FD09A1"/>
    <w:rsid w:val="00FD1C78"/>
    <w:rsid w:val="00FD2A7C"/>
    <w:rsid w:val="00FD34BF"/>
    <w:rsid w:val="00FD59EB"/>
    <w:rsid w:val="00FD7299"/>
    <w:rsid w:val="00FD7D86"/>
    <w:rsid w:val="00FE1FBE"/>
    <w:rsid w:val="00FE2824"/>
    <w:rsid w:val="00FE3901"/>
    <w:rsid w:val="00FE39D3"/>
    <w:rsid w:val="00FE3F56"/>
    <w:rsid w:val="00FE4BCE"/>
    <w:rsid w:val="00FE54AE"/>
    <w:rsid w:val="00FE56D3"/>
    <w:rsid w:val="00FE576A"/>
    <w:rsid w:val="00FE7E79"/>
    <w:rsid w:val="00FF20B9"/>
    <w:rsid w:val="00FF3E7D"/>
    <w:rsid w:val="00FF5B99"/>
    <w:rsid w:val="00FF730C"/>
    <w:rsid w:val="00FF73F4"/>
    <w:rsid w:val="00FF7CE4"/>
    <w:rsid w:val="00FF7E39"/>
    <w:rsid w:val="03EF7BD4"/>
    <w:rsid w:val="08DC4A98"/>
    <w:rsid w:val="0A8122F6"/>
    <w:rsid w:val="13A77E48"/>
    <w:rsid w:val="13D5572A"/>
    <w:rsid w:val="48BB0092"/>
    <w:rsid w:val="564FD02E"/>
    <w:rsid w:val="578224EB"/>
    <w:rsid w:val="5CDD04E9"/>
    <w:rsid w:val="669356B0"/>
    <w:rsid w:val="679B51F9"/>
    <w:rsid w:val="67AC60F2"/>
    <w:rsid w:val="6B7834E8"/>
    <w:rsid w:val="6DAF0285"/>
    <w:rsid w:val="773977DA"/>
    <w:rsid w:val="7DEDA8B1"/>
    <w:rsid w:val="7E3C0429"/>
    <w:rsid w:val="9EBFE361"/>
    <w:rsid w:val="D7FEB97B"/>
    <w:rsid w:val="FD3F2567"/>
    <w:rsid w:val="FFEC73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unhideWhenUsed/>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0"/>
    <w:rPr>
      <w:b/>
      <w:bCs/>
      <w:kern w:val="2"/>
      <w:sz w:val="32"/>
      <w:szCs w:val="32"/>
    </w:rPr>
  </w:style>
  <w:style w:type="character" w:customStyle="1" w:styleId="37">
    <w:name w:val="标题 4 字符"/>
    <w:link w:val="5"/>
    <w:qFormat/>
    <w:uiPriority w:val="0"/>
    <w:rPr>
      <w:rFonts w:ascii="Arial" w:hAnsi="Arial" w:eastAsia="黑体"/>
      <w:b/>
      <w:bCs/>
      <w:kern w:val="2"/>
      <w:sz w:val="28"/>
      <w:szCs w:val="28"/>
    </w:rPr>
  </w:style>
  <w:style w:type="character" w:customStyle="1" w:styleId="38">
    <w:name w:val="标题 5 字符"/>
    <w:link w:val="6"/>
    <w:qFormat/>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paragraph" w:customStyle="1" w:styleId="230">
    <w:name w:val="修订1"/>
    <w:hidden/>
    <w:semiHidden/>
    <w:qFormat/>
    <w:uiPriority w:val="99"/>
    <w:rPr>
      <w:rFonts w:ascii="Calibri" w:hAnsi="Calibri" w:eastAsia="宋体" w:cs="Times New Roman"/>
      <w:kern w:val="2"/>
      <w:sz w:val="21"/>
      <w:szCs w:val="21"/>
      <w:lang w:val="en-US" w:eastAsia="zh-CN" w:bidi="ar-SA"/>
    </w:rPr>
  </w:style>
  <w:style w:type="paragraph" w:customStyle="1" w:styleId="231">
    <w:name w:val="修订2"/>
    <w:hidden/>
    <w:unhideWhenUsed/>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jpe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788AE50EBF9F4F51B7492F1466706180"/>
        <w:style w:val=""/>
        <w:category>
          <w:name w:val="常规"/>
          <w:gallery w:val="placeholder"/>
        </w:category>
        <w:types>
          <w:type w:val="bbPlcHdr"/>
        </w:types>
        <w:behaviors>
          <w:behavior w:val="content"/>
        </w:behaviors>
        <w:description w:val=""/>
        <w:guid w:val="{EA76AF44-F600-4548-B650-D46820DF94C9}"/>
      </w:docPartPr>
      <w:docPartBody>
        <w:p w14:paraId="411123D6">
          <w:pPr>
            <w:pStyle w:val="5"/>
            <w:rPr>
              <w:rFonts w:hint="eastAsia"/>
            </w:rPr>
          </w:pPr>
          <w:r>
            <w:rPr>
              <w:rStyle w:val="4"/>
              <w:rFonts w:hint="eastAsia"/>
            </w:rPr>
            <w:t>单击或点击此处输入文字。</w:t>
          </w:r>
        </w:p>
      </w:docPartBody>
    </w:docPart>
    <w:docPart>
      <w:docPartPr>
        <w:name w:val="CB72E8E8585D458B86A228E93E924BDC"/>
        <w:style w:val=""/>
        <w:category>
          <w:name w:val="常规"/>
          <w:gallery w:val="placeholder"/>
        </w:category>
        <w:types>
          <w:type w:val="bbPlcHdr"/>
        </w:types>
        <w:behaviors>
          <w:behavior w:val="content"/>
        </w:behaviors>
        <w:description w:val=""/>
        <w:guid w:val="{208A7622-43F8-4604-8596-23F0F5FDAC4D}"/>
      </w:docPartPr>
      <w:docPartBody>
        <w:p w14:paraId="6B940B6B">
          <w:pPr>
            <w:pStyle w:val="6"/>
            <w:rPr>
              <w:rFonts w:hint="eastAsia"/>
            </w:rPr>
          </w:pPr>
          <w:r>
            <w:rPr>
              <w:rStyle w:val="4"/>
              <w:rFonts w:hint="eastAsia"/>
            </w:rPr>
            <w:t>选择一项。</w:t>
          </w:r>
        </w:p>
      </w:docPartBody>
    </w:docPart>
    <w:docPart>
      <w:docPartPr>
        <w:name w:val="61ED1078C2144AD7B3A789A32C817838"/>
        <w:style w:val=""/>
        <w:category>
          <w:name w:val="常规"/>
          <w:gallery w:val="placeholder"/>
        </w:category>
        <w:types>
          <w:type w:val="bbPlcHdr"/>
        </w:types>
        <w:behaviors>
          <w:behavior w:val="content"/>
        </w:behaviors>
        <w:description w:val=""/>
        <w:guid w:val="{23542713-2C05-4230-B35E-D53E5416054A}"/>
      </w:docPartPr>
      <w:docPartBody>
        <w:p w14:paraId="3F6DFD60">
          <w:pPr>
            <w:pStyle w:val="7"/>
            <w:rPr>
              <w:rFonts w:hint="eastAsia"/>
            </w:rPr>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E8A"/>
    <w:rsid w:val="00192EE3"/>
    <w:rsid w:val="00212CBE"/>
    <w:rsid w:val="002D0F26"/>
    <w:rsid w:val="003B68F1"/>
    <w:rsid w:val="00421AB4"/>
    <w:rsid w:val="005A52B5"/>
    <w:rsid w:val="0065380B"/>
    <w:rsid w:val="00783E8A"/>
    <w:rsid w:val="00841119"/>
    <w:rsid w:val="00921797"/>
    <w:rsid w:val="009E1AE9"/>
    <w:rsid w:val="00A269B1"/>
    <w:rsid w:val="00AA5973"/>
    <w:rsid w:val="00BC4A05"/>
    <w:rsid w:val="00BD296D"/>
    <w:rsid w:val="00CA696F"/>
    <w:rsid w:val="00CC68FB"/>
    <w:rsid w:val="00EB4967"/>
    <w:rsid w:val="00F53CA5"/>
    <w:rsid w:val="00FB65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788AE50EBF9F4F51B7492F1466706180"/>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CB72E8E8585D458B86A228E93E924BDC"/>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61ED1078C2144AD7B3A789A32C817838"/>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E0F809-F1B0-47A2-BF3F-77BC97C7211C}">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11</Pages>
  <Words>751</Words>
  <Characters>952</Characters>
  <Lines>55</Lines>
  <Paragraphs>15</Paragraphs>
  <TotalTime>33</TotalTime>
  <ScaleCrop>false</ScaleCrop>
  <LinksUpToDate>false</LinksUpToDate>
  <CharactersWithSpaces>1038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2026-01-24T18:49:00Z</dcterms:created>
  <dc:creator>zengf</dc:creator>
  <dc:description>&lt;config cover="true" show_menu="true" version="1.0.0" doctype="SDKXY"&gt;_x000d_
&lt;/config&gt;</dc:description>
  <cp:lastModifiedBy>龚华</cp:lastModifiedBy>
  <cp:lastPrinted>2021-02-03T00:22:00Z</cp:lastPrinted>
  <dcterms:modified xsi:type="dcterms:W3CDTF">2026-08-28T06:29:34Z</dcterms:modified>
  <dc:title>团体标准</dc:title>
  <cp:revision>614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eyJoZGlkIjoiODMxZjkyZDlmN2VlYTliYmNkOWVhMDA0MmU2MTNmYWQiLCJ1c2VySWQiOiIzNzM3NTgzMTkifQ==</vt:lpwstr>
  </property>
  <property fmtid="{D5CDD505-2E9C-101B-9397-08002B2CF9AE}" pid="15" name="KSOProductBuildVer">
    <vt:lpwstr>2052-12.1.0.28043</vt:lpwstr>
  </property>
  <property fmtid="{D5CDD505-2E9C-101B-9397-08002B2CF9AE}" pid="16" name="ICV">
    <vt:lpwstr>4561CEFEC9CDCA3796CB906A32F4E0C9_43</vt:lpwstr>
  </property>
</Properties>
</file>