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27110" w14:textId="77777777" w:rsidR="00831DB2" w:rsidRDefault="00000000">
      <w:pPr>
        <w:rPr>
          <w:rFonts w:asciiTheme="majorEastAsia" w:eastAsiaTheme="majorEastAsia" w:hAnsiTheme="majorEastAsia" w:hint="eastAsia"/>
          <w:sz w:val="28"/>
          <w:szCs w:val="28"/>
        </w:rPr>
      </w:pPr>
      <w:r>
        <w:rPr>
          <w:rFonts w:asciiTheme="majorEastAsia" w:eastAsiaTheme="majorEastAsia" w:hAnsiTheme="majorEastAsia" w:hint="eastAsia"/>
          <w:sz w:val="28"/>
          <w:szCs w:val="28"/>
        </w:rPr>
        <w:t>附件4：</w:t>
      </w:r>
    </w:p>
    <w:p w14:paraId="4225CEC1" w14:textId="77777777" w:rsidR="00B076DE" w:rsidRDefault="00000000">
      <w:pPr>
        <w:widowControl/>
        <w:jc w:val="center"/>
        <w:rPr>
          <w:rFonts w:eastAsia="黑体"/>
          <w:sz w:val="28"/>
          <w:szCs w:val="28"/>
        </w:rPr>
      </w:pPr>
      <w:r>
        <w:rPr>
          <w:rFonts w:eastAsia="黑体" w:hint="eastAsia"/>
          <w:sz w:val="28"/>
          <w:szCs w:val="28"/>
        </w:rPr>
        <w:t>中</w:t>
      </w:r>
      <w:proofErr w:type="gramStart"/>
      <w:r>
        <w:rPr>
          <w:rFonts w:eastAsia="黑体" w:hint="eastAsia"/>
          <w:sz w:val="28"/>
          <w:szCs w:val="28"/>
        </w:rPr>
        <w:t>汽协会</w:t>
      </w:r>
      <w:proofErr w:type="gramEnd"/>
      <w:r>
        <w:rPr>
          <w:rFonts w:eastAsia="黑体" w:hint="eastAsia"/>
          <w:sz w:val="28"/>
          <w:szCs w:val="28"/>
        </w:rPr>
        <w:t>《动力和储能电池成本核算模型通则》</w:t>
      </w:r>
    </w:p>
    <w:p w14:paraId="542839EB" w14:textId="49DD1971" w:rsidR="00831DB2" w:rsidRDefault="00000000">
      <w:pPr>
        <w:widowControl/>
        <w:jc w:val="center"/>
        <w:rPr>
          <w:rFonts w:eastAsia="黑体"/>
          <w:sz w:val="28"/>
          <w:szCs w:val="28"/>
        </w:rPr>
      </w:pPr>
      <w:r>
        <w:rPr>
          <w:rFonts w:eastAsia="黑体" w:hint="eastAsia"/>
          <w:sz w:val="28"/>
          <w:szCs w:val="28"/>
        </w:rPr>
        <w:t>团体标准编制说明</w:t>
      </w:r>
    </w:p>
    <w:p w14:paraId="2642D4AC" w14:textId="77777777" w:rsidR="00831DB2" w:rsidRDefault="00831DB2">
      <w:pPr>
        <w:rPr>
          <w:rFonts w:ascii="黑体" w:eastAsia="黑体" w:hAnsi="黑体" w:cs="黑体" w:hint="eastAsia"/>
          <w:color w:val="000000" w:themeColor="text1"/>
          <w:sz w:val="30"/>
          <w:szCs w:val="30"/>
        </w:rPr>
      </w:pPr>
    </w:p>
    <w:p w14:paraId="6CE59E54" w14:textId="77777777" w:rsidR="00831DB2" w:rsidRDefault="00000000">
      <w:pPr>
        <w:numPr>
          <w:ilvl w:val="0"/>
          <w:numId w:val="2"/>
        </w:numPr>
        <w:ind w:firstLineChars="200" w:firstLine="480"/>
        <w:rPr>
          <w:rFonts w:ascii="黑体" w:eastAsia="黑体" w:hAnsi="黑体" w:cs="黑体" w:hint="eastAsia"/>
          <w:color w:val="000000" w:themeColor="text1"/>
          <w:sz w:val="24"/>
        </w:rPr>
      </w:pPr>
      <w:r>
        <w:rPr>
          <w:rFonts w:ascii="黑体" w:eastAsia="黑体" w:hAnsi="黑体" w:cs="黑体" w:hint="eastAsia"/>
          <w:color w:val="000000" w:themeColor="text1"/>
          <w:sz w:val="24"/>
        </w:rPr>
        <w:t>工作简要过程</w:t>
      </w:r>
    </w:p>
    <w:p w14:paraId="3FF7E02C" w14:textId="77777777" w:rsidR="00831DB2" w:rsidRDefault="00000000">
      <w:pPr>
        <w:numPr>
          <w:ilvl w:val="0"/>
          <w:numId w:val="3"/>
        </w:numPr>
        <w:rPr>
          <w:rFonts w:ascii="仿宋" w:eastAsia="仿宋" w:hAnsi="仿宋" w:cs="仿宋" w:hint="eastAsia"/>
          <w:b/>
          <w:bCs/>
          <w:color w:val="000000" w:themeColor="text1"/>
          <w:sz w:val="24"/>
        </w:rPr>
      </w:pPr>
      <w:r>
        <w:rPr>
          <w:rFonts w:ascii="仿宋" w:eastAsia="仿宋" w:hAnsi="仿宋" w:cs="仿宋" w:hint="eastAsia"/>
          <w:b/>
          <w:bCs/>
          <w:color w:val="000000" w:themeColor="text1"/>
          <w:sz w:val="24"/>
        </w:rPr>
        <w:t>任务来源</w:t>
      </w:r>
    </w:p>
    <w:p w14:paraId="2B9FF8BE" w14:textId="54917DD0" w:rsidR="00831DB2" w:rsidRDefault="00000000">
      <w:pPr>
        <w:spacing w:after="0" w:line="279" w:lineRule="auto"/>
        <w:ind w:left="363"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为有效规范产业成本核算方法，精准还原产品真实成本水平，杜绝依托不规范核算开展的非理性低价竞争，现依据《中华人民共和国价格法》《关于制止低价倾销行为的规定》</w:t>
      </w:r>
      <w:r w:rsidR="00661CEE">
        <w:rPr>
          <w:rFonts w:ascii="仿宋" w:eastAsia="仿宋" w:hAnsi="仿宋" w:cs="仿宋" w:hint="eastAsia"/>
          <w:color w:val="000000" w:themeColor="text1"/>
          <w:sz w:val="24"/>
        </w:rPr>
        <w:t>《企业会计准则》</w:t>
      </w:r>
      <w:r>
        <w:rPr>
          <w:rFonts w:ascii="仿宋" w:eastAsia="仿宋" w:hAnsi="仿宋" w:cs="仿宋" w:hint="eastAsia"/>
          <w:color w:val="000000" w:themeColor="text1"/>
          <w:sz w:val="24"/>
        </w:rPr>
        <w:t>及新能源行业相关管理规范，结合动力和储能电池差异化的生产工艺、产品属性、应用场景与行业经营实际，编制电池成本核算模型通则，统一动力和储能电池的成本核算口径，构建标准化、可核验的成本核算体系。</w:t>
      </w:r>
    </w:p>
    <w:p w14:paraId="331661B9" w14:textId="77777777" w:rsidR="00831DB2" w:rsidRDefault="00000000">
      <w:pPr>
        <w:spacing w:after="0" w:line="279" w:lineRule="auto"/>
        <w:ind w:left="363"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本标准适用范围覆盖各类锂离子动力和储能电池，全面贯穿原材料采购、生产制造、质量检测、能耗、仓储物流、资产摊销、研发投入、销售、管理等全业务链条的成本归集与核算工作，旨在为企业成本管控、产品定价、经营核算、对标分析等提供统一、科学、可落地、可追溯的标准化依据，引导企业从盲目价格竞争转向精细化运营，助力行业破除低价内卷困局，规范市场经营秩序，推动我国电池产业向规模化、高端化、高质量方向持续发展。同时，本文件可用于行业监管、审计、评估等相关活动中涉及的动力和储能电池产品成本核算。</w:t>
      </w:r>
      <w:bookmarkStart w:id="0" w:name="_Hlk237116663"/>
    </w:p>
    <w:p w14:paraId="7CAFC1BB" w14:textId="77777777" w:rsidR="00831DB2" w:rsidRDefault="00000000">
      <w:pPr>
        <w:spacing w:after="0" w:line="279" w:lineRule="auto"/>
        <w:ind w:left="363"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中国汽车动力电池产业创新联盟、中国化学与物理电源行业协会</w:t>
      </w:r>
      <w:bookmarkEnd w:id="0"/>
      <w:r>
        <w:rPr>
          <w:rFonts w:ascii="仿宋" w:eastAsia="仿宋" w:hAnsi="仿宋" w:cs="仿宋" w:hint="eastAsia"/>
          <w:color w:val="000000" w:themeColor="text1"/>
          <w:sz w:val="24"/>
        </w:rPr>
        <w:t>储能应用分会共同牵头研制的《动力和储能电池成本核算模型通则》标准已按《中国汽车工业协会标准制修订管理办法》《中国化学与物理电源行业协会团体标准管理办法》有关规定通过立项审查和公示，现正式列入团体标准研制计划，项目计划号分别为2026-35、J/CIAPS-20260008。</w:t>
      </w:r>
    </w:p>
    <w:p w14:paraId="7DA826BB" w14:textId="77777777" w:rsidR="00831DB2" w:rsidRDefault="00000000">
      <w:pPr>
        <w:numPr>
          <w:ilvl w:val="0"/>
          <w:numId w:val="3"/>
        </w:numPr>
        <w:rPr>
          <w:rFonts w:ascii="仿宋" w:eastAsia="仿宋" w:hAnsi="仿宋" w:cs="仿宋" w:hint="eastAsia"/>
          <w:b/>
          <w:bCs/>
          <w:color w:val="000000" w:themeColor="text1"/>
          <w:sz w:val="24"/>
        </w:rPr>
      </w:pPr>
      <w:r>
        <w:rPr>
          <w:rFonts w:ascii="仿宋" w:eastAsia="仿宋" w:hAnsi="仿宋" w:cs="仿宋" w:hint="eastAsia"/>
          <w:b/>
          <w:bCs/>
          <w:color w:val="000000" w:themeColor="text1"/>
          <w:sz w:val="24"/>
        </w:rPr>
        <w:t>主要起草单位及任务分工</w:t>
      </w:r>
    </w:p>
    <w:p w14:paraId="341CB50E" w14:textId="77777777" w:rsidR="00831DB2" w:rsidRDefault="00000000">
      <w:pPr>
        <w:spacing w:after="0" w:line="279" w:lineRule="auto"/>
        <w:ind w:left="363"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1、标准编写牵头单位：中国汽车动力电池产业创新联盟、中国化学与物理电源行业协会储能应用分会。</w:t>
      </w:r>
    </w:p>
    <w:p w14:paraId="4C5A96C7" w14:textId="2589BD31" w:rsidR="00831DB2" w:rsidRDefault="00000000">
      <w:pPr>
        <w:spacing w:after="0" w:line="279" w:lineRule="auto"/>
        <w:ind w:left="363"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2、参与单位：国联汽车动力电池研究院有限责任公司、清华四川能源互联网研究院、宁德时代新能源科技股份有限公司、深圳市比亚迪锂电池有限公司、</w:t>
      </w:r>
      <w:r>
        <w:rPr>
          <w:rFonts w:ascii="仿宋_GB2312" w:eastAsia="仿宋_GB2312" w:hAnsi="仿宋_GB2312" w:cs="仿宋_GB2312" w:hint="eastAsia"/>
          <w:color w:val="000000"/>
          <w:sz w:val="24"/>
        </w:rPr>
        <w:t>华霆（合肥）动力技术有限公司、</w:t>
      </w:r>
      <w:r>
        <w:rPr>
          <w:rFonts w:ascii="仿宋" w:eastAsia="仿宋" w:hAnsi="仿宋" w:cs="仿宋" w:hint="eastAsia"/>
          <w:color w:val="000000" w:themeColor="text1"/>
          <w:sz w:val="24"/>
        </w:rPr>
        <w:t>蜂巢能源科技股份有限公司、瑞浦兰钧能源股份有限公司、欣旺达电子股份有限公司、惠州亿纬锂能股份有限</w:t>
      </w:r>
      <w:r>
        <w:rPr>
          <w:rFonts w:ascii="仿宋" w:eastAsia="仿宋" w:hAnsi="仿宋" w:cs="仿宋" w:hint="eastAsia"/>
          <w:color w:val="000000" w:themeColor="text1"/>
          <w:sz w:val="24"/>
        </w:rPr>
        <w:lastRenderedPageBreak/>
        <w:t>公司、</w:t>
      </w:r>
      <w:r w:rsidR="00FE70BD">
        <w:rPr>
          <w:rFonts w:ascii="仿宋" w:eastAsia="仿宋" w:hAnsi="仿宋" w:cs="仿宋" w:hint="eastAsia"/>
          <w:color w:val="000000" w:themeColor="text1"/>
          <w:sz w:val="24"/>
        </w:rPr>
        <w:t>中创新航科技集团股份有限公司、</w:t>
      </w:r>
      <w:r>
        <w:rPr>
          <w:rFonts w:ascii="仿宋" w:eastAsia="仿宋" w:hAnsi="仿宋" w:cs="仿宋" w:hint="eastAsia"/>
          <w:color w:val="000000" w:themeColor="text1"/>
          <w:sz w:val="24"/>
        </w:rPr>
        <w:t>广州智光储能科技有限公司、南方电网储能股份有限公司、电化学能源消费消防安全联合创新应急管理部重点实验室、江苏天合储能有限公司、</w:t>
      </w:r>
      <w:r w:rsidR="00FE70BD">
        <w:rPr>
          <w:rFonts w:ascii="仿宋" w:eastAsia="仿宋" w:hAnsi="仿宋" w:cs="仿宋" w:hint="eastAsia"/>
          <w:color w:val="000000" w:themeColor="text1"/>
          <w:sz w:val="24"/>
        </w:rPr>
        <w:t>合肥大学、</w:t>
      </w:r>
      <w:r>
        <w:rPr>
          <w:rFonts w:ascii="仿宋" w:eastAsia="仿宋" w:hAnsi="仿宋" w:cs="仿宋" w:hint="eastAsia"/>
          <w:color w:val="000000" w:themeColor="text1"/>
          <w:sz w:val="24"/>
        </w:rPr>
        <w:t>浙江吉曜通行控股有限公司、河北工业大学、江苏正力新能电池技术股份有限公司、合肥国轩高科动力能源有限公司、广州鹏辉能源科技股份有限公司、厦门海辰储能科技股份有限公司、楚能新能源股份有限公司、中国电子信息产业发展研究院、中国第一汽车股份有限公司、中国汽车工程研究院股份有限公司、合肥大学、北京海博思创科技股份有限公司、北京汽车研究总院有限公司、江西赣锋锂业集团股份有限公司</w:t>
      </w:r>
    </w:p>
    <w:p w14:paraId="4A572F14" w14:textId="77777777" w:rsidR="00831DB2" w:rsidRDefault="00000000">
      <w:pPr>
        <w:spacing w:after="0" w:line="279" w:lineRule="auto"/>
        <w:ind w:left="363"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3、任务分工：中国汽车动力电池产业创新联盟、中国化学与物理电源行业协会全面负责组织协调、标准起草、会议交流与收集意见反馈等工作；各参与单位负责研讨条款、反馈本企业意见建议；全体成员共同规范标准文本格式、编制标准资料。</w:t>
      </w:r>
    </w:p>
    <w:p w14:paraId="0DB5E37E" w14:textId="77777777" w:rsidR="00831DB2" w:rsidRDefault="00000000">
      <w:pPr>
        <w:numPr>
          <w:ilvl w:val="0"/>
          <w:numId w:val="3"/>
        </w:numPr>
        <w:rPr>
          <w:rFonts w:ascii="仿宋" w:eastAsia="仿宋" w:hAnsi="仿宋" w:cs="仿宋" w:hint="eastAsia"/>
          <w:b/>
          <w:bCs/>
          <w:color w:val="000000" w:themeColor="text1"/>
          <w:sz w:val="24"/>
        </w:rPr>
      </w:pPr>
      <w:r>
        <w:rPr>
          <w:rFonts w:ascii="仿宋" w:eastAsia="仿宋" w:hAnsi="仿宋" w:cs="仿宋" w:hint="eastAsia"/>
          <w:b/>
          <w:bCs/>
          <w:color w:val="000000" w:themeColor="text1"/>
          <w:sz w:val="24"/>
        </w:rPr>
        <w:t>标准研讨情况</w:t>
      </w:r>
    </w:p>
    <w:p w14:paraId="0E7E4BA6" w14:textId="77777777" w:rsidR="00831DB2" w:rsidRDefault="00000000">
      <w:pPr>
        <w:ind w:left="360"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2025年起，中国汽车动力电池产业创新联盟开展电池成本模型搭建，采用与企业背对背交流、调查问卷、会议讨论等多种方式开展电池成本模型的研究工作，初步形成了电芯、模组、系统分层级的成本模型。</w:t>
      </w:r>
    </w:p>
    <w:p w14:paraId="1E28E8D0" w14:textId="77777777" w:rsidR="00831DB2" w:rsidRDefault="00000000">
      <w:pPr>
        <w:ind w:left="360"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2026年初，在有关部委的指导下，联合中国化学与物理化学电源协会储能应用分会进一步开展模型的交流和修改工作，并形成了团体标准初稿文件，双方商定实行在中国汽车工业协会、中国化学与物理电源协会双归口</w:t>
      </w:r>
    </w:p>
    <w:p w14:paraId="22782E4F" w14:textId="77777777" w:rsidR="00831DB2" w:rsidRDefault="00000000">
      <w:pPr>
        <w:ind w:left="360"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2026年5月28日，按照中国汽车工业协会、中国化学与物理电源协会的团体标准相关管理办法，由中国汽车动力电池产业创新联盟牵头组织召开了7位行业专家，对本标准的立项情况进行了评审，专家决定同意立项，后续通过标委会的审查和公示，已正式列入团体标准研制计划，项目计划号分别为2026-35、J/CIAPS-20260008。</w:t>
      </w:r>
    </w:p>
    <w:p w14:paraId="77954FC2" w14:textId="77777777" w:rsidR="00831DB2" w:rsidRDefault="00000000">
      <w:pPr>
        <w:ind w:left="360"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2026年7月7日，本标准开始征集标准工作组成员单位和对标准草案意见。截止目前，征集了23家参编单位以及62条草案意见，根据意见，对标准文件进行修订，形成了工作组的讨论稿。2026年7月30日，中国汽车动力电池产业创新联盟、中国化学与物理电源行业协会储能应用分会组织召开《动力和储能电池成本核算模型通则》团体标准启动会。行业协会、高校科研院所、整车、动力电池、关键材料、储能领域等近30家单位50余位代表参加会议。牵头单位汇报了《动力和储能电池成本核算模型通则》编制规划、目前进展、核心内容与实施价值。在集中研讨交流环节，参会代表结合自身产业定位与业务实际，围绕成本核算标准的核算框架、统计口径、场景适配性等关键议题开展充分研讨，为进一步优化、完善标准提供有力支撑。会后根据专家意见对文件做了一进步的修订，形成了工作组讨论2稿。</w:t>
      </w:r>
    </w:p>
    <w:p w14:paraId="3621B51F" w14:textId="66635303" w:rsidR="00831DB2" w:rsidRDefault="00000000">
      <w:pPr>
        <w:ind w:left="360"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lastRenderedPageBreak/>
        <w:t>2026年8月9日，中国化学与物理电源行业协会储能应用分会、中国汽车动力电池产业创新联盟组织召开工作组标准讨论会，对工作</w:t>
      </w:r>
      <w:r w:rsidR="00661CEE">
        <w:rPr>
          <w:rFonts w:ascii="仿宋" w:eastAsia="仿宋" w:hAnsi="仿宋" w:cs="仿宋" w:hint="eastAsia"/>
          <w:color w:val="000000" w:themeColor="text1"/>
          <w:sz w:val="24"/>
        </w:rPr>
        <w:t>组</w:t>
      </w:r>
      <w:r>
        <w:rPr>
          <w:rFonts w:ascii="仿宋" w:eastAsia="仿宋" w:hAnsi="仿宋" w:cs="仿宋" w:hint="eastAsia"/>
          <w:color w:val="000000" w:themeColor="text1"/>
          <w:sz w:val="24"/>
        </w:rPr>
        <w:t>讨论2稿进行讨论，会后根据意见对标准文稿进行了修订，形成了征求意见稿。</w:t>
      </w:r>
    </w:p>
    <w:p w14:paraId="462E329D" w14:textId="77777777" w:rsidR="00831DB2" w:rsidRDefault="00831DB2">
      <w:pPr>
        <w:ind w:left="360"/>
        <w:rPr>
          <w:rFonts w:ascii="仿宋" w:eastAsia="仿宋" w:hAnsi="仿宋" w:cs="仿宋" w:hint="eastAsia"/>
          <w:color w:val="000000" w:themeColor="text1"/>
          <w:sz w:val="24"/>
        </w:rPr>
      </w:pPr>
    </w:p>
    <w:p w14:paraId="75588E65" w14:textId="77777777" w:rsidR="00831DB2" w:rsidRDefault="00000000">
      <w:pPr>
        <w:ind w:firstLineChars="200" w:firstLine="480"/>
        <w:rPr>
          <w:rFonts w:ascii="黑体" w:eastAsia="黑体" w:hAnsi="黑体" w:cs="黑体" w:hint="eastAsia"/>
          <w:color w:val="000000" w:themeColor="text1"/>
          <w:sz w:val="24"/>
        </w:rPr>
      </w:pPr>
      <w:r>
        <w:rPr>
          <w:rFonts w:ascii="黑体" w:eastAsia="黑体" w:hAnsi="黑体" w:cs="黑体" w:hint="eastAsia"/>
          <w:color w:val="000000" w:themeColor="text1"/>
          <w:sz w:val="24"/>
        </w:rPr>
        <w:t>二、标准编制原则和主要内容</w:t>
      </w:r>
    </w:p>
    <w:p w14:paraId="12EE67B0" w14:textId="77777777" w:rsidR="00831DB2" w:rsidRDefault="00000000">
      <w:pPr>
        <w:spacing w:after="0" w:line="279" w:lineRule="auto"/>
        <w:ind w:firstLineChars="200" w:firstLine="480"/>
        <w:rPr>
          <w:rFonts w:ascii="仿宋" w:eastAsia="仿宋" w:hAnsi="仿宋" w:cs="仿宋" w:hint="eastAsia"/>
          <w:sz w:val="24"/>
        </w:rPr>
      </w:pPr>
      <w:r>
        <w:rPr>
          <w:rFonts w:ascii="仿宋" w:eastAsia="仿宋" w:hAnsi="仿宋" w:cs="仿宋" w:hint="eastAsia"/>
          <w:sz w:val="24"/>
        </w:rPr>
        <w:t>1、标准编制原则：本标准在制定过程中，认真贯彻执行国家标准化管理委员会有关国家标准制修订管理办法，本着合规性、公允性、一致性、权责发生制、完整性、可追溯性的原则开展制定工作。</w:t>
      </w:r>
    </w:p>
    <w:p w14:paraId="5F0C8B60" w14:textId="77777777" w:rsidR="00831DB2" w:rsidRDefault="00000000">
      <w:pPr>
        <w:spacing w:after="0" w:line="279" w:lineRule="auto"/>
        <w:ind w:firstLineChars="200" w:firstLine="480"/>
        <w:rPr>
          <w:rFonts w:ascii="仿宋" w:eastAsia="仿宋" w:hAnsi="仿宋" w:cs="仿宋" w:hint="eastAsia"/>
          <w:sz w:val="24"/>
        </w:rPr>
      </w:pPr>
      <w:r>
        <w:rPr>
          <w:rFonts w:ascii="仿宋" w:eastAsia="仿宋" w:hAnsi="仿宋" w:cs="仿宋" w:hint="eastAsia"/>
          <w:sz w:val="24"/>
        </w:rPr>
        <w:t>本标准按GB/T 1.1-2020《标准化工作导则第1部分：标准化文件的结构和起草规则》给出的规则编写，充分结合我国动力和储能电池行业产品成本制订。</w:t>
      </w:r>
    </w:p>
    <w:p w14:paraId="7F4BC3CE" w14:textId="77777777" w:rsidR="00831DB2" w:rsidRDefault="00000000">
      <w:pPr>
        <w:spacing w:after="0" w:line="279" w:lineRule="auto"/>
        <w:ind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2、标准主要内容：</w:t>
      </w:r>
    </w:p>
    <w:p w14:paraId="18A39F30"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2.1 电池成本核算总体要求</w:t>
      </w:r>
    </w:p>
    <w:p w14:paraId="581EB6E6"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2.1.1成本核算范围</w:t>
      </w:r>
    </w:p>
    <w:p w14:paraId="2D5B73D1"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电池成本核算应根据产品销售形态明确核算范围和成本构成。</w:t>
      </w:r>
    </w:p>
    <w:p w14:paraId="2876DFBC"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a) 以电池单体形态销售的产品，核算范围包括与电池单体生产全流程相关的生产成本和期间费用。</w:t>
      </w:r>
    </w:p>
    <w:p w14:paraId="7371FBB9"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b) 以非单体电池形态销售的产品，应明确其产品构成，核算范围以最终销售产品的形态为边界，成本包括构成所销售产品的生产成本和期间费用。</w:t>
      </w:r>
    </w:p>
    <w:p w14:paraId="76D2CC88"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c) 所有产品的成本核算结果均为不含税成本。</w:t>
      </w:r>
    </w:p>
    <w:p w14:paraId="0FFD8601"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d）企业核算成本过程中的材料成本以实际采购价格为准，其他机构核算材料成本如没有实际采购价格，可参考公开数据或者行业平均值来计算。</w:t>
      </w:r>
    </w:p>
    <w:p w14:paraId="0C0A8CF0"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e)如产品出口中国以外地方，核算范围除了电池单体、模块、系统的生产成本和期间费用外，还应包括出口目的国的关税及保险费、跨境物流、港口装卸、报关报检、仓储码头、国际货运等其他费用。</w:t>
      </w:r>
    </w:p>
    <w:p w14:paraId="0BCD8BFD"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2.1.2 成本核算流程</w:t>
      </w:r>
    </w:p>
    <w:p w14:paraId="6780103F"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动力电池和储能电池成本核算的具体核算流程包括：</w:t>
      </w:r>
    </w:p>
    <w:p w14:paraId="36FC2897"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 xml:space="preserve">a）确定核算对象：明确核算对象是电池单体、电池模块、电池包、动力蓄电池系统、储能系统； </w:t>
      </w:r>
    </w:p>
    <w:p w14:paraId="02ADEB52"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 xml:space="preserve">b）界定成本范围：根据成本核算范围确定生产成本和期间费用边界； </w:t>
      </w:r>
    </w:p>
    <w:p w14:paraId="652960AF"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 xml:space="preserve">c）收集基础数据：收集BOM、设备清单、工序清单、材料领料记录、燃料动力使用记录、采购发票、工时记录、工资单、支付凭证、结算单等，具体内容参见附录A、附录B； </w:t>
      </w:r>
    </w:p>
    <w:p w14:paraId="7F6F06BE"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 xml:space="preserve">d）归集成本：将可直接计入核算对象的材料、人工成本直接归集； </w:t>
      </w:r>
    </w:p>
    <w:p w14:paraId="6162B0D1"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e）分配成本：选择合理的成本动因（如工时、产量等），将制造费用、期间费用分配至各核算对象；</w:t>
      </w:r>
    </w:p>
    <w:p w14:paraId="22261D44"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f）计算全成本与单位成本：汇总成本，并用全成本除以合格产品产量（通常采用设计总能量）计算单位成本；</w:t>
      </w:r>
    </w:p>
    <w:p w14:paraId="2B3D7D4A"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lastRenderedPageBreak/>
        <w:t xml:space="preserve">g）编制核算报告：形成成本核算成果文件。 </w:t>
      </w:r>
    </w:p>
    <w:p w14:paraId="70FC5393"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2.1.3 成本核算报告</w:t>
      </w:r>
    </w:p>
    <w:p w14:paraId="1B1F2A7C"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成本核算应形成核算报告，成本核算报告应包含但不限于以下部分：</w:t>
      </w:r>
    </w:p>
    <w:p w14:paraId="15ADA919"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a) 报告封面；</w:t>
      </w:r>
    </w:p>
    <w:p w14:paraId="423CD396"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b) 报告说明；</w:t>
      </w:r>
    </w:p>
    <w:p w14:paraId="328E017A"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c) 基本信息；</w:t>
      </w:r>
    </w:p>
    <w:p w14:paraId="0CDB72F3"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d) 成本核算范围与口径说明；</w:t>
      </w:r>
    </w:p>
    <w:p w14:paraId="59D58EA5"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e) 成本核算结果汇总；</w:t>
      </w:r>
    </w:p>
    <w:p w14:paraId="70CE3CE2"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f) 成本核算明细表；</w:t>
      </w:r>
    </w:p>
    <w:p w14:paraId="3302AE5A"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g) 资源价格清单；</w:t>
      </w:r>
    </w:p>
    <w:p w14:paraId="08E77D1A"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h) 成本偏差分析；</w:t>
      </w:r>
    </w:p>
    <w:p w14:paraId="33B71015"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proofErr w:type="spellStart"/>
      <w:r>
        <w:rPr>
          <w:rFonts w:ascii="仿宋" w:eastAsia="仿宋" w:hAnsi="仿宋" w:cs="仿宋" w:hint="eastAsia"/>
          <w:color w:val="000000"/>
          <w:kern w:val="0"/>
          <w:sz w:val="24"/>
        </w:rPr>
        <w:t>i</w:t>
      </w:r>
      <w:proofErr w:type="spellEnd"/>
      <w:r>
        <w:rPr>
          <w:rFonts w:ascii="仿宋" w:eastAsia="仿宋" w:hAnsi="仿宋" w:cs="仿宋" w:hint="eastAsia"/>
          <w:color w:val="000000"/>
          <w:kern w:val="0"/>
          <w:sz w:val="24"/>
        </w:rPr>
        <w:t>) 特别事项说明；</w:t>
      </w:r>
    </w:p>
    <w:p w14:paraId="10F0D3F8"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j) 结论与建议；</w:t>
      </w:r>
    </w:p>
    <w:p w14:paraId="02007883"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k) 附件清单；</w:t>
      </w:r>
    </w:p>
    <w:p w14:paraId="671BDB88"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l) 报告签署。</w:t>
      </w:r>
    </w:p>
    <w:p w14:paraId="32C1D51D"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具体内容可参考附录C成本核算报告模板。</w:t>
      </w:r>
    </w:p>
    <w:p w14:paraId="511988CF"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2.2 电池单体成本构成</w:t>
      </w:r>
    </w:p>
    <w:p w14:paraId="5BA24DC8"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2.2.1生产成本构成</w:t>
      </w:r>
    </w:p>
    <w:p w14:paraId="7C8ED0A9"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生产成本主要包括材料成本、制造成本、售后计提。</w:t>
      </w:r>
    </w:p>
    <w:p w14:paraId="0DE7EFE3"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2.2.1.1材料成本</w:t>
      </w:r>
    </w:p>
    <w:p w14:paraId="15EAA11F"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生产电池单体用到的材料，如正极材料、负极材料、电解质、隔膜、集流体、结构件及其他辅助材料，以及原材料采购过程中发生的运输费、装卸费、仓储费（合理损耗范围内）等相关费用及进口原材料的关税、保险费。</w:t>
      </w:r>
    </w:p>
    <w:p w14:paraId="6533EAF1"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2.2.1.2制造成本</w:t>
      </w:r>
    </w:p>
    <w:p w14:paraId="13C900BC" w14:textId="0AEDED31"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制造成本包括生产一线工人的工资、生产车间的燃料和动力等费用、生产制造设备的资产折旧费、厂房的固定资产折旧费或者厂房租赁费用、 车间管理人员的薪酬、社会保险费、住房公积金及其他制造费用（无形资产摊销、维修费、检测费、低值易耗品摊销、外委加工的运输费、国家规定的有关环保费用、清洁费、安全防护等其他间接费用）。</w:t>
      </w:r>
    </w:p>
    <w:p w14:paraId="212DF654"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2.2.1.3售后计提</w:t>
      </w:r>
    </w:p>
    <w:p w14:paraId="7B4FB9AC" w14:textId="6D0851E5"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售后计提指的是企业为履行销售合同中的售后服务承诺（如保修、维修、退换货等）而预计的未来支出，通过计提方式在销售当期确认相应的费用和负债。售后计提仅将产品标配的约定质保期内的保证类售后成本纳入，额外收费的延保、定制化售后服务等单独核算，不纳入成本统计。售后计提按照采用分摊比例来计算，计提比例应综合考虑以下因素：产品质保年限及质保承诺范围、历史售后维修数据及实际发生比例、产品技术成熟度与质量稳定性、行业惯例及可比公司计提标准、行业政策变化及市场环境变动。计提比例应每年进行评估，必要时进行</w:t>
      </w:r>
      <w:r>
        <w:rPr>
          <w:rFonts w:ascii="仿宋" w:eastAsia="仿宋" w:hAnsi="仿宋" w:cs="仿宋" w:hint="eastAsia"/>
          <w:color w:val="000000"/>
          <w:kern w:val="0"/>
          <w:sz w:val="24"/>
        </w:rPr>
        <w:lastRenderedPageBreak/>
        <w:t>调整。质保期内的回收处置、环保合规等与产品质量保证直接相关的成本，可纳入计提范围。</w:t>
      </w:r>
    </w:p>
    <w:p w14:paraId="3C92EE6D"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2.2.2 期间费用构成</w:t>
      </w:r>
    </w:p>
    <w:p w14:paraId="6BD197A6" w14:textId="570230E3"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销售费用：指销售商品或提供服务过程中产生的各项费用，主要包括销售人员薪酬、市场推广费用、差旅费、广告费用、售后服务（提供额外服务，或日常非质量类支持等）等。</w:t>
      </w:r>
    </w:p>
    <w:p w14:paraId="62B3A327"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管理费用：指企业为组织和管理生产经营活动所发生的各类费用，主要包括非生产一线人员工资福利、办公费、差旅费、培训费、咨询费及其他行政管理支出（工会费用、技术转让费、诉讼费等）。</w:t>
      </w:r>
    </w:p>
    <w:p w14:paraId="20870615"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财务费用：指企业为筹集生产经营所需资金而发生的费用，主要包括利息净支出、汇兑净损失（如商品流通企业等特殊行业单独核算时应排除）、金融机构手续费、企业发生的现金折扣或收到的现金折扣，以及其他筹资费用。</w:t>
      </w:r>
    </w:p>
    <w:p w14:paraId="77011138"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研发费用：研发费用是指企业在研究与开发活动中发生的、不满足资本化条件的支出，以及开发阶段无法满足资本化条件的支出。</w:t>
      </w:r>
    </w:p>
    <w:p w14:paraId="7EFE7705"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2.3 非单体电池成本构成</w:t>
      </w:r>
    </w:p>
    <w:p w14:paraId="0328E764"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2.3.1 电池模块成本构成</w:t>
      </w:r>
    </w:p>
    <w:p w14:paraId="5341A272"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2.3.1.1生产成本构成</w:t>
      </w:r>
    </w:p>
    <w:p w14:paraId="1801D552" w14:textId="29FD30D8"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材料成本：包括电池单体、结构件、电气连接件、电池管理系统、其他材料以及电池单体及其他零部件或材料采购过程中发生的运输费、装卸费、仓储费（合理损耗范围内）等相关费用及进口原材料的关税、保险费。</w:t>
      </w:r>
    </w:p>
    <w:p w14:paraId="19617678"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制造成本构成参考上述电池单体。</w:t>
      </w:r>
    </w:p>
    <w:p w14:paraId="4B0A9E9A"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售后计提构成参考上述电池单体。</w:t>
      </w:r>
    </w:p>
    <w:p w14:paraId="71735EF2"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2.3.1.2期间费用构成参考电池单体的描述。</w:t>
      </w:r>
    </w:p>
    <w:p w14:paraId="720E646B"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2.3.3 动力蓄电池系统成本构成</w:t>
      </w:r>
    </w:p>
    <w:p w14:paraId="2D2F5C7A"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2.3.3.1生产成本构成</w:t>
      </w:r>
    </w:p>
    <w:p w14:paraId="0CFB74B0" w14:textId="5BCE0232"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 xml:space="preserve"> 材料成本：包括电池单体或电池模块、电气件、热管理系统、线束、电池管理系统、箱体、其他辅材以及电池单体或电池模块及其他零部件或材料采购过程中发生的运输费、装卸费、仓储费（合理损耗范围内）等相关费用及进口原材料的关税、保险费。</w:t>
      </w:r>
    </w:p>
    <w:p w14:paraId="25B8388A"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2.3.3.2 制造成本、售后计提及期间费用参考电池单体。</w:t>
      </w:r>
    </w:p>
    <w:p w14:paraId="275DCD3E"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2.3.4储能电池系统成本构成</w:t>
      </w:r>
    </w:p>
    <w:p w14:paraId="54978576"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2.3.4.1 生产成本构成</w:t>
      </w:r>
    </w:p>
    <w:p w14:paraId="53E7D3B6" w14:textId="3CC77CB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材料成本：包括电池单体、电池模块或电池包、电气件、热管理系统、线束、电池管理系统、箱体、PCS、EMS、消防系统、电气设备、其他辅材以及储能电池及其他零部件或材料采购过程中发生的运输费、装卸费、仓储费（合理损耗范围内）等相关费用及进口原材料的关税、保险费。</w:t>
      </w:r>
    </w:p>
    <w:p w14:paraId="7FB1D0C5"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2.3.4.2 制造成本、售后计提及期间费用参考电池单体。</w:t>
      </w:r>
    </w:p>
    <w:p w14:paraId="63A305BB" w14:textId="77777777" w:rsidR="00831DB2" w:rsidRDefault="00000000">
      <w:pPr>
        <w:widowControl/>
        <w:autoSpaceDE w:val="0"/>
        <w:autoSpaceDN w:val="0"/>
        <w:spacing w:after="0" w:line="279" w:lineRule="auto"/>
        <w:ind w:firstLineChars="200" w:firstLine="480"/>
        <w:rPr>
          <w:rFonts w:ascii="仿宋" w:eastAsia="仿宋" w:hAnsi="仿宋" w:cs="仿宋" w:hint="eastAsia"/>
          <w:color w:val="000000"/>
          <w:kern w:val="0"/>
          <w:sz w:val="24"/>
        </w:rPr>
      </w:pPr>
      <w:r>
        <w:rPr>
          <w:rFonts w:ascii="仿宋" w:eastAsia="仿宋" w:hAnsi="仿宋" w:cs="仿宋" w:hint="eastAsia"/>
          <w:color w:val="000000"/>
          <w:kern w:val="0"/>
          <w:sz w:val="24"/>
        </w:rPr>
        <w:t>2.4　成本核算方法</w:t>
      </w:r>
    </w:p>
    <w:p w14:paraId="50ECF9B0" w14:textId="5A30E381" w:rsidR="00661CEE" w:rsidRPr="00661CEE" w:rsidRDefault="00661CEE" w:rsidP="00661CEE">
      <w:pPr>
        <w:pStyle w:val="af"/>
        <w:spacing w:line="279" w:lineRule="auto"/>
        <w:ind w:firstLine="480"/>
        <w:rPr>
          <w:rFonts w:ascii="仿宋" w:eastAsia="仿宋" w:hAnsi="仿宋" w:cs="仿宋" w:hint="eastAsia"/>
          <w:color w:val="000000"/>
          <w:sz w:val="24"/>
        </w:rPr>
      </w:pPr>
      <w:r>
        <w:rPr>
          <w:rFonts w:ascii="仿宋" w:eastAsia="仿宋" w:hAnsi="仿宋" w:cs="仿宋" w:hint="eastAsia"/>
          <w:color w:val="000000"/>
          <w:sz w:val="24"/>
        </w:rPr>
        <w:lastRenderedPageBreak/>
        <w:t>2.4.1</w:t>
      </w:r>
      <w:r w:rsidRPr="00661CEE">
        <w:rPr>
          <w:rFonts w:ascii="仿宋" w:eastAsia="仿宋" w:hAnsi="仿宋" w:cs="仿宋"/>
          <w:color w:val="000000"/>
          <w:sz w:val="24"/>
        </w:rPr>
        <w:t>全成本核算方法</w:t>
      </w:r>
    </w:p>
    <w:p w14:paraId="2E33BCA4" w14:textId="622B205D" w:rsidR="00661CEE" w:rsidRPr="00661CEE" w:rsidRDefault="00661CEE" w:rsidP="00661CEE">
      <w:pPr>
        <w:pStyle w:val="af"/>
        <w:spacing w:line="279" w:lineRule="auto"/>
        <w:ind w:leftChars="200" w:left="420" w:firstLine="480"/>
        <w:jc w:val="right"/>
        <w:rPr>
          <w:rFonts w:ascii="仿宋" w:eastAsia="仿宋" w:hAnsi="仿宋" w:cs="仿宋" w:hint="eastAsia"/>
          <w:color w:val="000000"/>
          <w:sz w:val="24"/>
        </w:rPr>
      </w:pPr>
      <w:r w:rsidRPr="00661CEE">
        <w:rPr>
          <w:rFonts w:ascii="仿宋" w:eastAsia="仿宋" w:hAnsi="仿宋" w:cs="仿宋"/>
          <w:noProof/>
          <w:color w:val="000000"/>
          <w:sz w:val="24"/>
        </w:rPr>
        <w:drawing>
          <wp:inline distT="0" distB="0" distL="0" distR="0" wp14:anchorId="0994B0DF" wp14:editId="196566F2">
            <wp:extent cx="3467100" cy="247650"/>
            <wp:effectExtent l="0" t="0" r="0" b="0"/>
            <wp:docPr id="202339961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7100" cy="247650"/>
                    </a:xfrm>
                    <a:prstGeom prst="rect">
                      <a:avLst/>
                    </a:prstGeom>
                    <a:noFill/>
                    <a:ln>
                      <a:noFill/>
                    </a:ln>
                  </pic:spPr>
                </pic:pic>
              </a:graphicData>
            </a:graphic>
          </wp:inline>
        </w:drawing>
      </w:r>
      <w:r w:rsidRPr="00661CEE">
        <w:rPr>
          <w:rFonts w:ascii="仿宋" w:eastAsia="仿宋" w:hAnsi="仿宋" w:cs="仿宋"/>
          <w:color w:val="000000"/>
          <w:sz w:val="24"/>
        </w:rPr>
        <w:t xml:space="preserve"> </w:t>
      </w:r>
    </w:p>
    <w:p w14:paraId="11D8A20B" w14:textId="77777777" w:rsidR="00661CEE" w:rsidRPr="00661CEE" w:rsidRDefault="00661CEE" w:rsidP="00661CEE">
      <w:pPr>
        <w:pStyle w:val="af"/>
        <w:spacing w:line="279" w:lineRule="auto"/>
        <w:ind w:leftChars="200" w:left="420" w:firstLineChars="0" w:firstLine="0"/>
        <w:rPr>
          <w:rFonts w:ascii="仿宋" w:eastAsia="仿宋" w:hAnsi="仿宋" w:cs="仿宋" w:hint="eastAsia"/>
          <w:color w:val="000000"/>
          <w:sz w:val="24"/>
        </w:rPr>
      </w:pPr>
      <w:r w:rsidRPr="00661CEE">
        <w:rPr>
          <w:rFonts w:ascii="仿宋" w:eastAsia="仿宋" w:hAnsi="仿宋" w:cs="仿宋"/>
          <w:color w:val="000000"/>
          <w:sz w:val="24"/>
        </w:rPr>
        <w:t>式中：</w:t>
      </w:r>
    </w:p>
    <w:p w14:paraId="3ECD37E5" w14:textId="193F49CB" w:rsidR="00661CEE" w:rsidRPr="00661CEE" w:rsidRDefault="00661CEE" w:rsidP="00661CEE">
      <w:pPr>
        <w:pStyle w:val="af"/>
        <w:spacing w:line="279" w:lineRule="auto"/>
        <w:ind w:firstLineChars="59" w:firstLine="142"/>
        <w:rPr>
          <w:rFonts w:ascii="仿宋" w:eastAsia="仿宋" w:hAnsi="仿宋" w:cs="仿宋" w:hint="eastAsia"/>
          <w:color w:val="000000"/>
          <w:sz w:val="24"/>
        </w:rPr>
      </w:pPr>
      <w:r w:rsidRPr="00661CEE">
        <w:rPr>
          <w:rFonts w:ascii="仿宋" w:eastAsia="仿宋" w:hAnsi="仿宋" w:cs="仿宋"/>
          <w:noProof/>
          <w:color w:val="000000"/>
          <w:sz w:val="24"/>
        </w:rPr>
        <w:drawing>
          <wp:inline distT="0" distB="0" distL="0" distR="0" wp14:anchorId="28521096" wp14:editId="48B31527">
            <wp:extent cx="342900" cy="152400"/>
            <wp:effectExtent l="0" t="0" r="0" b="0"/>
            <wp:docPr id="141544290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152400"/>
                    </a:xfrm>
                    <a:prstGeom prst="rect">
                      <a:avLst/>
                    </a:prstGeom>
                    <a:noFill/>
                    <a:ln>
                      <a:noFill/>
                    </a:ln>
                  </pic:spPr>
                </pic:pic>
              </a:graphicData>
            </a:graphic>
          </wp:inline>
        </w:drawing>
      </w:r>
      <w:r w:rsidRPr="00661CEE">
        <w:rPr>
          <w:rFonts w:ascii="仿宋" w:eastAsia="仿宋" w:hAnsi="仿宋" w:cs="仿宋"/>
          <w:color w:val="000000"/>
          <w:sz w:val="24"/>
        </w:rPr>
        <w:t>——电池单体、电池模块、动力电池系统或储能系统的全成本，单位为人民币每瓦时(元/</w:t>
      </w:r>
      <w:proofErr w:type="spellStart"/>
      <w:r w:rsidRPr="00661CEE">
        <w:rPr>
          <w:rFonts w:ascii="仿宋" w:eastAsia="仿宋" w:hAnsi="仿宋" w:cs="仿宋"/>
          <w:color w:val="000000"/>
          <w:sz w:val="24"/>
        </w:rPr>
        <w:t>Wh</w:t>
      </w:r>
      <w:proofErr w:type="spellEnd"/>
      <w:r w:rsidRPr="00661CEE">
        <w:rPr>
          <w:rFonts w:ascii="仿宋" w:eastAsia="仿宋" w:hAnsi="仿宋" w:cs="仿宋"/>
          <w:color w:val="000000"/>
          <w:sz w:val="24"/>
        </w:rPr>
        <w:t>)。</w:t>
      </w:r>
    </w:p>
    <w:p w14:paraId="61E612FF" w14:textId="456A1709" w:rsidR="00661CEE" w:rsidRPr="00661CEE" w:rsidRDefault="00661CEE" w:rsidP="00661CEE">
      <w:pPr>
        <w:pStyle w:val="af"/>
        <w:spacing w:line="279" w:lineRule="auto"/>
        <w:ind w:firstLineChars="59" w:firstLine="142"/>
        <w:rPr>
          <w:rFonts w:ascii="仿宋" w:eastAsia="仿宋" w:hAnsi="仿宋" w:cs="仿宋" w:hint="eastAsia"/>
          <w:color w:val="000000"/>
          <w:sz w:val="24"/>
        </w:rPr>
      </w:pPr>
      <w:r w:rsidRPr="00661CEE">
        <w:rPr>
          <w:rFonts w:ascii="仿宋" w:eastAsia="仿宋" w:hAnsi="仿宋" w:cs="仿宋"/>
          <w:noProof/>
          <w:color w:val="000000"/>
          <w:sz w:val="24"/>
        </w:rPr>
        <w:drawing>
          <wp:inline distT="0" distB="0" distL="0" distR="0" wp14:anchorId="6F531F75" wp14:editId="5C6FBB1C">
            <wp:extent cx="523875" cy="152400"/>
            <wp:effectExtent l="0" t="0" r="9525" b="0"/>
            <wp:docPr id="968580002"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152400"/>
                    </a:xfrm>
                    <a:prstGeom prst="rect">
                      <a:avLst/>
                    </a:prstGeom>
                    <a:noFill/>
                    <a:ln>
                      <a:noFill/>
                    </a:ln>
                  </pic:spPr>
                </pic:pic>
              </a:graphicData>
            </a:graphic>
          </wp:inline>
        </w:drawing>
      </w:r>
      <w:r w:rsidRPr="00661CEE">
        <w:rPr>
          <w:rFonts w:ascii="仿宋" w:eastAsia="仿宋" w:hAnsi="仿宋" w:cs="仿宋"/>
          <w:color w:val="000000"/>
          <w:sz w:val="24"/>
        </w:rPr>
        <w:t>——生产成本，单位为人民币每瓦时(元/</w:t>
      </w:r>
      <w:proofErr w:type="spellStart"/>
      <w:r w:rsidRPr="00661CEE">
        <w:rPr>
          <w:rFonts w:ascii="仿宋" w:eastAsia="仿宋" w:hAnsi="仿宋" w:cs="仿宋"/>
          <w:color w:val="000000"/>
          <w:sz w:val="24"/>
        </w:rPr>
        <w:t>Wh</w:t>
      </w:r>
      <w:proofErr w:type="spellEnd"/>
      <w:r w:rsidRPr="00661CEE">
        <w:rPr>
          <w:rFonts w:ascii="仿宋" w:eastAsia="仿宋" w:hAnsi="仿宋" w:cs="仿宋"/>
          <w:color w:val="000000"/>
          <w:sz w:val="24"/>
        </w:rPr>
        <w:t>)。</w:t>
      </w:r>
    </w:p>
    <w:p w14:paraId="5273B36D" w14:textId="4963183E" w:rsidR="00661CEE" w:rsidRPr="00661CEE" w:rsidRDefault="00661CEE" w:rsidP="00661CEE">
      <w:pPr>
        <w:pStyle w:val="af"/>
        <w:spacing w:line="279" w:lineRule="auto"/>
        <w:ind w:firstLineChars="59" w:firstLine="142"/>
        <w:rPr>
          <w:rFonts w:ascii="仿宋" w:eastAsia="仿宋" w:hAnsi="仿宋" w:cs="仿宋" w:hint="eastAsia"/>
          <w:color w:val="000000"/>
          <w:sz w:val="24"/>
        </w:rPr>
      </w:pPr>
      <w:r w:rsidRPr="00661CEE">
        <w:rPr>
          <w:rFonts w:ascii="仿宋" w:eastAsia="仿宋" w:hAnsi="仿宋" w:cs="仿宋"/>
          <w:noProof/>
          <w:color w:val="000000"/>
          <w:sz w:val="24"/>
        </w:rPr>
        <w:drawing>
          <wp:inline distT="0" distB="0" distL="0" distR="0" wp14:anchorId="62EACAF5" wp14:editId="66C5B2A4">
            <wp:extent cx="323850" cy="152400"/>
            <wp:effectExtent l="0" t="0" r="0" b="0"/>
            <wp:docPr id="176355253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152400"/>
                    </a:xfrm>
                    <a:prstGeom prst="rect">
                      <a:avLst/>
                    </a:prstGeom>
                    <a:noFill/>
                    <a:ln>
                      <a:noFill/>
                    </a:ln>
                  </pic:spPr>
                </pic:pic>
              </a:graphicData>
            </a:graphic>
          </wp:inline>
        </w:drawing>
      </w:r>
      <w:r w:rsidRPr="00661CEE">
        <w:rPr>
          <w:rFonts w:ascii="仿宋" w:eastAsia="仿宋" w:hAnsi="仿宋" w:cs="仿宋"/>
          <w:color w:val="000000"/>
          <w:sz w:val="24"/>
        </w:rPr>
        <w:t>——期间费用分配率，上一期的销售费用、管理费用、财务费用、研发费用总和占总营业收入的比例。</w:t>
      </w:r>
    </w:p>
    <w:p w14:paraId="3BB740ED" w14:textId="492C9209" w:rsidR="00661CEE" w:rsidRPr="00661CEE" w:rsidRDefault="00661CEE" w:rsidP="00661CEE">
      <w:pPr>
        <w:pStyle w:val="af"/>
        <w:spacing w:line="279" w:lineRule="auto"/>
        <w:ind w:firstLine="480"/>
        <w:rPr>
          <w:rFonts w:ascii="仿宋" w:eastAsia="仿宋" w:hAnsi="仿宋" w:cs="仿宋" w:hint="eastAsia"/>
          <w:color w:val="000000"/>
          <w:sz w:val="24"/>
        </w:rPr>
      </w:pPr>
      <w:r>
        <w:rPr>
          <w:rFonts w:ascii="仿宋" w:eastAsia="仿宋" w:hAnsi="仿宋" w:cs="仿宋" w:hint="eastAsia"/>
          <w:color w:val="000000"/>
          <w:sz w:val="24"/>
        </w:rPr>
        <w:t xml:space="preserve">2.4.2 </w:t>
      </w:r>
      <w:r w:rsidRPr="00661CEE">
        <w:rPr>
          <w:rFonts w:ascii="仿宋" w:eastAsia="仿宋" w:hAnsi="仿宋" w:cs="仿宋"/>
          <w:color w:val="000000"/>
          <w:sz w:val="24"/>
        </w:rPr>
        <w:t>生产成本核算方法</w:t>
      </w:r>
    </w:p>
    <w:p w14:paraId="6850FE57" w14:textId="1568BAD6" w:rsidR="00C444C4" w:rsidRPr="00C444C4" w:rsidRDefault="00C444C4" w:rsidP="00C444C4">
      <w:pPr>
        <w:pStyle w:val="af"/>
        <w:spacing w:line="279" w:lineRule="auto"/>
        <w:ind w:leftChars="200" w:left="420" w:firstLine="480"/>
        <w:jc w:val="right"/>
        <w:rPr>
          <w:rFonts w:ascii="仿宋" w:eastAsia="仿宋" w:hAnsi="仿宋" w:cs="仿宋" w:hint="eastAsia"/>
          <w:color w:val="000000"/>
          <w:sz w:val="24"/>
        </w:rPr>
      </w:pPr>
      <w:r w:rsidRPr="00C444C4">
        <w:rPr>
          <w:rFonts w:ascii="仿宋" w:eastAsia="仿宋" w:hAnsi="仿宋" w:cs="仿宋"/>
          <w:noProof/>
          <w:color w:val="000000"/>
          <w:sz w:val="24"/>
        </w:rPr>
        <w:drawing>
          <wp:inline distT="0" distB="0" distL="0" distR="0" wp14:anchorId="6F032FE3" wp14:editId="1C160FCC">
            <wp:extent cx="4476750" cy="200025"/>
            <wp:effectExtent l="0" t="0" r="0" b="9525"/>
            <wp:docPr id="528187385"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6750" cy="200025"/>
                    </a:xfrm>
                    <a:prstGeom prst="rect">
                      <a:avLst/>
                    </a:prstGeom>
                    <a:noFill/>
                    <a:ln>
                      <a:noFill/>
                    </a:ln>
                  </pic:spPr>
                </pic:pic>
              </a:graphicData>
            </a:graphic>
          </wp:inline>
        </w:drawing>
      </w:r>
    </w:p>
    <w:p w14:paraId="17F0E382" w14:textId="77777777" w:rsidR="00661CEE" w:rsidRPr="00661CEE" w:rsidRDefault="00661CEE" w:rsidP="00661CEE">
      <w:pPr>
        <w:pStyle w:val="af"/>
        <w:spacing w:line="279" w:lineRule="auto"/>
        <w:ind w:leftChars="200" w:left="420" w:firstLineChars="0" w:firstLine="0"/>
        <w:rPr>
          <w:rFonts w:ascii="仿宋" w:eastAsia="仿宋" w:hAnsi="仿宋" w:cs="仿宋" w:hint="eastAsia"/>
          <w:color w:val="000000"/>
          <w:sz w:val="24"/>
        </w:rPr>
      </w:pPr>
      <w:r w:rsidRPr="00661CEE">
        <w:rPr>
          <w:rFonts w:ascii="仿宋" w:eastAsia="仿宋" w:hAnsi="仿宋" w:cs="仿宋"/>
          <w:color w:val="000000"/>
          <w:sz w:val="24"/>
        </w:rPr>
        <w:t>式中：</w:t>
      </w:r>
    </w:p>
    <w:p w14:paraId="0F54A82E" w14:textId="2D9991E1" w:rsidR="00661CEE" w:rsidRPr="00661CEE" w:rsidRDefault="00661CEE" w:rsidP="00661CEE">
      <w:pPr>
        <w:pStyle w:val="af"/>
        <w:spacing w:line="279" w:lineRule="auto"/>
        <w:ind w:firstLineChars="59" w:firstLine="142"/>
        <w:rPr>
          <w:rFonts w:ascii="仿宋" w:eastAsia="仿宋" w:hAnsi="仿宋" w:cs="仿宋" w:hint="eastAsia"/>
          <w:color w:val="000000"/>
          <w:sz w:val="24"/>
        </w:rPr>
      </w:pPr>
      <w:r w:rsidRPr="00661CEE">
        <w:rPr>
          <w:rFonts w:ascii="仿宋" w:eastAsia="仿宋" w:hAnsi="仿宋" w:cs="仿宋"/>
          <w:noProof/>
          <w:color w:val="000000"/>
          <w:sz w:val="24"/>
        </w:rPr>
        <w:drawing>
          <wp:inline distT="0" distB="0" distL="0" distR="0" wp14:anchorId="0EE0DBF4" wp14:editId="1D0D9854">
            <wp:extent cx="723900" cy="152400"/>
            <wp:effectExtent l="0" t="0" r="0" b="0"/>
            <wp:docPr id="323660763"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3900" cy="152400"/>
                    </a:xfrm>
                    <a:prstGeom prst="rect">
                      <a:avLst/>
                    </a:prstGeom>
                    <a:noFill/>
                    <a:ln>
                      <a:noFill/>
                    </a:ln>
                  </pic:spPr>
                </pic:pic>
              </a:graphicData>
            </a:graphic>
          </wp:inline>
        </w:drawing>
      </w:r>
      <w:r w:rsidRPr="00661CEE">
        <w:rPr>
          <w:rFonts w:ascii="仿宋" w:eastAsia="仿宋" w:hAnsi="仿宋" w:cs="仿宋"/>
          <w:color w:val="000000"/>
          <w:sz w:val="24"/>
        </w:rPr>
        <w:t>——生产电池单体、模块或系统所用到的材料成本，单位为人民币每瓦时(元/</w:t>
      </w:r>
      <w:proofErr w:type="spellStart"/>
      <w:r w:rsidRPr="00661CEE">
        <w:rPr>
          <w:rFonts w:ascii="仿宋" w:eastAsia="仿宋" w:hAnsi="仿宋" w:cs="仿宋"/>
          <w:color w:val="000000"/>
          <w:sz w:val="24"/>
        </w:rPr>
        <w:t>Wh</w:t>
      </w:r>
      <w:proofErr w:type="spellEnd"/>
      <w:r w:rsidRPr="00661CEE">
        <w:rPr>
          <w:rFonts w:ascii="仿宋" w:eastAsia="仿宋" w:hAnsi="仿宋" w:cs="仿宋"/>
          <w:color w:val="000000"/>
          <w:sz w:val="24"/>
        </w:rPr>
        <w:t>)；</w:t>
      </w:r>
    </w:p>
    <w:p w14:paraId="3DC4A62A" w14:textId="66EAC6C3" w:rsidR="00661CEE" w:rsidRPr="00661CEE" w:rsidRDefault="00661CEE" w:rsidP="00661CEE">
      <w:pPr>
        <w:pStyle w:val="af"/>
        <w:spacing w:line="279" w:lineRule="auto"/>
        <w:ind w:leftChars="67" w:left="141" w:firstLineChars="0" w:firstLine="1"/>
        <w:rPr>
          <w:rFonts w:ascii="仿宋" w:eastAsia="仿宋" w:hAnsi="仿宋" w:cs="仿宋" w:hint="eastAsia"/>
          <w:color w:val="000000"/>
          <w:sz w:val="24"/>
        </w:rPr>
      </w:pPr>
      <w:r w:rsidRPr="00661CEE">
        <w:rPr>
          <w:rFonts w:ascii="仿宋" w:eastAsia="仿宋" w:hAnsi="仿宋" w:cs="仿宋"/>
          <w:noProof/>
          <w:color w:val="000000"/>
          <w:sz w:val="24"/>
        </w:rPr>
        <w:drawing>
          <wp:inline distT="0" distB="0" distL="0" distR="0" wp14:anchorId="6362E5FF" wp14:editId="3ABC5A8E">
            <wp:extent cx="685800" cy="171450"/>
            <wp:effectExtent l="0" t="0" r="0" b="0"/>
            <wp:docPr id="1046536700"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 cy="171450"/>
                    </a:xfrm>
                    <a:prstGeom prst="rect">
                      <a:avLst/>
                    </a:prstGeom>
                    <a:noFill/>
                    <a:ln>
                      <a:noFill/>
                    </a:ln>
                  </pic:spPr>
                </pic:pic>
              </a:graphicData>
            </a:graphic>
          </wp:inline>
        </w:drawing>
      </w:r>
      <w:r w:rsidRPr="00661CEE">
        <w:rPr>
          <w:rFonts w:ascii="仿宋" w:eastAsia="仿宋" w:hAnsi="仿宋" w:cs="仿宋"/>
          <w:color w:val="000000"/>
          <w:sz w:val="24"/>
        </w:rPr>
        <w:t>——生产电池单体、模块或系统的制造成本，单位为人民币每瓦时(元/</w:t>
      </w:r>
      <w:proofErr w:type="spellStart"/>
      <w:r w:rsidRPr="00661CEE">
        <w:rPr>
          <w:rFonts w:ascii="仿宋" w:eastAsia="仿宋" w:hAnsi="仿宋" w:cs="仿宋"/>
          <w:color w:val="000000"/>
          <w:sz w:val="24"/>
        </w:rPr>
        <w:t>Wh</w:t>
      </w:r>
      <w:proofErr w:type="spellEnd"/>
      <w:r w:rsidRPr="00661CEE">
        <w:rPr>
          <w:rFonts w:ascii="仿宋" w:eastAsia="仿宋" w:hAnsi="仿宋" w:cs="仿宋"/>
          <w:color w:val="000000"/>
          <w:sz w:val="24"/>
        </w:rPr>
        <w:t>)；</w:t>
      </w:r>
    </w:p>
    <w:p w14:paraId="3C2760CC" w14:textId="446768B0" w:rsidR="00661CEE" w:rsidRPr="00661CEE" w:rsidRDefault="00661CEE" w:rsidP="00661CEE">
      <w:pPr>
        <w:pStyle w:val="af"/>
        <w:spacing w:line="279" w:lineRule="auto"/>
        <w:ind w:firstLineChars="59" w:firstLine="142"/>
        <w:rPr>
          <w:rFonts w:ascii="仿宋" w:eastAsia="仿宋" w:hAnsi="仿宋" w:cs="仿宋" w:hint="eastAsia"/>
          <w:color w:val="000000"/>
          <w:sz w:val="24"/>
        </w:rPr>
      </w:pPr>
      <w:r w:rsidRPr="00661CEE">
        <w:rPr>
          <w:rFonts w:ascii="仿宋" w:eastAsia="仿宋" w:hAnsi="仿宋" w:cs="仿宋"/>
          <w:noProof/>
          <w:color w:val="000000"/>
          <w:sz w:val="24"/>
        </w:rPr>
        <w:drawing>
          <wp:inline distT="0" distB="0" distL="0" distR="0" wp14:anchorId="641E56FA" wp14:editId="341929DA">
            <wp:extent cx="742950" cy="171450"/>
            <wp:effectExtent l="0" t="0" r="0" b="0"/>
            <wp:docPr id="1117485749"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2950" cy="171450"/>
                    </a:xfrm>
                    <a:prstGeom prst="rect">
                      <a:avLst/>
                    </a:prstGeom>
                    <a:noFill/>
                    <a:ln>
                      <a:noFill/>
                    </a:ln>
                  </pic:spPr>
                </pic:pic>
              </a:graphicData>
            </a:graphic>
          </wp:inline>
        </w:drawing>
      </w:r>
      <w:r w:rsidRPr="00661CEE">
        <w:rPr>
          <w:rFonts w:ascii="仿宋" w:eastAsia="仿宋" w:hAnsi="仿宋" w:cs="仿宋"/>
          <w:color w:val="000000"/>
          <w:sz w:val="24"/>
        </w:rPr>
        <w:t>——售后计提比例，按照上一期售后费用除以总收入，推荐参考附录D的默认值。</w:t>
      </w:r>
    </w:p>
    <w:p w14:paraId="4DB93F5C" w14:textId="676A9ACC" w:rsidR="00661CEE" w:rsidRPr="00661CEE" w:rsidRDefault="00661CEE" w:rsidP="00661CEE">
      <w:pPr>
        <w:pStyle w:val="af"/>
        <w:spacing w:line="279" w:lineRule="auto"/>
        <w:ind w:firstLineChars="283" w:firstLine="679"/>
        <w:rPr>
          <w:rFonts w:ascii="仿宋" w:eastAsia="仿宋" w:hAnsi="仿宋" w:cs="仿宋" w:hint="eastAsia"/>
          <w:color w:val="000000"/>
          <w:sz w:val="24"/>
        </w:rPr>
      </w:pPr>
      <w:r>
        <w:rPr>
          <w:rFonts w:ascii="仿宋" w:eastAsia="仿宋" w:hAnsi="仿宋" w:cs="仿宋" w:hint="eastAsia"/>
          <w:color w:val="000000"/>
          <w:sz w:val="24"/>
        </w:rPr>
        <w:t>2.4.3</w:t>
      </w:r>
      <w:r w:rsidRPr="00661CEE">
        <w:rPr>
          <w:rFonts w:ascii="仿宋" w:eastAsia="仿宋" w:hAnsi="仿宋" w:cs="仿宋"/>
          <w:color w:val="000000"/>
          <w:sz w:val="24"/>
        </w:rPr>
        <w:t>材料成本核算方法</w:t>
      </w:r>
    </w:p>
    <w:p w14:paraId="1FCD9D62" w14:textId="7137E1A2" w:rsidR="00C444C4" w:rsidRPr="00C444C4" w:rsidRDefault="00661CEE" w:rsidP="00C444C4">
      <w:pPr>
        <w:pStyle w:val="af"/>
        <w:spacing w:line="279" w:lineRule="auto"/>
        <w:ind w:leftChars="200" w:left="420" w:firstLine="480"/>
        <w:jc w:val="right"/>
        <w:rPr>
          <w:rFonts w:ascii="仿宋" w:eastAsia="仿宋" w:hAnsi="仿宋" w:cs="仿宋" w:hint="eastAsia"/>
          <w:color w:val="000000"/>
          <w:sz w:val="24"/>
        </w:rPr>
      </w:pPr>
      <w:r w:rsidRPr="00661CEE">
        <w:rPr>
          <w:rFonts w:ascii="仿宋" w:eastAsia="仿宋" w:hAnsi="仿宋" w:cs="仿宋"/>
          <w:color w:val="000000"/>
          <w:sz w:val="24"/>
        </w:rPr>
        <w:t xml:space="preserve"> </w:t>
      </w:r>
      <w:r w:rsidR="00C444C4" w:rsidRPr="00C444C4">
        <w:rPr>
          <w:rFonts w:ascii="仿宋" w:eastAsia="仿宋" w:hAnsi="仿宋" w:cs="仿宋"/>
          <w:noProof/>
          <w:color w:val="000000"/>
          <w:sz w:val="24"/>
        </w:rPr>
        <w:drawing>
          <wp:inline distT="0" distB="0" distL="0" distR="0" wp14:anchorId="069F13F7" wp14:editId="05DA15BD">
            <wp:extent cx="3990975" cy="190500"/>
            <wp:effectExtent l="0" t="0" r="9525" b="0"/>
            <wp:docPr id="116963595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90975" cy="190500"/>
                    </a:xfrm>
                    <a:prstGeom prst="rect">
                      <a:avLst/>
                    </a:prstGeom>
                    <a:noFill/>
                    <a:ln>
                      <a:noFill/>
                    </a:ln>
                  </pic:spPr>
                </pic:pic>
              </a:graphicData>
            </a:graphic>
          </wp:inline>
        </w:drawing>
      </w:r>
    </w:p>
    <w:p w14:paraId="347B1809" w14:textId="1CCA0755" w:rsidR="00661CEE" w:rsidRPr="00661CEE" w:rsidRDefault="00661CEE" w:rsidP="00661CEE">
      <w:pPr>
        <w:pStyle w:val="af"/>
        <w:spacing w:line="279" w:lineRule="auto"/>
        <w:ind w:leftChars="200" w:left="420" w:firstLineChars="0" w:firstLine="0"/>
        <w:jc w:val="right"/>
        <w:rPr>
          <w:rFonts w:ascii="仿宋" w:eastAsia="仿宋" w:hAnsi="仿宋" w:cs="仿宋" w:hint="eastAsia"/>
          <w:color w:val="000000"/>
          <w:sz w:val="24"/>
        </w:rPr>
      </w:pPr>
      <w:r w:rsidRPr="00661CEE">
        <w:rPr>
          <w:rFonts w:ascii="仿宋" w:eastAsia="仿宋" w:hAnsi="仿宋" w:cs="仿宋"/>
          <w:color w:val="000000"/>
          <w:sz w:val="24"/>
        </w:rPr>
        <w:t xml:space="preserve"> </w:t>
      </w:r>
    </w:p>
    <w:p w14:paraId="7155ED47" w14:textId="77777777" w:rsidR="00661CEE" w:rsidRPr="00661CEE" w:rsidRDefault="00661CEE" w:rsidP="00925F45">
      <w:pPr>
        <w:pStyle w:val="af"/>
        <w:spacing w:line="279" w:lineRule="auto"/>
        <w:ind w:firstLine="480"/>
        <w:rPr>
          <w:rFonts w:ascii="仿宋" w:eastAsia="仿宋" w:hAnsi="仿宋" w:cs="仿宋" w:hint="eastAsia"/>
          <w:color w:val="000000"/>
          <w:sz w:val="24"/>
        </w:rPr>
      </w:pPr>
      <w:r w:rsidRPr="00661CEE">
        <w:rPr>
          <w:rFonts w:ascii="仿宋" w:eastAsia="仿宋" w:hAnsi="仿宋" w:cs="仿宋"/>
          <w:color w:val="000000"/>
          <w:sz w:val="24"/>
        </w:rPr>
        <w:t>式中：</w:t>
      </w:r>
    </w:p>
    <w:p w14:paraId="087CBF19" w14:textId="6FB2DE63" w:rsidR="00661CEE" w:rsidRPr="00661CEE" w:rsidRDefault="00661CEE" w:rsidP="00661CEE">
      <w:pPr>
        <w:pStyle w:val="af"/>
        <w:spacing w:line="279" w:lineRule="auto"/>
        <w:ind w:firstLineChars="59" w:firstLine="142"/>
        <w:rPr>
          <w:rFonts w:ascii="仿宋" w:eastAsia="仿宋" w:hAnsi="仿宋" w:cs="仿宋" w:hint="eastAsia"/>
          <w:color w:val="000000"/>
          <w:sz w:val="24"/>
        </w:rPr>
      </w:pPr>
      <w:r w:rsidRPr="00661CEE">
        <w:rPr>
          <w:rFonts w:ascii="仿宋" w:eastAsia="仿宋" w:hAnsi="仿宋" w:cs="仿宋"/>
          <w:noProof/>
          <w:color w:val="000000"/>
          <w:sz w:val="24"/>
        </w:rPr>
        <w:drawing>
          <wp:inline distT="0" distB="0" distL="0" distR="0" wp14:anchorId="24E3BE49" wp14:editId="0794BA11">
            <wp:extent cx="438150" cy="152400"/>
            <wp:effectExtent l="0" t="0" r="0" b="0"/>
            <wp:docPr id="1533321364"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38150" cy="152400"/>
                    </a:xfrm>
                    <a:prstGeom prst="rect">
                      <a:avLst/>
                    </a:prstGeom>
                    <a:noFill/>
                    <a:ln>
                      <a:noFill/>
                    </a:ln>
                  </pic:spPr>
                </pic:pic>
              </a:graphicData>
            </a:graphic>
          </wp:inline>
        </w:drawing>
      </w:r>
      <w:r w:rsidRPr="00661CEE">
        <w:rPr>
          <w:rFonts w:ascii="仿宋" w:eastAsia="仿宋" w:hAnsi="仿宋" w:cs="仿宋"/>
          <w:color w:val="000000"/>
          <w:sz w:val="24"/>
        </w:rPr>
        <w:t>——某个原材料的实际消耗量，单位为千克（kg）或者平方米（m</w:t>
      </w:r>
      <w:r w:rsidRPr="00661CEE">
        <w:rPr>
          <w:rFonts w:ascii="仿宋" w:eastAsia="仿宋" w:hAnsi="仿宋" w:cs="仿宋"/>
          <w:color w:val="000000"/>
          <w:sz w:val="24"/>
          <w:vertAlign w:val="superscript"/>
        </w:rPr>
        <w:t>2</w:t>
      </w:r>
      <w:r w:rsidRPr="00661CEE">
        <w:rPr>
          <w:rFonts w:ascii="仿宋" w:eastAsia="仿宋" w:hAnsi="仿宋" w:cs="仿宋"/>
          <w:color w:val="000000"/>
          <w:sz w:val="24"/>
        </w:rPr>
        <w:t>)或者个；</w:t>
      </w:r>
    </w:p>
    <w:p w14:paraId="34BBD0C3" w14:textId="3A97C698" w:rsidR="00661CEE" w:rsidRPr="00661CEE" w:rsidRDefault="00661CEE" w:rsidP="00661CEE">
      <w:pPr>
        <w:pStyle w:val="af"/>
        <w:spacing w:line="279" w:lineRule="auto"/>
        <w:ind w:firstLineChars="59" w:firstLine="142"/>
        <w:rPr>
          <w:rFonts w:ascii="仿宋" w:eastAsia="仿宋" w:hAnsi="仿宋" w:cs="仿宋" w:hint="eastAsia"/>
          <w:color w:val="000000"/>
          <w:sz w:val="24"/>
        </w:rPr>
      </w:pPr>
      <w:r w:rsidRPr="00661CEE">
        <w:rPr>
          <w:rFonts w:ascii="仿宋" w:eastAsia="仿宋" w:hAnsi="仿宋" w:cs="仿宋"/>
          <w:noProof/>
          <w:color w:val="000000"/>
          <w:sz w:val="24"/>
        </w:rPr>
        <w:drawing>
          <wp:inline distT="0" distB="0" distL="0" distR="0" wp14:anchorId="5007BD2D" wp14:editId="27C7E48D">
            <wp:extent cx="590550" cy="161925"/>
            <wp:effectExtent l="0" t="0" r="0" b="9525"/>
            <wp:docPr id="66296154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550" cy="161925"/>
                    </a:xfrm>
                    <a:prstGeom prst="rect">
                      <a:avLst/>
                    </a:prstGeom>
                    <a:noFill/>
                    <a:ln>
                      <a:noFill/>
                    </a:ln>
                  </pic:spPr>
                </pic:pic>
              </a:graphicData>
            </a:graphic>
          </wp:inline>
        </w:drawing>
      </w:r>
      <w:r w:rsidRPr="00661CEE">
        <w:rPr>
          <w:rFonts w:ascii="仿宋" w:eastAsia="仿宋" w:hAnsi="仿宋" w:cs="仿宋"/>
          <w:color w:val="000000"/>
          <w:sz w:val="24"/>
        </w:rPr>
        <w:t>——某个原材料的单位成本，单位为人民币每</w:t>
      </w:r>
      <w:proofErr w:type="gramStart"/>
      <w:r w:rsidRPr="00661CEE">
        <w:rPr>
          <w:rFonts w:ascii="仿宋" w:eastAsia="仿宋" w:hAnsi="仿宋" w:cs="仿宋"/>
          <w:color w:val="000000"/>
          <w:sz w:val="24"/>
        </w:rPr>
        <w:t>千克(</w:t>
      </w:r>
      <w:proofErr w:type="gramEnd"/>
      <w:r w:rsidRPr="00661CEE">
        <w:rPr>
          <w:rFonts w:ascii="仿宋" w:eastAsia="仿宋" w:hAnsi="仿宋" w:cs="仿宋"/>
          <w:color w:val="000000"/>
          <w:sz w:val="24"/>
        </w:rPr>
        <w:t>元/kg）或者人民币/平方米（元/m</w:t>
      </w:r>
      <w:r w:rsidRPr="00661CEE">
        <w:rPr>
          <w:rFonts w:ascii="仿宋" w:eastAsia="仿宋" w:hAnsi="仿宋" w:cs="仿宋"/>
          <w:color w:val="000000"/>
          <w:sz w:val="24"/>
          <w:vertAlign w:val="superscript"/>
        </w:rPr>
        <w:t>2</w:t>
      </w:r>
      <w:r w:rsidRPr="00661CEE">
        <w:rPr>
          <w:rFonts w:ascii="仿宋" w:eastAsia="仿宋" w:hAnsi="仿宋" w:cs="仿宋"/>
          <w:color w:val="000000"/>
          <w:sz w:val="24"/>
        </w:rPr>
        <w:t>）或者人民币每个，可采用企业实际采购价格，也可以参考上海有色金属</w:t>
      </w:r>
      <w:proofErr w:type="gramStart"/>
      <w:r w:rsidRPr="00661CEE">
        <w:rPr>
          <w:rFonts w:ascii="仿宋" w:eastAsia="仿宋" w:hAnsi="仿宋" w:cs="仿宋"/>
          <w:color w:val="000000"/>
          <w:sz w:val="24"/>
        </w:rPr>
        <w:t>网公开</w:t>
      </w:r>
      <w:proofErr w:type="gramEnd"/>
      <w:r w:rsidRPr="00661CEE">
        <w:rPr>
          <w:rFonts w:ascii="仿宋" w:eastAsia="仿宋" w:hAnsi="仿宋" w:cs="仿宋"/>
          <w:color w:val="000000"/>
          <w:sz w:val="24"/>
        </w:rPr>
        <w:t>产品价格；</w:t>
      </w:r>
    </w:p>
    <w:p w14:paraId="2444A8E6" w14:textId="5D5E0CC8" w:rsidR="00661CEE" w:rsidRPr="00661CEE" w:rsidRDefault="00661CEE" w:rsidP="00661CEE">
      <w:pPr>
        <w:pStyle w:val="af"/>
        <w:spacing w:line="279" w:lineRule="auto"/>
        <w:ind w:firstLineChars="59" w:firstLine="142"/>
        <w:rPr>
          <w:rFonts w:ascii="仿宋" w:eastAsia="仿宋" w:hAnsi="仿宋" w:cs="仿宋" w:hint="eastAsia"/>
          <w:color w:val="000000"/>
          <w:sz w:val="24"/>
        </w:rPr>
      </w:pPr>
      <w:r w:rsidRPr="00661CEE">
        <w:rPr>
          <w:rFonts w:ascii="仿宋" w:eastAsia="仿宋" w:hAnsi="仿宋" w:cs="仿宋"/>
          <w:noProof/>
          <w:color w:val="000000"/>
          <w:sz w:val="24"/>
        </w:rPr>
        <w:drawing>
          <wp:inline distT="0" distB="0" distL="0" distR="0" wp14:anchorId="53F14C33" wp14:editId="3450EA5F">
            <wp:extent cx="371475" cy="152400"/>
            <wp:effectExtent l="0" t="0" r="9525" b="0"/>
            <wp:docPr id="9320299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1475" cy="152400"/>
                    </a:xfrm>
                    <a:prstGeom prst="rect">
                      <a:avLst/>
                    </a:prstGeom>
                    <a:noFill/>
                    <a:ln>
                      <a:noFill/>
                    </a:ln>
                  </pic:spPr>
                </pic:pic>
              </a:graphicData>
            </a:graphic>
          </wp:inline>
        </w:drawing>
      </w:r>
      <w:r w:rsidRPr="00661CEE">
        <w:rPr>
          <w:rFonts w:ascii="仿宋" w:eastAsia="仿宋" w:hAnsi="仿宋" w:cs="仿宋"/>
          <w:color w:val="000000"/>
          <w:sz w:val="24"/>
        </w:rPr>
        <w:t>——统计当期生产的电池单体、模块或者系统的能量总和，单位为瓦时（</w:t>
      </w:r>
      <w:proofErr w:type="spellStart"/>
      <w:r w:rsidRPr="00661CEE">
        <w:rPr>
          <w:rFonts w:ascii="仿宋" w:eastAsia="仿宋" w:hAnsi="仿宋" w:cs="仿宋"/>
          <w:color w:val="000000"/>
          <w:sz w:val="24"/>
        </w:rPr>
        <w:t>Wh</w:t>
      </w:r>
      <w:proofErr w:type="spellEnd"/>
      <w:r w:rsidRPr="00661CEE">
        <w:rPr>
          <w:rFonts w:ascii="仿宋" w:eastAsia="仿宋" w:hAnsi="仿宋" w:cs="仿宋"/>
          <w:color w:val="000000"/>
          <w:sz w:val="24"/>
        </w:rPr>
        <w:t>），电池的能量标定可按照企业提供的产品规格书实施，如未提供，可参考附录D的推荐值计算。其中，当期合格产品产量以生产车间检验合格、办理入库手续的产品数量为准，非合理损耗造成的不合格产品不计入合格产量，其成本计入非正常损耗，不得计入产品生产成本。</w:t>
      </w:r>
    </w:p>
    <w:p w14:paraId="79105425" w14:textId="3B311B81" w:rsidR="00661CEE" w:rsidRPr="00661CEE" w:rsidRDefault="00661CEE" w:rsidP="00661CEE">
      <w:pPr>
        <w:pStyle w:val="af"/>
        <w:spacing w:line="279" w:lineRule="auto"/>
        <w:ind w:firstLine="480"/>
        <w:rPr>
          <w:rFonts w:ascii="仿宋" w:eastAsia="仿宋" w:hAnsi="仿宋" w:cs="仿宋" w:hint="eastAsia"/>
          <w:color w:val="000000"/>
          <w:sz w:val="24"/>
        </w:rPr>
      </w:pPr>
      <w:r>
        <w:rPr>
          <w:rFonts w:ascii="仿宋" w:eastAsia="仿宋" w:hAnsi="仿宋" w:cs="仿宋" w:hint="eastAsia"/>
          <w:color w:val="000000"/>
          <w:sz w:val="24"/>
        </w:rPr>
        <w:t>2.4.4</w:t>
      </w:r>
      <w:r w:rsidRPr="00661CEE">
        <w:rPr>
          <w:rFonts w:ascii="仿宋" w:eastAsia="仿宋" w:hAnsi="仿宋" w:cs="仿宋"/>
          <w:color w:val="000000"/>
          <w:sz w:val="24"/>
        </w:rPr>
        <w:t xml:space="preserve">制造成本核算方法   </w:t>
      </w:r>
    </w:p>
    <w:p w14:paraId="53FB8328" w14:textId="00BD906C" w:rsidR="00C444C4" w:rsidRPr="00C444C4" w:rsidRDefault="00661CEE" w:rsidP="00C444C4">
      <w:pPr>
        <w:pStyle w:val="af"/>
        <w:spacing w:line="279" w:lineRule="auto"/>
        <w:ind w:leftChars="200" w:left="420" w:firstLine="480"/>
        <w:jc w:val="right"/>
        <w:rPr>
          <w:rFonts w:ascii="仿宋" w:eastAsia="仿宋" w:hAnsi="仿宋" w:cs="仿宋" w:hint="eastAsia"/>
          <w:color w:val="000000"/>
          <w:sz w:val="24"/>
        </w:rPr>
      </w:pPr>
      <w:r w:rsidRPr="00661CEE">
        <w:rPr>
          <w:rFonts w:ascii="仿宋" w:eastAsia="仿宋" w:hAnsi="仿宋" w:cs="仿宋"/>
          <w:color w:val="000000"/>
          <w:sz w:val="24"/>
        </w:rPr>
        <w:t xml:space="preserve"> </w:t>
      </w:r>
      <w:r w:rsidR="00C444C4" w:rsidRPr="00C444C4">
        <w:rPr>
          <w:rFonts w:ascii="仿宋" w:eastAsia="仿宋" w:hAnsi="仿宋" w:cs="仿宋"/>
          <w:noProof/>
          <w:color w:val="000000"/>
          <w:sz w:val="24"/>
        </w:rPr>
        <w:drawing>
          <wp:inline distT="0" distB="0" distL="0" distR="0" wp14:anchorId="7327ABEC" wp14:editId="4176AC52">
            <wp:extent cx="4400550" cy="200025"/>
            <wp:effectExtent l="0" t="0" r="0" b="9525"/>
            <wp:docPr id="1542932716"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00550" cy="200025"/>
                    </a:xfrm>
                    <a:prstGeom prst="rect">
                      <a:avLst/>
                    </a:prstGeom>
                    <a:noFill/>
                    <a:ln>
                      <a:noFill/>
                    </a:ln>
                  </pic:spPr>
                </pic:pic>
              </a:graphicData>
            </a:graphic>
          </wp:inline>
        </w:drawing>
      </w:r>
    </w:p>
    <w:p w14:paraId="79C459D3" w14:textId="77777777" w:rsidR="00661CEE" w:rsidRPr="00661CEE" w:rsidRDefault="00661CEE" w:rsidP="00661CEE">
      <w:pPr>
        <w:pStyle w:val="af"/>
        <w:spacing w:line="279" w:lineRule="auto"/>
        <w:ind w:firstLine="480"/>
        <w:rPr>
          <w:rFonts w:ascii="仿宋" w:eastAsia="仿宋" w:hAnsi="仿宋" w:cs="仿宋" w:hint="eastAsia"/>
          <w:color w:val="000000"/>
          <w:sz w:val="24"/>
        </w:rPr>
      </w:pPr>
      <w:r w:rsidRPr="00661CEE">
        <w:rPr>
          <w:rFonts w:ascii="仿宋" w:eastAsia="仿宋" w:hAnsi="仿宋" w:cs="仿宋"/>
          <w:color w:val="000000"/>
          <w:sz w:val="24"/>
        </w:rPr>
        <w:t>式中：</w:t>
      </w:r>
    </w:p>
    <w:p w14:paraId="7CB6F461" w14:textId="62BEC041" w:rsidR="00661CEE" w:rsidRPr="00661CEE" w:rsidRDefault="00661CEE" w:rsidP="00661CEE">
      <w:pPr>
        <w:pStyle w:val="af"/>
        <w:spacing w:line="279" w:lineRule="auto"/>
        <w:ind w:firstLineChars="59" w:firstLine="142"/>
        <w:rPr>
          <w:rFonts w:ascii="仿宋" w:eastAsia="仿宋" w:hAnsi="仿宋" w:cs="仿宋" w:hint="eastAsia"/>
          <w:color w:val="000000"/>
          <w:sz w:val="24"/>
        </w:rPr>
      </w:pPr>
      <w:r w:rsidRPr="00661CEE">
        <w:rPr>
          <w:rFonts w:ascii="仿宋" w:eastAsia="仿宋" w:hAnsi="仿宋" w:cs="仿宋"/>
          <w:noProof/>
          <w:color w:val="000000"/>
          <w:sz w:val="24"/>
        </w:rPr>
        <w:lastRenderedPageBreak/>
        <w:drawing>
          <wp:inline distT="0" distB="0" distL="0" distR="0" wp14:anchorId="409FF97D" wp14:editId="75AC0167">
            <wp:extent cx="581025" cy="152400"/>
            <wp:effectExtent l="0" t="0" r="9525" b="0"/>
            <wp:docPr id="1944376476"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025" cy="152400"/>
                    </a:xfrm>
                    <a:prstGeom prst="rect">
                      <a:avLst/>
                    </a:prstGeom>
                    <a:noFill/>
                    <a:ln>
                      <a:noFill/>
                    </a:ln>
                  </pic:spPr>
                </pic:pic>
              </a:graphicData>
            </a:graphic>
          </wp:inline>
        </w:drawing>
      </w:r>
      <w:r w:rsidRPr="00661CEE">
        <w:rPr>
          <w:rFonts w:ascii="仿宋" w:eastAsia="仿宋" w:hAnsi="仿宋" w:cs="仿宋"/>
          <w:color w:val="000000"/>
          <w:sz w:val="24"/>
        </w:rPr>
        <w:t>——直接人工成本，单位为人民币每瓦时(元/</w:t>
      </w:r>
      <w:proofErr w:type="spellStart"/>
      <w:r w:rsidRPr="00661CEE">
        <w:rPr>
          <w:rFonts w:ascii="仿宋" w:eastAsia="仿宋" w:hAnsi="仿宋" w:cs="仿宋"/>
          <w:color w:val="000000"/>
          <w:sz w:val="24"/>
        </w:rPr>
        <w:t>Wh</w:t>
      </w:r>
      <w:proofErr w:type="spellEnd"/>
      <w:r w:rsidRPr="00661CEE">
        <w:rPr>
          <w:rFonts w:ascii="仿宋" w:eastAsia="仿宋" w:hAnsi="仿宋" w:cs="仿宋"/>
          <w:color w:val="000000"/>
          <w:sz w:val="24"/>
        </w:rPr>
        <w:t>)。</w:t>
      </w:r>
    </w:p>
    <w:p w14:paraId="11CA2068" w14:textId="60A1590B" w:rsidR="00661CEE" w:rsidRPr="00661CEE" w:rsidRDefault="00661CEE" w:rsidP="00661CEE">
      <w:pPr>
        <w:pStyle w:val="af"/>
        <w:spacing w:line="279" w:lineRule="auto"/>
        <w:ind w:firstLineChars="59" w:firstLine="142"/>
        <w:rPr>
          <w:rFonts w:ascii="仿宋" w:eastAsia="仿宋" w:hAnsi="仿宋" w:cs="仿宋" w:hint="eastAsia"/>
          <w:color w:val="000000"/>
          <w:sz w:val="24"/>
        </w:rPr>
      </w:pPr>
      <w:r w:rsidRPr="00661CEE">
        <w:rPr>
          <w:rFonts w:ascii="仿宋" w:eastAsia="仿宋" w:hAnsi="仿宋" w:cs="仿宋"/>
          <w:noProof/>
          <w:color w:val="000000"/>
          <w:sz w:val="24"/>
        </w:rPr>
        <w:drawing>
          <wp:inline distT="0" distB="0" distL="0" distR="0" wp14:anchorId="54330F58" wp14:editId="3D0414DE">
            <wp:extent cx="895350" cy="171450"/>
            <wp:effectExtent l="0" t="0" r="0" b="0"/>
            <wp:docPr id="1495112855"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95350" cy="171450"/>
                    </a:xfrm>
                    <a:prstGeom prst="rect">
                      <a:avLst/>
                    </a:prstGeom>
                    <a:noFill/>
                    <a:ln>
                      <a:noFill/>
                    </a:ln>
                  </pic:spPr>
                </pic:pic>
              </a:graphicData>
            </a:graphic>
          </wp:inline>
        </w:drawing>
      </w:r>
      <w:r w:rsidRPr="00661CEE">
        <w:rPr>
          <w:rFonts w:ascii="仿宋" w:eastAsia="仿宋" w:hAnsi="仿宋" w:cs="仿宋"/>
          <w:color w:val="000000"/>
          <w:sz w:val="24"/>
        </w:rPr>
        <w:t>——厂房、生产制造设备等固定资产折旧成本，折旧费用比例推荐按照附录D来计算，单位为人民币每瓦时(元/</w:t>
      </w:r>
      <w:proofErr w:type="spellStart"/>
      <w:r w:rsidRPr="00661CEE">
        <w:rPr>
          <w:rFonts w:ascii="仿宋" w:eastAsia="仿宋" w:hAnsi="仿宋" w:cs="仿宋"/>
          <w:color w:val="000000"/>
          <w:sz w:val="24"/>
        </w:rPr>
        <w:t>Wh</w:t>
      </w:r>
      <w:proofErr w:type="spellEnd"/>
      <w:r w:rsidRPr="00661CEE">
        <w:rPr>
          <w:rFonts w:ascii="仿宋" w:eastAsia="仿宋" w:hAnsi="仿宋" w:cs="仿宋"/>
          <w:color w:val="000000"/>
          <w:sz w:val="24"/>
        </w:rPr>
        <w:t>)；</w:t>
      </w:r>
    </w:p>
    <w:p w14:paraId="1249F04E" w14:textId="1A776B17" w:rsidR="00661CEE" w:rsidRPr="00661CEE" w:rsidRDefault="00661CEE" w:rsidP="00661CEE">
      <w:pPr>
        <w:pStyle w:val="af"/>
        <w:spacing w:line="279" w:lineRule="auto"/>
        <w:ind w:firstLineChars="59" w:firstLine="142"/>
        <w:rPr>
          <w:rFonts w:ascii="仿宋" w:eastAsia="仿宋" w:hAnsi="仿宋" w:cs="仿宋" w:hint="eastAsia"/>
          <w:color w:val="000000"/>
          <w:sz w:val="24"/>
        </w:rPr>
      </w:pPr>
      <w:r w:rsidRPr="00661CEE">
        <w:rPr>
          <w:rFonts w:ascii="仿宋" w:eastAsia="仿宋" w:hAnsi="仿宋" w:cs="仿宋"/>
          <w:noProof/>
          <w:color w:val="000000"/>
          <w:sz w:val="24"/>
        </w:rPr>
        <w:drawing>
          <wp:inline distT="0" distB="0" distL="0" distR="0" wp14:anchorId="45E08221" wp14:editId="5308FA4E">
            <wp:extent cx="1028700" cy="171450"/>
            <wp:effectExtent l="0" t="0" r="0" b="0"/>
            <wp:docPr id="2019614929"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28700" cy="171450"/>
                    </a:xfrm>
                    <a:prstGeom prst="rect">
                      <a:avLst/>
                    </a:prstGeom>
                    <a:noFill/>
                    <a:ln>
                      <a:noFill/>
                    </a:ln>
                  </pic:spPr>
                </pic:pic>
              </a:graphicData>
            </a:graphic>
          </wp:inline>
        </w:drawing>
      </w:r>
      <w:r w:rsidRPr="00661CEE">
        <w:rPr>
          <w:rFonts w:ascii="仿宋" w:eastAsia="仿宋" w:hAnsi="仿宋" w:cs="仿宋"/>
          <w:color w:val="000000"/>
          <w:sz w:val="24"/>
        </w:rPr>
        <w:t>——车间管理人员的薪酬、社会保险费、住房公积金、无形资产摊销、维修费、检测费、低值易耗品摊销、国家规定的有关环保费用、清洁费、安全防护等其他间接费用的成本，单位为人民币每瓦时(元/</w:t>
      </w:r>
      <w:proofErr w:type="spellStart"/>
      <w:r w:rsidRPr="00661CEE">
        <w:rPr>
          <w:rFonts w:ascii="仿宋" w:eastAsia="仿宋" w:hAnsi="仿宋" w:cs="仿宋"/>
          <w:color w:val="000000"/>
          <w:sz w:val="24"/>
        </w:rPr>
        <w:t>Wh</w:t>
      </w:r>
      <w:proofErr w:type="spellEnd"/>
      <w:r w:rsidRPr="00661CEE">
        <w:rPr>
          <w:rFonts w:ascii="仿宋" w:eastAsia="仿宋" w:hAnsi="仿宋" w:cs="仿宋"/>
          <w:color w:val="000000"/>
          <w:sz w:val="24"/>
        </w:rPr>
        <w:t>)。</w:t>
      </w:r>
    </w:p>
    <w:p w14:paraId="1324346C" w14:textId="77777777" w:rsidR="00831DB2" w:rsidRDefault="00000000">
      <w:pPr>
        <w:ind w:firstLineChars="200" w:firstLine="480"/>
        <w:rPr>
          <w:rFonts w:ascii="黑体" w:eastAsia="黑体" w:hAnsi="黑体" w:cs="黑体" w:hint="eastAsia"/>
          <w:color w:val="000000" w:themeColor="text1"/>
          <w:sz w:val="30"/>
          <w:szCs w:val="30"/>
        </w:rPr>
      </w:pPr>
      <w:r>
        <w:rPr>
          <w:rFonts w:ascii="黑体" w:eastAsia="黑体" w:hAnsi="黑体" w:cs="黑体" w:hint="eastAsia"/>
          <w:color w:val="000000" w:themeColor="text1"/>
          <w:sz w:val="24"/>
        </w:rPr>
        <w:t xml:space="preserve">三、采用国际标准和国外先进标准情况  </w:t>
      </w:r>
      <w:r>
        <w:rPr>
          <w:rFonts w:ascii="黑体" w:eastAsia="黑体" w:hAnsi="黑体" w:cs="黑体" w:hint="eastAsia"/>
          <w:color w:val="000000" w:themeColor="text1"/>
          <w:sz w:val="30"/>
          <w:szCs w:val="30"/>
        </w:rPr>
        <w:t xml:space="preserve"> </w:t>
      </w:r>
    </w:p>
    <w:p w14:paraId="4B06112B" w14:textId="77777777" w:rsidR="00831DB2" w:rsidRDefault="00000000">
      <w:pPr>
        <w:ind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国内目前没有动力电池和储能电池行业整车成本及费用相应的标准，因此本项标准没有采标。</w:t>
      </w:r>
    </w:p>
    <w:p w14:paraId="42CD898B" w14:textId="77777777" w:rsidR="00831DB2" w:rsidRDefault="00000000">
      <w:pPr>
        <w:ind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本标准充分依据我国《中华人民共和国价格法》等国内法律法规，结合中国动力电池和储能电池行业经营特点与核算实际情况，可作为动力电池和储能电池行业产品成本核算参考依据。</w:t>
      </w:r>
    </w:p>
    <w:p w14:paraId="5FD78E98" w14:textId="77777777" w:rsidR="00831DB2" w:rsidRDefault="00000000">
      <w:pPr>
        <w:ind w:firstLineChars="200" w:firstLine="480"/>
        <w:rPr>
          <w:rFonts w:ascii="黑体" w:eastAsia="黑体" w:hAnsi="黑体" w:cs="黑体" w:hint="eastAsia"/>
          <w:color w:val="000000" w:themeColor="text1"/>
          <w:sz w:val="24"/>
        </w:rPr>
      </w:pPr>
      <w:r>
        <w:rPr>
          <w:rFonts w:ascii="黑体" w:eastAsia="黑体" w:hAnsi="黑体" w:cs="黑体" w:hint="eastAsia"/>
          <w:color w:val="000000" w:themeColor="text1"/>
          <w:sz w:val="24"/>
        </w:rPr>
        <w:t>四、主要关键指标及试验验证情况</w:t>
      </w:r>
    </w:p>
    <w:p w14:paraId="6B52B8FD" w14:textId="4286D0BA" w:rsidR="00831DB2" w:rsidRDefault="00925F45">
      <w:pPr>
        <w:ind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无</w:t>
      </w:r>
    </w:p>
    <w:p w14:paraId="5F8FAEDB" w14:textId="77777777" w:rsidR="00831DB2" w:rsidRDefault="00000000">
      <w:pPr>
        <w:ind w:firstLineChars="200" w:firstLine="480"/>
        <w:rPr>
          <w:rFonts w:ascii="黑体" w:eastAsia="黑体" w:hAnsi="黑体" w:cs="黑体" w:hint="eastAsia"/>
          <w:color w:val="000000" w:themeColor="text1"/>
          <w:sz w:val="24"/>
        </w:rPr>
      </w:pPr>
      <w:r>
        <w:rPr>
          <w:rFonts w:ascii="黑体" w:eastAsia="黑体" w:hAnsi="黑体" w:cs="黑体" w:hint="eastAsia"/>
          <w:color w:val="000000" w:themeColor="text1"/>
          <w:sz w:val="24"/>
        </w:rPr>
        <w:t>五、与现行法律、法规和政策及相关标准的协调性</w:t>
      </w:r>
    </w:p>
    <w:p w14:paraId="2FFBD07C" w14:textId="77777777" w:rsidR="00831DB2" w:rsidRDefault="00000000">
      <w:pPr>
        <w:ind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本标准参考《中华人民共和国价格法》《关于制止低价倾销行为的规定》等现行法律法规与政策文件，无冲突条款。</w:t>
      </w:r>
    </w:p>
    <w:p w14:paraId="650BDDF2" w14:textId="77777777" w:rsidR="00831DB2" w:rsidRDefault="00000000">
      <w:pPr>
        <w:ind w:firstLineChars="200" w:firstLine="480"/>
        <w:rPr>
          <w:rFonts w:ascii="黑体" w:eastAsia="黑体" w:hAnsi="黑体" w:cs="黑体" w:hint="eastAsia"/>
          <w:color w:val="000000" w:themeColor="text1"/>
          <w:sz w:val="24"/>
        </w:rPr>
      </w:pPr>
      <w:r>
        <w:rPr>
          <w:rFonts w:ascii="黑体" w:eastAsia="黑体" w:hAnsi="黑体" w:cs="黑体" w:hint="eastAsia"/>
          <w:color w:val="000000" w:themeColor="text1"/>
          <w:sz w:val="24"/>
        </w:rPr>
        <w:t>六、贯彻标准的要求和措施建议</w:t>
      </w:r>
    </w:p>
    <w:p w14:paraId="449D2B32" w14:textId="77777777" w:rsidR="00831DB2" w:rsidRDefault="00000000">
      <w:pPr>
        <w:ind w:firstLineChars="200" w:firstLine="480"/>
        <w:rPr>
          <w:rFonts w:ascii="仿宋" w:eastAsia="仿宋" w:hAnsi="仿宋" w:cs="仿宋" w:hint="eastAsia"/>
          <w:color w:val="000000" w:themeColor="text1"/>
          <w:sz w:val="24"/>
        </w:rPr>
      </w:pPr>
      <w:r>
        <w:rPr>
          <w:rFonts w:ascii="仿宋" w:eastAsia="仿宋" w:hAnsi="仿宋" w:cs="仿宋" w:hint="eastAsia"/>
          <w:color w:val="000000" w:themeColor="text1"/>
          <w:sz w:val="24"/>
        </w:rPr>
        <w:t>本标准是我国</w:t>
      </w:r>
      <w:r>
        <w:rPr>
          <w:rFonts w:ascii="仿宋" w:eastAsia="仿宋" w:hAnsi="仿宋" w:hint="eastAsia"/>
          <w:sz w:val="32"/>
          <w:szCs w:val="32"/>
        </w:rPr>
        <w:t>动</w:t>
      </w:r>
      <w:r>
        <w:rPr>
          <w:rFonts w:ascii="仿宋" w:eastAsia="仿宋" w:hAnsi="仿宋" w:cs="仿宋" w:hint="eastAsia"/>
          <w:color w:val="000000" w:themeColor="text1"/>
          <w:sz w:val="24"/>
        </w:rPr>
        <w:t>力电池和储能电池行业产品成本核算的团体标准，旨在为动力电池和储能电池行业成本核算提供统一依据。标准发布后通过多媒体、网络、集中学习、讲座等方式进行宣传。标准实施过程中，中国汽车动力电池产业创新联盟、中国化学与物理电源行业协会与行业企业保持常态化沟通，及时反馈实施问题并协同解决。</w:t>
      </w:r>
    </w:p>
    <w:p w14:paraId="732DF877" w14:textId="77777777" w:rsidR="00831DB2" w:rsidRDefault="00000000">
      <w:pPr>
        <w:numPr>
          <w:ilvl w:val="0"/>
          <w:numId w:val="4"/>
        </w:numPr>
        <w:ind w:firstLineChars="200" w:firstLine="480"/>
        <w:rPr>
          <w:rFonts w:ascii="黑体" w:eastAsia="黑体" w:hAnsi="黑体" w:cs="黑体" w:hint="eastAsia"/>
          <w:color w:val="000000" w:themeColor="text1"/>
          <w:sz w:val="24"/>
        </w:rPr>
      </w:pPr>
      <w:r>
        <w:rPr>
          <w:rFonts w:ascii="黑体" w:eastAsia="黑体" w:hAnsi="黑体" w:cs="黑体" w:hint="eastAsia"/>
          <w:color w:val="000000" w:themeColor="text1"/>
          <w:sz w:val="24"/>
        </w:rPr>
        <w:t>其他需要说明的事项</w:t>
      </w:r>
    </w:p>
    <w:p w14:paraId="45A1DA40" w14:textId="77777777" w:rsidR="00831DB2" w:rsidRDefault="00000000">
      <w:pPr>
        <w:ind w:firstLineChars="400" w:firstLine="840"/>
      </w:pPr>
      <w:r>
        <w:rPr>
          <w:rFonts w:ascii="仿宋" w:eastAsia="仿宋" w:hAnsi="仿宋" w:cs="仿宋" w:hint="eastAsia"/>
          <w:color w:val="000000" w:themeColor="text1"/>
          <w:szCs w:val="21"/>
        </w:rPr>
        <w:t>无。</w:t>
      </w:r>
    </w:p>
    <w:sectPr w:rsidR="00831DB2">
      <w:footerReference w:type="default" r:id="rId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A6755" w14:textId="77777777" w:rsidR="00A41CDA" w:rsidRDefault="00A41CDA">
      <w:pPr>
        <w:spacing w:line="240" w:lineRule="auto"/>
      </w:pPr>
      <w:r>
        <w:separator/>
      </w:r>
    </w:p>
  </w:endnote>
  <w:endnote w:type="continuationSeparator" w:id="0">
    <w:p w14:paraId="7ACB134E" w14:textId="77777777" w:rsidR="00A41CDA" w:rsidRDefault="00A41C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188F" w14:textId="77777777" w:rsidR="00831DB2" w:rsidRDefault="00000000">
    <w:pPr>
      <w:pStyle w:val="ac"/>
    </w:pPr>
    <w:r>
      <w:fldChar w:fldCharType="begin"/>
    </w:r>
    <w:r>
      <w:instrText>PAGE   \* MERGEFORMAT</w:instrText>
    </w:r>
    <w:r>
      <w:fldChar w:fldCharType="separate"/>
    </w:r>
    <w:r>
      <w:rPr>
        <w:lang w:val="zh-CN"/>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6AD4C" w14:textId="77777777" w:rsidR="00A41CDA" w:rsidRDefault="00A41CDA">
      <w:pPr>
        <w:spacing w:after="0"/>
      </w:pPr>
      <w:r>
        <w:separator/>
      </w:r>
    </w:p>
  </w:footnote>
  <w:footnote w:type="continuationSeparator" w:id="0">
    <w:p w14:paraId="3B790513" w14:textId="77777777" w:rsidR="00A41CDA" w:rsidRDefault="00A41CDA">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60A38F"/>
    <w:multiLevelType w:val="singleLevel"/>
    <w:tmpl w:val="C760A38F"/>
    <w:lvl w:ilvl="0">
      <w:start w:val="1"/>
      <w:numFmt w:val="chineseCounting"/>
      <w:suff w:val="nothing"/>
      <w:lvlText w:val="%1、"/>
      <w:lvlJc w:val="left"/>
      <w:rPr>
        <w:rFonts w:hint="eastAsia"/>
      </w:rPr>
    </w:lvl>
  </w:abstractNum>
  <w:abstractNum w:abstractNumId="1" w15:restartNumberingAfterBreak="0">
    <w:nsid w:val="E319F839"/>
    <w:multiLevelType w:val="singleLevel"/>
    <w:tmpl w:val="E319F839"/>
    <w:lvl w:ilvl="0">
      <w:start w:val="1"/>
      <w:numFmt w:val="chineseCounting"/>
      <w:suff w:val="nothing"/>
      <w:lvlText w:val="（%1）"/>
      <w:lvlJc w:val="left"/>
      <w:pPr>
        <w:ind w:left="360" w:firstLine="0"/>
      </w:pPr>
      <w:rPr>
        <w:rFonts w:hint="eastAsia"/>
      </w:rPr>
    </w:lvl>
  </w:abstractNum>
  <w:abstractNum w:abstractNumId="2" w15:restartNumberingAfterBreak="0">
    <w:nsid w:val="E3C56D80"/>
    <w:multiLevelType w:val="singleLevel"/>
    <w:tmpl w:val="E3C56D80"/>
    <w:lvl w:ilvl="0">
      <w:start w:val="7"/>
      <w:numFmt w:val="chineseCounting"/>
      <w:suff w:val="nothing"/>
      <w:lvlText w:val="%1、"/>
      <w:lvlJc w:val="left"/>
      <w:rPr>
        <w:rFonts w:hint="eastAsia"/>
      </w:rPr>
    </w:lvl>
  </w:abstractNum>
  <w:abstractNum w:abstractNumId="3" w15:restartNumberingAfterBreak="0">
    <w:nsid w:val="65C91B47"/>
    <w:multiLevelType w:val="multilevel"/>
    <w:tmpl w:val="72EC38B2"/>
    <w:lvl w:ilvl="0">
      <w:start w:val="1"/>
      <w:numFmt w:val="none"/>
      <w:suff w:val="nothing"/>
      <w:lvlText w:val="%1"/>
      <w:lvlJc w:val="left"/>
      <w:pPr>
        <w:ind w:left="0" w:firstLine="0"/>
      </w:pPr>
      <w:rPr>
        <w:rFonts w:ascii="宋体" w:eastAsia="宋体" w:hAnsi="宋体" w:hint="eastAsia"/>
      </w:rPr>
    </w:lvl>
    <w:lvl w:ilvl="1">
      <w:start w:val="1"/>
      <w:numFmt w:val="decimal"/>
      <w:suff w:val="nothing"/>
      <w:lvlText w:val="%1%2　"/>
      <w:lvlJc w:val="left"/>
      <w:pPr>
        <w:ind w:left="142" w:firstLine="0"/>
      </w:pPr>
      <w:rPr>
        <w:rFonts w:ascii="黑体" w:eastAsia="黑体" w:hAnsi="黑体" w:hint="eastAsia"/>
        <w:b w:val="0"/>
        <w:i w:val="0"/>
        <w:sz w:val="21"/>
        <w:szCs w:val="21"/>
      </w:rPr>
    </w:lvl>
    <w:lvl w:ilvl="2">
      <w:start w:val="1"/>
      <w:numFmt w:val="decimal"/>
      <w:suff w:val="nothing"/>
      <w:lvlText w:val="%1%2.%3　"/>
      <w:lvlJc w:val="left"/>
      <w:pPr>
        <w:ind w:left="0" w:firstLine="0"/>
      </w:pPr>
      <w:rPr>
        <w:rFonts w:ascii="黑体" w:eastAsia="黑体" w:hAnsi="Times New Roman" w:cs="Times New Roman" w:hint="eastAsia"/>
        <w:b w:val="0"/>
        <w:bCs w:val="0"/>
        <w:i w:val="0"/>
        <w:iCs w:val="0"/>
        <w:caps w:val="0"/>
        <w:smallCaps w:val="0"/>
        <w:color w:val="000000"/>
        <w:spacing w:val="0"/>
        <w:sz w:val="21"/>
        <w:szCs w:val="21"/>
      </w:rPr>
    </w:lvl>
    <w:lvl w:ilvl="3">
      <w:start w:val="1"/>
      <w:numFmt w:val="decimal"/>
      <w:suff w:val="nothing"/>
      <w:lvlText w:val="%1%2.%3.%4　"/>
      <w:lvlJc w:val="left"/>
      <w:pPr>
        <w:ind w:left="0" w:firstLine="0"/>
      </w:pPr>
      <w:rPr>
        <w:rFonts w:ascii="黑体" w:eastAsia="黑体" w:hAnsi="黑体" w:hint="eastAsia"/>
        <w:b w:val="0"/>
        <w:i w:val="0"/>
        <w:sz w:val="21"/>
        <w:szCs w:val="21"/>
      </w:rPr>
    </w:lvl>
    <w:lvl w:ilvl="4">
      <w:start w:val="1"/>
      <w:numFmt w:val="decimal"/>
      <w:suff w:val="nothing"/>
      <w:lvlText w:val="%1%2.%3.%4.%5　"/>
      <w:lvlJc w:val="left"/>
      <w:pPr>
        <w:ind w:left="0" w:firstLine="0"/>
      </w:pPr>
      <w:rPr>
        <w:rFonts w:ascii="黑体" w:eastAsia="黑体" w:hAnsi="黑体" w:hint="eastAsia"/>
        <w:b w:val="0"/>
        <w:i w:val="0"/>
        <w:sz w:val="21"/>
        <w:szCs w:val="21"/>
      </w:rPr>
    </w:lvl>
    <w:lvl w:ilvl="5">
      <w:start w:val="1"/>
      <w:numFmt w:val="decimal"/>
      <w:suff w:val="nothing"/>
      <w:lvlText w:val="%1%2.%3.%4.%5.%6　"/>
      <w:lvlJc w:val="left"/>
      <w:pPr>
        <w:ind w:left="0" w:firstLine="0"/>
      </w:pPr>
      <w:rPr>
        <w:rFonts w:ascii="黑体" w:eastAsia="黑体" w:hAnsi="黑体" w:hint="eastAsia"/>
        <w:b w:val="0"/>
        <w:i w:val="0"/>
        <w:sz w:val="21"/>
        <w:szCs w:val="21"/>
      </w:rPr>
    </w:lvl>
    <w:lvl w:ilvl="6">
      <w:start w:val="1"/>
      <w:numFmt w:val="decimal"/>
      <w:suff w:val="nothing"/>
      <w:lvlText w:val="%1%2.%3.%4.%5.%6.%7　"/>
      <w:lvlJc w:val="left"/>
      <w:pPr>
        <w:ind w:left="0" w:firstLine="0"/>
      </w:pPr>
      <w:rPr>
        <w:rFonts w:ascii="黑体" w:eastAsia="黑体" w:hAnsi="黑体" w:hint="eastAsia"/>
        <w:b w:val="0"/>
        <w:i w:val="0"/>
        <w:sz w:val="21"/>
        <w:szCs w:val="21"/>
      </w:rPr>
    </w:lvl>
    <w:lvl w:ilvl="7">
      <w:start w:val="1"/>
      <w:numFmt w:val="decimal"/>
      <w:lvlText w:val="%1.%2.%3.%4.%5.%6.%7.%8"/>
      <w:lvlJc w:val="left"/>
      <w:pPr>
        <w:tabs>
          <w:tab w:val="num" w:pos="4351"/>
        </w:tabs>
        <w:ind w:left="3969" w:hanging="1418"/>
      </w:pPr>
      <w:rPr>
        <w:rFonts w:ascii="宋体" w:eastAsia="宋体" w:hAnsi="宋体" w:hint="eastAsia"/>
      </w:rPr>
    </w:lvl>
    <w:lvl w:ilvl="8">
      <w:start w:val="1"/>
      <w:numFmt w:val="decimal"/>
      <w:lvlText w:val="%1.%2.%3.%4.%5.%6.%7.%8.%9"/>
      <w:lvlJc w:val="left"/>
      <w:pPr>
        <w:tabs>
          <w:tab w:val="num" w:pos="4777"/>
        </w:tabs>
        <w:ind w:left="4677" w:hanging="1700"/>
      </w:pPr>
      <w:rPr>
        <w:rFonts w:ascii="宋体" w:eastAsia="宋体" w:hAnsi="宋体" w:hint="eastAsia"/>
      </w:rPr>
    </w:lvl>
  </w:abstractNum>
  <w:abstractNum w:abstractNumId="4"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pStyle w:val="a"/>
      <w:suff w:val="nothing"/>
      <w:lvlText w:val="%1%2　"/>
      <w:lvlJc w:val="left"/>
      <w:pPr>
        <w:ind w:left="142" w:firstLine="0"/>
      </w:pPr>
      <w:rPr>
        <w:rFonts w:ascii="黑体" w:eastAsia="黑体" w:hint="eastAsia"/>
        <w:b w:val="0"/>
        <w:i w:val="0"/>
        <w:sz w:val="21"/>
      </w:rPr>
    </w:lvl>
    <w:lvl w:ilvl="2">
      <w:start w:val="1"/>
      <w:numFmt w:val="decimal"/>
      <w:pStyle w:val="a0"/>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1"/>
      <w:suff w:val="nothing"/>
      <w:lvlText w:val="%1%2.%3.%4　"/>
      <w:lvlJc w:val="left"/>
      <w:pPr>
        <w:ind w:left="0" w:firstLine="0"/>
      </w:pPr>
      <w:rPr>
        <w:rFonts w:ascii="黑体" w:eastAsia="黑体" w:hint="eastAsia"/>
        <w:b w:val="0"/>
        <w:i w:val="0"/>
        <w:sz w:val="21"/>
      </w:rPr>
    </w:lvl>
    <w:lvl w:ilvl="4">
      <w:start w:val="1"/>
      <w:numFmt w:val="decimal"/>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16cid:durableId="1798647453">
    <w:abstractNumId w:val="4"/>
  </w:num>
  <w:num w:numId="2" w16cid:durableId="879705864">
    <w:abstractNumId w:val="0"/>
  </w:num>
  <w:num w:numId="3" w16cid:durableId="2074892666">
    <w:abstractNumId w:val="1"/>
  </w:num>
  <w:num w:numId="4" w16cid:durableId="342511570">
    <w:abstractNumId w:val="2"/>
  </w:num>
  <w:num w:numId="5" w16cid:durableId="17703460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7E5"/>
    <w:rsid w:val="00081D76"/>
    <w:rsid w:val="001A71CC"/>
    <w:rsid w:val="00225798"/>
    <w:rsid w:val="002A2DCF"/>
    <w:rsid w:val="002D19CA"/>
    <w:rsid w:val="003A43CF"/>
    <w:rsid w:val="003C698C"/>
    <w:rsid w:val="003F635C"/>
    <w:rsid w:val="0040436E"/>
    <w:rsid w:val="00413E04"/>
    <w:rsid w:val="00567B80"/>
    <w:rsid w:val="00584697"/>
    <w:rsid w:val="00661CEE"/>
    <w:rsid w:val="00831DB2"/>
    <w:rsid w:val="008D7754"/>
    <w:rsid w:val="00925F45"/>
    <w:rsid w:val="00943AB6"/>
    <w:rsid w:val="009B1050"/>
    <w:rsid w:val="009B6375"/>
    <w:rsid w:val="00A13E69"/>
    <w:rsid w:val="00A227E5"/>
    <w:rsid w:val="00A41CDA"/>
    <w:rsid w:val="00B076DE"/>
    <w:rsid w:val="00C444C4"/>
    <w:rsid w:val="00D82931"/>
    <w:rsid w:val="00D95364"/>
    <w:rsid w:val="00ED6D27"/>
    <w:rsid w:val="00EE0699"/>
    <w:rsid w:val="00F31D7E"/>
    <w:rsid w:val="00FE70BD"/>
    <w:rsid w:val="17FE211F"/>
    <w:rsid w:val="2E6E46DF"/>
    <w:rsid w:val="7DF373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4E956D"/>
  <w15:docId w15:val="{2E14BB7B-4A6B-49E6-AAE2-10B67CA58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pPr>
      <w:widowControl w:val="0"/>
      <w:spacing w:after="160" w:line="278" w:lineRule="auto"/>
      <w:jc w:val="both"/>
    </w:pPr>
    <w:rPr>
      <w:kern w:val="2"/>
      <w:sz w:val="21"/>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footer"/>
    <w:basedOn w:val="a2"/>
    <w:link w:val="a7"/>
    <w:qFormat/>
    <w:pPr>
      <w:tabs>
        <w:tab w:val="center" w:pos="4153"/>
        <w:tab w:val="right" w:pos="8306"/>
      </w:tabs>
      <w:snapToGrid w:val="0"/>
      <w:spacing w:line="240" w:lineRule="auto"/>
      <w:jc w:val="left"/>
    </w:pPr>
    <w:rPr>
      <w:sz w:val="18"/>
      <w:szCs w:val="18"/>
    </w:rPr>
  </w:style>
  <w:style w:type="paragraph" w:styleId="a8">
    <w:name w:val="header"/>
    <w:basedOn w:val="a2"/>
    <w:link w:val="a9"/>
    <w:qFormat/>
    <w:pPr>
      <w:tabs>
        <w:tab w:val="center" w:pos="4153"/>
        <w:tab w:val="right" w:pos="8306"/>
      </w:tabs>
      <w:snapToGrid w:val="0"/>
      <w:spacing w:line="240" w:lineRule="auto"/>
      <w:jc w:val="center"/>
    </w:pPr>
    <w:rPr>
      <w:sz w:val="18"/>
      <w:szCs w:val="18"/>
    </w:rPr>
  </w:style>
  <w:style w:type="paragraph" w:styleId="aa">
    <w:name w:val="List Paragraph"/>
    <w:basedOn w:val="a2"/>
    <w:uiPriority w:val="99"/>
    <w:unhideWhenUsed/>
    <w:qFormat/>
    <w:pPr>
      <w:ind w:firstLineChars="200" w:firstLine="420"/>
    </w:pPr>
  </w:style>
  <w:style w:type="paragraph" w:customStyle="1" w:styleId="ab">
    <w:name w:val="标准文件_页脚偶数页"/>
    <w:qFormat/>
    <w:pPr>
      <w:ind w:left="198"/>
    </w:pPr>
    <w:rPr>
      <w:rFonts w:ascii="宋体"/>
      <w:sz w:val="18"/>
    </w:rPr>
  </w:style>
  <w:style w:type="paragraph" w:customStyle="1" w:styleId="ac">
    <w:name w:val="标准文件_页脚奇数页"/>
    <w:qFormat/>
    <w:pPr>
      <w:ind w:right="227"/>
      <w:jc w:val="right"/>
    </w:pPr>
    <w:rPr>
      <w:rFonts w:ascii="宋体"/>
      <w:sz w:val="18"/>
    </w:rPr>
  </w:style>
  <w:style w:type="paragraph" w:customStyle="1" w:styleId="ad">
    <w:name w:val="标准文件_页眉奇数页"/>
    <w:next w:val="a2"/>
    <w:qFormat/>
    <w:pPr>
      <w:tabs>
        <w:tab w:val="center" w:pos="4154"/>
        <w:tab w:val="right" w:pos="8306"/>
      </w:tabs>
      <w:spacing w:after="120"/>
      <w:jc w:val="right"/>
    </w:pPr>
    <w:rPr>
      <w:rFonts w:ascii="黑体" w:eastAsia="黑体" w:hAnsi="宋体"/>
      <w:sz w:val="21"/>
    </w:rPr>
  </w:style>
  <w:style w:type="paragraph" w:customStyle="1" w:styleId="ae">
    <w:name w:val="标准文件_页眉偶数页"/>
    <w:basedOn w:val="ad"/>
    <w:next w:val="a2"/>
    <w:qFormat/>
    <w:pPr>
      <w:jc w:val="left"/>
    </w:pPr>
  </w:style>
  <w:style w:type="character" w:customStyle="1" w:styleId="a9">
    <w:name w:val="页眉 字符"/>
    <w:basedOn w:val="a3"/>
    <w:link w:val="a8"/>
    <w:qFormat/>
    <w:rPr>
      <w:kern w:val="2"/>
      <w:sz w:val="18"/>
      <w:szCs w:val="18"/>
    </w:rPr>
  </w:style>
  <w:style w:type="character" w:customStyle="1" w:styleId="a7">
    <w:name w:val="页脚 字符"/>
    <w:basedOn w:val="a3"/>
    <w:link w:val="a6"/>
    <w:qFormat/>
    <w:rPr>
      <w:kern w:val="2"/>
      <w:sz w:val="18"/>
      <w:szCs w:val="18"/>
    </w:rPr>
  </w:style>
  <w:style w:type="paragraph" w:customStyle="1" w:styleId="af">
    <w:name w:val="标准文件_段"/>
    <w:qFormat/>
    <w:pPr>
      <w:autoSpaceDE w:val="0"/>
      <w:autoSpaceDN w:val="0"/>
      <w:ind w:firstLineChars="200" w:firstLine="200"/>
      <w:jc w:val="both"/>
    </w:pPr>
    <w:rPr>
      <w:rFonts w:ascii="宋体"/>
      <w:sz w:val="21"/>
    </w:rPr>
  </w:style>
  <w:style w:type="paragraph" w:customStyle="1" w:styleId="a">
    <w:name w:val="标准文件_章标题"/>
    <w:next w:val="af"/>
    <w:qFormat/>
    <w:pPr>
      <w:numPr>
        <w:ilvl w:val="1"/>
        <w:numId w:val="1"/>
      </w:numPr>
      <w:spacing w:beforeLines="100" w:before="100" w:afterLines="100" w:after="100"/>
      <w:jc w:val="both"/>
      <w:outlineLvl w:val="0"/>
    </w:pPr>
    <w:rPr>
      <w:rFonts w:ascii="黑体" w:eastAsia="黑体"/>
      <w:sz w:val="21"/>
    </w:rPr>
  </w:style>
  <w:style w:type="paragraph" w:customStyle="1" w:styleId="a0">
    <w:name w:val="标准文件_一级条标题"/>
    <w:basedOn w:val="a"/>
    <w:next w:val="af"/>
    <w:qFormat/>
    <w:pPr>
      <w:numPr>
        <w:ilvl w:val="2"/>
      </w:numPr>
      <w:spacing w:beforeLines="50" w:before="50" w:afterLines="50" w:after="50"/>
      <w:outlineLvl w:val="1"/>
    </w:pPr>
  </w:style>
  <w:style w:type="paragraph" w:customStyle="1" w:styleId="af0">
    <w:name w:val="标准文件_二级无标题"/>
    <w:basedOn w:val="a1"/>
    <w:qFormat/>
    <w:pPr>
      <w:spacing w:beforeLines="0" w:before="0" w:afterLines="0" w:after="0"/>
      <w:ind w:left="567"/>
      <w:outlineLvl w:val="9"/>
    </w:pPr>
    <w:rPr>
      <w:rFonts w:ascii="宋体" w:eastAsia="宋体"/>
    </w:rPr>
  </w:style>
  <w:style w:type="paragraph" w:customStyle="1" w:styleId="a1">
    <w:name w:val="标准文件_二级条标题"/>
    <w:next w:val="af"/>
    <w:qFormat/>
    <w:pPr>
      <w:widowControl w:val="0"/>
      <w:numPr>
        <w:ilvl w:val="3"/>
        <w:numId w:val="1"/>
      </w:numPr>
      <w:spacing w:beforeLines="50" w:before="50" w:afterLines="50" w:after="50"/>
      <w:ind w:left="425"/>
      <w:jc w:val="both"/>
      <w:outlineLvl w:val="2"/>
    </w:pPr>
    <w:rPr>
      <w:rFonts w:ascii="黑体" w:eastAsia="黑体"/>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2855</Words>
  <Characters>2971</Characters>
  <Application>Microsoft Office Word</Application>
  <DocSecurity>0</DocSecurity>
  <Lines>129</Lines>
  <Paragraphs>116</Paragraphs>
  <ScaleCrop>false</ScaleCrop>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ZHQ</dc:creator>
  <cp:lastModifiedBy>陈浩</cp:lastModifiedBy>
  <cp:revision>5</cp:revision>
  <dcterms:created xsi:type="dcterms:W3CDTF">2026-08-27T06:07:00Z</dcterms:created>
  <dcterms:modified xsi:type="dcterms:W3CDTF">2026-09-04T03:25:00Z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eyJoZGlkIjoiNDY2NGU1OTk5NGQwM2YzNjUxZTMxNDkxMDJiOTBjNDQiLCJ1c2VySWQiOiI3NDc2NjExODAifQ==</vt:lpwstr>
  </property>
  <property fmtid="{D5CDD505-2E9C-101B-9397-08002B2CF9AE}" pid="4" name="ICV">
    <vt:lpwstr>A95B6752B8864D91AF60B36AC9E2F684_12</vt:lpwstr>
  </property>
</Properties>
</file>