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9"/>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5A7A1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497D20E1">
            <w:pPr>
              <w:pStyle w:val="20"/>
              <w:framePr w:wrap="notBeside" w:vAnchor="page" w:hAnchor="page" w:x="1372" w:y="568"/>
              <w:tabs>
                <w:tab w:val="clear" w:pos="4153"/>
                <w:tab w:val="clear" w:pos="8306"/>
              </w:tabs>
              <w:spacing w:line="240" w:lineRule="auto"/>
              <w:jc w:val="left"/>
              <w:rPr>
                <w:rFonts w:hint="eastAsia"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14:paraId="60633F23">
            <w:pPr>
              <w:pStyle w:val="20"/>
              <w:framePr w:wrap="notBeside" w:vAnchor="page" w:hAnchor="page" w:x="1372" w:y="568"/>
              <w:tabs>
                <w:tab w:val="clear" w:pos="4153"/>
                <w:tab w:val="clear" w:pos="8306"/>
              </w:tabs>
              <w:spacing w:line="240" w:lineRule="auto"/>
              <w:jc w:val="both"/>
              <w:rPr>
                <w:rFonts w:hint="eastAsia"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43.040.10</w:t>
            </w:r>
            <w:r>
              <w:rPr>
                <w:rFonts w:ascii="黑体" w:hAnsi="黑体" w:eastAsia="黑体"/>
                <w:sz w:val="21"/>
                <w:szCs w:val="21"/>
              </w:rPr>
              <w:fldChar w:fldCharType="end"/>
            </w:r>
            <w:bookmarkEnd w:id="0"/>
          </w:p>
        </w:tc>
      </w:tr>
      <w:tr w14:paraId="655AFB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18859C4A">
            <w:pPr>
              <w:pStyle w:val="20"/>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tbl>
            <w:tblPr>
              <w:tblStyle w:val="29"/>
              <w:tblpPr w:vertAnchor="page" w:horzAnchor="margin" w:tblpX="1" w:tblpY="341"/>
              <w:tblOverlap w:val="never"/>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467A9A50">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14:paraId="58C98831">
                  <w:pPr>
                    <w:pStyle w:val="51"/>
                    <w:framePr w:wrap="notBeside" w:vAnchor="page" w:hAnchor="page" w:x="1372" w:y="568"/>
                    <w:ind w:left="420" w:right="624"/>
                    <w:rPr>
                      <w:rFonts w:hint="eastAsia" w:ascii="宋体" w:hAnsi="宋体"/>
                      <w:sz w:val="28"/>
                      <w:szCs w:val="28"/>
                    </w:rPr>
                  </w:pPr>
                </w:p>
              </w:tc>
            </w:tr>
          </w:tbl>
          <w:p w14:paraId="687ED915">
            <w:pPr>
              <w:pStyle w:val="20"/>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T 36</w:t>
            </w:r>
            <w:r>
              <w:rPr>
                <w:rFonts w:ascii="黑体" w:hAnsi="黑体" w:eastAsia="黑体"/>
                <w:sz w:val="21"/>
                <w:szCs w:val="21"/>
              </w:rPr>
              <w:fldChar w:fldCharType="end"/>
            </w:r>
            <w:bookmarkEnd w:id="1"/>
          </w:p>
        </w:tc>
      </w:tr>
    </w:tbl>
    <w:p w14:paraId="6E752DA0">
      <w:pPr>
        <w:pStyle w:val="52"/>
        <w:framePr w:w="9639" w:h="887" w:hRule="exact" w:hSpace="181" w:vSpace="181" w:wrap="around" w:hAnchor="page" w:x="1305" w:y="1995"/>
        <w:rPr>
          <w:rFonts w:hint="eastAsia" w:ascii="黑体" w:hAnsi="黑体" w:eastAsia="黑体"/>
          <w:b w:val="0"/>
          <w:bCs w:val="0"/>
          <w:w w:val="100"/>
          <w:sz w:val="72"/>
          <w:szCs w:val="72"/>
        </w:rPr>
      </w:pPr>
      <w:bookmarkStart w:id="2" w:name="_Hlk26473981"/>
      <w:r>
        <w:rPr>
          <w:rFonts w:hint="eastAsia" w:ascii="黑体" w:eastAsia="黑体"/>
          <w:b w:val="0"/>
          <w:w w:val="100"/>
          <w:sz w:val="72"/>
          <w:szCs w:val="72"/>
        </w:rPr>
        <w:t>团体</w:t>
      </w:r>
      <w:r>
        <w:rPr>
          <w:rFonts w:hint="eastAsia" w:ascii="黑体" w:hAnsi="黑体" w:eastAsia="黑体"/>
          <w:b w:val="0"/>
          <w:bCs w:val="0"/>
          <w:w w:val="100"/>
          <w:sz w:val="72"/>
          <w:szCs w:val="72"/>
        </w:rPr>
        <w:t>标准</w:t>
      </w:r>
    </w:p>
    <w:bookmarkEnd w:id="2"/>
    <w:p w14:paraId="20644BE9">
      <w:pPr>
        <w:pStyle w:val="197"/>
      </w:pPr>
      <w:r>
        <w:t>T/</w:t>
      </w:r>
      <w:r>
        <w:fldChar w:fldCharType="begin">
          <w:ffData>
            <w:name w:val="文字1"/>
            <w:enabled/>
            <w:calcOnExit w:val="0"/>
            <w:textInput>
              <w:default w:val="XXX"/>
            </w:textInput>
          </w:ffData>
        </w:fldChar>
      </w:r>
      <w:bookmarkStart w:id="3" w:name="文字1"/>
      <w:r>
        <w:instrText xml:space="preserve"> FORMTEXT </w:instrText>
      </w:r>
      <w:r>
        <w:fldChar w:fldCharType="separate"/>
      </w:r>
      <w:r>
        <w:rPr>
          <w:rFonts w:hint="eastAsia"/>
        </w:rPr>
        <w:t>CAAMTB</w:t>
      </w:r>
      <w:r>
        <w:fldChar w:fldCharType="end"/>
      </w:r>
      <w:bookmarkEnd w:id="3"/>
      <w:r>
        <w:t xml:space="preserve"> </w:t>
      </w:r>
      <w:r>
        <w:fldChar w:fldCharType="begin">
          <w:ffData>
            <w:name w:val="NSTD_CODE_F"/>
            <w:enabled/>
            <w:calcOnExit w:val="0"/>
            <w:textInput>
              <w:default w:val="XXXX"/>
            </w:textInput>
          </w:ffData>
        </w:fldChar>
      </w:r>
      <w:bookmarkStart w:id="4" w:name="NSTD_CODE_F"/>
      <w:r>
        <w:instrText xml:space="preserve"> FORMTEXT </w:instrText>
      </w:r>
      <w:r>
        <w:fldChar w:fldCharType="separate"/>
      </w:r>
      <w:r>
        <w:rPr>
          <w:rFonts w:hint="eastAsia"/>
        </w:rPr>
        <w:t>XXX</w:t>
      </w:r>
      <w:r>
        <w:fldChar w:fldCharType="end"/>
      </w:r>
      <w:bookmarkEnd w:id="4"/>
      <w:r>
        <w:rPr>
          <w:rFonts w:hAnsi="黑体"/>
        </w:rPr>
        <w:t>—</w:t>
      </w:r>
      <w:r>
        <w:fldChar w:fldCharType="begin">
          <w:ffData>
            <w:name w:val="NSTD_CODE_B"/>
            <w:enabled/>
            <w:calcOnExit w:val="0"/>
            <w:textInput>
              <w:default w:val="XXXX"/>
            </w:textInput>
          </w:ffData>
        </w:fldChar>
      </w:r>
      <w:bookmarkStart w:id="5" w:name="NSTD_CODE_B"/>
      <w:r>
        <w:instrText xml:space="preserve"> FORMTEXT </w:instrText>
      </w:r>
      <w:r>
        <w:fldChar w:fldCharType="separate"/>
      </w:r>
      <w:r>
        <w:rPr>
          <w:rFonts w:hint="eastAsia"/>
        </w:rPr>
        <w:t>20XX</w:t>
      </w:r>
      <w:r>
        <w:fldChar w:fldCharType="end"/>
      </w:r>
      <w:bookmarkEnd w:id="5"/>
    </w:p>
    <w:p w14:paraId="42C0FBFE">
      <w:pPr>
        <w:pStyle w:val="198"/>
        <w:rPr>
          <w:rFonts w:hint="eastAsia" w:hAnsi="黑体"/>
        </w:rPr>
      </w:pPr>
      <w:r>
        <w:rPr>
          <w:rFonts w:hAnsi="黑体"/>
        </w:rPr>
        <w:fldChar w:fldCharType="begin">
          <w:ffData>
            <w:name w:val="OSTD_CODE"/>
            <w:enabled/>
            <w:calcOnExit w:val="0"/>
            <w:textInput/>
          </w:ffData>
        </w:fldChar>
      </w:r>
      <w:bookmarkStart w:id="6" w:name="OSTD_CODE"/>
      <w:r>
        <w:rPr>
          <w:rFonts w:hAnsi="黑体"/>
        </w:rPr>
        <w:instrText xml:space="preserve"> FORMTEXT </w:instrText>
      </w:r>
      <w:r>
        <w:rPr>
          <w:rFonts w:hAnsi="黑体"/>
        </w:rPr>
        <w:fldChar w:fldCharType="separate"/>
      </w:r>
      <w:r>
        <w:rPr>
          <w:rFonts w:hAnsi="黑体"/>
        </w:rPr>
        <w:t>     </w:t>
      </w:r>
      <w:r>
        <w:rPr>
          <w:rFonts w:hAnsi="黑体"/>
        </w:rPr>
        <w:fldChar w:fldCharType="end"/>
      </w:r>
      <w:bookmarkEnd w:id="6"/>
    </w:p>
    <w:p w14:paraId="00900AA8">
      <w:pPr>
        <w:spacing w:line="240" w:lineRule="auto"/>
        <w:rPr>
          <w:rFonts w:hint="eastAsia"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CeD&#10;SZbYAAAADAEAAA8AAAAAAAAAAQAgAAAAIgAAAGRycy9kb3ducmV2LnhtbFBLAQIUABQAAAAIAIdO&#10;4kDurh1R6gEAALoDAAAOAAAAAAAAAAEAIAAAACcBAABkcnMvZTJvRG9jLnhtbFBLBQYAAAAABgAG&#10;AFkBAACDBQAAAAA=&#10;">
                <v:fill on="f" focussize="0,0"/>
                <v:stroke color="#000000" joinstyle="round"/>
                <v:imagedata o:title=""/>
                <o:lock v:ext="edit" aspectratio="f"/>
              </v:line>
            </w:pict>
          </mc:Fallback>
        </mc:AlternateContent>
      </w:r>
    </w:p>
    <w:p w14:paraId="30F5782B">
      <w:pPr>
        <w:pStyle w:val="52"/>
        <w:framePr w:w="9639" w:h="6976" w:hRule="exact" w:hSpace="0" w:vSpace="0" w:wrap="around" w:hAnchor="page" w:y="6408"/>
        <w:jc w:val="center"/>
        <w:rPr>
          <w:rFonts w:hint="eastAsia" w:ascii="黑体" w:hAnsi="黑体" w:eastAsia="黑体"/>
          <w:b w:val="0"/>
          <w:bCs w:val="0"/>
          <w:w w:val="100"/>
        </w:rPr>
      </w:pPr>
    </w:p>
    <w:p w14:paraId="540FD8BF">
      <w:pPr>
        <w:pStyle w:val="199"/>
        <w:framePr w:h="6974" w:hRule="exact" w:wrap="around" w:x="1419" w:anchorLock="1"/>
        <w:rPr>
          <w:rFonts w:hint="eastAsia"/>
        </w:rPr>
      </w:pPr>
      <w:r>
        <w:rPr>
          <w:rFonts w:hint="eastAsia"/>
        </w:rPr>
        <w:fldChar w:fldCharType="begin">
          <w:ffData>
            <w:name w:val="文字2"/>
            <w:enabled/>
            <w:calcOnExit w:val="0"/>
            <w:textInput/>
          </w:ffData>
        </w:fldChar>
      </w:r>
      <w:bookmarkStart w:id="7" w:name="文字2"/>
      <w:r>
        <w:rPr>
          <w:rFonts w:hint="eastAsia"/>
        </w:rPr>
        <w:instrText xml:space="preserve"> FORMTEXT </w:instrText>
      </w:r>
      <w:r>
        <w:rPr>
          <w:rFonts w:hint="eastAsia"/>
        </w:rPr>
        <w:fldChar w:fldCharType="separate"/>
      </w:r>
      <w:r>
        <w:rPr>
          <w:rFonts w:hint="eastAsia"/>
        </w:rPr>
        <w:t>纯电动客车用电源管理芯片技术要求及试验方法</w:t>
      </w:r>
      <w:r>
        <w:rPr>
          <w:rFonts w:hint="eastAsia"/>
        </w:rPr>
        <w:fldChar w:fldCharType="end"/>
      </w:r>
      <w:bookmarkEnd w:id="7"/>
    </w:p>
    <w:p w14:paraId="7EFAF588">
      <w:pPr>
        <w:framePr w:w="9639" w:h="6974" w:hRule="exact" w:wrap="around" w:vAnchor="page" w:hAnchor="page" w:x="1419" w:y="6408" w:anchorLock="1"/>
        <w:ind w:left="-1418"/>
      </w:pPr>
    </w:p>
    <w:p w14:paraId="7CAA5857">
      <w:pPr>
        <w:pStyle w:val="127"/>
        <w:framePr w:w="9639" w:h="6974" w:hRule="exact" w:wrap="around" w:vAnchor="page" w:hAnchor="page" w:x="1419" w:y="6408" w:anchorLock="1"/>
        <w:textAlignment w:val="bottom"/>
        <w:rPr>
          <w:rFonts w:eastAsia="黑体"/>
          <w:szCs w:val="28"/>
        </w:rPr>
      </w:pPr>
      <w:r>
        <w:rPr>
          <w:rFonts w:eastAsia="黑体"/>
          <w:szCs w:val="28"/>
        </w:rPr>
        <w:fldChar w:fldCharType="begin">
          <w:ffData>
            <w:name w:val="ESTD_NAME"/>
            <w:enabled/>
            <w:calcOnExit w:val="0"/>
            <w:textInput>
              <w:default w:val="点击此处添加标准名称的英文译名"/>
            </w:textInput>
          </w:ffData>
        </w:fldChar>
      </w:r>
      <w:bookmarkStart w:id="8" w:name="ESTD_NAME"/>
      <w:r>
        <w:rPr>
          <w:rFonts w:eastAsia="黑体"/>
          <w:szCs w:val="28"/>
        </w:rPr>
        <w:instrText xml:space="preserve"> FORMTEXT </w:instrText>
      </w:r>
      <w:r>
        <w:rPr>
          <w:rFonts w:eastAsia="黑体"/>
          <w:szCs w:val="28"/>
        </w:rPr>
        <w:fldChar w:fldCharType="separate"/>
      </w:r>
      <w:r>
        <w:rPr>
          <w:rFonts w:hint="eastAsia" w:eastAsia="黑体"/>
          <w:szCs w:val="28"/>
        </w:rPr>
        <w:t>Technical requirements and test methods for power management integrated chips of pure electric bus</w:t>
      </w:r>
      <w:r>
        <w:rPr>
          <w:rFonts w:eastAsia="黑体"/>
          <w:szCs w:val="28"/>
        </w:rPr>
        <w:fldChar w:fldCharType="end"/>
      </w:r>
      <w:bookmarkEnd w:id="8"/>
    </w:p>
    <w:p w14:paraId="2E0BFE36">
      <w:pPr>
        <w:framePr w:w="9639" w:h="6974" w:hRule="exact" w:wrap="around" w:vAnchor="page" w:hAnchor="page" w:x="1419" w:y="6408" w:anchorLock="1"/>
        <w:spacing w:line="760" w:lineRule="exact"/>
        <w:ind w:left="-1418"/>
      </w:pPr>
    </w:p>
    <w:p w14:paraId="1D243A28">
      <w:pPr>
        <w:pStyle w:val="127"/>
        <w:framePr w:w="9639" w:h="6974" w:hRule="exact" w:wrap="around" w:vAnchor="page" w:hAnchor="page" w:x="1419" w:y="6408" w:anchorLock="1"/>
        <w:textAlignment w:val="bottom"/>
        <w:rPr>
          <w:rFonts w:eastAsia="黑体"/>
          <w:szCs w:val="28"/>
        </w:rPr>
      </w:pPr>
    </w:p>
    <w:p w14:paraId="11D7D086">
      <w:pPr>
        <w:pStyle w:val="127"/>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result w:val="2"/>
              <w:listEntry w:val=" "/>
              <w:listEntry w:val="草案版次选择"/>
              <w:listEntry w:val="（工作组讨论稿）"/>
              <w:listEntry w:val="（征求意见稿）"/>
              <w:listEntry w:val="（送审讨论稿）"/>
              <w:listEntry w:val="（送审稿）"/>
              <w:listEntry w:val="（报批稿）"/>
            </w:ddList>
          </w:ffData>
        </w:fldChar>
      </w:r>
      <w:bookmarkStart w:id="9" w:name="下拉1"/>
      <w:r>
        <w:rPr>
          <w:sz w:val="24"/>
          <w:szCs w:val="28"/>
        </w:rPr>
        <w:instrText xml:space="preserve"> FORMDROPDOWN </w:instrText>
      </w:r>
      <w:r>
        <w:rPr>
          <w:sz w:val="24"/>
          <w:szCs w:val="28"/>
        </w:rPr>
        <w:fldChar w:fldCharType="separate"/>
      </w:r>
      <w:r>
        <w:rPr>
          <w:sz w:val="24"/>
          <w:szCs w:val="28"/>
        </w:rPr>
        <w:fldChar w:fldCharType="end"/>
      </w:r>
      <w:bookmarkEnd w:id="9"/>
    </w:p>
    <w:p w14:paraId="1F675CCE">
      <w:pPr>
        <w:pStyle w:val="127"/>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0" w:name="CMPLSH_DATE"/>
      <w:r>
        <w:rPr>
          <w:sz w:val="21"/>
          <w:szCs w:val="28"/>
        </w:rPr>
        <w:instrText xml:space="preserve"> FORMTEXT </w:instrText>
      </w:r>
      <w:r>
        <w:rPr>
          <w:sz w:val="21"/>
          <w:szCs w:val="28"/>
        </w:rPr>
        <w:fldChar w:fldCharType="separate"/>
      </w:r>
      <w:r>
        <w:rPr>
          <w:rFonts w:hint="eastAsia"/>
          <w:sz w:val="21"/>
          <w:szCs w:val="28"/>
        </w:rPr>
        <w:t>完成时间2026.0</w:t>
      </w:r>
      <w:r>
        <w:rPr>
          <w:rFonts w:hint="eastAsia"/>
          <w:sz w:val="21"/>
          <w:szCs w:val="28"/>
          <w:lang w:val="en-US" w:eastAsia="zh-CN"/>
        </w:rPr>
        <w:t>6</w:t>
      </w:r>
      <w:r>
        <w:rPr>
          <w:rFonts w:hint="eastAsia"/>
          <w:sz w:val="21"/>
          <w:szCs w:val="28"/>
        </w:rPr>
        <w:t>.</w:t>
      </w:r>
      <w:r>
        <w:rPr>
          <w:rFonts w:hint="eastAsia"/>
          <w:sz w:val="21"/>
          <w:szCs w:val="28"/>
          <w:lang w:val="en-US" w:eastAsia="zh-CN"/>
        </w:rPr>
        <w:t>30</w:t>
      </w:r>
      <w:r>
        <w:rPr>
          <w:sz w:val="21"/>
          <w:szCs w:val="28"/>
        </w:rPr>
        <w:fldChar w:fldCharType="end"/>
      </w:r>
      <w:bookmarkEnd w:id="10"/>
    </w:p>
    <w:p w14:paraId="5B60002F">
      <w:pPr>
        <w:pStyle w:val="127"/>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result w:val="1"/>
              <w:listEntry w:val=" "/>
              <w:listEntry w:val="在提交反馈意见时，请将您知道的相关专利连同支持性文件一并附上。"/>
            </w:ddList>
          </w:ffData>
        </w:fldChar>
      </w:r>
      <w:bookmarkStart w:id="11" w:name="下拉2"/>
      <w:r>
        <w:rPr>
          <w:b/>
          <w:sz w:val="21"/>
          <w:szCs w:val="28"/>
        </w:rPr>
        <w:instrText xml:space="preserve"> FORMDROPDOWN </w:instrText>
      </w:r>
      <w:r>
        <w:rPr>
          <w:b/>
          <w:sz w:val="21"/>
          <w:szCs w:val="28"/>
        </w:rPr>
        <w:fldChar w:fldCharType="separate"/>
      </w:r>
      <w:r>
        <w:rPr>
          <w:b/>
          <w:sz w:val="21"/>
          <w:szCs w:val="28"/>
        </w:rPr>
        <w:fldChar w:fldCharType="end"/>
      </w:r>
      <w:bookmarkEnd w:id="11"/>
    </w:p>
    <w:p w14:paraId="0CF3F181">
      <w:pPr>
        <w:pStyle w:val="195"/>
        <w:framePr w:wrap="around" w:y="14176"/>
      </w:pPr>
      <w:r>
        <w:rPr>
          <w:rFonts w:ascii="黑体"/>
        </w:rPr>
        <w:fldChar w:fldCharType="begin">
          <w:ffData>
            <w:name w:val="PLSH_DATE_Y"/>
            <w:enabled/>
            <w:calcOnExit w:val="0"/>
            <w:textInput>
              <w:default w:val="XXXX"/>
              <w:maxLength w:val="4"/>
            </w:textInput>
          </w:ffData>
        </w:fldChar>
      </w:r>
      <w:bookmarkStart w:id="12" w:name="PLSH_DATE_Y"/>
      <w:r>
        <w:rPr>
          <w:rFonts w:ascii="黑体"/>
        </w:rPr>
        <w:instrText xml:space="preserve"> FORMTEXT </w:instrText>
      </w:r>
      <w:r>
        <w:rPr>
          <w:rFonts w:ascii="黑体"/>
        </w:rPr>
        <w:fldChar w:fldCharType="separate"/>
      </w:r>
      <w:r>
        <w:rPr>
          <w:rFonts w:hint="eastAsia" w:ascii="黑体"/>
        </w:rPr>
        <w:t>20XX</w:t>
      </w:r>
      <w:r>
        <w:rPr>
          <w:rFonts w:ascii="黑体"/>
        </w:rPr>
        <w:fldChar w:fldCharType="end"/>
      </w:r>
      <w:bookmarkEnd w:id="12"/>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3" w:name="PLSH_DATE_M"/>
      <w:r>
        <w:rPr>
          <w:rFonts w:ascii="黑体"/>
        </w:rPr>
        <w:instrText xml:space="preserve"> FORMTEXT </w:instrText>
      </w:r>
      <w:r>
        <w:rPr>
          <w:rFonts w:ascii="黑体"/>
        </w:rPr>
        <w:fldChar w:fldCharType="separate"/>
      </w:r>
      <w:r>
        <w:rPr>
          <w:rFonts w:hint="eastAsia" w:ascii="黑体"/>
        </w:rPr>
        <w:t>XX</w:t>
      </w:r>
      <w:r>
        <w:rPr>
          <w:rFonts w:ascii="黑体"/>
        </w:rPr>
        <w:fldChar w:fldCharType="end"/>
      </w:r>
      <w:bookmarkEnd w:id="13"/>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4" w:name="PLSH_DATE_D"/>
      <w:r>
        <w:rPr>
          <w:rFonts w:ascii="黑体"/>
        </w:rPr>
        <w:instrText xml:space="preserve"> FORMTEXT </w:instrText>
      </w:r>
      <w:r>
        <w:rPr>
          <w:rFonts w:ascii="黑体"/>
        </w:rPr>
        <w:fldChar w:fldCharType="separate"/>
      </w:r>
      <w:r>
        <w:rPr>
          <w:rFonts w:hint="eastAsia" w:ascii="黑体"/>
        </w:rPr>
        <w:t>XX</w:t>
      </w:r>
      <w:r>
        <w:rPr>
          <w:rFonts w:ascii="黑体"/>
        </w:rPr>
        <w:fldChar w:fldCharType="end"/>
      </w:r>
      <w:bookmarkEnd w:id="14"/>
      <w:r>
        <w:rPr>
          <w:rFonts w:hint="eastAsia"/>
        </w:rPr>
        <w:t>发布</w:t>
      </w:r>
    </w:p>
    <w:p w14:paraId="0584A0F5">
      <w:pPr>
        <w:pStyle w:val="196"/>
        <w:framePr w:wrap="around" w:y="14176"/>
      </w:pPr>
      <w:r>
        <w:rPr>
          <w:rFonts w:ascii="黑体"/>
        </w:rPr>
        <w:fldChar w:fldCharType="begin">
          <w:ffData>
            <w:name w:val="CROT_DATE_Y"/>
            <w:enabled/>
            <w:calcOnExit w:val="0"/>
            <w:textInput>
              <w:default w:val="XXXX"/>
              <w:maxLength w:val="4"/>
            </w:textInput>
          </w:ffData>
        </w:fldChar>
      </w:r>
      <w:bookmarkStart w:id="15" w:name="CROT_DATE_Y"/>
      <w:r>
        <w:rPr>
          <w:rFonts w:ascii="黑体"/>
        </w:rPr>
        <w:instrText xml:space="preserve"> FORMTEXT </w:instrText>
      </w:r>
      <w:r>
        <w:rPr>
          <w:rFonts w:ascii="黑体"/>
        </w:rPr>
        <w:fldChar w:fldCharType="separate"/>
      </w:r>
      <w:r>
        <w:rPr>
          <w:rFonts w:hint="eastAsia" w:ascii="黑体"/>
        </w:rPr>
        <w:t>20XX</w:t>
      </w:r>
      <w:r>
        <w:rPr>
          <w:rFonts w:ascii="黑体"/>
        </w:rPr>
        <w:fldChar w:fldCharType="end"/>
      </w:r>
      <w:bookmarkEnd w:id="15"/>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6" w:name="CROT_DATE_M"/>
      <w:r>
        <w:rPr>
          <w:rFonts w:ascii="黑体"/>
        </w:rPr>
        <w:instrText xml:space="preserve"> FORMTEXT </w:instrText>
      </w:r>
      <w:r>
        <w:rPr>
          <w:rFonts w:ascii="黑体"/>
        </w:rPr>
        <w:fldChar w:fldCharType="separate"/>
      </w:r>
      <w:r>
        <w:rPr>
          <w:rFonts w:hint="eastAsia" w:ascii="黑体"/>
        </w:rPr>
        <w:t>XX</w:t>
      </w:r>
      <w:r>
        <w:rPr>
          <w:rFonts w:ascii="黑体"/>
        </w:rPr>
        <w:fldChar w:fldCharType="end"/>
      </w:r>
      <w:bookmarkEnd w:id="16"/>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7" w:name="CROT_DATE_D"/>
      <w:r>
        <w:rPr>
          <w:rFonts w:ascii="黑体"/>
        </w:rPr>
        <w:instrText xml:space="preserve"> FORMTEXT </w:instrText>
      </w:r>
      <w:r>
        <w:rPr>
          <w:rFonts w:ascii="黑体"/>
        </w:rPr>
        <w:fldChar w:fldCharType="separate"/>
      </w:r>
      <w:r>
        <w:rPr>
          <w:rFonts w:hint="eastAsia" w:ascii="黑体"/>
        </w:rPr>
        <w:t>XX</w:t>
      </w:r>
      <w:r>
        <w:rPr>
          <w:rFonts w:ascii="黑体"/>
        </w:rPr>
        <w:fldChar w:fldCharType="end"/>
      </w:r>
      <w:bookmarkEnd w:id="17"/>
      <w:r>
        <w:rPr>
          <w:rFonts w:hint="eastAsia"/>
        </w:rPr>
        <w:t>实施</w:t>
      </w:r>
    </w:p>
    <w:p w14:paraId="4C1F883B">
      <w:pPr>
        <w:pStyle w:val="153"/>
        <w:framePr w:h="584" w:hRule="exact" w:hSpace="181" w:vSpace="181" w:wrap="around" w:y="14800"/>
        <w:rPr>
          <w:rFonts w:hint="eastAsia" w:hAnsi="黑体"/>
        </w:rPr>
      </w:pPr>
      <w:r>
        <w:rPr>
          <w:rFonts w:hAnsi="黑体"/>
          <w:w w:val="100"/>
          <w:sz w:val="28"/>
        </w:rPr>
        <w:fldChar w:fldCharType="begin">
          <w:ffData>
            <w:name w:val="fm"/>
            <w:enabled/>
            <w:calcOnExit w:val="0"/>
            <w:textInput/>
          </w:ffData>
        </w:fldChar>
      </w:r>
      <w:bookmarkStart w:id="18" w:name="fm"/>
      <w:r>
        <w:rPr>
          <w:rFonts w:hAnsi="黑体"/>
          <w:w w:val="100"/>
          <w:sz w:val="28"/>
        </w:rPr>
        <w:instrText xml:space="preserve"> FORMTEXT </w:instrText>
      </w:r>
      <w:r>
        <w:rPr>
          <w:rFonts w:hAnsi="黑体"/>
          <w:w w:val="100"/>
          <w:sz w:val="28"/>
        </w:rPr>
        <w:fldChar w:fldCharType="separate"/>
      </w:r>
      <w:r>
        <w:rPr>
          <w:rFonts w:hint="eastAsia" w:hAnsi="黑体"/>
          <w:w w:val="100"/>
          <w:sz w:val="28"/>
        </w:rPr>
        <w:t>中国汽车工业协会</w:t>
      </w:r>
      <w:r>
        <w:rPr>
          <w:rFonts w:hAnsi="黑体"/>
          <w:w w:val="100"/>
          <w:sz w:val="28"/>
        </w:rPr>
        <w:fldChar w:fldCharType="end"/>
      </w:r>
      <w:bookmarkEnd w:id="18"/>
      <w:r>
        <w:rPr>
          <w:rFonts w:ascii="Times New Roman"/>
          <w:w w:val="100"/>
          <w:sz w:val="28"/>
        </w:rPr>
        <w:t>  </w:t>
      </w:r>
      <w:r>
        <w:rPr>
          <w:rStyle w:val="231"/>
          <w:rFonts w:hint="eastAsia" w:hAnsi="黑体"/>
          <w:position w:val="0"/>
        </w:rPr>
        <w:t>发</w:t>
      </w:r>
      <w:r>
        <w:rPr>
          <w:rStyle w:val="231"/>
          <w:rFonts w:hint="eastAsia" w:hAnsi="黑体"/>
          <w:spacing w:val="0"/>
          <w:position w:val="0"/>
        </w:rPr>
        <w:t>布</w:t>
      </w:r>
    </w:p>
    <w:p w14:paraId="0DBF9851">
      <w:pPr>
        <w:rPr>
          <w:rFonts w:hint="eastAsia" w:ascii="宋体" w:hAnsi="宋体"/>
          <w:sz w:val="28"/>
          <w:szCs w:val="28"/>
        </w:rPr>
        <w:sectPr>
          <w:headerReference r:id="rId6" w:type="first"/>
          <w:footerReference r:id="rId8" w:type="first"/>
          <w:headerReference r:id="rId5" w:type="default"/>
          <w:footerReference r:id="rId7" w:type="even"/>
          <w:type w:val="continuous"/>
          <w:pgSz w:w="11906" w:h="16838"/>
          <w:pgMar w:top="567" w:right="1134" w:bottom="1134" w:left="1134" w:header="1418" w:footer="1134"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szHPvX&#10;AAAADgEAAA8AAAAAAAAAAQAgAAAAIgAAAGRycy9kb3ducmV2LnhtbFBLAQIUABQAAAAIAIdO4kB3&#10;Ymi56AEAALgDAAAOAAAAAAAAAAEAIAAAACYBAABkcnMvZTJvRG9jLnhtbFBLBQYAAAAABgAGAFkB&#10;AACABQAAAAA=&#10;">
                <v:fill on="f" focussize="0,0"/>
                <v:stroke color="#000000" joinstyle="round"/>
                <v:imagedata o:title=""/>
                <o:lock v:ext="edit" aspectratio="f"/>
                <w10:anchorlock/>
              </v:line>
            </w:pict>
          </mc:Fallback>
        </mc:AlternateContent>
      </w:r>
    </w:p>
    <w:p w14:paraId="3059ADBB">
      <w:pPr>
        <w:pStyle w:val="93"/>
        <w:spacing w:after="360"/>
      </w:pPr>
      <w:bookmarkStart w:id="19" w:name="BookMark1"/>
      <w:r>
        <w:rPr>
          <w:rFonts w:hint="eastAsia"/>
          <w:spacing w:val="320"/>
        </w:rPr>
        <w:t>目</w:t>
      </w:r>
      <w:r>
        <w:rPr>
          <w:rFonts w:hint="eastAsia"/>
        </w:rPr>
        <w:t>次</w:t>
      </w:r>
    </w:p>
    <w:p w14:paraId="7B6AA1FE">
      <w:pPr>
        <w:pStyle w:val="21"/>
        <w:tabs>
          <w:tab w:val="right" w:leader="dot" w:pos="9354"/>
          <w:tab w:val="clear" w:pos="9344"/>
        </w:tabs>
      </w:pPr>
      <w:r>
        <w:fldChar w:fldCharType="begin"/>
      </w:r>
      <w:r>
        <w:instrText xml:space="preserve"> TOC \o "1-1" \h \t "标准文件_一级条标题,2,标准文件_附录一级条标题,2," </w:instrText>
      </w:r>
      <w:r>
        <w:fldChar w:fldCharType="separate"/>
      </w:r>
      <w:r>
        <w:fldChar w:fldCharType="begin"/>
      </w:r>
      <w:r>
        <w:instrText xml:space="preserve"> HYPERLINK \l "_Toc4375" </w:instrText>
      </w:r>
      <w:r>
        <w:fldChar w:fldCharType="separate"/>
      </w:r>
      <w:r>
        <w:rPr>
          <w:spacing w:val="320"/>
        </w:rPr>
        <w:t>前</w:t>
      </w:r>
      <w:r>
        <w:t>言</w:t>
      </w:r>
      <w:r>
        <w:tab/>
      </w:r>
      <w:r>
        <w:fldChar w:fldCharType="begin"/>
      </w:r>
      <w:r>
        <w:instrText xml:space="preserve"> PAGEREF _Toc4375 \h </w:instrText>
      </w:r>
      <w:r>
        <w:fldChar w:fldCharType="separate"/>
      </w:r>
      <w:r>
        <w:t>II</w:t>
      </w:r>
      <w:r>
        <w:fldChar w:fldCharType="end"/>
      </w:r>
      <w:r>
        <w:fldChar w:fldCharType="end"/>
      </w:r>
    </w:p>
    <w:p w14:paraId="44D57CEB">
      <w:pPr>
        <w:pStyle w:val="21"/>
        <w:tabs>
          <w:tab w:val="right" w:leader="dot" w:pos="9354"/>
          <w:tab w:val="clear" w:pos="9344"/>
        </w:tabs>
      </w:pPr>
      <w:r>
        <w:fldChar w:fldCharType="begin"/>
      </w:r>
      <w:r>
        <w:instrText xml:space="preserve"> HYPERLINK \l "_Toc3486" </w:instrText>
      </w:r>
      <w:r>
        <w:fldChar w:fldCharType="separate"/>
      </w:r>
      <w:r>
        <w:rPr>
          <w:rFonts w:hint="eastAsia" w:ascii="黑体" w:eastAsia="黑体"/>
        </w:rPr>
        <w:t xml:space="preserve">1 </w:t>
      </w:r>
      <w:r>
        <w:rPr>
          <w:rFonts w:hint="eastAsia"/>
        </w:rPr>
        <w:t>范围</w:t>
      </w:r>
      <w:r>
        <w:tab/>
      </w:r>
      <w:r>
        <w:fldChar w:fldCharType="begin"/>
      </w:r>
      <w:r>
        <w:instrText xml:space="preserve"> PAGEREF _Toc3486 \h </w:instrText>
      </w:r>
      <w:r>
        <w:fldChar w:fldCharType="separate"/>
      </w:r>
      <w:r>
        <w:t>3</w:t>
      </w:r>
      <w:r>
        <w:fldChar w:fldCharType="end"/>
      </w:r>
      <w:r>
        <w:fldChar w:fldCharType="end"/>
      </w:r>
    </w:p>
    <w:p w14:paraId="4D260FB9">
      <w:pPr>
        <w:pStyle w:val="21"/>
        <w:tabs>
          <w:tab w:val="right" w:leader="dot" w:pos="9354"/>
          <w:tab w:val="clear" w:pos="9344"/>
        </w:tabs>
      </w:pPr>
      <w:r>
        <w:fldChar w:fldCharType="begin"/>
      </w:r>
      <w:r>
        <w:instrText xml:space="preserve"> HYPERLINK \l "_Toc26504" </w:instrText>
      </w:r>
      <w:r>
        <w:fldChar w:fldCharType="separate"/>
      </w:r>
      <w:r>
        <w:rPr>
          <w:rFonts w:hint="eastAsia" w:ascii="黑体" w:eastAsia="黑体"/>
        </w:rPr>
        <w:t xml:space="preserve">2 </w:t>
      </w:r>
      <w:r>
        <w:rPr>
          <w:rFonts w:hint="eastAsia"/>
        </w:rPr>
        <w:t>规范性引用文件</w:t>
      </w:r>
      <w:r>
        <w:tab/>
      </w:r>
      <w:r>
        <w:fldChar w:fldCharType="begin"/>
      </w:r>
      <w:r>
        <w:instrText xml:space="preserve"> PAGEREF _Toc26504 \h </w:instrText>
      </w:r>
      <w:r>
        <w:fldChar w:fldCharType="separate"/>
      </w:r>
      <w:r>
        <w:t>3</w:t>
      </w:r>
      <w:r>
        <w:fldChar w:fldCharType="end"/>
      </w:r>
      <w:r>
        <w:fldChar w:fldCharType="end"/>
      </w:r>
    </w:p>
    <w:p w14:paraId="48360991">
      <w:pPr>
        <w:pStyle w:val="21"/>
        <w:tabs>
          <w:tab w:val="right" w:leader="dot" w:pos="9354"/>
          <w:tab w:val="clear" w:pos="9344"/>
        </w:tabs>
      </w:pPr>
      <w:r>
        <w:fldChar w:fldCharType="begin"/>
      </w:r>
      <w:r>
        <w:instrText xml:space="preserve"> HYPERLINK \l "_Toc1399" </w:instrText>
      </w:r>
      <w:r>
        <w:fldChar w:fldCharType="separate"/>
      </w:r>
      <w:r>
        <w:rPr>
          <w:rFonts w:hint="eastAsia" w:ascii="黑体" w:eastAsia="黑体"/>
        </w:rPr>
        <w:t xml:space="preserve">3 </w:t>
      </w:r>
      <w:r>
        <w:rPr>
          <w:rFonts w:hint="eastAsia"/>
        </w:rPr>
        <w:t>术语和定义</w:t>
      </w:r>
      <w:r>
        <w:tab/>
      </w:r>
      <w:r>
        <w:fldChar w:fldCharType="begin"/>
      </w:r>
      <w:r>
        <w:instrText xml:space="preserve"> PAGEREF _Toc1399 \h </w:instrText>
      </w:r>
      <w:r>
        <w:fldChar w:fldCharType="separate"/>
      </w:r>
      <w:r>
        <w:t>3</w:t>
      </w:r>
      <w:r>
        <w:fldChar w:fldCharType="end"/>
      </w:r>
      <w:r>
        <w:fldChar w:fldCharType="end"/>
      </w:r>
    </w:p>
    <w:p w14:paraId="5C19E5F4">
      <w:pPr>
        <w:pStyle w:val="21"/>
        <w:tabs>
          <w:tab w:val="right" w:leader="dot" w:pos="9354"/>
          <w:tab w:val="clear" w:pos="9344"/>
        </w:tabs>
      </w:pPr>
      <w:r>
        <w:fldChar w:fldCharType="begin"/>
      </w:r>
      <w:r>
        <w:instrText xml:space="preserve"> HYPERLINK \l "_Toc6675" </w:instrText>
      </w:r>
      <w:r>
        <w:fldChar w:fldCharType="separate"/>
      </w:r>
      <w:r>
        <w:rPr>
          <w:rFonts w:hint="eastAsia" w:ascii="黑体" w:eastAsia="黑体"/>
        </w:rPr>
        <w:t xml:space="preserve">4 </w:t>
      </w:r>
      <w:r>
        <w:rPr>
          <w:rFonts w:hint="eastAsia"/>
        </w:rPr>
        <w:t>符号和缩略语</w:t>
      </w:r>
      <w:r>
        <w:tab/>
      </w:r>
      <w:r>
        <w:fldChar w:fldCharType="begin"/>
      </w:r>
      <w:r>
        <w:instrText xml:space="preserve"> PAGEREF _Toc6675 \h </w:instrText>
      </w:r>
      <w:r>
        <w:fldChar w:fldCharType="separate"/>
      </w:r>
      <w:r>
        <w:t>4</w:t>
      </w:r>
      <w:r>
        <w:fldChar w:fldCharType="end"/>
      </w:r>
      <w:r>
        <w:fldChar w:fldCharType="end"/>
      </w:r>
    </w:p>
    <w:p w14:paraId="68979928">
      <w:pPr>
        <w:pStyle w:val="21"/>
        <w:tabs>
          <w:tab w:val="right" w:leader="dot" w:pos="9354"/>
          <w:tab w:val="clear" w:pos="9344"/>
        </w:tabs>
      </w:pPr>
      <w:r>
        <w:fldChar w:fldCharType="begin"/>
      </w:r>
      <w:r>
        <w:instrText xml:space="preserve"> HYPERLINK \l "_Toc31928" </w:instrText>
      </w:r>
      <w:r>
        <w:fldChar w:fldCharType="separate"/>
      </w:r>
      <w:r>
        <w:rPr>
          <w:rFonts w:hint="eastAsia" w:ascii="黑体" w:eastAsia="黑体"/>
        </w:rPr>
        <w:t xml:space="preserve">5 </w:t>
      </w:r>
      <w:r>
        <w:rPr>
          <w:rFonts w:hint="eastAsia"/>
        </w:rPr>
        <w:t>技术要求</w:t>
      </w:r>
      <w:r>
        <w:tab/>
      </w:r>
      <w:r>
        <w:fldChar w:fldCharType="begin"/>
      </w:r>
      <w:r>
        <w:instrText xml:space="preserve"> PAGEREF _Toc31928 \h </w:instrText>
      </w:r>
      <w:r>
        <w:fldChar w:fldCharType="separate"/>
      </w:r>
      <w:r>
        <w:t>5</w:t>
      </w:r>
      <w:r>
        <w:fldChar w:fldCharType="end"/>
      </w:r>
      <w:r>
        <w:fldChar w:fldCharType="end"/>
      </w:r>
    </w:p>
    <w:p w14:paraId="1ADB735E">
      <w:pPr>
        <w:pStyle w:val="21"/>
        <w:tabs>
          <w:tab w:val="right" w:leader="dot" w:pos="9354"/>
          <w:tab w:val="clear" w:pos="9344"/>
        </w:tabs>
      </w:pPr>
      <w:r>
        <w:fldChar w:fldCharType="begin"/>
      </w:r>
      <w:r>
        <w:instrText xml:space="preserve"> HYPERLINK \l "_Toc5214" </w:instrText>
      </w:r>
      <w:r>
        <w:fldChar w:fldCharType="separate"/>
      </w:r>
      <w:r>
        <w:rPr>
          <w:rFonts w:hint="eastAsia" w:ascii="黑体" w:eastAsia="黑体"/>
        </w:rPr>
        <w:t xml:space="preserve">6 </w:t>
      </w:r>
      <w:r>
        <w:rPr>
          <w:rFonts w:hint="eastAsia"/>
        </w:rPr>
        <w:t>试验方法</w:t>
      </w:r>
      <w:r>
        <w:tab/>
      </w:r>
      <w:r>
        <w:fldChar w:fldCharType="begin"/>
      </w:r>
      <w:r>
        <w:instrText xml:space="preserve"> PAGEREF _Toc5214 \h </w:instrText>
      </w:r>
      <w:r>
        <w:fldChar w:fldCharType="separate"/>
      </w:r>
      <w:r>
        <w:t>13</w:t>
      </w:r>
      <w:r>
        <w:fldChar w:fldCharType="end"/>
      </w:r>
      <w:r>
        <w:fldChar w:fldCharType="end"/>
      </w:r>
    </w:p>
    <w:p w14:paraId="6FE59CD6">
      <w:pPr>
        <w:pStyle w:val="26"/>
        <w:tabs>
          <w:tab w:val="right" w:leader="dot" w:pos="9354"/>
          <w:tab w:val="clear" w:pos="9344"/>
        </w:tabs>
      </w:pPr>
    </w:p>
    <w:p w14:paraId="02EEC87B">
      <w:pPr>
        <w:pStyle w:val="93"/>
        <w:spacing w:after="360"/>
        <w:jc w:val="both"/>
        <w:sectPr>
          <w:headerReference r:id="rId9" w:type="default"/>
          <w:footerReference r:id="rId11" w:type="default"/>
          <w:headerReference r:id="rId10" w:type="even"/>
          <w:footerReference r:id="rId12" w:type="even"/>
          <w:pgSz w:w="11906" w:h="16838"/>
          <w:pgMar w:top="1928" w:right="1134" w:bottom="1134" w:left="1134" w:header="1418" w:footer="1134" w:gutter="284"/>
          <w:pgNumType w:fmt="upperRoman" w:start="1"/>
          <w:cols w:space="425" w:num="1"/>
          <w:formProt w:val="0"/>
          <w:docGrid w:linePitch="312" w:charSpace="0"/>
        </w:sectPr>
      </w:pPr>
      <w:r>
        <w:fldChar w:fldCharType="end"/>
      </w:r>
    </w:p>
    <w:bookmarkEnd w:id="19"/>
    <w:p w14:paraId="6B0EA6C0">
      <w:pPr>
        <w:pStyle w:val="91"/>
        <w:spacing w:before="900" w:after="360"/>
        <w:ind w:left="0" w:firstLine="0"/>
      </w:pPr>
      <w:bookmarkStart w:id="20" w:name="_Toc4375"/>
      <w:bookmarkStart w:id="21" w:name="BookMark2"/>
      <w:r>
        <w:rPr>
          <w:spacing w:val="320"/>
        </w:rPr>
        <w:t>前</w:t>
      </w:r>
      <w:r>
        <w:t>言</w:t>
      </w:r>
      <w:bookmarkEnd w:id="20"/>
    </w:p>
    <w:p w14:paraId="2C1FFFA6">
      <w:pPr>
        <w:pStyle w:val="58"/>
        <w:ind w:firstLine="420"/>
      </w:pPr>
      <w:r>
        <w:rPr>
          <w:rFonts w:hint="eastAsia"/>
        </w:rPr>
        <w:t>本文件按照GB/T 1.1—2020《标准化工作导则  第1部分：标准化文件的结构和起草规则》的规定起草。</w:t>
      </w:r>
    </w:p>
    <w:p w14:paraId="629F4C5C">
      <w:pPr>
        <w:pStyle w:val="58"/>
        <w:ind w:firstLine="420"/>
      </w:pPr>
      <w:r>
        <w:rPr>
          <w:rFonts w:hint="eastAsia"/>
        </w:rPr>
        <w:t>请注意本文件的某些内容可能涉及专利。本文件的发布机构不承担识别专利的责任。</w:t>
      </w:r>
    </w:p>
    <w:p w14:paraId="14414316">
      <w:pPr>
        <w:pStyle w:val="58"/>
        <w:ind w:firstLine="420"/>
      </w:pPr>
      <w:r>
        <w:rPr>
          <w:rFonts w:hint="eastAsia"/>
        </w:rPr>
        <w:t>本文件由中国汽车工业协会提出并归口。</w:t>
      </w:r>
    </w:p>
    <w:p w14:paraId="26B7586B">
      <w:pPr>
        <w:pStyle w:val="58"/>
        <w:ind w:firstLine="420"/>
      </w:pPr>
      <w:r>
        <w:rPr>
          <w:rFonts w:hint="eastAsia"/>
        </w:rPr>
        <w:t>本文件起草单位：</w:t>
      </w:r>
      <w:r>
        <w:t xml:space="preserve"> </w:t>
      </w:r>
    </w:p>
    <w:p w14:paraId="62C7C7E7">
      <w:pPr>
        <w:pStyle w:val="58"/>
        <w:ind w:firstLine="420"/>
      </w:pPr>
      <w:r>
        <w:rPr>
          <w:rFonts w:hint="eastAsia"/>
        </w:rPr>
        <w:t>本文件主要起草人：</w:t>
      </w:r>
      <w:r>
        <w:t xml:space="preserve"> </w:t>
      </w:r>
    </w:p>
    <w:p w14:paraId="254CCA40">
      <w:pPr>
        <w:pStyle w:val="58"/>
        <w:ind w:firstLine="0" w:firstLineChars="0"/>
      </w:pPr>
    </w:p>
    <w:p w14:paraId="190D8ED4">
      <w:pPr>
        <w:pStyle w:val="58"/>
        <w:ind w:firstLine="420"/>
        <w:sectPr>
          <w:headerReference r:id="rId13" w:type="default"/>
          <w:footerReference r:id="rId15" w:type="default"/>
          <w:headerReference r:id="rId14" w:type="even"/>
          <w:footerReference r:id="rId16" w:type="even"/>
          <w:pgSz w:w="11906" w:h="16838"/>
          <w:pgMar w:top="1928" w:right="1134" w:bottom="1134" w:left="1134" w:header="1418" w:footer="1134" w:gutter="284"/>
          <w:pgNumType w:fmt="upperRoman"/>
          <w:cols w:space="425" w:num="1"/>
          <w:formProt w:val="0"/>
          <w:docGrid w:linePitch="312" w:charSpace="0"/>
        </w:sectPr>
      </w:pPr>
    </w:p>
    <w:bookmarkEnd w:id="21"/>
    <w:p w14:paraId="77220E42">
      <w:pPr>
        <w:spacing w:line="20" w:lineRule="exact"/>
        <w:jc w:val="center"/>
        <w:rPr>
          <w:rFonts w:hint="eastAsia" w:ascii="黑体" w:hAnsi="黑体" w:eastAsia="黑体"/>
          <w:sz w:val="32"/>
          <w:szCs w:val="32"/>
        </w:rPr>
      </w:pPr>
      <w:bookmarkStart w:id="22" w:name="BookMark4"/>
    </w:p>
    <w:p w14:paraId="7089EDAA">
      <w:pPr>
        <w:spacing w:line="20" w:lineRule="exact"/>
        <w:jc w:val="center"/>
        <w:rPr>
          <w:rFonts w:hint="eastAsia" w:ascii="黑体" w:hAnsi="黑体" w:eastAsia="黑体"/>
          <w:sz w:val="32"/>
          <w:szCs w:val="32"/>
        </w:rPr>
      </w:pPr>
    </w:p>
    <w:sdt>
      <w:sdtPr>
        <w:tag w:val="NEW_STAND_NAME"/>
        <w:id w:val="595910757"/>
        <w:lock w:val="sdtLocked"/>
        <w:placeholder>
          <w:docPart w:val="3FB2B3BD321441268821A001E40BDF0A"/>
        </w:placeholder>
      </w:sdtPr>
      <w:sdtEndPr>
        <w:rPr>
          <w:rFonts w:hint="eastAsia"/>
        </w:rPr>
      </w:sdtEndPr>
      <w:sdtContent>
        <w:p w14:paraId="766F7DFA">
          <w:pPr>
            <w:pStyle w:val="179"/>
            <w:spacing w:before="436" w:beforeLines="182" w:after="528" w:afterLines="220"/>
            <w:rPr>
              <w:rFonts w:hint="eastAsia"/>
            </w:rPr>
          </w:pPr>
          <w:bookmarkStart w:id="23" w:name="NEW_STAND_NAME"/>
          <w:r>
            <w:rPr>
              <w:rFonts w:hint="eastAsia" w:cs="黑体"/>
            </w:rPr>
            <w:t>纯电动客车用电源管理芯片技术要求及试验方法</w:t>
          </w:r>
        </w:p>
      </w:sdtContent>
    </w:sdt>
    <w:bookmarkEnd w:id="23"/>
    <w:p w14:paraId="2E40DD54">
      <w:pPr>
        <w:pStyle w:val="106"/>
        <w:spacing w:before="240" w:after="240"/>
      </w:pPr>
      <w:bookmarkStart w:id="24" w:name="_Toc26648465"/>
      <w:bookmarkStart w:id="25" w:name="_Toc26986771"/>
      <w:bookmarkStart w:id="26" w:name="_Toc26986530"/>
      <w:bookmarkStart w:id="27" w:name="_Toc17233325"/>
      <w:bookmarkStart w:id="28" w:name="_Toc26718930"/>
      <w:bookmarkStart w:id="29" w:name="_Toc17233333"/>
      <w:bookmarkStart w:id="30" w:name="_Toc24884218"/>
      <w:bookmarkStart w:id="31" w:name="_Toc3486"/>
      <w:bookmarkStart w:id="32" w:name="_Toc97192964"/>
      <w:bookmarkStart w:id="33" w:name="_Toc24884211"/>
      <w:r>
        <w:rPr>
          <w:rFonts w:hint="eastAsia"/>
        </w:rPr>
        <w:t>范围</w:t>
      </w:r>
      <w:bookmarkEnd w:id="24"/>
      <w:bookmarkEnd w:id="25"/>
      <w:bookmarkEnd w:id="26"/>
      <w:bookmarkEnd w:id="27"/>
      <w:bookmarkEnd w:id="28"/>
      <w:bookmarkEnd w:id="29"/>
      <w:bookmarkEnd w:id="30"/>
      <w:bookmarkEnd w:id="31"/>
      <w:bookmarkEnd w:id="32"/>
      <w:bookmarkEnd w:id="33"/>
    </w:p>
    <w:p w14:paraId="09779C96">
      <w:pPr>
        <w:pStyle w:val="58"/>
        <w:ind w:firstLine="420"/>
      </w:pPr>
      <w:bookmarkStart w:id="34" w:name="_Toc26648466"/>
      <w:bookmarkStart w:id="35" w:name="_Toc24884219"/>
      <w:bookmarkStart w:id="36" w:name="_Toc17233334"/>
      <w:bookmarkStart w:id="37" w:name="_Toc17233326"/>
      <w:bookmarkStart w:id="38" w:name="_Toc24884212"/>
      <w:r>
        <w:rPr>
          <w:rFonts w:hint="eastAsia"/>
        </w:rPr>
        <w:t>本文件规定了纯电动客车电源管理芯片的功能、性能、可靠性、电磁兼容、功能安全技术要求和试验方法。</w:t>
      </w:r>
    </w:p>
    <w:p w14:paraId="4CBEDB64">
      <w:pPr>
        <w:pStyle w:val="58"/>
        <w:ind w:firstLine="420"/>
      </w:pPr>
      <w:r>
        <w:rPr>
          <w:rFonts w:hint="eastAsia"/>
        </w:rPr>
        <w:t>本文件适用于纯电动客车用电源管理芯片。</w:t>
      </w:r>
    </w:p>
    <w:p w14:paraId="50F36E4F">
      <w:pPr>
        <w:pStyle w:val="106"/>
        <w:spacing w:before="240" w:after="240"/>
      </w:pPr>
      <w:bookmarkStart w:id="39" w:name="_Toc26986531"/>
      <w:bookmarkStart w:id="40" w:name="_Toc97192965"/>
      <w:bookmarkStart w:id="41" w:name="_Toc26504"/>
      <w:bookmarkStart w:id="42" w:name="_Toc26986772"/>
      <w:bookmarkStart w:id="43" w:name="_Toc26718931"/>
      <w:r>
        <w:rPr>
          <w:rFonts w:hint="eastAsia"/>
        </w:rPr>
        <w:t>规范性引用文件</w:t>
      </w:r>
      <w:bookmarkEnd w:id="34"/>
      <w:bookmarkEnd w:id="35"/>
      <w:bookmarkEnd w:id="36"/>
      <w:bookmarkEnd w:id="37"/>
      <w:bookmarkEnd w:id="38"/>
      <w:bookmarkEnd w:id="39"/>
      <w:bookmarkEnd w:id="40"/>
      <w:bookmarkEnd w:id="41"/>
      <w:bookmarkEnd w:id="42"/>
      <w:bookmarkEnd w:id="43"/>
    </w:p>
    <w:sdt>
      <w:sdtPr>
        <w:rPr>
          <w:rFonts w:hint="eastAsia"/>
        </w:rPr>
        <w:id w:val="715848253"/>
        <w:placeholder>
          <w:docPart w:val="EAC25B1303F84788A1F4AF6E6349250A"/>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14:paraId="25DBA484">
          <w:pPr>
            <w:pStyle w:val="58"/>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14:paraId="7D5E210A">
      <w:pPr>
        <w:pStyle w:val="58"/>
        <w:ind w:firstLine="420"/>
        <w:rPr>
          <w:rFonts w:hint="eastAsia" w:ascii="Times New Roman" w:hAnsi="宋体" w:eastAsia="宋体" w:cs="宋体"/>
          <w:kern w:val="2"/>
          <w:sz w:val="21"/>
          <w:szCs w:val="21"/>
          <w:lang w:val="en-US" w:eastAsia="zh-CN" w:bidi="ar-SA"/>
        </w:rPr>
      </w:pPr>
      <w:r>
        <w:rPr>
          <w:rFonts w:hint="eastAsia" w:ascii="Times New Roman" w:hAnsi="宋体" w:eastAsia="宋体" w:cs="宋体"/>
          <w:kern w:val="2"/>
          <w:sz w:val="21"/>
          <w:szCs w:val="21"/>
          <w:lang w:val="en-US" w:eastAsia="zh-CN" w:bidi="ar-SA"/>
        </w:rPr>
        <w:t>GB/T 4937.4—2012  半导体器件 机械和气候试验方法 第4部分：强加速稳态湿热试验（HAST）</w:t>
      </w:r>
    </w:p>
    <w:p w14:paraId="1F267D70">
      <w:pPr>
        <w:pStyle w:val="58"/>
        <w:ind w:firstLine="420"/>
        <w:rPr>
          <w:rFonts w:hint="eastAsia" w:ascii="Times New Roman" w:hAnsi="宋体" w:eastAsia="宋体" w:cs="宋体"/>
          <w:kern w:val="2"/>
          <w:sz w:val="21"/>
          <w:szCs w:val="21"/>
          <w:lang w:val="en-US" w:eastAsia="zh-CN" w:bidi="ar-SA"/>
        </w:rPr>
      </w:pPr>
      <w:r>
        <w:rPr>
          <w:rFonts w:hint="eastAsia" w:ascii="Times New Roman" w:hAnsi="宋体" w:eastAsia="宋体" w:cs="宋体"/>
          <w:kern w:val="2"/>
          <w:sz w:val="21"/>
          <w:szCs w:val="21"/>
          <w:lang w:val="en-US" w:eastAsia="zh-CN" w:bidi="ar-SA"/>
        </w:rPr>
        <w:t>GB/T 4937.26  半导体器件 机械和气候试验方法 第26部分：静电放电（ESD）敏感度测试 人体模型（HBM）</w:t>
      </w:r>
    </w:p>
    <w:p w14:paraId="3910A781">
      <w:pPr>
        <w:pStyle w:val="58"/>
        <w:keepNext w:val="0"/>
        <w:keepLines w:val="0"/>
        <w:pageBreakBefore w:val="0"/>
        <w:widowControl/>
        <w:kinsoku/>
        <w:wordWrap/>
        <w:overflowPunct/>
        <w:topLinePunct w:val="0"/>
        <w:autoSpaceDE w:val="0"/>
        <w:autoSpaceDN w:val="0"/>
        <w:bidi w:val="0"/>
        <w:adjustRightInd w:val="0"/>
        <w:snapToGrid w:val="0"/>
        <w:ind w:firstLine="420"/>
        <w:textAlignment w:val="auto"/>
        <w:rPr>
          <w:rFonts w:hint="eastAsia" w:ascii="Times New Roman" w:hAnsi="宋体" w:eastAsia="宋体" w:cs="宋体"/>
          <w:kern w:val="2"/>
          <w:sz w:val="21"/>
          <w:szCs w:val="21"/>
          <w:lang w:val="en-US" w:eastAsia="zh-CN" w:bidi="ar-SA"/>
        </w:rPr>
      </w:pPr>
      <w:r>
        <w:rPr>
          <w:rFonts w:hint="eastAsia" w:ascii="Times New Roman" w:hAnsi="宋体" w:eastAsia="宋体" w:cs="宋体"/>
          <w:kern w:val="2"/>
          <w:sz w:val="21"/>
          <w:szCs w:val="21"/>
          <w:lang w:val="en-US" w:eastAsia="zh-CN" w:bidi="ar-SA"/>
        </w:rPr>
        <w:t xml:space="preserve">GB/T 4937.38  半导体器件 机械和气候试验方法 第38部分：带存储的半导体器件的软错误试验方法 </w:t>
      </w:r>
    </w:p>
    <w:p w14:paraId="4ABB6D69">
      <w:pPr>
        <w:pStyle w:val="2"/>
        <w:keepNext w:val="0"/>
        <w:keepLines w:val="0"/>
        <w:pageBreakBefore w:val="0"/>
        <w:widowControl w:val="0"/>
        <w:kinsoku/>
        <w:wordWrap/>
        <w:overflowPunct/>
        <w:topLinePunct w:val="0"/>
        <w:autoSpaceDE/>
        <w:autoSpaceDN/>
        <w:bidi w:val="0"/>
        <w:adjustRightInd w:val="0"/>
        <w:snapToGrid w:val="0"/>
        <w:spacing w:line="240" w:lineRule="auto"/>
        <w:ind w:firstLine="420"/>
        <w:textAlignment w:val="auto"/>
        <w:rPr>
          <w:rFonts w:hint="default"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GB/T 9178  集成电路术语</w:t>
      </w:r>
    </w:p>
    <w:p w14:paraId="0CA98589">
      <w:pPr>
        <w:adjustRightInd/>
        <w:spacing w:line="240" w:lineRule="auto"/>
        <w:ind w:firstLine="420" w:firstLineChars="200"/>
        <w:rPr>
          <w:rFonts w:ascii="Times New Roman" w:hAnsi="Times New Roman"/>
          <w:szCs w:val="24"/>
        </w:rPr>
      </w:pPr>
      <w:r>
        <w:rPr>
          <w:rFonts w:hint="eastAsia" w:ascii="Times New Roman" w:hAnsi="Times New Roman"/>
          <w:szCs w:val="24"/>
        </w:rPr>
        <w:t>GB/T 34590.2—2022  道路车辆 功能安全 第2部分：功能安全管理</w:t>
      </w:r>
    </w:p>
    <w:p w14:paraId="5E748E1E">
      <w:pPr>
        <w:adjustRightInd/>
        <w:spacing w:line="240" w:lineRule="auto"/>
        <w:ind w:firstLine="420" w:firstLineChars="200"/>
        <w:rPr>
          <w:rFonts w:ascii="Times New Roman" w:hAnsi="Times New Roman"/>
          <w:szCs w:val="24"/>
        </w:rPr>
      </w:pPr>
      <w:r>
        <w:rPr>
          <w:rFonts w:hint="eastAsia" w:ascii="Times New Roman" w:hAnsi="Times New Roman"/>
          <w:szCs w:val="24"/>
        </w:rPr>
        <w:t>GB/T 34590.4—2022  道路车辆 功能安全 第4部分：产品开发：系统层面</w:t>
      </w:r>
    </w:p>
    <w:p w14:paraId="387CFB54">
      <w:pPr>
        <w:adjustRightInd/>
        <w:spacing w:line="240" w:lineRule="auto"/>
        <w:ind w:firstLine="420" w:firstLineChars="200"/>
        <w:rPr>
          <w:rFonts w:ascii="Times New Roman" w:hAnsi="Times New Roman"/>
          <w:szCs w:val="24"/>
        </w:rPr>
      </w:pPr>
      <w:r>
        <w:rPr>
          <w:rFonts w:hint="eastAsia" w:ascii="Times New Roman" w:hAnsi="Times New Roman"/>
          <w:szCs w:val="24"/>
        </w:rPr>
        <w:t>GB/T 34590.5—2022  道路车辆 功能安全 第5部分：产品开发：硬件层面</w:t>
      </w:r>
    </w:p>
    <w:p w14:paraId="2DC2849B">
      <w:pPr>
        <w:adjustRightInd/>
        <w:spacing w:line="240" w:lineRule="auto"/>
        <w:ind w:firstLine="420" w:firstLineChars="200"/>
        <w:rPr>
          <w:rFonts w:ascii="Times New Roman" w:hAnsi="Times New Roman"/>
          <w:strike w:val="0"/>
          <w:dstrike w:val="0"/>
          <w:szCs w:val="24"/>
          <w:highlight w:val="none"/>
        </w:rPr>
      </w:pPr>
      <w:r>
        <w:rPr>
          <w:rFonts w:hint="eastAsia" w:ascii="Times New Roman" w:hAnsi="Times New Roman"/>
          <w:strike w:val="0"/>
          <w:dstrike w:val="0"/>
          <w:szCs w:val="24"/>
          <w:highlight w:val="none"/>
        </w:rPr>
        <w:t>GB/T 34590.6—2022  道路车辆 功能安全 第6部分：产品开发：软件层面</w:t>
      </w:r>
    </w:p>
    <w:p w14:paraId="1A6605E7">
      <w:pPr>
        <w:adjustRightInd/>
        <w:spacing w:line="240" w:lineRule="auto"/>
        <w:ind w:firstLine="420" w:firstLineChars="200"/>
        <w:rPr>
          <w:rFonts w:ascii="Times New Roman" w:hAnsi="Times New Roman"/>
          <w:szCs w:val="24"/>
        </w:rPr>
      </w:pPr>
      <w:r>
        <w:rPr>
          <w:rFonts w:hint="eastAsia" w:ascii="Times New Roman" w:hAnsi="Times New Roman"/>
          <w:szCs w:val="24"/>
        </w:rPr>
        <w:t>GB/T 34590.7—2022  道路车辆 功能安全 第7部分：生产、运行、报废和维修</w:t>
      </w:r>
    </w:p>
    <w:p w14:paraId="56FD2F5B">
      <w:pPr>
        <w:adjustRightInd/>
        <w:spacing w:line="240" w:lineRule="auto"/>
        <w:ind w:firstLine="420" w:firstLineChars="200"/>
        <w:rPr>
          <w:rFonts w:ascii="Times New Roman" w:hAnsi="Times New Roman"/>
          <w:szCs w:val="24"/>
        </w:rPr>
      </w:pPr>
      <w:r>
        <w:rPr>
          <w:rFonts w:hint="eastAsia" w:ascii="Times New Roman" w:hAnsi="Times New Roman"/>
          <w:szCs w:val="24"/>
        </w:rPr>
        <w:t>GB/T 34590.8—2022  道路车辆 功能安全 第8部分：支持过程</w:t>
      </w:r>
    </w:p>
    <w:p w14:paraId="4A0E97FD">
      <w:pPr>
        <w:adjustRightInd/>
        <w:spacing w:line="240" w:lineRule="auto"/>
        <w:ind w:firstLine="420" w:firstLineChars="200"/>
        <w:rPr>
          <w:rFonts w:ascii="Times New Roman" w:hAnsi="Times New Roman"/>
          <w:szCs w:val="24"/>
        </w:rPr>
      </w:pPr>
      <w:r>
        <w:rPr>
          <w:rFonts w:hint="eastAsia" w:ascii="Times New Roman" w:hAnsi="Times New Roman"/>
          <w:szCs w:val="24"/>
        </w:rPr>
        <w:t>GB/T 34590.9—2022  道路车辆 功能安全 第9部分：以汽车安全完整性等级为导向和以安全为导向的分析</w:t>
      </w:r>
    </w:p>
    <w:p w14:paraId="2CE9AE43">
      <w:pPr>
        <w:adjustRightInd/>
        <w:spacing w:line="240" w:lineRule="auto"/>
        <w:ind w:firstLine="420" w:firstLineChars="200"/>
        <w:rPr>
          <w:rFonts w:hint="eastAsia" w:ascii="Times New Roman" w:hAnsi="Times New Roman"/>
          <w:szCs w:val="24"/>
        </w:rPr>
      </w:pPr>
      <w:r>
        <w:rPr>
          <w:rFonts w:hint="eastAsia" w:ascii="Times New Roman" w:hAnsi="Times New Roman"/>
          <w:szCs w:val="24"/>
        </w:rPr>
        <w:t>GB/T 34590.10—2022  道路车辆 功能安全 第10部分：指南</w:t>
      </w:r>
    </w:p>
    <w:p w14:paraId="4B49972D">
      <w:pPr>
        <w:autoSpaceDE w:val="0"/>
        <w:autoSpaceDN w:val="0"/>
        <w:spacing w:line="240" w:lineRule="auto"/>
        <w:ind w:firstLine="420" w:firstLineChars="200"/>
        <w:jc w:val="both"/>
        <w:rPr>
          <w:rFonts w:hint="eastAsia" w:ascii="Times New Roman" w:hAnsi="Times New Roman" w:eastAsia="宋体" w:cs="Times New Roman"/>
          <w:color w:val="auto"/>
          <w:sz w:val="21"/>
          <w:highlight w:val="none"/>
          <w:lang w:val="en-US" w:eastAsia="zh-CN" w:bidi="ar-SA"/>
        </w:rPr>
      </w:pPr>
      <w:r>
        <w:rPr>
          <w:rFonts w:hint="eastAsia" w:ascii="Times New Roman" w:hAnsi="Times New Roman" w:eastAsia="宋体" w:cs="Times New Roman"/>
          <w:color w:val="auto"/>
          <w:sz w:val="21"/>
          <w:highlight w:val="none"/>
          <w:lang w:val="en-US" w:eastAsia="zh-CN" w:bidi="ar-SA"/>
        </w:rPr>
        <w:t>GB/T 34590.11—2022  道路车辆 功能安全 第11部分：半导体应用指南</w:t>
      </w:r>
    </w:p>
    <w:p w14:paraId="0BBB7651">
      <w:pPr>
        <w:autoSpaceDE w:val="0"/>
        <w:autoSpaceDN w:val="0"/>
        <w:spacing w:line="240" w:lineRule="auto"/>
        <w:ind w:firstLine="420" w:firstLineChars="200"/>
        <w:jc w:val="both"/>
        <w:rPr>
          <w:rFonts w:hint="default" w:ascii="Times New Roman" w:hAnsi="Times New Roman" w:eastAsia="宋体" w:cs="Times New Roman"/>
          <w:color w:val="auto"/>
          <w:sz w:val="21"/>
          <w:highlight w:val="none"/>
          <w:lang w:val="en-US" w:eastAsia="zh-CN" w:bidi="ar-SA"/>
        </w:rPr>
      </w:pPr>
      <w:r>
        <w:rPr>
          <w:rFonts w:hint="eastAsia" w:ascii="Times New Roman" w:hAnsi="Times New Roman" w:eastAsia="宋体" w:cs="Times New Roman"/>
          <w:color w:val="auto"/>
          <w:sz w:val="21"/>
          <w:highlight w:val="none"/>
          <w:lang w:val="en-US" w:eastAsia="zh-CN" w:bidi="ar-SA"/>
        </w:rPr>
        <w:t>GB/T 36479—2018</w:t>
      </w:r>
      <w:r>
        <w:rPr>
          <w:rFonts w:hint="eastAsia" w:ascii="Times New Roman" w:hAnsi="Times New Roman" w:cs="Times New Roman"/>
          <w:color w:val="auto"/>
          <w:sz w:val="21"/>
          <w:highlight w:val="none"/>
          <w:lang w:val="en-US" w:eastAsia="zh-CN" w:bidi="ar-SA"/>
        </w:rPr>
        <w:t xml:space="preserve">  集成电路 焊柱阵列试验方法</w:t>
      </w:r>
    </w:p>
    <w:p w14:paraId="2201F65C">
      <w:pPr>
        <w:autoSpaceDE w:val="0"/>
        <w:autoSpaceDN w:val="0"/>
        <w:spacing w:line="240" w:lineRule="auto"/>
        <w:ind w:firstLine="420" w:firstLineChars="200"/>
        <w:jc w:val="both"/>
        <w:rPr>
          <w:rFonts w:hint="default" w:ascii="Times New Roman" w:hAnsi="Times New Roman" w:eastAsia="宋体" w:cs="Times New Roman"/>
          <w:color w:val="auto"/>
          <w:sz w:val="21"/>
          <w:highlight w:val="none"/>
          <w:lang w:val="en-US" w:eastAsia="zh-CN" w:bidi="ar-SA"/>
        </w:rPr>
      </w:pPr>
      <w:r>
        <w:rPr>
          <w:rFonts w:hint="default" w:ascii="Times New Roman" w:hAnsi="Times New Roman" w:eastAsia="宋体" w:cs="Times New Roman"/>
          <w:color w:val="auto"/>
          <w:sz w:val="21"/>
          <w:highlight w:val="none"/>
          <w:lang w:val="en-US" w:eastAsia="zh-CN" w:bidi="ar-SA"/>
        </w:rPr>
        <w:t>GB/T 42968.1—2023  集成电路 电磁抗扰度测量 第1部分：通用条件和定义</w:t>
      </w:r>
    </w:p>
    <w:p w14:paraId="4054EB9B">
      <w:pPr>
        <w:autoSpaceDE w:val="0"/>
        <w:autoSpaceDN w:val="0"/>
        <w:spacing w:line="240" w:lineRule="auto"/>
        <w:ind w:firstLine="420" w:firstLineChars="200"/>
        <w:jc w:val="both"/>
        <w:rPr>
          <w:rFonts w:hint="default" w:ascii="Times New Roman" w:hAnsi="Times New Roman" w:eastAsia="宋体" w:cs="Times New Roman"/>
          <w:color w:val="auto"/>
          <w:sz w:val="21"/>
          <w:highlight w:val="none"/>
          <w:lang w:val="en-US" w:eastAsia="zh-CN" w:bidi="ar-SA"/>
        </w:rPr>
      </w:pPr>
      <w:r>
        <w:rPr>
          <w:rFonts w:hint="default" w:ascii="Times New Roman" w:hAnsi="Times New Roman" w:eastAsia="宋体" w:cs="Times New Roman"/>
          <w:color w:val="auto"/>
          <w:sz w:val="21"/>
          <w:highlight w:val="none"/>
          <w:lang w:val="en-US" w:eastAsia="zh-CN" w:bidi="ar-SA"/>
        </w:rPr>
        <w:t>GB/T 44937.1—2025  集成电路 电磁发射测量 第1部分：通用条件和定义</w:t>
      </w:r>
    </w:p>
    <w:p w14:paraId="1BCF02A7">
      <w:pPr>
        <w:autoSpaceDE w:val="0"/>
        <w:autoSpaceDN w:val="0"/>
        <w:spacing w:line="240" w:lineRule="auto"/>
        <w:ind w:firstLine="420" w:firstLineChars="200"/>
        <w:rPr>
          <w:rFonts w:hint="default" w:ascii="Times New Roman" w:hAnsi="Times New Roman" w:cs="Times New Roman"/>
          <w:highlight w:val="none"/>
        </w:rPr>
      </w:pPr>
      <w:r>
        <w:rPr>
          <w:rFonts w:hint="default" w:ascii="Times New Roman" w:hAnsi="Times New Roman" w:cs="Times New Roman"/>
          <w:highlight w:val="none"/>
        </w:rPr>
        <w:t xml:space="preserve">GB/T </w:t>
      </w:r>
      <w:r>
        <w:rPr>
          <w:rFonts w:hint="default" w:ascii="Times New Roman" w:hAnsi="Times New Roman" w:cs="Times New Roman"/>
          <w:highlight w:val="none"/>
          <w:lang w:val="en-US" w:eastAsia="zh-CN"/>
        </w:rPr>
        <w:t>46894</w:t>
      </w:r>
      <w:r>
        <w:rPr>
          <w:rFonts w:hint="default" w:ascii="Times New Roman" w:hAnsi="Times New Roman" w:cs="Times New Roman"/>
          <w:szCs w:val="24"/>
          <w:highlight w:val="none"/>
        </w:rPr>
        <w:t>—202</w:t>
      </w:r>
      <w:r>
        <w:rPr>
          <w:rFonts w:hint="default" w:ascii="Times New Roman" w:hAnsi="Times New Roman" w:cs="Times New Roman"/>
          <w:szCs w:val="24"/>
          <w:highlight w:val="none"/>
          <w:lang w:val="en-US" w:eastAsia="zh-CN"/>
        </w:rPr>
        <w:t>5</w:t>
      </w:r>
      <w:r>
        <w:rPr>
          <w:rFonts w:hint="default" w:ascii="Times New Roman" w:hAnsi="Times New Roman" w:cs="Times New Roman"/>
          <w:highlight w:val="none"/>
        </w:rPr>
        <w:t xml:space="preserve">  车辆集成电路电磁兼容试验通用规范</w:t>
      </w:r>
    </w:p>
    <w:p w14:paraId="6FA590FD">
      <w:pPr>
        <w:pStyle w:val="58"/>
        <w:ind w:firstLine="420"/>
      </w:pPr>
      <w:r>
        <w:rPr>
          <w:rFonts w:hint="eastAsia" w:ascii="Times New Roman"/>
        </w:rPr>
        <w:t>IEC 60749-3 半导体器件 机械和气候试验方法 第3部分 外观检查（Semiconductor devices - Mechanical and climatic test methods - Part 3: External visual examination）</w:t>
      </w:r>
    </w:p>
    <w:p w14:paraId="3DB82F53">
      <w:pPr>
        <w:pStyle w:val="106"/>
        <w:spacing w:before="240" w:after="240"/>
      </w:pPr>
      <w:bookmarkStart w:id="44" w:name="_Toc97192966"/>
      <w:bookmarkStart w:id="45" w:name="_Toc1399"/>
      <w:r>
        <w:rPr>
          <w:rFonts w:hint="eastAsia"/>
          <w:szCs w:val="21"/>
        </w:rPr>
        <w:t>术语和定义</w:t>
      </w:r>
      <w:bookmarkEnd w:id="44"/>
      <w:bookmarkEnd w:id="45"/>
    </w:p>
    <w:sdt>
      <w:sdtPr>
        <w:id w:val="-1909835108"/>
        <w:placeholder>
          <w:docPart w:val="87BC8227F5214B2DA775314FC650F449"/>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14:paraId="5DFC4EE7">
          <w:pPr>
            <w:pStyle w:val="58"/>
            <w:ind w:firstLine="420"/>
          </w:pPr>
          <w:bookmarkStart w:id="46" w:name="_Toc26986532"/>
          <w:bookmarkEnd w:id="46"/>
          <w:r>
            <w:rPr>
              <w:rFonts w:hint="eastAsia" w:ascii="Times New Roman"/>
            </w:rPr>
            <w:t>GB/T 9178</w:t>
          </w:r>
          <w:r>
            <w:rPr>
              <w:rFonts w:hint="eastAsia"/>
            </w:rPr>
            <w:t>界定的以及下列术语和定义适用于本文件</w:t>
          </w:r>
        </w:p>
      </w:sdtContent>
    </w:sdt>
    <w:p w14:paraId="336BE642">
      <w:pPr>
        <w:pStyle w:val="225"/>
        <w:spacing w:before="120" w:beforeLines="50" w:after="120" w:afterLines="50"/>
        <w:ind w:left="420" w:hanging="420" w:hangingChars="200"/>
        <w:rPr>
          <w:rFonts w:hint="eastAsia" w:ascii="黑体" w:hAnsi="黑体" w:eastAsia="黑体"/>
        </w:rPr>
      </w:pPr>
    </w:p>
    <w:p w14:paraId="4D6D52DC">
      <w:pPr>
        <w:pStyle w:val="225"/>
        <w:numPr>
          <w:ilvl w:val="0"/>
          <w:numId w:val="0"/>
        </w:numPr>
        <w:ind w:firstLine="420" w:firstLineChars="200"/>
        <w:rPr>
          <w:rFonts w:hint="eastAsia" w:ascii="黑体" w:hAnsi="黑体" w:eastAsia="黑体"/>
          <w:highlight w:val="none"/>
        </w:rPr>
      </w:pPr>
      <w:r>
        <w:rPr>
          <w:rFonts w:hint="eastAsia" w:ascii="黑体" w:hAnsi="黑体" w:eastAsia="黑体"/>
          <w:highlight w:val="none"/>
        </w:rPr>
        <w:t>电源管理芯片  power management chip</w:t>
      </w:r>
    </w:p>
    <w:p w14:paraId="76109670">
      <w:pPr>
        <w:pStyle w:val="225"/>
        <w:numPr>
          <w:ilvl w:val="0"/>
          <w:numId w:val="0"/>
        </w:numPr>
        <w:ind w:firstLine="420" w:firstLineChars="200"/>
        <w:rPr>
          <w:highlight w:val="none"/>
          <w:lang w:bidi="ar"/>
        </w:rPr>
      </w:pPr>
      <w:r>
        <w:rPr>
          <w:rFonts w:hint="eastAsia"/>
          <w:highlight w:val="none"/>
          <w:lang w:bidi="ar"/>
        </w:rPr>
        <w:t>能够将一个电压值的电能转换成另外一个电压值的电能的非隔离芯片，用于各类汽车电子模块中，将外部电能转换合适电压为模块中各种电子设备提供电能。</w:t>
      </w:r>
    </w:p>
    <w:p w14:paraId="756842B1">
      <w:pPr>
        <w:pStyle w:val="225"/>
        <w:spacing w:before="120" w:beforeLines="50" w:after="120" w:afterLines="50"/>
        <w:ind w:left="420" w:hanging="420" w:hangingChars="200"/>
        <w:rPr>
          <w:rFonts w:hint="eastAsia" w:ascii="黑体" w:hAnsi="黑体" w:eastAsia="黑体"/>
          <w:highlight w:val="none"/>
        </w:rPr>
      </w:pPr>
    </w:p>
    <w:p w14:paraId="3BD371D1">
      <w:pPr>
        <w:pStyle w:val="225"/>
        <w:numPr>
          <w:ilvl w:val="0"/>
          <w:numId w:val="0"/>
        </w:numPr>
        <w:ind w:left="420"/>
        <w:rPr>
          <w:rFonts w:hint="eastAsia" w:ascii="黑体" w:hAnsi="黑体" w:eastAsia="黑体"/>
          <w:highlight w:val="none"/>
        </w:rPr>
      </w:pPr>
      <w:r>
        <w:rPr>
          <w:rFonts w:hint="eastAsia" w:ascii="黑体" w:hAnsi="黑体" w:eastAsia="黑体"/>
          <w:highlight w:val="none"/>
        </w:rPr>
        <w:t>过冲幅度   Overshoot Amplitude</w:t>
      </w:r>
    </w:p>
    <w:p w14:paraId="39C23FF5">
      <w:pPr>
        <w:pStyle w:val="225"/>
        <w:numPr>
          <w:ilvl w:val="0"/>
          <w:numId w:val="0"/>
        </w:numPr>
        <w:ind w:firstLine="420" w:firstLineChars="200"/>
        <w:rPr>
          <w:highlight w:val="none"/>
          <w:lang w:bidi="ar"/>
        </w:rPr>
      </w:pPr>
      <w:r>
        <w:rPr>
          <w:rFonts w:hint="eastAsia"/>
          <w:highlight w:val="none"/>
          <w:lang w:bidi="ar"/>
        </w:rPr>
        <w:t>电源管理芯片在启动、关闭或负载瞬变过程中，输出电压（或电流）瞬时超过目标稳定值的最大偏差量。</w:t>
      </w:r>
    </w:p>
    <w:p w14:paraId="6C1C7C75">
      <w:pPr>
        <w:pStyle w:val="225"/>
        <w:spacing w:before="120" w:beforeLines="50" w:after="120" w:afterLines="50"/>
        <w:ind w:left="420" w:hanging="420" w:hangingChars="200"/>
        <w:rPr>
          <w:rFonts w:hint="eastAsia" w:ascii="黑体" w:hAnsi="黑体" w:eastAsia="黑体"/>
          <w:highlight w:val="none"/>
        </w:rPr>
      </w:pPr>
    </w:p>
    <w:p w14:paraId="6540866D">
      <w:pPr>
        <w:pStyle w:val="225"/>
        <w:numPr>
          <w:ilvl w:val="0"/>
          <w:numId w:val="0"/>
        </w:numPr>
        <w:ind w:left="420"/>
        <w:rPr>
          <w:rFonts w:hint="eastAsia" w:ascii="黑体" w:hAnsi="黑体" w:eastAsia="黑体"/>
          <w:highlight w:val="none"/>
        </w:rPr>
      </w:pPr>
      <w:bookmarkStart w:id="47" w:name="_Toc6675"/>
      <w:r>
        <w:rPr>
          <w:rFonts w:hint="eastAsia" w:ascii="黑体" w:hAnsi="黑体" w:eastAsia="黑体"/>
          <w:highlight w:val="none"/>
          <w:lang w:val="en-US" w:eastAsia="zh-CN"/>
        </w:rPr>
        <w:t>负载</w:t>
      </w:r>
      <w:r>
        <w:rPr>
          <w:rFonts w:hint="eastAsia" w:ascii="黑体" w:hAnsi="黑体" w:eastAsia="黑体"/>
          <w:highlight w:val="none"/>
        </w:rPr>
        <w:t>调整率 Load Regulation</w:t>
      </w:r>
    </w:p>
    <w:p w14:paraId="60816218">
      <w:pPr>
        <w:pStyle w:val="225"/>
        <w:numPr>
          <w:ilvl w:val="0"/>
          <w:numId w:val="0"/>
        </w:numPr>
        <w:ind w:firstLine="420" w:firstLineChars="200"/>
        <w:rPr>
          <w:rFonts w:hint="eastAsia" w:eastAsia="宋体"/>
          <w:highlight w:val="none"/>
          <w:lang w:eastAsia="zh-CN" w:bidi="ar"/>
        </w:rPr>
      </w:pPr>
      <w:r>
        <w:rPr>
          <w:rFonts w:hint="eastAsia"/>
          <w:highlight w:val="none"/>
          <w:lang w:bidi="ar"/>
        </w:rPr>
        <w:t>在输入电压保持不变的条件下，当负载电流从空载变到满载时，引起的输出电压的相对变化量</w:t>
      </w:r>
      <w:r>
        <w:rPr>
          <w:rFonts w:hint="eastAsia"/>
          <w:highlight w:val="none"/>
          <w:lang w:eastAsia="zh-CN" w:bidi="ar"/>
        </w:rPr>
        <w:t>。</w:t>
      </w:r>
    </w:p>
    <w:p w14:paraId="39B98D37">
      <w:pPr>
        <w:pStyle w:val="225"/>
        <w:spacing w:before="120" w:beforeLines="50" w:after="120" w:afterLines="50"/>
        <w:ind w:left="420" w:hanging="420" w:hangingChars="200"/>
        <w:rPr>
          <w:rFonts w:hint="eastAsia" w:ascii="黑体" w:hAnsi="黑体" w:eastAsia="黑体"/>
          <w:highlight w:val="none"/>
        </w:rPr>
      </w:pPr>
    </w:p>
    <w:p w14:paraId="4ECAA4EA">
      <w:pPr>
        <w:pStyle w:val="225"/>
        <w:numPr>
          <w:ilvl w:val="0"/>
          <w:numId w:val="0"/>
        </w:numPr>
        <w:ind w:left="420"/>
        <w:rPr>
          <w:rFonts w:hint="eastAsia" w:ascii="黑体" w:hAnsi="黑体" w:eastAsia="黑体"/>
          <w:highlight w:val="none"/>
          <w:lang w:val="en-US" w:eastAsia="zh-CN"/>
        </w:rPr>
      </w:pPr>
      <w:r>
        <w:rPr>
          <w:rFonts w:hint="eastAsia" w:ascii="黑体" w:hAnsi="黑体" w:eastAsia="黑体"/>
          <w:highlight w:val="none"/>
          <w:lang w:val="en-US" w:eastAsia="zh-CN"/>
        </w:rPr>
        <w:t xml:space="preserve">过流保护 Over-Current Protection </w:t>
      </w:r>
    </w:p>
    <w:p w14:paraId="68C7196A">
      <w:pPr>
        <w:pStyle w:val="225"/>
        <w:numPr>
          <w:ilvl w:val="0"/>
          <w:numId w:val="0"/>
        </w:numPr>
        <w:ind w:firstLine="420" w:firstLineChars="200"/>
        <w:rPr>
          <w:rFonts w:hint="eastAsia"/>
          <w:highlight w:val="none"/>
          <w:lang w:bidi="ar"/>
        </w:rPr>
      </w:pPr>
      <w:r>
        <w:rPr>
          <w:rFonts w:hint="eastAsia"/>
          <w:highlight w:val="none"/>
          <w:lang w:val="en-US" w:eastAsia="zh-CN" w:bidi="ar"/>
        </w:rPr>
        <w:t>保护电源与/</w:t>
      </w:r>
      <w:r>
        <w:rPr>
          <w:rFonts w:hint="default"/>
          <w:highlight w:val="none"/>
          <w:lang w:val="en-US" w:eastAsia="zh-CN" w:bidi="ar"/>
        </w:rPr>
        <w:t xml:space="preserve">或其连接的设备防止过大的输出电流(包括短路电流)。 </w:t>
      </w:r>
    </w:p>
    <w:p w14:paraId="4E39DB4F">
      <w:pPr>
        <w:pStyle w:val="225"/>
        <w:numPr>
          <w:ilvl w:val="0"/>
          <w:numId w:val="0"/>
        </w:numPr>
        <w:ind w:left="420"/>
        <w:rPr>
          <w:highlight w:val="none"/>
        </w:rPr>
      </w:pPr>
      <w:r>
        <w:rPr>
          <w:rFonts w:hint="default"/>
          <w:sz w:val="18"/>
          <w:szCs w:val="18"/>
          <w:highlight w:val="none"/>
          <w:lang w:val="en-US" w:eastAsia="zh-CN" w:bidi="ar"/>
        </w:rPr>
        <w:t>注:可保护稳定电源以防止无限期过流或有限期过流(即绝对过流保护或有限过流</w:t>
      </w:r>
      <w:r>
        <w:rPr>
          <w:rFonts w:hint="eastAsia"/>
          <w:sz w:val="18"/>
          <w:szCs w:val="18"/>
          <w:highlight w:val="none"/>
          <w:lang w:val="en-US" w:eastAsia="zh-CN" w:bidi="ar"/>
        </w:rPr>
        <w:t>保护）</w:t>
      </w:r>
    </w:p>
    <w:p w14:paraId="3F41354F">
      <w:pPr>
        <w:pStyle w:val="225"/>
        <w:spacing w:before="120" w:beforeLines="50" w:after="120" w:afterLines="50"/>
        <w:ind w:left="420" w:hanging="420" w:hangingChars="200"/>
        <w:rPr>
          <w:rFonts w:hint="eastAsia" w:ascii="黑体" w:hAnsi="黑体" w:eastAsia="黑体"/>
          <w:highlight w:val="none"/>
        </w:rPr>
      </w:pPr>
    </w:p>
    <w:p w14:paraId="7211F081">
      <w:pPr>
        <w:keepNext w:val="0"/>
        <w:keepLines w:val="0"/>
        <w:widowControl/>
        <w:suppressLineNumbers w:val="0"/>
        <w:ind w:firstLine="420" w:firstLineChars="200"/>
        <w:jc w:val="left"/>
        <w:rPr>
          <w:rFonts w:hint="eastAsia" w:ascii="黑体" w:hAnsi="黑体" w:eastAsia="黑体" w:cs="Times New Roman"/>
          <w:kern w:val="0"/>
          <w:sz w:val="21"/>
          <w:szCs w:val="20"/>
          <w:highlight w:val="none"/>
          <w:lang w:val="en-US" w:eastAsia="zh-CN" w:bidi="ar-SA"/>
        </w:rPr>
      </w:pPr>
      <w:r>
        <w:rPr>
          <w:rFonts w:hint="eastAsia" w:ascii="黑体" w:hAnsi="黑体" w:eastAsia="黑体" w:cs="Times New Roman"/>
          <w:kern w:val="0"/>
          <w:sz w:val="21"/>
          <w:szCs w:val="20"/>
          <w:highlight w:val="none"/>
          <w:lang w:val="en-US" w:eastAsia="zh-CN" w:bidi="ar-SA"/>
        </w:rPr>
        <w:t>转换效率</w:t>
      </w:r>
    </w:p>
    <w:p w14:paraId="633FB07E">
      <w:pPr>
        <w:keepNext w:val="0"/>
        <w:keepLines w:val="0"/>
        <w:pageBreakBefore w:val="0"/>
        <w:widowControl/>
        <w:suppressLineNumbers w:val="0"/>
        <w:kinsoku/>
        <w:wordWrap/>
        <w:overflowPunct/>
        <w:topLinePunct w:val="0"/>
        <w:autoSpaceDE/>
        <w:autoSpaceDN/>
        <w:bidi w:val="0"/>
        <w:adjustRightInd w:val="0"/>
        <w:snapToGrid/>
        <w:spacing w:line="240" w:lineRule="auto"/>
        <w:ind w:firstLine="400" w:firstLineChars="200"/>
        <w:jc w:val="left"/>
        <w:textAlignment w:val="auto"/>
        <w:rPr>
          <w:highlight w:val="none"/>
        </w:rPr>
      </w:pPr>
      <w:r>
        <w:rPr>
          <w:rFonts w:hint="eastAsia" w:ascii="宋体" w:hAnsi="宋体" w:eastAsia="宋体" w:cs="宋体"/>
          <w:color w:val="000000"/>
          <w:kern w:val="0"/>
          <w:sz w:val="20"/>
          <w:szCs w:val="20"/>
          <w:highlight w:val="none"/>
          <w:lang w:val="en-US" w:eastAsia="zh-CN" w:bidi="ar"/>
        </w:rPr>
        <w:t>被测芯片的输出功率与输入功率的百分比</w:t>
      </w:r>
      <w:r>
        <w:rPr>
          <w:rFonts w:hint="eastAsia" w:ascii="宋体" w:hAnsi="宋体" w:cs="宋体"/>
          <w:color w:val="000000"/>
          <w:kern w:val="0"/>
          <w:sz w:val="20"/>
          <w:szCs w:val="20"/>
          <w:highlight w:val="none"/>
          <w:lang w:val="en-US" w:eastAsia="zh-CN" w:bidi="ar"/>
        </w:rPr>
        <w:t>。</w:t>
      </w:r>
    </w:p>
    <w:p w14:paraId="697B8AF7">
      <w:pPr>
        <w:pStyle w:val="106"/>
        <w:spacing w:before="240" w:after="240"/>
        <w:rPr>
          <w:highlight w:val="none"/>
        </w:rPr>
      </w:pPr>
      <w:r>
        <w:rPr>
          <w:rFonts w:hint="eastAsia"/>
          <w:highlight w:val="none"/>
        </w:rPr>
        <w:t>符号和缩略语</w:t>
      </w:r>
      <w:bookmarkEnd w:id="47"/>
    </w:p>
    <w:p w14:paraId="438F2602">
      <w:pPr>
        <w:adjustRightInd/>
        <w:spacing w:line="240" w:lineRule="auto"/>
        <w:ind w:firstLine="420" w:firstLineChars="200"/>
        <w:rPr>
          <w:rFonts w:ascii="Times New Roman" w:hAnsi="Times New Roman"/>
          <w:highlight w:val="none"/>
        </w:rPr>
      </w:pPr>
      <w:r>
        <w:rPr>
          <w:rFonts w:ascii="Times New Roman" w:hAnsi="Times New Roman"/>
          <w:highlight w:val="none"/>
        </w:rPr>
        <w:t>下列符号和缩略语适用于本文件。</w:t>
      </w:r>
    </w:p>
    <w:p w14:paraId="76D2326A">
      <w:pPr>
        <w:widowControl/>
        <w:adjustRightInd/>
        <w:spacing w:line="240" w:lineRule="auto"/>
        <w:ind w:firstLine="420" w:firstLineChars="200"/>
        <w:rPr>
          <w:rFonts w:ascii="Times New Roman" w:hAnsi="Times New Roman"/>
          <w:highlight w:val="none"/>
        </w:rPr>
      </w:pPr>
      <w:bookmarkStart w:id="48" w:name="_Toc17344"/>
      <w:r>
        <w:rPr>
          <w:rFonts w:ascii="Times New Roman" w:hAnsi="Times New Roman"/>
          <w:highlight w:val="none"/>
        </w:rPr>
        <w:t>ASIL</w:t>
      </w:r>
      <w:r>
        <w:rPr>
          <w:rFonts w:hint="eastAsia" w:ascii="Times New Roman" w:hAnsi="Times New Roman"/>
          <w:highlight w:val="none"/>
        </w:rPr>
        <w:t>：汽车安全性完整等级（Automotive Safety Integrity Level）</w:t>
      </w:r>
    </w:p>
    <w:p w14:paraId="78E50178">
      <w:pPr>
        <w:widowControl/>
        <w:adjustRightInd/>
        <w:spacing w:line="240" w:lineRule="auto"/>
        <w:ind w:firstLine="420" w:firstLineChars="200"/>
        <w:rPr>
          <w:rFonts w:ascii="Times New Roman" w:hAnsi="Times New Roman"/>
          <w:highlight w:val="none"/>
        </w:rPr>
      </w:pPr>
      <w:r>
        <w:rPr>
          <w:rFonts w:ascii="Times New Roman" w:hAnsi="Times New Roman"/>
          <w:strike/>
          <w:dstrike w:val="0"/>
          <w:highlight w:val="none"/>
        </w:rPr>
        <w:t>CDM：</w:t>
      </w:r>
      <w:r>
        <w:rPr>
          <w:rFonts w:hint="eastAsia" w:ascii="Times New Roman" w:hAnsi="Times New Roman"/>
          <w:strike/>
          <w:dstrike w:val="0"/>
          <w:szCs w:val="24"/>
          <w:highlight w:val="none"/>
        </w:rPr>
        <w:t>静电放电充电器件模型</w:t>
      </w:r>
      <w:r>
        <w:rPr>
          <w:rFonts w:ascii="Times New Roman" w:hAnsi="Times New Roman"/>
          <w:strike/>
          <w:dstrike w:val="0"/>
          <w:highlight w:val="none"/>
        </w:rPr>
        <w:t>（Electrostatic Discharge Charged Device Model）</w:t>
      </w:r>
    </w:p>
    <w:p w14:paraId="04764744">
      <w:pPr>
        <w:widowControl/>
        <w:adjustRightInd/>
        <w:spacing w:line="240" w:lineRule="auto"/>
        <w:ind w:firstLine="420" w:firstLineChars="200"/>
        <w:rPr>
          <w:rFonts w:ascii="Times New Roman" w:hAnsi="Times New Roman"/>
          <w:szCs w:val="24"/>
          <w:highlight w:val="none"/>
        </w:rPr>
      </w:pPr>
      <w:r>
        <w:rPr>
          <w:rFonts w:hint="eastAsia" w:ascii="Times New Roman" w:hAnsi="Times New Roman"/>
          <w:strike/>
          <w:dstrike w:val="0"/>
          <w:szCs w:val="24"/>
          <w:highlight w:val="none"/>
        </w:rPr>
        <w:t>CHAR：特性描述（Characterization）</w:t>
      </w:r>
    </w:p>
    <w:p w14:paraId="4898BA1E">
      <w:pPr>
        <w:widowControl/>
        <w:adjustRightInd/>
        <w:spacing w:line="240" w:lineRule="auto"/>
        <w:ind w:firstLine="420" w:firstLineChars="200"/>
        <w:rPr>
          <w:rFonts w:ascii="Times New Roman" w:hAnsi="Times New Roman"/>
          <w:strike/>
          <w:dstrike w:val="0"/>
          <w:highlight w:val="none"/>
        </w:rPr>
      </w:pPr>
      <w:r>
        <w:rPr>
          <w:rFonts w:ascii="Times New Roman" w:hAnsi="Times New Roman"/>
          <w:strike/>
          <w:dstrike w:val="0"/>
          <w:highlight w:val="none"/>
        </w:rPr>
        <w:t>DFA</w:t>
      </w:r>
      <w:r>
        <w:rPr>
          <w:rFonts w:hint="eastAsia" w:ascii="Times New Roman" w:hAnsi="Times New Roman"/>
          <w:strike/>
          <w:dstrike w:val="0"/>
          <w:highlight w:val="none"/>
        </w:rPr>
        <w:t>：相关失效分析（Dependent Fauilure Analysis）</w:t>
      </w:r>
    </w:p>
    <w:p w14:paraId="2628F681">
      <w:pPr>
        <w:widowControl/>
        <w:adjustRightInd/>
        <w:spacing w:line="240" w:lineRule="auto"/>
        <w:ind w:firstLine="420" w:firstLineChars="200"/>
        <w:rPr>
          <w:rFonts w:ascii="Times New Roman" w:hAnsi="Times New Roman"/>
          <w:szCs w:val="24"/>
          <w:highlight w:val="none"/>
        </w:rPr>
      </w:pPr>
      <w:r>
        <w:rPr>
          <w:rFonts w:ascii="Times New Roman" w:hAnsi="Times New Roman"/>
          <w:strike/>
          <w:dstrike w:val="0"/>
          <w:szCs w:val="24"/>
          <w:highlight w:val="none"/>
        </w:rPr>
        <w:t>DFMEA</w:t>
      </w:r>
      <w:r>
        <w:rPr>
          <w:rFonts w:hint="eastAsia" w:ascii="Times New Roman" w:hAnsi="Times New Roman"/>
          <w:strike/>
          <w:dstrike w:val="0"/>
          <w:szCs w:val="24"/>
          <w:highlight w:val="none"/>
        </w:rPr>
        <w:t>：设计失效模式与效应分析（Design Failure Mode and Effect Analysis）</w:t>
      </w:r>
    </w:p>
    <w:p w14:paraId="0C857208">
      <w:pPr>
        <w:widowControl/>
        <w:adjustRightInd/>
        <w:spacing w:line="240" w:lineRule="auto"/>
        <w:ind w:firstLine="420" w:firstLineChars="200"/>
        <w:rPr>
          <w:rFonts w:ascii="Times New Roman" w:hAnsi="Times New Roman"/>
          <w:strike/>
          <w:dstrike w:val="0"/>
          <w:highlight w:val="none"/>
        </w:rPr>
      </w:pPr>
      <w:r>
        <w:rPr>
          <w:rFonts w:hint="eastAsia" w:ascii="Times New Roman" w:hAnsi="Times New Roman"/>
          <w:strike/>
          <w:dstrike w:val="0"/>
          <w:highlight w:val="none"/>
        </w:rPr>
        <w:t>DMA：直接存储器访问（Direct Memory Access）</w:t>
      </w:r>
    </w:p>
    <w:p w14:paraId="76745519">
      <w:pPr>
        <w:autoSpaceDE w:val="0"/>
        <w:autoSpaceDN w:val="0"/>
        <w:spacing w:line="240" w:lineRule="auto"/>
        <w:ind w:left="420"/>
        <w:rPr>
          <w:rFonts w:ascii="Times New Roman" w:hAnsi="Times New Roman"/>
          <w:strike/>
          <w:dstrike w:val="0"/>
          <w:highlight w:val="none"/>
        </w:rPr>
      </w:pPr>
      <w:r>
        <w:rPr>
          <w:rFonts w:hint="eastAsia" w:ascii="Times New Roman" w:hAnsi="Times New Roman"/>
          <w:strike/>
          <w:dstrike w:val="0"/>
          <w:highlight w:val="none"/>
        </w:rPr>
        <w:t>DNL：</w:t>
      </w:r>
      <w:r>
        <w:rPr>
          <w:rFonts w:ascii="Times New Roman" w:hAnsi="Times New Roman"/>
          <w:strike/>
          <w:dstrike w:val="0"/>
          <w:highlight w:val="none"/>
        </w:rPr>
        <w:t>微分非线性误差（Differential Nonlinearity）</w:t>
      </w:r>
    </w:p>
    <w:p w14:paraId="67F1A920">
      <w:pPr>
        <w:widowControl/>
        <w:adjustRightInd/>
        <w:spacing w:line="240" w:lineRule="auto"/>
        <w:ind w:firstLine="420" w:firstLineChars="200"/>
        <w:rPr>
          <w:rFonts w:ascii="Times New Roman" w:hAnsi="Times New Roman"/>
          <w:szCs w:val="24"/>
          <w:highlight w:val="none"/>
        </w:rPr>
      </w:pPr>
      <w:r>
        <w:rPr>
          <w:rFonts w:hint="eastAsia" w:ascii="Times New Roman" w:hAnsi="Times New Roman"/>
          <w:strike/>
          <w:dstrike w:val="0"/>
          <w:szCs w:val="24"/>
          <w:highlight w:val="none"/>
        </w:rPr>
        <w:t>ED：电参数分布（Electrical Distributions）</w:t>
      </w:r>
    </w:p>
    <w:p w14:paraId="3CF21302">
      <w:pPr>
        <w:widowControl/>
        <w:adjustRightInd/>
        <w:spacing w:line="240" w:lineRule="auto"/>
        <w:ind w:firstLine="420" w:firstLineChars="200"/>
        <w:rPr>
          <w:rFonts w:ascii="Times New Roman" w:hAnsi="Times New Roman"/>
          <w:highlight w:val="none"/>
        </w:rPr>
      </w:pPr>
      <w:r>
        <w:rPr>
          <w:rFonts w:hint="eastAsia" w:ascii="Times New Roman" w:hAnsi="Times New Roman"/>
          <w:strike/>
          <w:dstrike w:val="0"/>
          <w:highlight w:val="none"/>
        </w:rPr>
        <w:t>EEC：评估每个原因（Evaluate each cause）</w:t>
      </w:r>
    </w:p>
    <w:p w14:paraId="2DCFFA29">
      <w:pPr>
        <w:widowControl/>
        <w:adjustRightInd/>
        <w:spacing w:line="240" w:lineRule="auto"/>
        <w:ind w:firstLine="420" w:firstLineChars="200"/>
        <w:rPr>
          <w:rFonts w:ascii="Times New Roman" w:hAnsi="Times New Roman"/>
          <w:strike/>
          <w:dstrike w:val="0"/>
          <w:highlight w:val="none"/>
        </w:rPr>
      </w:pPr>
      <w:r>
        <w:rPr>
          <w:rFonts w:hint="eastAsia" w:ascii="Times New Roman" w:hAnsi="Times New Roman"/>
          <w:strike/>
          <w:dstrike w:val="0"/>
          <w:highlight w:val="none"/>
        </w:rPr>
        <w:t>ELFR：早期失效率（Early Life Failure Rate）</w:t>
      </w:r>
    </w:p>
    <w:p w14:paraId="1EBCC6D8">
      <w:pPr>
        <w:widowControl/>
        <w:adjustRightInd/>
        <w:spacing w:line="240" w:lineRule="auto"/>
        <w:ind w:firstLine="420" w:firstLineChars="200"/>
        <w:rPr>
          <w:rFonts w:ascii="Times New Roman" w:hAnsi="Times New Roman"/>
          <w:strike/>
          <w:dstrike w:val="0"/>
          <w:szCs w:val="24"/>
          <w:highlight w:val="none"/>
        </w:rPr>
      </w:pPr>
      <w:r>
        <w:rPr>
          <w:rFonts w:hint="eastAsia" w:ascii="Times New Roman" w:hAnsi="Times New Roman"/>
          <w:strike/>
          <w:dstrike w:val="0"/>
          <w:szCs w:val="24"/>
          <w:highlight w:val="none"/>
        </w:rPr>
        <w:t>EM：电迁移（</w:t>
      </w:r>
      <w:r>
        <w:rPr>
          <w:rFonts w:ascii="Times New Roman" w:hAnsi="Times New Roman"/>
          <w:strike/>
          <w:dstrike w:val="0"/>
          <w:szCs w:val="24"/>
          <w:highlight w:val="none"/>
        </w:rPr>
        <w:t>Electromigration</w:t>
      </w:r>
      <w:r>
        <w:rPr>
          <w:rFonts w:hint="eastAsia" w:ascii="Times New Roman" w:hAnsi="Times New Roman"/>
          <w:strike/>
          <w:dstrike w:val="0"/>
          <w:szCs w:val="24"/>
          <w:highlight w:val="none"/>
        </w:rPr>
        <w:t>）</w:t>
      </w:r>
    </w:p>
    <w:p w14:paraId="4B251F0A">
      <w:pPr>
        <w:widowControl/>
        <w:adjustRightInd/>
        <w:spacing w:line="240" w:lineRule="auto"/>
        <w:ind w:firstLine="420" w:firstLineChars="200"/>
        <w:rPr>
          <w:rFonts w:ascii="Times New Roman" w:hAnsi="Times New Roman"/>
          <w:strike/>
          <w:dstrike w:val="0"/>
          <w:szCs w:val="24"/>
          <w:highlight w:val="none"/>
        </w:rPr>
      </w:pPr>
      <w:r>
        <w:rPr>
          <w:rFonts w:hint="eastAsia" w:ascii="Times New Roman" w:hAnsi="Times New Roman"/>
          <w:strike/>
          <w:dstrike w:val="0"/>
          <w:szCs w:val="24"/>
          <w:highlight w:val="none"/>
        </w:rPr>
        <w:t>EMC：电磁兼容（Electromagnetic Compatibility）</w:t>
      </w:r>
    </w:p>
    <w:p w14:paraId="6A24A2EA">
      <w:pPr>
        <w:widowControl/>
        <w:adjustRightInd/>
        <w:spacing w:line="240" w:lineRule="auto"/>
        <w:ind w:firstLine="420" w:firstLineChars="200"/>
        <w:rPr>
          <w:rFonts w:ascii="Times New Roman" w:hAnsi="Times New Roman"/>
          <w:strike/>
          <w:dstrike w:val="0"/>
          <w:szCs w:val="24"/>
          <w:highlight w:val="none"/>
        </w:rPr>
      </w:pPr>
      <w:r>
        <w:rPr>
          <w:rFonts w:hint="eastAsia" w:ascii="Times New Roman" w:hAnsi="Times New Roman"/>
          <w:strike/>
          <w:dstrike w:val="0"/>
          <w:szCs w:val="24"/>
          <w:highlight w:val="none"/>
        </w:rPr>
        <w:t>ENOB：有效位数（</w:t>
      </w:r>
      <w:r>
        <w:rPr>
          <w:rFonts w:ascii="Times New Roman" w:hAnsi="Times New Roman"/>
          <w:strike/>
          <w:dstrike w:val="0"/>
          <w:szCs w:val="24"/>
          <w:highlight w:val="none"/>
        </w:rPr>
        <w:t>Effective Number Of Bits</w:t>
      </w:r>
      <w:r>
        <w:rPr>
          <w:rFonts w:hint="eastAsia" w:ascii="Times New Roman" w:hAnsi="Times New Roman"/>
          <w:strike/>
          <w:dstrike w:val="0"/>
          <w:szCs w:val="24"/>
          <w:highlight w:val="none"/>
        </w:rPr>
        <w:t>）</w:t>
      </w:r>
    </w:p>
    <w:p w14:paraId="1A8AD482">
      <w:pPr>
        <w:widowControl/>
        <w:adjustRightInd/>
        <w:spacing w:line="240" w:lineRule="auto"/>
        <w:ind w:firstLine="420" w:firstLineChars="200"/>
        <w:rPr>
          <w:rFonts w:ascii="Times New Roman" w:hAnsi="Times New Roman"/>
          <w:strike/>
          <w:dstrike w:val="0"/>
          <w:szCs w:val="24"/>
          <w:highlight w:val="none"/>
        </w:rPr>
      </w:pPr>
      <w:r>
        <w:rPr>
          <w:rFonts w:hint="eastAsia" w:ascii="Times New Roman" w:hAnsi="Times New Roman"/>
          <w:strike/>
          <w:dstrike w:val="0"/>
          <w:szCs w:val="24"/>
          <w:highlight w:val="none"/>
        </w:rPr>
        <w:t>FEMA：失效模式与效应分析（Failure Mode and Effect Analysis）</w:t>
      </w:r>
    </w:p>
    <w:p w14:paraId="5B074F79">
      <w:pPr>
        <w:widowControl/>
        <w:adjustRightInd/>
        <w:spacing w:line="240" w:lineRule="auto"/>
        <w:ind w:firstLine="420" w:firstLineChars="200"/>
        <w:rPr>
          <w:rFonts w:ascii="Times New Roman" w:hAnsi="Times New Roman"/>
          <w:strike/>
          <w:dstrike w:val="0"/>
          <w:szCs w:val="24"/>
          <w:highlight w:val="none"/>
        </w:rPr>
      </w:pPr>
      <w:r>
        <w:rPr>
          <w:rFonts w:hint="eastAsia" w:ascii="Times New Roman" w:hAnsi="Times New Roman"/>
          <w:strike/>
          <w:dstrike w:val="0"/>
          <w:szCs w:val="24"/>
          <w:highlight w:val="none"/>
        </w:rPr>
        <w:t>FG：故障等级（Fault Grading）</w:t>
      </w:r>
    </w:p>
    <w:p w14:paraId="4280C367">
      <w:pPr>
        <w:autoSpaceDE w:val="0"/>
        <w:autoSpaceDN w:val="0"/>
        <w:spacing w:line="240" w:lineRule="auto"/>
        <w:ind w:left="420"/>
        <w:rPr>
          <w:rFonts w:ascii="Times New Roman" w:hAnsi="Times New Roman"/>
          <w:strike/>
          <w:dstrike w:val="0"/>
          <w:highlight w:val="none"/>
        </w:rPr>
      </w:pPr>
      <w:r>
        <w:rPr>
          <w:rFonts w:ascii="Times New Roman" w:hAnsi="Times New Roman"/>
          <w:i/>
          <w:strike/>
          <w:dstrike w:val="0"/>
          <w:highlight w:val="none"/>
        </w:rPr>
        <w:t>f</w:t>
      </w:r>
      <w:r>
        <w:rPr>
          <w:rFonts w:ascii="Times New Roman" w:hAnsi="Times New Roman"/>
          <w:strike/>
          <w:dstrike w:val="0"/>
          <w:highlight w:val="none"/>
          <w:vertAlign w:val="subscript"/>
        </w:rPr>
        <w:t>max</w:t>
      </w:r>
      <w:r>
        <w:rPr>
          <w:rFonts w:hint="eastAsia" w:ascii="Times New Roman" w:hAnsi="Times New Roman"/>
          <w:strike/>
          <w:dstrike w:val="0"/>
          <w:highlight w:val="none"/>
        </w:rPr>
        <w:t>：</w:t>
      </w:r>
      <w:r>
        <w:rPr>
          <w:rFonts w:ascii="Times New Roman" w:hAnsi="Times New Roman"/>
          <w:strike/>
          <w:dstrike w:val="0"/>
          <w:highlight w:val="none"/>
        </w:rPr>
        <w:t>最高转换速率（Maximum Conversion Rate）</w:t>
      </w:r>
    </w:p>
    <w:p w14:paraId="60D51637">
      <w:pPr>
        <w:autoSpaceDE w:val="0"/>
        <w:autoSpaceDN w:val="0"/>
        <w:spacing w:line="240" w:lineRule="auto"/>
        <w:ind w:left="420"/>
        <w:rPr>
          <w:rFonts w:ascii="Times New Roman" w:hAnsi="Times New Roman"/>
          <w:strike/>
          <w:dstrike w:val="0"/>
          <w:highlight w:val="none"/>
        </w:rPr>
      </w:pPr>
      <w:r>
        <w:rPr>
          <w:rFonts w:ascii="Times New Roman" w:hAnsi="Times New Roman"/>
          <w:i/>
          <w:strike/>
          <w:dstrike w:val="0"/>
          <w:highlight w:val="none"/>
        </w:rPr>
        <w:t>f</w:t>
      </w:r>
      <w:r>
        <w:rPr>
          <w:rFonts w:ascii="Times New Roman" w:hAnsi="Times New Roman"/>
          <w:strike/>
          <w:dstrike w:val="0"/>
          <w:highlight w:val="none"/>
          <w:vertAlign w:val="subscript"/>
        </w:rPr>
        <w:t>m</w:t>
      </w:r>
      <w:r>
        <w:rPr>
          <w:rFonts w:hint="eastAsia" w:ascii="Times New Roman" w:hAnsi="Times New Roman"/>
          <w:strike/>
          <w:dstrike w:val="0"/>
          <w:highlight w:val="none"/>
          <w:vertAlign w:val="subscript"/>
        </w:rPr>
        <w:t>in</w:t>
      </w:r>
      <w:r>
        <w:rPr>
          <w:rFonts w:hint="eastAsia" w:ascii="Times New Roman" w:hAnsi="Times New Roman"/>
          <w:strike/>
          <w:dstrike w:val="0"/>
          <w:highlight w:val="none"/>
        </w:rPr>
        <w:t>：</w:t>
      </w:r>
      <w:r>
        <w:rPr>
          <w:rFonts w:ascii="Times New Roman" w:hAnsi="Times New Roman"/>
          <w:strike/>
          <w:dstrike w:val="0"/>
          <w:highlight w:val="none"/>
        </w:rPr>
        <w:t>最</w:t>
      </w:r>
      <w:r>
        <w:rPr>
          <w:rFonts w:hint="eastAsia" w:ascii="Times New Roman" w:hAnsi="Times New Roman"/>
          <w:strike/>
          <w:dstrike w:val="0"/>
          <w:highlight w:val="none"/>
        </w:rPr>
        <w:t>低</w:t>
      </w:r>
      <w:r>
        <w:rPr>
          <w:rFonts w:ascii="Times New Roman" w:hAnsi="Times New Roman"/>
          <w:strike/>
          <w:dstrike w:val="0"/>
          <w:highlight w:val="none"/>
        </w:rPr>
        <w:t>转换速率（M</w:t>
      </w:r>
      <w:r>
        <w:rPr>
          <w:rFonts w:hint="eastAsia" w:ascii="Times New Roman" w:hAnsi="Times New Roman"/>
          <w:strike/>
          <w:dstrike w:val="0"/>
          <w:highlight w:val="none"/>
        </w:rPr>
        <w:t>ini</w:t>
      </w:r>
      <w:r>
        <w:rPr>
          <w:rFonts w:ascii="Times New Roman" w:hAnsi="Times New Roman"/>
          <w:strike/>
          <w:dstrike w:val="0"/>
          <w:highlight w:val="none"/>
        </w:rPr>
        <w:t>mum Conversion Rate）</w:t>
      </w:r>
    </w:p>
    <w:p w14:paraId="69C226FA">
      <w:pPr>
        <w:widowControl/>
        <w:adjustRightInd/>
        <w:spacing w:line="240" w:lineRule="auto"/>
        <w:ind w:firstLine="420" w:firstLineChars="200"/>
        <w:rPr>
          <w:rFonts w:ascii="Times New Roman" w:hAnsi="Times New Roman"/>
          <w:strike/>
          <w:dstrike w:val="0"/>
          <w:highlight w:val="none"/>
        </w:rPr>
      </w:pPr>
      <w:r>
        <w:rPr>
          <w:rFonts w:ascii="Times New Roman" w:hAnsi="Times New Roman"/>
          <w:strike/>
          <w:dstrike w:val="0"/>
          <w:highlight w:val="none"/>
        </w:rPr>
        <w:t>FTA</w:t>
      </w:r>
      <w:r>
        <w:rPr>
          <w:rFonts w:hint="eastAsia" w:ascii="Times New Roman" w:hAnsi="Times New Roman"/>
          <w:strike/>
          <w:dstrike w:val="0"/>
          <w:highlight w:val="none"/>
        </w:rPr>
        <w:t>：故障树分析（Fault Tree Analysis）</w:t>
      </w:r>
      <w:r>
        <w:rPr>
          <w:rFonts w:ascii="Times New Roman" w:hAnsi="Times New Roman"/>
          <w:strike/>
          <w:dstrike w:val="0"/>
          <w:highlight w:val="none"/>
        </w:rPr>
        <w:t xml:space="preserve"> </w:t>
      </w:r>
    </w:p>
    <w:p w14:paraId="585E2D58">
      <w:pPr>
        <w:widowControl/>
        <w:adjustRightInd/>
        <w:spacing w:line="240" w:lineRule="auto"/>
        <w:ind w:firstLine="420" w:firstLineChars="200"/>
        <w:rPr>
          <w:rFonts w:ascii="Times New Roman" w:hAnsi="Times New Roman"/>
          <w:strike/>
          <w:dstrike w:val="0"/>
          <w:highlight w:val="none"/>
        </w:rPr>
      </w:pPr>
      <w:r>
        <w:rPr>
          <w:rFonts w:ascii="Times New Roman" w:hAnsi="Times New Roman"/>
          <w:strike/>
          <w:dstrike w:val="0"/>
          <w:highlight w:val="none"/>
        </w:rPr>
        <w:t>HAST：</w:t>
      </w:r>
      <w:r>
        <w:rPr>
          <w:rFonts w:hint="eastAsia" w:ascii="Times New Roman" w:hAnsi="Times New Roman"/>
          <w:strike/>
          <w:dstrike w:val="0"/>
          <w:highlight w:val="none"/>
        </w:rPr>
        <w:t>带电偏置强加速稳态湿热</w:t>
      </w:r>
      <w:r>
        <w:rPr>
          <w:rFonts w:ascii="Times New Roman" w:hAnsi="Times New Roman"/>
          <w:strike/>
          <w:dstrike w:val="0"/>
          <w:highlight w:val="none"/>
        </w:rPr>
        <w:t>（Highly Accelerated S</w:t>
      </w:r>
      <w:r>
        <w:rPr>
          <w:rFonts w:hint="eastAsia" w:ascii="Times New Roman" w:hAnsi="Times New Roman"/>
          <w:strike/>
          <w:dstrike w:val="0"/>
          <w:highlight w:val="none"/>
        </w:rPr>
        <w:t>team</w:t>
      </w:r>
      <w:r>
        <w:rPr>
          <w:rFonts w:ascii="Times New Roman" w:hAnsi="Times New Roman"/>
          <w:strike/>
          <w:dstrike w:val="0"/>
          <w:highlight w:val="none"/>
        </w:rPr>
        <w:t xml:space="preserve"> Test）</w:t>
      </w:r>
    </w:p>
    <w:p w14:paraId="2FFE71B8">
      <w:pPr>
        <w:widowControl/>
        <w:adjustRightInd/>
        <w:spacing w:line="240" w:lineRule="auto"/>
        <w:ind w:firstLine="420" w:firstLineChars="200"/>
        <w:rPr>
          <w:rFonts w:ascii="Times New Roman" w:hAnsi="Times New Roman"/>
          <w:strike/>
          <w:dstrike w:val="0"/>
          <w:highlight w:val="none"/>
        </w:rPr>
      </w:pPr>
      <w:r>
        <w:rPr>
          <w:rFonts w:ascii="Times New Roman" w:hAnsi="Times New Roman"/>
          <w:strike/>
          <w:dstrike w:val="0"/>
          <w:highlight w:val="none"/>
        </w:rPr>
        <w:t>HBM：</w:t>
      </w:r>
      <w:r>
        <w:rPr>
          <w:rFonts w:hint="eastAsia" w:ascii="Times New Roman" w:hAnsi="Times New Roman"/>
          <w:strike/>
          <w:dstrike w:val="0"/>
          <w:szCs w:val="24"/>
          <w:highlight w:val="none"/>
        </w:rPr>
        <w:t>静电放电人体模型</w:t>
      </w:r>
      <w:r>
        <w:rPr>
          <w:rFonts w:ascii="Times New Roman" w:hAnsi="Times New Roman"/>
          <w:strike/>
          <w:dstrike w:val="0"/>
          <w:highlight w:val="none"/>
        </w:rPr>
        <w:t>（Electrostatic Discharge Human Body Model）</w:t>
      </w:r>
    </w:p>
    <w:p w14:paraId="4F5D7722">
      <w:pPr>
        <w:widowControl/>
        <w:adjustRightInd/>
        <w:spacing w:line="240" w:lineRule="auto"/>
        <w:ind w:firstLine="420" w:firstLineChars="200"/>
        <w:rPr>
          <w:rFonts w:ascii="Times New Roman" w:hAnsi="Times New Roman"/>
          <w:strike/>
          <w:dstrike w:val="0"/>
          <w:highlight w:val="none"/>
        </w:rPr>
      </w:pPr>
      <w:r>
        <w:rPr>
          <w:rFonts w:hint="eastAsia" w:ascii="Times New Roman" w:hAnsi="Times New Roman"/>
          <w:strike/>
          <w:dstrike w:val="0"/>
          <w:szCs w:val="24"/>
          <w:highlight w:val="none"/>
        </w:rPr>
        <w:t>HCI：热载流子注入效应（Hot Carrier Injection）</w:t>
      </w:r>
    </w:p>
    <w:p w14:paraId="4FB044A4">
      <w:pPr>
        <w:widowControl/>
        <w:adjustRightInd/>
        <w:spacing w:line="240" w:lineRule="auto"/>
        <w:ind w:firstLine="420" w:firstLineChars="200"/>
        <w:rPr>
          <w:rFonts w:ascii="Times New Roman" w:hAnsi="Times New Roman"/>
          <w:strike/>
          <w:dstrike w:val="0"/>
          <w:highlight w:val="none"/>
        </w:rPr>
      </w:pPr>
      <w:r>
        <w:rPr>
          <w:rFonts w:ascii="Times New Roman" w:hAnsi="Times New Roman"/>
          <w:strike/>
          <w:dstrike w:val="0"/>
          <w:highlight w:val="none"/>
        </w:rPr>
        <w:t>HTOL</w:t>
      </w:r>
      <w:r>
        <w:rPr>
          <w:rFonts w:hint="eastAsia" w:ascii="Times New Roman" w:hAnsi="Times New Roman"/>
          <w:strike/>
          <w:dstrike w:val="0"/>
          <w:highlight w:val="none"/>
        </w:rPr>
        <w:t>：高温工作存储</w:t>
      </w:r>
      <w:r>
        <w:rPr>
          <w:rFonts w:hint="eastAsia" w:ascii="Times New Roman" w:hAnsi="Times New Roman"/>
          <w:strike/>
          <w:dstrike w:val="0"/>
          <w:sz w:val="23"/>
          <w:szCs w:val="23"/>
          <w:highlight w:val="none"/>
          <w:shd w:val="clear" w:color="auto" w:fill="FFFFFF"/>
        </w:rPr>
        <w:t>（</w:t>
      </w:r>
      <w:r>
        <w:rPr>
          <w:rFonts w:hint="eastAsia" w:ascii="Times New Roman" w:hAnsi="Times New Roman"/>
          <w:strike/>
          <w:dstrike w:val="0"/>
          <w:highlight w:val="none"/>
        </w:rPr>
        <w:t>High-Temperature Operating Life）</w:t>
      </w:r>
    </w:p>
    <w:p w14:paraId="384639FF">
      <w:pPr>
        <w:widowControl/>
        <w:adjustRightInd/>
        <w:spacing w:line="240" w:lineRule="auto"/>
        <w:ind w:firstLine="420" w:firstLineChars="200"/>
        <w:rPr>
          <w:rFonts w:ascii="Times New Roman" w:hAnsi="Times New Roman"/>
          <w:strike/>
          <w:dstrike w:val="0"/>
          <w:highlight w:val="none"/>
        </w:rPr>
      </w:pPr>
      <w:r>
        <w:rPr>
          <w:rFonts w:ascii="Times New Roman" w:hAnsi="Times New Roman"/>
          <w:strike/>
          <w:dstrike w:val="0"/>
          <w:highlight w:val="none"/>
        </w:rPr>
        <w:t>HTS</w:t>
      </w:r>
      <w:r>
        <w:rPr>
          <w:rFonts w:hint="eastAsia" w:ascii="Times New Roman" w:hAnsi="Times New Roman"/>
          <w:strike/>
          <w:dstrike w:val="0"/>
          <w:highlight w:val="none"/>
        </w:rPr>
        <w:t>L</w:t>
      </w:r>
      <w:r>
        <w:rPr>
          <w:rFonts w:ascii="Times New Roman" w:hAnsi="Times New Roman"/>
          <w:strike/>
          <w:dstrike w:val="0"/>
          <w:highlight w:val="none"/>
        </w:rPr>
        <w:t>：高温</w:t>
      </w:r>
      <w:r>
        <w:rPr>
          <w:rFonts w:hint="eastAsia" w:ascii="Times New Roman" w:hAnsi="Times New Roman"/>
          <w:strike/>
          <w:dstrike w:val="0"/>
          <w:highlight w:val="none"/>
        </w:rPr>
        <w:t>贮存寿命</w:t>
      </w:r>
      <w:r>
        <w:rPr>
          <w:rFonts w:ascii="Times New Roman" w:hAnsi="Times New Roman"/>
          <w:strike/>
          <w:dstrike w:val="0"/>
          <w:sz w:val="23"/>
          <w:szCs w:val="23"/>
          <w:highlight w:val="none"/>
          <w:shd w:val="clear" w:color="auto" w:fill="FFFFFF"/>
        </w:rPr>
        <w:t>（</w:t>
      </w:r>
      <w:r>
        <w:rPr>
          <w:rFonts w:ascii="Times New Roman" w:hAnsi="Times New Roman"/>
          <w:strike/>
          <w:dstrike w:val="0"/>
          <w:highlight w:val="none"/>
        </w:rPr>
        <w:t>High-Temperature Storage Life）</w:t>
      </w:r>
    </w:p>
    <w:p w14:paraId="792BAD1F">
      <w:pPr>
        <w:widowControl/>
        <w:adjustRightInd/>
        <w:spacing w:line="240" w:lineRule="auto"/>
        <w:ind w:firstLine="420" w:firstLineChars="200"/>
        <w:rPr>
          <w:rFonts w:ascii="Times New Roman" w:hAnsi="Times New Roman"/>
          <w:strike/>
          <w:dstrike w:val="0"/>
          <w:highlight w:val="none"/>
        </w:rPr>
      </w:pPr>
      <w:r>
        <w:rPr>
          <w:rFonts w:hint="eastAsia" w:ascii="Times New Roman" w:hAnsi="Times New Roman"/>
          <w:strike/>
          <w:dstrike w:val="0"/>
          <w:highlight w:val="none"/>
        </w:rPr>
        <w:t>I</w:t>
      </w:r>
      <w:r>
        <w:rPr>
          <w:rFonts w:hint="eastAsia" w:ascii="Times New Roman" w:hAnsi="Times New Roman"/>
          <w:strike/>
          <w:dstrike w:val="0"/>
          <w:highlight w:val="none"/>
          <w:vertAlign w:val="superscript"/>
        </w:rPr>
        <w:t>2</w:t>
      </w:r>
      <w:r>
        <w:rPr>
          <w:rFonts w:hint="eastAsia" w:ascii="Times New Roman" w:hAnsi="Times New Roman"/>
          <w:strike/>
          <w:dstrike w:val="0"/>
          <w:highlight w:val="none"/>
        </w:rPr>
        <w:t>C：集成电路总线（Inter-Integrated Circuit）</w:t>
      </w:r>
    </w:p>
    <w:p w14:paraId="1B9D7507">
      <w:pPr>
        <w:autoSpaceDE w:val="0"/>
        <w:autoSpaceDN w:val="0"/>
        <w:spacing w:line="240" w:lineRule="auto"/>
        <w:ind w:left="420"/>
        <w:rPr>
          <w:rFonts w:ascii="Times New Roman" w:hAnsi="Times New Roman"/>
          <w:strike/>
          <w:dstrike w:val="0"/>
          <w:highlight w:val="none"/>
        </w:rPr>
      </w:pPr>
      <w:r>
        <w:rPr>
          <w:rFonts w:hint="eastAsia" w:ascii="Times New Roman" w:hAnsi="Times New Roman"/>
          <w:strike/>
          <w:dstrike w:val="0"/>
          <w:highlight w:val="none"/>
        </w:rPr>
        <w:t>INL：积</w:t>
      </w:r>
      <w:r>
        <w:rPr>
          <w:rFonts w:ascii="Times New Roman" w:hAnsi="Times New Roman"/>
          <w:strike/>
          <w:dstrike w:val="0"/>
          <w:highlight w:val="none"/>
        </w:rPr>
        <w:t>分非线性误差（Integral Nonlinearity）</w:t>
      </w:r>
    </w:p>
    <w:p w14:paraId="029F3D47">
      <w:pPr>
        <w:autoSpaceDE w:val="0"/>
        <w:autoSpaceDN w:val="0"/>
        <w:spacing w:line="240" w:lineRule="auto"/>
        <w:ind w:left="420"/>
        <w:rPr>
          <w:rFonts w:ascii="Times New Roman" w:hAnsi="Times New Roman"/>
          <w:strike/>
          <w:dstrike w:val="0"/>
          <w:highlight w:val="none"/>
        </w:rPr>
      </w:pPr>
      <w:r>
        <w:rPr>
          <w:rFonts w:hint="eastAsia" w:ascii="Times New Roman" w:hAnsi="Times New Roman"/>
          <w:strike/>
          <w:dstrike w:val="0"/>
          <w:highlight w:val="none"/>
        </w:rPr>
        <w:t>IP：知识产权（Intellectual Property）</w:t>
      </w:r>
    </w:p>
    <w:p w14:paraId="31FE74F5">
      <w:pPr>
        <w:widowControl/>
        <w:adjustRightInd/>
        <w:spacing w:line="240" w:lineRule="auto"/>
        <w:ind w:firstLine="420" w:firstLineChars="200"/>
        <w:rPr>
          <w:rFonts w:hint="eastAsia" w:ascii="Times New Roman" w:hAnsi="Times New Roman"/>
          <w:highlight w:val="none"/>
        </w:rPr>
      </w:pPr>
      <w:r>
        <w:rPr>
          <w:rFonts w:ascii="Times New Roman" w:hAnsi="Times New Roman"/>
          <w:highlight w:val="none"/>
        </w:rPr>
        <w:t>GTEM</w:t>
      </w:r>
      <w:r>
        <w:rPr>
          <w:rFonts w:hint="eastAsia" w:ascii="Times New Roman" w:hAnsi="Times New Roman"/>
          <w:highlight w:val="none"/>
        </w:rPr>
        <w:t>：吉赫兹横电磁波传输室（Gated Transverse ElectroMagnetic Cell）</w:t>
      </w:r>
    </w:p>
    <w:p w14:paraId="1E5A4597">
      <w:pPr>
        <w:widowControl/>
        <w:adjustRightInd/>
        <w:spacing w:line="240" w:lineRule="auto"/>
        <w:ind w:firstLine="420" w:firstLineChars="200"/>
        <w:rPr>
          <w:rFonts w:ascii="Times New Roman" w:hAnsi="Times New Roman"/>
          <w:highlight w:val="none"/>
        </w:rPr>
      </w:pPr>
      <w:r>
        <w:rPr>
          <w:rFonts w:ascii="Times New Roman" w:hAnsi="Times New Roman"/>
          <w:highlight w:val="none"/>
        </w:rPr>
        <w:t>TEM</w:t>
      </w:r>
      <w:r>
        <w:rPr>
          <w:rFonts w:hint="eastAsia" w:ascii="Times New Roman" w:hAnsi="Times New Roman"/>
          <w:highlight w:val="none"/>
        </w:rPr>
        <w:t>：横电磁波</w:t>
      </w:r>
      <w:r>
        <w:rPr>
          <w:rFonts w:ascii="Times New Roman" w:hAnsi="Times New Roman"/>
          <w:highlight w:val="none"/>
        </w:rPr>
        <w:t>(</w:t>
      </w:r>
      <w:r>
        <w:rPr>
          <w:rFonts w:hint="eastAsia" w:ascii="Times New Roman" w:hAnsi="Times New Roman"/>
          <w:highlight w:val="none"/>
        </w:rPr>
        <w:t>模</w:t>
      </w:r>
      <w:r>
        <w:rPr>
          <w:rFonts w:ascii="Times New Roman" w:hAnsi="Times New Roman"/>
          <w:highlight w:val="none"/>
        </w:rPr>
        <w:t>)(Transverse Electromagnetic Mode)</w:t>
      </w:r>
    </w:p>
    <w:p w14:paraId="09D99C46">
      <w:pPr>
        <w:widowControl/>
        <w:adjustRightInd/>
        <w:spacing w:line="240" w:lineRule="auto"/>
        <w:ind w:firstLine="420" w:firstLineChars="200"/>
        <w:rPr>
          <w:rFonts w:ascii="Times New Roman" w:hAnsi="Times New Roman"/>
          <w:szCs w:val="24"/>
          <w:highlight w:val="none"/>
        </w:rPr>
      </w:pPr>
      <w:r>
        <w:rPr>
          <w:rFonts w:hint="eastAsia" w:ascii="Times New Roman" w:hAnsi="Times New Roman"/>
          <w:strike/>
          <w:dstrike w:val="0"/>
          <w:szCs w:val="24"/>
          <w:highlight w:val="none"/>
        </w:rPr>
        <w:t>LF：无铅（Lead（Pb）Free）</w:t>
      </w:r>
    </w:p>
    <w:p w14:paraId="7C4CD58F">
      <w:pPr>
        <w:widowControl/>
        <w:adjustRightInd/>
        <w:spacing w:line="240" w:lineRule="auto"/>
        <w:ind w:firstLine="420" w:firstLineChars="200"/>
        <w:rPr>
          <w:rFonts w:ascii="Times New Roman" w:hAnsi="Times New Roman"/>
          <w:highlight w:val="none"/>
        </w:rPr>
      </w:pPr>
      <w:r>
        <w:rPr>
          <w:rFonts w:hint="eastAsia" w:ascii="Times New Roman" w:hAnsi="Times New Roman"/>
          <w:strike/>
          <w:dstrike w:val="0"/>
          <w:highlight w:val="none"/>
        </w:rPr>
        <w:t>LFM：潜伏故障度量（Latent Fault Metric）</w:t>
      </w:r>
    </w:p>
    <w:p w14:paraId="2AA9CEA1">
      <w:pPr>
        <w:widowControl/>
        <w:adjustRightInd/>
        <w:spacing w:line="240" w:lineRule="auto"/>
        <w:ind w:firstLine="420" w:firstLineChars="200"/>
        <w:rPr>
          <w:rFonts w:ascii="Times New Roman" w:hAnsi="Times New Roman"/>
          <w:strike/>
          <w:dstrike w:val="0"/>
          <w:highlight w:val="none"/>
        </w:rPr>
      </w:pPr>
      <w:r>
        <w:rPr>
          <w:rFonts w:hint="eastAsia" w:ascii="Times New Roman" w:hAnsi="Times New Roman"/>
          <w:strike/>
          <w:dstrike w:val="0"/>
          <w:szCs w:val="24"/>
          <w:highlight w:val="none"/>
        </w:rPr>
        <w:t>LI：引线牢固性（Lead Integrity）</w:t>
      </w:r>
    </w:p>
    <w:p w14:paraId="4F68BDBF">
      <w:pPr>
        <w:widowControl/>
        <w:adjustRightInd/>
        <w:spacing w:line="240" w:lineRule="auto"/>
        <w:ind w:firstLine="420" w:firstLineChars="200"/>
        <w:rPr>
          <w:rFonts w:ascii="Times New Roman" w:hAnsi="Times New Roman"/>
          <w:strike/>
          <w:dstrike w:val="0"/>
          <w:highlight w:val="none"/>
        </w:rPr>
      </w:pPr>
      <w:r>
        <w:rPr>
          <w:rFonts w:hint="eastAsia" w:ascii="Times New Roman" w:hAnsi="Times New Roman"/>
          <w:strike/>
          <w:dstrike w:val="0"/>
          <w:szCs w:val="24"/>
          <w:highlight w:val="none"/>
        </w:rPr>
        <w:t>LU：闩锁效应（</w:t>
      </w:r>
      <w:r>
        <w:rPr>
          <w:rFonts w:ascii="Times New Roman" w:hAnsi="Times New Roman"/>
          <w:strike/>
          <w:dstrike w:val="0"/>
          <w:szCs w:val="24"/>
          <w:highlight w:val="none"/>
        </w:rPr>
        <w:t>Latch-Up</w:t>
      </w:r>
      <w:r>
        <w:rPr>
          <w:rFonts w:hint="eastAsia" w:ascii="Times New Roman" w:hAnsi="Times New Roman"/>
          <w:strike/>
          <w:dstrike w:val="0"/>
          <w:szCs w:val="24"/>
          <w:highlight w:val="none"/>
        </w:rPr>
        <w:t>）</w:t>
      </w:r>
    </w:p>
    <w:p w14:paraId="00441844">
      <w:pPr>
        <w:widowControl/>
        <w:adjustRightInd/>
        <w:spacing w:line="240" w:lineRule="auto"/>
        <w:ind w:firstLine="420" w:firstLineChars="200"/>
        <w:rPr>
          <w:rFonts w:ascii="Times New Roman" w:hAnsi="Times New Roman"/>
          <w:strike/>
          <w:dstrike w:val="0"/>
          <w:highlight w:val="none"/>
        </w:rPr>
      </w:pPr>
      <w:r>
        <w:rPr>
          <w:rFonts w:ascii="Times New Roman" w:hAnsi="Times New Roman"/>
          <w:strike/>
          <w:dstrike w:val="0"/>
          <w:szCs w:val="24"/>
          <w:highlight w:val="none"/>
        </w:rPr>
        <w:t>NBTI</w:t>
      </w:r>
      <w:r>
        <w:rPr>
          <w:rFonts w:hint="eastAsia" w:ascii="Times New Roman" w:hAnsi="Times New Roman"/>
          <w:strike/>
          <w:dstrike w:val="0"/>
          <w:szCs w:val="24"/>
          <w:highlight w:val="none"/>
        </w:rPr>
        <w:t>：负偏压温度不稳定性（</w:t>
      </w:r>
      <w:r>
        <w:rPr>
          <w:rFonts w:ascii="Times New Roman" w:hAnsi="Times New Roman"/>
          <w:strike/>
          <w:dstrike w:val="0"/>
          <w:szCs w:val="24"/>
          <w:highlight w:val="none"/>
        </w:rPr>
        <w:t>Negative Bias Temperature Instability</w:t>
      </w:r>
      <w:r>
        <w:rPr>
          <w:rFonts w:hint="eastAsia" w:ascii="Times New Roman" w:hAnsi="Times New Roman"/>
          <w:strike/>
          <w:dstrike w:val="0"/>
          <w:szCs w:val="24"/>
          <w:highlight w:val="none"/>
        </w:rPr>
        <w:t>）</w:t>
      </w:r>
    </w:p>
    <w:p w14:paraId="4F638DF1">
      <w:pPr>
        <w:widowControl/>
        <w:adjustRightInd/>
        <w:spacing w:line="240" w:lineRule="auto"/>
        <w:ind w:firstLine="420" w:firstLineChars="200"/>
        <w:rPr>
          <w:rFonts w:ascii="Times New Roman" w:hAnsi="Times New Roman"/>
          <w:strike/>
          <w:dstrike w:val="0"/>
          <w:highlight w:val="none"/>
        </w:rPr>
      </w:pPr>
      <w:r>
        <w:rPr>
          <w:rFonts w:ascii="Times New Roman" w:hAnsi="Times New Roman"/>
          <w:strike/>
          <w:dstrike w:val="0"/>
          <w:szCs w:val="24"/>
          <w:highlight w:val="none"/>
        </w:rPr>
        <w:t>PAT</w:t>
      </w:r>
      <w:r>
        <w:rPr>
          <w:rFonts w:hint="eastAsia" w:ascii="Times New Roman" w:hAnsi="Times New Roman"/>
          <w:strike/>
          <w:dstrike w:val="0"/>
          <w:szCs w:val="24"/>
          <w:highlight w:val="none"/>
        </w:rPr>
        <w:t>：制程平均测试（</w:t>
      </w:r>
      <w:r>
        <w:rPr>
          <w:rFonts w:ascii="Times New Roman" w:hAnsi="Times New Roman"/>
          <w:strike/>
          <w:dstrike w:val="0"/>
          <w:szCs w:val="24"/>
          <w:highlight w:val="none"/>
        </w:rPr>
        <w:t>Process Average Testing</w:t>
      </w:r>
      <w:r>
        <w:rPr>
          <w:rFonts w:hint="eastAsia" w:ascii="Times New Roman" w:hAnsi="Times New Roman"/>
          <w:strike/>
          <w:dstrike w:val="0"/>
          <w:szCs w:val="24"/>
          <w:highlight w:val="none"/>
        </w:rPr>
        <w:t>）</w:t>
      </w:r>
    </w:p>
    <w:p w14:paraId="39493AF5">
      <w:pPr>
        <w:widowControl/>
        <w:adjustRightInd/>
        <w:spacing w:line="240" w:lineRule="auto"/>
        <w:ind w:firstLine="420" w:firstLineChars="200"/>
        <w:rPr>
          <w:rFonts w:ascii="Times New Roman" w:hAnsi="Times New Roman"/>
          <w:strike/>
          <w:dstrike w:val="0"/>
          <w:highlight w:val="none"/>
        </w:rPr>
      </w:pPr>
      <w:r>
        <w:rPr>
          <w:rFonts w:ascii="Times New Roman" w:hAnsi="Times New Roman"/>
          <w:strike/>
          <w:dstrike w:val="0"/>
          <w:highlight w:val="none"/>
        </w:rPr>
        <w:t>PC</w:t>
      </w:r>
      <w:r>
        <w:rPr>
          <w:rFonts w:hint="eastAsia" w:ascii="Times New Roman" w:hAnsi="Times New Roman"/>
          <w:strike/>
          <w:dstrike w:val="0"/>
          <w:highlight w:val="none"/>
        </w:rPr>
        <w:t>：预处理（</w:t>
      </w:r>
      <w:r>
        <w:rPr>
          <w:rFonts w:ascii="Times New Roman" w:hAnsi="Times New Roman"/>
          <w:strike/>
          <w:dstrike w:val="0"/>
          <w:highlight w:val="none"/>
        </w:rPr>
        <w:t>Pre-condition</w:t>
      </w:r>
      <w:r>
        <w:rPr>
          <w:rFonts w:hint="eastAsia" w:ascii="Times New Roman" w:hAnsi="Times New Roman"/>
          <w:strike/>
          <w:dstrike w:val="0"/>
          <w:highlight w:val="none"/>
        </w:rPr>
        <w:t>）</w:t>
      </w:r>
    </w:p>
    <w:p w14:paraId="49679A27">
      <w:pPr>
        <w:widowControl/>
        <w:adjustRightInd/>
        <w:spacing w:line="240" w:lineRule="auto"/>
        <w:ind w:firstLine="420" w:firstLineChars="200"/>
        <w:rPr>
          <w:rFonts w:ascii="Times New Roman" w:hAnsi="Times New Roman"/>
          <w:strike/>
          <w:dstrike w:val="0"/>
          <w:szCs w:val="24"/>
          <w:highlight w:val="none"/>
        </w:rPr>
      </w:pPr>
      <w:r>
        <w:rPr>
          <w:rFonts w:ascii="Times New Roman" w:hAnsi="Times New Roman"/>
          <w:strike/>
          <w:dstrike w:val="0"/>
          <w:szCs w:val="24"/>
          <w:highlight w:val="none"/>
        </w:rPr>
        <w:t>PD</w:t>
      </w:r>
      <w:r>
        <w:rPr>
          <w:rFonts w:hint="eastAsia" w:ascii="Times New Roman" w:hAnsi="Times New Roman"/>
          <w:strike/>
          <w:dstrike w:val="0"/>
          <w:szCs w:val="24"/>
          <w:highlight w:val="none"/>
        </w:rPr>
        <w:t>：物理尺寸（</w:t>
      </w:r>
      <w:r>
        <w:rPr>
          <w:rFonts w:ascii="Times New Roman" w:hAnsi="Times New Roman"/>
          <w:strike/>
          <w:dstrike w:val="0"/>
          <w:szCs w:val="24"/>
          <w:highlight w:val="none"/>
        </w:rPr>
        <w:t>Physical Dimensions</w:t>
      </w:r>
      <w:r>
        <w:rPr>
          <w:rFonts w:hint="eastAsia" w:ascii="Times New Roman" w:hAnsi="Times New Roman"/>
          <w:strike/>
          <w:dstrike w:val="0"/>
          <w:szCs w:val="24"/>
          <w:highlight w:val="none"/>
        </w:rPr>
        <w:t>）</w:t>
      </w:r>
    </w:p>
    <w:p w14:paraId="26919925">
      <w:pPr>
        <w:widowControl/>
        <w:adjustRightInd/>
        <w:spacing w:line="240" w:lineRule="auto"/>
        <w:ind w:firstLine="420" w:firstLineChars="200"/>
        <w:rPr>
          <w:rFonts w:ascii="Times New Roman" w:hAnsi="Times New Roman"/>
          <w:strike/>
          <w:dstrike w:val="0"/>
          <w:highlight w:val="none"/>
        </w:rPr>
      </w:pPr>
      <w:r>
        <w:rPr>
          <w:rFonts w:ascii="Times New Roman" w:hAnsi="Times New Roman"/>
          <w:strike/>
          <w:dstrike w:val="0"/>
          <w:highlight w:val="none"/>
        </w:rPr>
        <w:t>PMHF</w:t>
      </w:r>
      <w:r>
        <w:rPr>
          <w:rFonts w:hint="eastAsia" w:ascii="Times New Roman" w:hAnsi="Times New Roman"/>
          <w:strike/>
          <w:dstrike w:val="0"/>
          <w:highlight w:val="none"/>
        </w:rPr>
        <w:t>：硬件随机故障度量（Probabilistic Metric for Random Hardware Failure）</w:t>
      </w:r>
    </w:p>
    <w:p w14:paraId="3AACE527">
      <w:pPr>
        <w:widowControl/>
        <w:adjustRightInd/>
        <w:spacing w:line="240" w:lineRule="auto"/>
        <w:ind w:firstLine="420" w:firstLineChars="200"/>
        <w:rPr>
          <w:rFonts w:ascii="Times New Roman" w:hAnsi="Times New Roman"/>
          <w:strike/>
          <w:dstrike w:val="0"/>
          <w:szCs w:val="24"/>
          <w:highlight w:val="none"/>
        </w:rPr>
      </w:pPr>
      <w:r>
        <w:rPr>
          <w:rFonts w:hint="eastAsia" w:ascii="Times New Roman" w:hAnsi="Times New Roman"/>
          <w:strike/>
          <w:dstrike w:val="0"/>
          <w:szCs w:val="24"/>
          <w:highlight w:val="none"/>
        </w:rPr>
        <w:t>PTC：功率温度循环（Power Temperature Cycling）</w:t>
      </w:r>
    </w:p>
    <w:p w14:paraId="15DFD24D">
      <w:pPr>
        <w:autoSpaceDE w:val="0"/>
        <w:autoSpaceDN w:val="0"/>
        <w:spacing w:line="240" w:lineRule="auto"/>
        <w:ind w:left="420"/>
        <w:rPr>
          <w:rFonts w:ascii="Times New Roman" w:hAnsi="Times New Roman"/>
          <w:strike/>
          <w:dstrike w:val="0"/>
          <w:highlight w:val="none"/>
        </w:rPr>
      </w:pPr>
      <w:r>
        <w:rPr>
          <w:rFonts w:hint="eastAsia" w:ascii="Times New Roman" w:hAnsi="Times New Roman"/>
          <w:strike/>
          <w:dstrike w:val="0"/>
          <w:highlight w:val="none"/>
        </w:rPr>
        <w:t>RES：分辨率（</w:t>
      </w:r>
      <w:r>
        <w:rPr>
          <w:rFonts w:ascii="Times New Roman" w:hAnsi="Times New Roman"/>
          <w:strike/>
          <w:dstrike w:val="0"/>
          <w:highlight w:val="none"/>
        </w:rPr>
        <w:t>R</w:t>
      </w:r>
      <w:r>
        <w:rPr>
          <w:rFonts w:hint="eastAsia" w:ascii="Times New Roman" w:hAnsi="Times New Roman"/>
          <w:strike/>
          <w:dstrike w:val="0"/>
          <w:highlight w:val="none"/>
        </w:rPr>
        <w:t>esolution）</w:t>
      </w:r>
    </w:p>
    <w:p w14:paraId="4693923D">
      <w:pPr>
        <w:widowControl/>
        <w:adjustRightInd/>
        <w:spacing w:line="240" w:lineRule="auto"/>
        <w:ind w:firstLine="420" w:firstLineChars="200"/>
        <w:rPr>
          <w:rFonts w:ascii="Times New Roman" w:hAnsi="Times New Roman"/>
          <w:strike/>
          <w:dstrike w:val="0"/>
          <w:highlight w:val="none"/>
        </w:rPr>
      </w:pPr>
      <w:r>
        <w:rPr>
          <w:rFonts w:ascii="Times New Roman" w:hAnsi="Times New Roman"/>
          <w:strike/>
          <w:dstrike w:val="0"/>
          <w:szCs w:val="24"/>
          <w:highlight w:val="none"/>
        </w:rPr>
        <w:t>SBA</w:t>
      </w:r>
      <w:r>
        <w:rPr>
          <w:rFonts w:hint="eastAsia" w:ascii="Times New Roman" w:hAnsi="Times New Roman"/>
          <w:strike/>
          <w:dstrike w:val="0"/>
          <w:szCs w:val="24"/>
          <w:highlight w:val="none"/>
        </w:rPr>
        <w:t>：统计箱</w:t>
      </w:r>
      <w:r>
        <w:rPr>
          <w:rFonts w:ascii="Times New Roman" w:hAnsi="Times New Roman"/>
          <w:strike/>
          <w:dstrike w:val="0"/>
          <w:szCs w:val="24"/>
          <w:highlight w:val="none"/>
        </w:rPr>
        <w:t>/</w:t>
      </w:r>
      <w:r>
        <w:rPr>
          <w:rFonts w:hint="eastAsia" w:ascii="Times New Roman" w:hAnsi="Times New Roman"/>
          <w:strike/>
          <w:dstrike w:val="0"/>
          <w:szCs w:val="24"/>
          <w:highlight w:val="none"/>
        </w:rPr>
        <w:t>统计良品率分析（</w:t>
      </w:r>
      <w:r>
        <w:rPr>
          <w:rFonts w:ascii="Times New Roman" w:hAnsi="Times New Roman"/>
          <w:strike/>
          <w:dstrike w:val="0"/>
          <w:szCs w:val="24"/>
          <w:highlight w:val="none"/>
        </w:rPr>
        <w:t>Statistical Bin/Yield Analysis</w:t>
      </w:r>
      <w:r>
        <w:rPr>
          <w:rFonts w:hint="eastAsia" w:ascii="Times New Roman" w:hAnsi="Times New Roman"/>
          <w:strike/>
          <w:dstrike w:val="0"/>
          <w:szCs w:val="24"/>
          <w:highlight w:val="none"/>
        </w:rPr>
        <w:t>）</w:t>
      </w:r>
    </w:p>
    <w:p w14:paraId="265E05D4">
      <w:pPr>
        <w:widowControl/>
        <w:adjustRightInd/>
        <w:spacing w:line="240" w:lineRule="auto"/>
        <w:ind w:firstLine="420" w:firstLineChars="200"/>
        <w:rPr>
          <w:rFonts w:ascii="Times New Roman" w:hAnsi="Times New Roman"/>
          <w:strike/>
          <w:dstrike w:val="0"/>
          <w:highlight w:val="none"/>
        </w:rPr>
      </w:pPr>
      <w:r>
        <w:rPr>
          <w:rFonts w:ascii="Times New Roman" w:hAnsi="Times New Roman"/>
          <w:strike/>
          <w:dstrike w:val="0"/>
          <w:szCs w:val="24"/>
          <w:highlight w:val="none"/>
        </w:rPr>
        <w:t>SBS</w:t>
      </w:r>
      <w:r>
        <w:rPr>
          <w:rFonts w:hint="eastAsia" w:ascii="Times New Roman" w:hAnsi="Times New Roman"/>
          <w:strike/>
          <w:dstrike w:val="0"/>
          <w:szCs w:val="24"/>
          <w:highlight w:val="none"/>
        </w:rPr>
        <w:t>：焊球剪切（</w:t>
      </w:r>
      <w:r>
        <w:rPr>
          <w:rFonts w:ascii="Times New Roman" w:hAnsi="Times New Roman"/>
          <w:strike/>
          <w:dstrike w:val="0"/>
          <w:szCs w:val="24"/>
          <w:highlight w:val="none"/>
        </w:rPr>
        <w:t>Solder Ball Shear</w:t>
      </w:r>
      <w:r>
        <w:rPr>
          <w:rFonts w:hint="eastAsia" w:ascii="Times New Roman" w:hAnsi="Times New Roman"/>
          <w:strike/>
          <w:dstrike w:val="0"/>
          <w:szCs w:val="24"/>
          <w:highlight w:val="none"/>
        </w:rPr>
        <w:t>）</w:t>
      </w:r>
    </w:p>
    <w:p w14:paraId="00125D6D">
      <w:pPr>
        <w:widowControl/>
        <w:adjustRightInd/>
        <w:spacing w:line="240" w:lineRule="auto"/>
        <w:ind w:firstLine="420" w:firstLineChars="200"/>
        <w:rPr>
          <w:rFonts w:ascii="Times New Roman" w:hAnsi="Times New Roman"/>
          <w:highlight w:val="none"/>
        </w:rPr>
      </w:pPr>
      <w:r>
        <w:rPr>
          <w:rFonts w:ascii="Times New Roman" w:hAnsi="Times New Roman"/>
          <w:strike/>
          <w:dstrike w:val="0"/>
          <w:highlight w:val="none"/>
        </w:rPr>
        <w:t>SD</w:t>
      </w:r>
      <w:r>
        <w:rPr>
          <w:rFonts w:hint="eastAsia" w:ascii="Times New Roman" w:hAnsi="Times New Roman"/>
          <w:strike/>
          <w:dstrike w:val="0"/>
          <w:highlight w:val="none"/>
        </w:rPr>
        <w:t>：可焊性（</w:t>
      </w:r>
      <w:r>
        <w:rPr>
          <w:rFonts w:ascii="Times New Roman" w:hAnsi="Times New Roman"/>
          <w:strike/>
          <w:dstrike w:val="0"/>
          <w:highlight w:val="none"/>
        </w:rPr>
        <w:t>Solderability</w:t>
      </w:r>
      <w:r>
        <w:rPr>
          <w:rFonts w:hint="eastAsia" w:ascii="Times New Roman" w:hAnsi="Times New Roman"/>
          <w:strike/>
          <w:dstrike w:val="0"/>
          <w:highlight w:val="none"/>
        </w:rPr>
        <w:t>）</w:t>
      </w:r>
    </w:p>
    <w:p w14:paraId="5B96D60B">
      <w:pPr>
        <w:widowControl/>
        <w:adjustRightInd/>
        <w:spacing w:line="240" w:lineRule="auto"/>
        <w:ind w:firstLine="420" w:firstLineChars="200"/>
        <w:rPr>
          <w:rFonts w:ascii="Times New Roman" w:hAnsi="Times New Roman"/>
          <w:highlight w:val="none"/>
        </w:rPr>
      </w:pPr>
      <w:r>
        <w:rPr>
          <w:rFonts w:ascii="Times New Roman" w:hAnsi="Times New Roman"/>
          <w:highlight w:val="none"/>
        </w:rPr>
        <w:t>SEooC</w:t>
      </w:r>
      <w:r>
        <w:rPr>
          <w:rFonts w:hint="eastAsia" w:ascii="Times New Roman" w:hAnsi="Times New Roman"/>
          <w:highlight w:val="none"/>
        </w:rPr>
        <w:t>：独立于环境的安全要素（Safety Element out of Context）</w:t>
      </w:r>
    </w:p>
    <w:p w14:paraId="449E4DB9">
      <w:pPr>
        <w:autoSpaceDE w:val="0"/>
        <w:autoSpaceDN w:val="0"/>
        <w:spacing w:line="240" w:lineRule="auto"/>
        <w:ind w:left="420"/>
        <w:rPr>
          <w:rFonts w:ascii="Times New Roman" w:hAnsi="Times New Roman"/>
          <w:highlight w:val="none"/>
        </w:rPr>
      </w:pPr>
      <w:r>
        <w:rPr>
          <w:rFonts w:hint="eastAsia" w:ascii="Times New Roman" w:hAnsi="Times New Roman"/>
          <w:strike/>
          <w:dstrike w:val="0"/>
          <w:highlight w:val="none"/>
        </w:rPr>
        <w:t>SFDR：无杂散动态范围（</w:t>
      </w:r>
      <w:r>
        <w:rPr>
          <w:rFonts w:ascii="Times New Roman" w:hAnsi="Times New Roman"/>
          <w:strike/>
          <w:dstrike w:val="0"/>
          <w:highlight w:val="none"/>
        </w:rPr>
        <w:t>Spurious Free Dynamic Range</w:t>
      </w:r>
      <w:r>
        <w:rPr>
          <w:rFonts w:hint="eastAsia" w:ascii="Times New Roman" w:hAnsi="Times New Roman"/>
          <w:highlight w:val="none"/>
        </w:rPr>
        <w:t>）</w:t>
      </w:r>
    </w:p>
    <w:p w14:paraId="08187EA3">
      <w:pPr>
        <w:widowControl/>
        <w:adjustRightInd/>
        <w:spacing w:line="240" w:lineRule="auto"/>
        <w:ind w:firstLine="420" w:firstLineChars="200"/>
        <w:rPr>
          <w:rFonts w:ascii="Times New Roman" w:hAnsi="Times New Roman"/>
          <w:highlight w:val="none"/>
        </w:rPr>
      </w:pPr>
      <w:r>
        <w:rPr>
          <w:rFonts w:ascii="Times New Roman" w:hAnsi="Times New Roman"/>
          <w:szCs w:val="24"/>
          <w:highlight w:val="none"/>
        </w:rPr>
        <w:t>SM</w:t>
      </w:r>
      <w:r>
        <w:rPr>
          <w:rFonts w:hint="eastAsia" w:ascii="Times New Roman" w:hAnsi="Times New Roman"/>
          <w:szCs w:val="24"/>
          <w:highlight w:val="none"/>
        </w:rPr>
        <w:t>：应力迁移（</w:t>
      </w:r>
      <w:r>
        <w:rPr>
          <w:rFonts w:ascii="Times New Roman" w:hAnsi="Times New Roman"/>
          <w:szCs w:val="24"/>
          <w:highlight w:val="none"/>
        </w:rPr>
        <w:t>Stress Migration</w:t>
      </w:r>
      <w:r>
        <w:rPr>
          <w:rFonts w:hint="eastAsia" w:ascii="Times New Roman" w:hAnsi="Times New Roman"/>
          <w:szCs w:val="24"/>
          <w:highlight w:val="none"/>
        </w:rPr>
        <w:t>）</w:t>
      </w:r>
    </w:p>
    <w:p w14:paraId="2EBEF12F">
      <w:pPr>
        <w:autoSpaceDE w:val="0"/>
        <w:autoSpaceDN w:val="0"/>
        <w:spacing w:line="240" w:lineRule="auto"/>
        <w:ind w:left="420"/>
        <w:rPr>
          <w:rFonts w:ascii="Times New Roman" w:hAnsi="Times New Roman"/>
          <w:strike/>
          <w:dstrike w:val="0"/>
          <w:highlight w:val="none"/>
        </w:rPr>
      </w:pPr>
      <w:r>
        <w:rPr>
          <w:rFonts w:hint="eastAsia" w:ascii="Times New Roman" w:hAnsi="Times New Roman"/>
          <w:strike/>
          <w:dstrike w:val="0"/>
          <w:highlight w:val="none"/>
        </w:rPr>
        <w:t>SNR：信噪比（</w:t>
      </w:r>
      <w:r>
        <w:rPr>
          <w:rFonts w:ascii="Times New Roman" w:hAnsi="Times New Roman"/>
          <w:strike/>
          <w:dstrike w:val="0"/>
          <w:highlight w:val="none"/>
        </w:rPr>
        <w:t>Signal-to-noise Ratio</w:t>
      </w:r>
      <w:r>
        <w:rPr>
          <w:rFonts w:hint="eastAsia" w:ascii="Times New Roman" w:hAnsi="Times New Roman"/>
          <w:strike/>
          <w:dstrike w:val="0"/>
          <w:highlight w:val="none"/>
        </w:rPr>
        <w:t>）</w:t>
      </w:r>
    </w:p>
    <w:p w14:paraId="6E3753DD">
      <w:pPr>
        <w:autoSpaceDE w:val="0"/>
        <w:autoSpaceDN w:val="0"/>
        <w:spacing w:line="240" w:lineRule="auto"/>
        <w:ind w:left="420"/>
        <w:rPr>
          <w:rFonts w:ascii="Times New Roman" w:hAnsi="Times New Roman"/>
          <w:highlight w:val="none"/>
        </w:rPr>
      </w:pPr>
      <w:r>
        <w:rPr>
          <w:rFonts w:hint="eastAsia" w:ascii="Times New Roman" w:hAnsi="Times New Roman"/>
          <w:highlight w:val="none"/>
        </w:rPr>
        <w:t>SPFM：单点故障度量（Single-Point Fault Metric）</w:t>
      </w:r>
    </w:p>
    <w:p w14:paraId="5B99438A">
      <w:pPr>
        <w:widowControl/>
        <w:adjustRightInd/>
        <w:spacing w:line="240" w:lineRule="auto"/>
        <w:ind w:firstLine="420" w:firstLineChars="200"/>
        <w:rPr>
          <w:rFonts w:ascii="Times New Roman" w:hAnsi="Times New Roman"/>
          <w:highlight w:val="none"/>
        </w:rPr>
      </w:pPr>
      <w:r>
        <w:rPr>
          <w:rFonts w:hint="eastAsia" w:ascii="Times New Roman" w:hAnsi="Times New Roman"/>
          <w:strike/>
          <w:dstrike w:val="0"/>
          <w:highlight w:val="none"/>
        </w:rPr>
        <w:t>SPI：串行外设接口（Serial Peripheral Interface）</w:t>
      </w:r>
    </w:p>
    <w:p w14:paraId="21C0E186">
      <w:pPr>
        <w:widowControl/>
        <w:adjustRightInd/>
        <w:spacing w:line="240" w:lineRule="auto"/>
        <w:ind w:firstLine="420" w:firstLineChars="200"/>
        <w:rPr>
          <w:rFonts w:ascii="Times New Roman" w:hAnsi="Times New Roman"/>
          <w:highlight w:val="none"/>
        </w:rPr>
      </w:pPr>
      <w:r>
        <w:rPr>
          <w:rFonts w:ascii="Times New Roman" w:hAnsi="Times New Roman"/>
          <w:highlight w:val="none"/>
        </w:rPr>
        <w:t>TC</w:t>
      </w:r>
      <w:r>
        <w:rPr>
          <w:rFonts w:hint="eastAsia" w:ascii="Times New Roman" w:hAnsi="Times New Roman"/>
          <w:highlight w:val="none"/>
        </w:rPr>
        <w:t>：温度循环（Temperature Cycling）</w:t>
      </w:r>
    </w:p>
    <w:p w14:paraId="7F9883BA">
      <w:pPr>
        <w:widowControl/>
        <w:adjustRightInd/>
        <w:spacing w:line="240" w:lineRule="auto"/>
        <w:ind w:firstLine="420" w:firstLineChars="200"/>
        <w:rPr>
          <w:rFonts w:ascii="Times New Roman" w:hAnsi="Times New Roman"/>
          <w:szCs w:val="24"/>
          <w:highlight w:val="none"/>
        </w:rPr>
      </w:pPr>
      <w:r>
        <w:rPr>
          <w:rFonts w:ascii="Times New Roman" w:hAnsi="Times New Roman"/>
          <w:strike/>
          <w:dstrike w:val="0"/>
          <w:szCs w:val="24"/>
          <w:highlight w:val="none"/>
        </w:rPr>
        <w:t>TDDB</w:t>
      </w:r>
      <w:r>
        <w:rPr>
          <w:rFonts w:hint="eastAsia" w:ascii="Times New Roman" w:hAnsi="Times New Roman"/>
          <w:strike/>
          <w:dstrike w:val="0"/>
          <w:szCs w:val="24"/>
          <w:highlight w:val="none"/>
        </w:rPr>
        <w:t>：电介质经时击穿（</w:t>
      </w:r>
      <w:r>
        <w:rPr>
          <w:rFonts w:ascii="Times New Roman" w:hAnsi="Times New Roman"/>
          <w:strike/>
          <w:dstrike w:val="0"/>
          <w:szCs w:val="24"/>
          <w:highlight w:val="none"/>
        </w:rPr>
        <w:t>Time Dependent Dielectric Breakdown</w:t>
      </w:r>
      <w:r>
        <w:rPr>
          <w:rFonts w:hint="eastAsia" w:ascii="Times New Roman" w:hAnsi="Times New Roman"/>
          <w:strike/>
          <w:dstrike w:val="0"/>
          <w:szCs w:val="24"/>
          <w:highlight w:val="none"/>
        </w:rPr>
        <w:t>）</w:t>
      </w:r>
    </w:p>
    <w:p w14:paraId="190283AA">
      <w:pPr>
        <w:widowControl/>
        <w:adjustRightInd/>
        <w:spacing w:line="240" w:lineRule="auto"/>
        <w:ind w:firstLine="420" w:firstLineChars="200"/>
        <w:rPr>
          <w:rFonts w:ascii="Times New Roman" w:hAnsi="Times New Roman"/>
          <w:strike/>
          <w:dstrike w:val="0"/>
          <w:szCs w:val="24"/>
          <w:highlight w:val="none"/>
        </w:rPr>
      </w:pPr>
      <w:r>
        <w:rPr>
          <w:rFonts w:ascii="Times New Roman" w:hAnsi="Times New Roman"/>
          <w:strike/>
          <w:dstrike w:val="0"/>
          <w:szCs w:val="24"/>
          <w:highlight w:val="none"/>
        </w:rPr>
        <w:t>TEST</w:t>
      </w:r>
      <w:r>
        <w:rPr>
          <w:rFonts w:hint="eastAsia" w:ascii="Times New Roman" w:hAnsi="Times New Roman"/>
          <w:strike/>
          <w:dstrike w:val="0"/>
          <w:szCs w:val="24"/>
          <w:highlight w:val="none"/>
        </w:rPr>
        <w:t>：应力试验前后功能参数（</w:t>
      </w:r>
      <w:r>
        <w:rPr>
          <w:rFonts w:ascii="Times New Roman" w:hAnsi="Times New Roman"/>
          <w:strike/>
          <w:dstrike w:val="0"/>
          <w:szCs w:val="24"/>
          <w:highlight w:val="none"/>
        </w:rPr>
        <w:t>Pre-and Post -Stress Function/Parameter</w:t>
      </w:r>
      <w:r>
        <w:rPr>
          <w:rFonts w:hint="eastAsia" w:ascii="Times New Roman" w:hAnsi="Times New Roman"/>
          <w:strike/>
          <w:dstrike w:val="0"/>
          <w:szCs w:val="24"/>
          <w:highlight w:val="none"/>
        </w:rPr>
        <w:t>）</w:t>
      </w:r>
    </w:p>
    <w:p w14:paraId="1081C570">
      <w:pPr>
        <w:widowControl/>
        <w:adjustRightInd/>
        <w:spacing w:line="240" w:lineRule="auto"/>
        <w:ind w:firstLine="420" w:firstLineChars="200"/>
        <w:rPr>
          <w:rFonts w:ascii="Times New Roman" w:hAnsi="Times New Roman"/>
          <w:strike/>
          <w:dstrike w:val="0"/>
          <w:highlight w:val="none"/>
        </w:rPr>
      </w:pPr>
      <w:r>
        <w:rPr>
          <w:rFonts w:hint="eastAsia" w:ascii="Times New Roman" w:hAnsi="宋体"/>
          <w:strike/>
          <w:dstrike w:val="0"/>
          <w:highlight w:val="none"/>
        </w:rPr>
        <w:t>TH：无偏置湿热试验（</w:t>
      </w:r>
      <w:r>
        <w:rPr>
          <w:rFonts w:ascii="Times New Roman" w:hAnsi="Times New Roman"/>
          <w:strike/>
          <w:dstrike w:val="0"/>
          <w:highlight w:val="none"/>
        </w:rPr>
        <w:t>Temperature Humidity</w:t>
      </w:r>
      <w:r>
        <w:rPr>
          <w:rFonts w:hint="eastAsia" w:ascii="Times New Roman" w:hAnsi="Times New Roman"/>
          <w:strike/>
          <w:dstrike w:val="0"/>
          <w:highlight w:val="none"/>
        </w:rPr>
        <w:t>（without Bias）</w:t>
      </w:r>
      <w:r>
        <w:rPr>
          <w:rFonts w:hint="eastAsia" w:ascii="Times New Roman" w:hAnsi="宋体"/>
          <w:strike/>
          <w:dstrike w:val="0"/>
          <w:highlight w:val="none"/>
        </w:rPr>
        <w:t>）</w:t>
      </w:r>
    </w:p>
    <w:p w14:paraId="5D800166">
      <w:pPr>
        <w:widowControl/>
        <w:adjustRightInd/>
        <w:spacing w:line="240" w:lineRule="auto"/>
        <w:ind w:firstLine="420" w:firstLineChars="200"/>
        <w:rPr>
          <w:rFonts w:ascii="Times New Roman" w:hAnsi="Times New Roman"/>
          <w:strike/>
          <w:dstrike w:val="0"/>
          <w:highlight w:val="none"/>
        </w:rPr>
      </w:pPr>
      <w:r>
        <w:rPr>
          <w:rFonts w:hint="eastAsia" w:ascii="Times New Roman" w:hAnsi="宋体"/>
          <w:strike/>
          <w:dstrike w:val="0"/>
          <w:highlight w:val="none"/>
        </w:rPr>
        <w:t>THB：带电偏置湿热试验（</w:t>
      </w:r>
      <w:r>
        <w:rPr>
          <w:rFonts w:ascii="Times New Roman" w:hAnsi="Times New Roman"/>
          <w:strike/>
          <w:dstrike w:val="0"/>
          <w:highlight w:val="none"/>
        </w:rPr>
        <w:t>Temperature Humidity Bias</w:t>
      </w:r>
      <w:r>
        <w:rPr>
          <w:rFonts w:hint="eastAsia" w:ascii="Times New Roman" w:hAnsi="宋体"/>
          <w:strike/>
          <w:dstrike w:val="0"/>
          <w:highlight w:val="none"/>
        </w:rPr>
        <w:t>）</w:t>
      </w:r>
    </w:p>
    <w:p w14:paraId="12C28A3D">
      <w:pPr>
        <w:autoSpaceDE w:val="0"/>
        <w:autoSpaceDN w:val="0"/>
        <w:spacing w:line="240" w:lineRule="auto"/>
        <w:ind w:left="420"/>
        <w:rPr>
          <w:rFonts w:ascii="Times New Roman" w:hAnsi="Times New Roman"/>
          <w:strike/>
          <w:dstrike w:val="0"/>
          <w:highlight w:val="none"/>
        </w:rPr>
      </w:pPr>
      <w:r>
        <w:rPr>
          <w:rFonts w:hint="eastAsia" w:ascii="Times New Roman" w:hAnsi="Times New Roman"/>
          <w:strike/>
          <w:dstrike w:val="0"/>
          <w:highlight w:val="none"/>
        </w:rPr>
        <w:t>THD：总谐波失真（</w:t>
      </w:r>
      <w:r>
        <w:rPr>
          <w:rFonts w:ascii="Times New Roman" w:hAnsi="Times New Roman"/>
          <w:strike/>
          <w:dstrike w:val="0"/>
          <w:highlight w:val="none"/>
        </w:rPr>
        <w:t>Total Harmonic Distortion</w:t>
      </w:r>
      <w:r>
        <w:rPr>
          <w:rFonts w:hint="eastAsia" w:ascii="Times New Roman" w:hAnsi="Times New Roman"/>
          <w:strike/>
          <w:dstrike w:val="0"/>
          <w:highlight w:val="none"/>
        </w:rPr>
        <w:t xml:space="preserve">） </w:t>
      </w:r>
    </w:p>
    <w:p w14:paraId="4C3DF404">
      <w:pPr>
        <w:autoSpaceDE w:val="0"/>
        <w:autoSpaceDN w:val="0"/>
        <w:spacing w:line="240" w:lineRule="auto"/>
        <w:ind w:left="420"/>
        <w:rPr>
          <w:rFonts w:ascii="Times New Roman" w:hAnsi="Times New Roman"/>
          <w:strike/>
          <w:dstrike w:val="0"/>
          <w:highlight w:val="none"/>
        </w:rPr>
      </w:pPr>
      <w:r>
        <w:rPr>
          <w:rFonts w:hint="eastAsia" w:ascii="Times New Roman" w:hAnsi="Times New Roman"/>
          <w:strike/>
          <w:dstrike w:val="0"/>
          <w:highlight w:val="none"/>
        </w:rPr>
        <w:t>TSC：技术安全概念（Technical Safety Concept）</w:t>
      </w:r>
    </w:p>
    <w:p w14:paraId="7FC71D95">
      <w:pPr>
        <w:widowControl/>
        <w:adjustRightInd/>
        <w:spacing w:line="240" w:lineRule="auto"/>
        <w:ind w:firstLine="420" w:firstLineChars="200"/>
        <w:rPr>
          <w:rFonts w:hint="eastAsia" w:ascii="Times New Roman" w:hAnsi="宋体"/>
          <w:strike/>
          <w:dstrike w:val="0"/>
          <w:highlight w:val="none"/>
        </w:rPr>
      </w:pPr>
      <w:r>
        <w:rPr>
          <w:rFonts w:ascii="Times New Roman" w:hAnsi="宋体"/>
          <w:strike/>
          <w:dstrike w:val="0"/>
          <w:highlight w:val="none"/>
        </w:rPr>
        <w:t>UHST</w:t>
      </w:r>
      <w:r>
        <w:rPr>
          <w:rFonts w:hint="eastAsia" w:ascii="Times New Roman" w:hAnsi="宋体"/>
          <w:strike/>
          <w:dstrike w:val="0"/>
          <w:highlight w:val="none"/>
        </w:rPr>
        <w:t>：</w:t>
      </w:r>
      <w:r>
        <w:rPr>
          <w:rFonts w:ascii="Times New Roman" w:hAnsi="宋体"/>
          <w:strike/>
          <w:dstrike w:val="0"/>
          <w:highlight w:val="none"/>
        </w:rPr>
        <w:t>无偏置强加速稳态湿热（</w:t>
      </w:r>
      <w:r>
        <w:rPr>
          <w:rFonts w:hint="eastAsia" w:ascii="Times New Roman" w:hAnsi="宋体"/>
          <w:strike/>
          <w:dstrike w:val="0"/>
          <w:highlight w:val="none"/>
        </w:rPr>
        <w:t xml:space="preserve">Unbiased </w:t>
      </w:r>
      <w:r>
        <w:rPr>
          <w:rFonts w:ascii="Times New Roman" w:hAnsi="Times New Roman"/>
          <w:strike/>
          <w:dstrike w:val="0"/>
          <w:highlight w:val="none"/>
        </w:rPr>
        <w:t>Highly Accelerated Steam Test</w:t>
      </w:r>
      <w:r>
        <w:rPr>
          <w:rFonts w:ascii="Times New Roman" w:hAnsi="宋体"/>
          <w:strike/>
          <w:dstrike w:val="0"/>
          <w:highlight w:val="none"/>
        </w:rPr>
        <w:t>）</w:t>
      </w:r>
    </w:p>
    <w:p w14:paraId="14C6DF0F">
      <w:pPr>
        <w:widowControl/>
        <w:adjustRightInd/>
        <w:spacing w:line="240" w:lineRule="auto"/>
        <w:ind w:firstLine="420" w:firstLineChars="200"/>
        <w:rPr>
          <w:rFonts w:ascii="Times New Roman" w:hAnsi="Times New Roman"/>
          <w:strike/>
          <w:dstrike w:val="0"/>
          <w:szCs w:val="24"/>
          <w:highlight w:val="none"/>
        </w:rPr>
      </w:pPr>
      <w:r>
        <w:rPr>
          <w:rFonts w:hint="eastAsia" w:ascii="Times New Roman" w:hAnsi="Times New Roman"/>
          <w:strike/>
          <w:dstrike w:val="0"/>
          <w:szCs w:val="24"/>
          <w:highlight w:val="none"/>
        </w:rPr>
        <w:t>WBP：绑线拉力（</w:t>
      </w:r>
      <w:r>
        <w:rPr>
          <w:rFonts w:hint="eastAsia" w:ascii="Times New Roman" w:hAnsi="Times New Roman"/>
          <w:strike/>
          <w:dstrike w:val="0"/>
          <w:highlight w:val="none"/>
        </w:rPr>
        <w:t>Wire Bond Pull</w:t>
      </w:r>
      <w:r>
        <w:rPr>
          <w:rFonts w:hint="eastAsia" w:ascii="Times New Roman" w:hAnsi="Times New Roman"/>
          <w:strike/>
          <w:dstrike w:val="0"/>
          <w:szCs w:val="24"/>
          <w:highlight w:val="none"/>
        </w:rPr>
        <w:t>）</w:t>
      </w:r>
    </w:p>
    <w:p w14:paraId="2C67F4BA">
      <w:pPr>
        <w:pStyle w:val="58"/>
        <w:ind w:firstLine="420"/>
        <w:rPr>
          <w:strike/>
          <w:dstrike w:val="0"/>
          <w:highlight w:val="none"/>
        </w:rPr>
      </w:pPr>
      <w:r>
        <w:rPr>
          <w:rFonts w:hint="eastAsia" w:ascii="Times New Roman"/>
          <w:strike/>
          <w:dstrike w:val="0"/>
          <w:szCs w:val="21"/>
          <w:highlight w:val="none"/>
        </w:rPr>
        <w:t>WBS：</w:t>
      </w:r>
      <w:r>
        <w:rPr>
          <w:rFonts w:hint="eastAsia" w:ascii="Times New Roman"/>
          <w:strike/>
          <w:dstrike w:val="0"/>
          <w:szCs w:val="24"/>
          <w:highlight w:val="none"/>
        </w:rPr>
        <w:t>绑线切应力</w:t>
      </w:r>
      <w:r>
        <w:rPr>
          <w:rFonts w:hint="eastAsia" w:ascii="Times New Roman"/>
          <w:strike/>
          <w:dstrike w:val="0"/>
          <w:szCs w:val="21"/>
          <w:highlight w:val="none"/>
        </w:rPr>
        <w:t>（Wire Bond Shear）</w:t>
      </w:r>
      <w:bookmarkEnd w:id="48"/>
    </w:p>
    <w:p w14:paraId="2B2458D7">
      <w:pPr>
        <w:pStyle w:val="106"/>
        <w:spacing w:before="240" w:after="240"/>
        <w:rPr>
          <w:highlight w:val="none"/>
        </w:rPr>
      </w:pPr>
      <w:bookmarkStart w:id="49" w:name="_Toc31928"/>
      <w:r>
        <w:rPr>
          <w:rFonts w:hint="eastAsia"/>
          <w:highlight w:val="none"/>
        </w:rPr>
        <w:t>技术要求</w:t>
      </w:r>
      <w:bookmarkEnd w:id="49"/>
    </w:p>
    <w:p w14:paraId="2C70FEB5">
      <w:pPr>
        <w:pStyle w:val="107"/>
        <w:spacing w:before="120" w:after="120"/>
        <w:rPr>
          <w:rFonts w:cs="宋体"/>
          <w:szCs w:val="21"/>
          <w:highlight w:val="none"/>
        </w:rPr>
      </w:pPr>
      <w:bookmarkStart w:id="50" w:name="_Toc28746"/>
      <w:bookmarkStart w:id="51" w:name="_Toc4193"/>
      <w:r>
        <w:rPr>
          <w:rFonts w:hint="eastAsia"/>
          <w:highlight w:val="none"/>
        </w:rPr>
        <w:t>功能要求</w:t>
      </w:r>
      <w:bookmarkEnd w:id="50"/>
      <w:bookmarkEnd w:id="51"/>
    </w:p>
    <w:p w14:paraId="05E82DFD">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rPr>
          <w:rFonts w:cs="宋体"/>
          <w:szCs w:val="21"/>
          <w:highlight w:val="none"/>
        </w:rPr>
      </w:pPr>
      <w:r>
        <w:rPr>
          <w:rFonts w:hint="eastAsia"/>
          <w:highlight w:val="none"/>
          <w:lang w:val="en-US" w:eastAsia="zh-CN"/>
        </w:rPr>
        <w:t xml:space="preserve">  输入</w:t>
      </w:r>
      <w:r>
        <w:rPr>
          <w:rFonts w:hint="eastAsia"/>
          <w:highlight w:val="none"/>
        </w:rPr>
        <w:t>电压</w:t>
      </w:r>
    </w:p>
    <w:p w14:paraId="3738FA48">
      <w:pPr>
        <w:spacing w:line="240" w:lineRule="auto"/>
        <w:ind w:firstLine="420" w:firstLineChars="200"/>
        <w:rPr>
          <w:rFonts w:hint="eastAsia" w:ascii="宋体" w:hAnsi="宋体" w:eastAsia="宋体" w:cs="宋体"/>
          <w:highlight w:val="none"/>
        </w:rPr>
      </w:pPr>
      <w:r>
        <w:rPr>
          <w:rFonts w:hint="eastAsia" w:ascii="宋体" w:hAnsi="宋体" w:eastAsia="宋体" w:cs="宋体"/>
          <w:highlight w:val="none"/>
        </w:rPr>
        <w:t>按照6.1.1进行测试，纯电动客车用电源管理芯片应在规定额定输入电压范围内正常稳定工作，电源管理芯片的输入电压应满足表1的要求。</w:t>
      </w:r>
    </w:p>
    <w:p w14:paraId="1FE67EEA">
      <w:pPr>
        <w:spacing w:before="120" w:beforeLines="50" w:after="120" w:afterLines="50" w:line="240" w:lineRule="auto"/>
        <w:ind w:firstLine="420" w:firstLineChars="200"/>
        <w:jc w:val="center"/>
        <w:rPr>
          <w:rFonts w:hint="eastAsia" w:ascii="黑体" w:hAnsi="黑体" w:eastAsia="黑体" w:cs="黑体"/>
          <w:highlight w:val="none"/>
        </w:rPr>
      </w:pPr>
      <w:r>
        <w:rPr>
          <w:rFonts w:hint="eastAsia" w:ascii="黑体" w:hAnsi="黑体" w:eastAsia="黑体" w:cs="黑体"/>
          <w:highlight w:val="none"/>
        </w:rPr>
        <w:t>表 1  纯电动客车动力电源管理芯片供电电压</w:t>
      </w:r>
    </w:p>
    <w:tbl>
      <w:tblPr>
        <w:tblStyle w:val="29"/>
        <w:tblW w:w="4841"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3665"/>
        <w:gridCol w:w="1902"/>
        <w:gridCol w:w="1715"/>
        <w:gridCol w:w="1984"/>
      </w:tblGrid>
      <w:tr w14:paraId="415410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977" w:type="pct"/>
            <w:tcBorders>
              <w:tl2br w:val="nil"/>
              <w:tr2bl w:val="nil"/>
            </w:tcBorders>
            <w:vAlign w:val="center"/>
          </w:tcPr>
          <w:p w14:paraId="689F99EB">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项目</w:t>
            </w:r>
          </w:p>
        </w:tc>
        <w:tc>
          <w:tcPr>
            <w:tcW w:w="1026" w:type="pct"/>
            <w:tcBorders>
              <w:tl2br w:val="nil"/>
              <w:tr2bl w:val="nil"/>
            </w:tcBorders>
            <w:vAlign w:val="center"/>
          </w:tcPr>
          <w:p w14:paraId="3F8309B6">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最小工作电压</w:t>
            </w:r>
          </w:p>
        </w:tc>
        <w:tc>
          <w:tcPr>
            <w:tcW w:w="925" w:type="pct"/>
            <w:tcBorders>
              <w:tl2br w:val="nil"/>
              <w:tr2bl w:val="nil"/>
            </w:tcBorders>
            <w:vAlign w:val="center"/>
          </w:tcPr>
          <w:p w14:paraId="211859CB">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最大工作电压</w:t>
            </w:r>
          </w:p>
        </w:tc>
        <w:tc>
          <w:tcPr>
            <w:tcW w:w="1070" w:type="pct"/>
            <w:tcBorders>
              <w:tl2br w:val="nil"/>
              <w:tr2bl w:val="nil"/>
            </w:tcBorders>
            <w:vAlign w:val="center"/>
          </w:tcPr>
          <w:p w14:paraId="3E398FF2">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单位</w:t>
            </w:r>
          </w:p>
        </w:tc>
      </w:tr>
      <w:tr w14:paraId="69AC3A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977" w:type="pct"/>
            <w:tcBorders>
              <w:tl2br w:val="nil"/>
              <w:tr2bl w:val="nil"/>
            </w:tcBorders>
            <w:vAlign w:val="center"/>
          </w:tcPr>
          <w:p w14:paraId="510AEE2C">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供电电压</w:t>
            </w:r>
          </w:p>
        </w:tc>
        <w:tc>
          <w:tcPr>
            <w:tcW w:w="1026" w:type="pct"/>
            <w:tcBorders>
              <w:tl2br w:val="nil"/>
              <w:tr2bl w:val="nil"/>
            </w:tcBorders>
            <w:vAlign w:val="center"/>
          </w:tcPr>
          <w:p w14:paraId="1B1666C4">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4.0</w:t>
            </w:r>
          </w:p>
        </w:tc>
        <w:tc>
          <w:tcPr>
            <w:tcW w:w="925" w:type="pct"/>
            <w:tcBorders>
              <w:tl2br w:val="nil"/>
              <w:tr2bl w:val="nil"/>
            </w:tcBorders>
            <w:vAlign w:val="center"/>
          </w:tcPr>
          <w:p w14:paraId="45711D28">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60</w:t>
            </w:r>
          </w:p>
        </w:tc>
        <w:tc>
          <w:tcPr>
            <w:tcW w:w="1070" w:type="pct"/>
            <w:tcBorders>
              <w:tl2br w:val="nil"/>
              <w:tr2bl w:val="nil"/>
            </w:tcBorders>
            <w:vAlign w:val="center"/>
          </w:tcPr>
          <w:p w14:paraId="1F786AF7">
            <w:pPr>
              <w:spacing w:line="240" w:lineRule="auto"/>
              <w:jc w:val="center"/>
              <w:rPr>
                <w:rFonts w:hint="eastAsia" w:ascii="宋体" w:hAnsi="宋体" w:eastAsia="宋体" w:cs="宋体"/>
                <w:sz w:val="18"/>
                <w:szCs w:val="18"/>
                <w:highlight w:val="none"/>
                <w:lang w:eastAsia="zh-CN"/>
              </w:rPr>
            </w:pPr>
            <w:r>
              <w:rPr>
                <w:rFonts w:hint="eastAsia" w:ascii="宋体" w:hAnsi="宋体" w:cs="宋体"/>
                <w:sz w:val="18"/>
                <w:szCs w:val="18"/>
                <w:highlight w:val="none"/>
                <w:lang w:val="en-US" w:eastAsia="zh-CN"/>
              </w:rPr>
              <w:t>V</w:t>
            </w:r>
          </w:p>
        </w:tc>
      </w:tr>
    </w:tbl>
    <w:p w14:paraId="0F521579">
      <w:pPr>
        <w:pStyle w:val="233"/>
        <w:tabs>
          <w:tab w:val="center" w:pos="4201"/>
          <w:tab w:val="right" w:leader="dot" w:pos="9298"/>
        </w:tabs>
        <w:ind w:firstLine="420" w:firstLineChars="0"/>
        <w:rPr>
          <w:rFonts w:cs="宋体"/>
          <w:szCs w:val="21"/>
          <w:highlight w:val="none"/>
        </w:rPr>
      </w:pPr>
    </w:p>
    <w:p w14:paraId="5B0E7469">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rPr>
          <w:highlight w:val="none"/>
        </w:rPr>
      </w:pPr>
      <w:r>
        <w:rPr>
          <w:rFonts w:hint="eastAsia"/>
          <w:highlight w:val="none"/>
        </w:rPr>
        <w:t>输出电压和电流</w:t>
      </w:r>
    </w:p>
    <w:p w14:paraId="1B7841B3">
      <w:pPr>
        <w:spacing w:line="240" w:lineRule="auto"/>
        <w:ind w:firstLine="420" w:firstLineChars="200"/>
        <w:rPr>
          <w:rFonts w:hint="eastAsia"/>
          <w:highlight w:val="none"/>
        </w:rPr>
      </w:pPr>
      <w:r>
        <w:rPr>
          <w:rFonts w:hint="eastAsia" w:ascii="宋体" w:hAnsi="宋体" w:eastAsia="宋体" w:cs="宋体"/>
          <w:highlight w:val="none"/>
        </w:rPr>
        <w:t>按照 6.1.</w:t>
      </w:r>
      <w:r>
        <w:rPr>
          <w:rFonts w:hint="eastAsia" w:ascii="宋体" w:hAnsi="宋体" w:cs="宋体"/>
          <w:highlight w:val="none"/>
          <w:lang w:val="en-US" w:eastAsia="zh-CN"/>
        </w:rPr>
        <w:t>3</w:t>
      </w:r>
      <w:r>
        <w:rPr>
          <w:rFonts w:hint="eastAsia" w:ascii="宋体" w:hAnsi="宋体" w:eastAsia="宋体" w:cs="宋体"/>
          <w:highlight w:val="none"/>
        </w:rPr>
        <w:t xml:space="preserve"> 的规定进行测试，纯电动客车用电源管理芯片在规定输入电压范围与全工况负载条件下，</w:t>
      </w:r>
      <w:r>
        <w:rPr>
          <w:rFonts w:hint="eastAsia" w:ascii="宋体" w:hAnsi="宋体" w:cs="宋体"/>
          <w:highlight w:val="none"/>
          <w:lang w:val="en-US" w:eastAsia="zh-CN"/>
        </w:rPr>
        <w:t>应</w:t>
      </w:r>
      <w:r>
        <w:rPr>
          <w:rFonts w:hint="eastAsia" w:ascii="宋体" w:hAnsi="宋体" w:eastAsia="宋体" w:cs="宋体"/>
          <w:highlight w:val="none"/>
        </w:rPr>
        <w:t>维持输出电压处于标称区间内。</w:t>
      </w:r>
      <w:r>
        <w:rPr>
          <w:rFonts w:hint="eastAsia" w:ascii="宋体" w:hAnsi="宋体" w:cs="宋体"/>
          <w:highlight w:val="none"/>
          <w:lang w:val="en-US" w:eastAsia="zh-CN"/>
        </w:rPr>
        <w:t>并能保持</w:t>
      </w:r>
      <w:r>
        <w:rPr>
          <w:rFonts w:hint="eastAsia" w:ascii="宋体" w:hAnsi="宋体" w:eastAsia="宋体" w:cs="宋体"/>
          <w:highlight w:val="none"/>
        </w:rPr>
        <w:t>长期稳定输出额定工作电流</w:t>
      </w:r>
    </w:p>
    <w:p w14:paraId="680351FA">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rPr>
          <w:rFonts w:hAnsi="Times New Roman" w:cs="宋体"/>
          <w:szCs w:val="21"/>
          <w:highlight w:val="none"/>
        </w:rPr>
      </w:pPr>
      <w:r>
        <w:rPr>
          <w:rFonts w:hint="eastAsia"/>
          <w:highlight w:val="none"/>
        </w:rPr>
        <w:t>电源监测</w:t>
      </w:r>
      <w:r>
        <w:rPr>
          <w:rFonts w:hint="eastAsia" w:hAnsi="Times New Roman" w:cs="宋体"/>
          <w:szCs w:val="21"/>
          <w:highlight w:val="none"/>
        </w:rPr>
        <w:t xml:space="preserve">功能 </w:t>
      </w:r>
    </w:p>
    <w:p w14:paraId="6E7802C7">
      <w:pPr>
        <w:pStyle w:val="233"/>
        <w:tabs>
          <w:tab w:val="center" w:pos="4201"/>
          <w:tab w:val="right" w:leader="dot" w:pos="9298"/>
        </w:tabs>
        <w:ind w:firstLine="420"/>
        <w:rPr>
          <w:rFonts w:hint="eastAsia"/>
          <w:highlight w:val="none"/>
        </w:rPr>
      </w:pPr>
      <w:r>
        <w:rPr>
          <w:rFonts w:hint="eastAsia"/>
          <w:highlight w:val="none"/>
        </w:rPr>
        <w:t>按照6.1.</w:t>
      </w:r>
      <w:r>
        <w:rPr>
          <w:rFonts w:hint="eastAsia"/>
          <w:highlight w:val="none"/>
          <w:lang w:val="en-US" w:eastAsia="zh-CN"/>
        </w:rPr>
        <w:t>4</w:t>
      </w:r>
      <w:r>
        <w:rPr>
          <w:rFonts w:hint="eastAsia"/>
          <w:highlight w:val="none"/>
        </w:rPr>
        <w:t>进行测试，纯电动客车用电源管理芯片</w:t>
      </w:r>
      <w:r>
        <w:rPr>
          <w:rFonts w:hint="eastAsia"/>
          <w:highlight w:val="none"/>
          <w:lang w:val="en-US" w:eastAsia="zh-CN"/>
        </w:rPr>
        <w:t>应具备电压监测电路，实时采集输出反馈节点电压，通过内置带滞回窗口的电压比较器判定输出电源状态；提供故障诊断硬件标志，保障电源上电时序可靠。</w:t>
      </w:r>
    </w:p>
    <w:p w14:paraId="0332F15C">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rPr>
          <w:highlight w:val="none"/>
        </w:rPr>
      </w:pPr>
      <w:r>
        <w:rPr>
          <w:rFonts w:hint="eastAsia"/>
          <w:highlight w:val="none"/>
        </w:rPr>
        <w:t>电压转换功能</w:t>
      </w:r>
    </w:p>
    <w:p w14:paraId="54620F4B">
      <w:pPr>
        <w:pStyle w:val="233"/>
        <w:tabs>
          <w:tab w:val="center" w:pos="4201"/>
          <w:tab w:val="right" w:leader="dot" w:pos="9298"/>
        </w:tabs>
        <w:ind w:firstLine="420"/>
        <w:rPr>
          <w:rFonts w:hint="eastAsia" w:eastAsia="宋体"/>
          <w:highlight w:val="none"/>
          <w:lang w:eastAsia="zh-CN"/>
        </w:rPr>
      </w:pPr>
      <w:r>
        <w:rPr>
          <w:rFonts w:hint="eastAsia"/>
          <w:highlight w:val="none"/>
        </w:rPr>
        <w:t>按照6.1.</w:t>
      </w:r>
      <w:r>
        <w:rPr>
          <w:rFonts w:hint="eastAsia"/>
          <w:highlight w:val="none"/>
          <w:lang w:val="en-US" w:eastAsia="zh-CN"/>
        </w:rPr>
        <w:t>5</w:t>
      </w:r>
      <w:r>
        <w:rPr>
          <w:rFonts w:hint="eastAsia"/>
          <w:highlight w:val="none"/>
        </w:rPr>
        <w:t>进行测试，纯电动客车用电源管理芯片应</w:t>
      </w:r>
      <w:r>
        <w:rPr>
          <w:rFonts w:hint="eastAsia"/>
          <w:highlight w:val="none"/>
          <w:lang w:val="en-US" w:eastAsia="zh-CN"/>
        </w:rPr>
        <w:t>具备</w:t>
      </w:r>
      <w:r>
        <w:rPr>
          <w:rFonts w:hint="eastAsia"/>
          <w:highlight w:val="none"/>
        </w:rPr>
        <w:t>电压转换功能</w:t>
      </w:r>
      <w:r>
        <w:rPr>
          <w:rFonts w:hint="eastAsia"/>
          <w:highlight w:val="none"/>
          <w:lang w:eastAsia="zh-CN"/>
        </w:rPr>
        <w:t>。</w:t>
      </w:r>
      <w:r>
        <w:rPr>
          <w:rFonts w:hint="eastAsia"/>
          <w:highlight w:val="none"/>
          <w:lang w:val="en-US" w:eastAsia="zh-CN"/>
        </w:rPr>
        <w:t>将</w:t>
      </w:r>
      <w:r>
        <w:rPr>
          <w:rFonts w:hint="eastAsia"/>
          <w:highlight w:val="none"/>
        </w:rPr>
        <w:t>输入电压转换为</w:t>
      </w:r>
      <w:r>
        <w:rPr>
          <w:rFonts w:hint="eastAsia"/>
          <w:highlight w:val="none"/>
          <w:lang w:val="en-US" w:eastAsia="zh-CN"/>
        </w:rPr>
        <w:t>可控</w:t>
      </w:r>
      <w:r>
        <w:rPr>
          <w:rFonts w:hint="eastAsia"/>
          <w:highlight w:val="none"/>
        </w:rPr>
        <w:t>的稳定输出电压</w:t>
      </w:r>
      <w:r>
        <w:rPr>
          <w:rFonts w:hint="eastAsia"/>
          <w:highlight w:val="none"/>
          <w:lang w:eastAsia="zh-CN"/>
        </w:rPr>
        <w:t>。</w:t>
      </w:r>
    </w:p>
    <w:p w14:paraId="50F184EB">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rPr>
          <w:highlight w:val="none"/>
        </w:rPr>
      </w:pPr>
      <w:r>
        <w:rPr>
          <w:rFonts w:hint="eastAsia"/>
          <w:highlight w:val="none"/>
        </w:rPr>
        <w:t xml:space="preserve">过压保护功能 </w:t>
      </w:r>
    </w:p>
    <w:p w14:paraId="45374D22">
      <w:pPr>
        <w:pStyle w:val="233"/>
        <w:tabs>
          <w:tab w:val="center" w:pos="4201"/>
          <w:tab w:val="right" w:leader="dot" w:pos="9298"/>
        </w:tabs>
        <w:ind w:firstLine="420"/>
        <w:rPr>
          <w:rFonts w:hint="eastAsia"/>
          <w:highlight w:val="none"/>
        </w:rPr>
      </w:pPr>
      <w:r>
        <w:rPr>
          <w:rFonts w:hint="eastAsia"/>
          <w:highlight w:val="none"/>
        </w:rPr>
        <w:t>按照6.1.</w:t>
      </w:r>
      <w:r>
        <w:rPr>
          <w:rFonts w:hint="eastAsia"/>
          <w:highlight w:val="none"/>
          <w:lang w:val="en-US" w:eastAsia="zh-CN"/>
        </w:rPr>
        <w:t>6</w:t>
      </w:r>
      <w:r>
        <w:rPr>
          <w:rFonts w:hint="eastAsia"/>
          <w:highlight w:val="none"/>
        </w:rPr>
        <w:t>进行测试，纯电动客车用电源管理芯片应</w:t>
      </w:r>
      <w:r>
        <w:rPr>
          <w:rFonts w:hint="eastAsia"/>
          <w:highlight w:val="none"/>
          <w:lang w:val="en-US" w:eastAsia="zh-CN"/>
        </w:rPr>
        <w:t>具备</w:t>
      </w:r>
      <w:r>
        <w:rPr>
          <w:rFonts w:hint="eastAsia"/>
          <w:highlight w:val="none"/>
        </w:rPr>
        <w:t>过压保护功能，电压超过设定阈值时触发</w:t>
      </w:r>
    </w:p>
    <w:p w14:paraId="41A348D0">
      <w:pPr>
        <w:pStyle w:val="233"/>
        <w:tabs>
          <w:tab w:val="center" w:pos="4201"/>
          <w:tab w:val="right" w:leader="dot" w:pos="9298"/>
        </w:tabs>
        <w:ind w:firstLine="420"/>
        <w:rPr>
          <w:rFonts w:hint="eastAsia"/>
          <w:highlight w:val="none"/>
        </w:rPr>
      </w:pPr>
      <w:r>
        <w:rPr>
          <w:rFonts w:hint="eastAsia"/>
          <w:highlight w:val="none"/>
        </w:rPr>
        <w:t>保护动作，可迅速启动保护机制，采取限压、降功率或关断输出等措施。</w:t>
      </w:r>
    </w:p>
    <w:p w14:paraId="5C84FF97">
      <w:pPr>
        <w:pStyle w:val="233"/>
        <w:tabs>
          <w:tab w:val="center" w:pos="4201"/>
          <w:tab w:val="right" w:leader="dot" w:pos="9298"/>
        </w:tabs>
        <w:ind w:firstLine="420"/>
        <w:rPr>
          <w:highlight w:val="none"/>
        </w:rPr>
      </w:pPr>
      <w:r>
        <w:rPr>
          <w:rFonts w:hint="eastAsia"/>
          <w:strike/>
          <w:dstrike w:val="0"/>
          <w:highlight w:val="none"/>
          <w:lang w:eastAsia="zh-CN"/>
        </w:rPr>
        <w:t>纯电动客车用电源管理芯片</w:t>
      </w:r>
      <w:r>
        <w:rPr>
          <w:rFonts w:hint="eastAsia"/>
          <w:strike/>
          <w:dstrike w:val="0"/>
          <w:highlight w:val="none"/>
        </w:rPr>
        <w:t>应包括过压保护功能，电压超过设定阈值时触发保护动作</w:t>
      </w:r>
      <w:r>
        <w:rPr>
          <w:rFonts w:hint="eastAsia"/>
          <w:strike/>
          <w:dstrike w:val="0"/>
          <w:highlight w:val="none"/>
          <w:lang w:eastAsia="zh-CN"/>
        </w:rPr>
        <w:t>，</w:t>
      </w:r>
      <w:r>
        <w:rPr>
          <w:rFonts w:hint="eastAsia"/>
          <w:strike/>
          <w:dstrike w:val="0"/>
          <w:highlight w:val="none"/>
        </w:rPr>
        <w:t>过压保护触发电压偏差≤±2%。</w:t>
      </w:r>
    </w:p>
    <w:p w14:paraId="754E23FC">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rPr>
          <w:highlight w:val="none"/>
        </w:rPr>
      </w:pPr>
      <w:r>
        <w:rPr>
          <w:rFonts w:hint="eastAsia"/>
          <w:highlight w:val="none"/>
        </w:rPr>
        <w:t xml:space="preserve">欠压保护功能 </w:t>
      </w:r>
    </w:p>
    <w:p w14:paraId="12F62808">
      <w:pPr>
        <w:pStyle w:val="233"/>
        <w:tabs>
          <w:tab w:val="center" w:pos="4201"/>
          <w:tab w:val="right" w:leader="dot" w:pos="9298"/>
        </w:tabs>
        <w:ind w:firstLine="420"/>
        <w:rPr>
          <w:rFonts w:hint="eastAsia" w:eastAsia="宋体"/>
          <w:highlight w:val="none"/>
          <w:lang w:eastAsia="zh-CN"/>
        </w:rPr>
      </w:pPr>
      <w:r>
        <w:rPr>
          <w:rFonts w:hint="eastAsia"/>
          <w:highlight w:val="none"/>
        </w:rPr>
        <w:t>按照6.1.</w:t>
      </w:r>
      <w:r>
        <w:rPr>
          <w:rFonts w:hint="eastAsia"/>
          <w:highlight w:val="none"/>
          <w:lang w:val="en-US" w:eastAsia="zh-CN"/>
        </w:rPr>
        <w:t>7</w:t>
      </w:r>
      <w:r>
        <w:rPr>
          <w:rFonts w:hint="eastAsia"/>
          <w:highlight w:val="none"/>
        </w:rPr>
        <w:t>进行测试，，纯电动客车用电源管理芯片应</w:t>
      </w:r>
      <w:r>
        <w:rPr>
          <w:rFonts w:hint="eastAsia"/>
          <w:highlight w:val="none"/>
          <w:lang w:val="en-US" w:eastAsia="zh-CN"/>
        </w:rPr>
        <w:t>具备</w:t>
      </w:r>
      <w:r>
        <w:rPr>
          <w:rFonts w:hint="eastAsia"/>
          <w:highlight w:val="none"/>
        </w:rPr>
        <w:t>过欠压保护功能，电压低于欠压保护阈值时触发保护动作切断或锁定输出供电</w:t>
      </w:r>
      <w:r>
        <w:rPr>
          <w:rFonts w:hint="eastAsia"/>
          <w:highlight w:val="none"/>
          <w:lang w:eastAsia="zh-CN"/>
        </w:rPr>
        <w:t>。</w:t>
      </w:r>
    </w:p>
    <w:p w14:paraId="4A060B45">
      <w:pPr>
        <w:pStyle w:val="233"/>
        <w:tabs>
          <w:tab w:val="center" w:pos="4201"/>
          <w:tab w:val="right" w:leader="dot" w:pos="9298"/>
        </w:tabs>
        <w:ind w:firstLine="420"/>
        <w:rPr>
          <w:rFonts w:hint="eastAsia"/>
          <w:highlight w:val="none"/>
        </w:rPr>
      </w:pPr>
    </w:p>
    <w:p w14:paraId="51C77C79">
      <w:pPr>
        <w:pStyle w:val="233"/>
        <w:tabs>
          <w:tab w:val="center" w:pos="4201"/>
          <w:tab w:val="right" w:leader="dot" w:pos="9298"/>
        </w:tabs>
        <w:ind w:firstLine="420"/>
        <w:rPr>
          <w:strike/>
          <w:dstrike w:val="0"/>
          <w:highlight w:val="none"/>
        </w:rPr>
      </w:pPr>
      <w:r>
        <w:rPr>
          <w:rFonts w:hint="eastAsia"/>
          <w:strike/>
          <w:dstrike w:val="0"/>
          <w:highlight w:val="none"/>
          <w:lang w:eastAsia="zh-CN"/>
        </w:rPr>
        <w:t>纯电动客车用电源管理芯片</w:t>
      </w:r>
      <w:r>
        <w:rPr>
          <w:rFonts w:hint="eastAsia"/>
          <w:strike/>
          <w:dstrike w:val="0"/>
          <w:highlight w:val="none"/>
        </w:rPr>
        <w:t>应包括过欠压</w:t>
      </w:r>
      <w:r>
        <w:rPr>
          <w:rFonts w:hint="eastAsia"/>
          <w:strike/>
          <w:dstrike w:val="0"/>
          <w:highlight w:val="none"/>
          <w:lang w:val="en-US" w:eastAsia="zh-CN"/>
        </w:rPr>
        <w:t>保</w:t>
      </w:r>
      <w:r>
        <w:rPr>
          <w:rFonts w:hint="eastAsia"/>
          <w:strike/>
          <w:dstrike w:val="0"/>
          <w:highlight w:val="none"/>
        </w:rPr>
        <w:t>护功能，</w:t>
      </w:r>
      <w:r>
        <w:rPr>
          <w:rFonts w:hint="eastAsia"/>
          <w:strike/>
          <w:dstrike w:val="0"/>
          <w:highlight w:val="none"/>
          <w:lang w:val="en-US" w:eastAsia="zh-CN"/>
        </w:rPr>
        <w:t>电</w:t>
      </w:r>
      <w:r>
        <w:rPr>
          <w:rFonts w:hint="eastAsia"/>
          <w:strike/>
          <w:dstrike w:val="0"/>
          <w:highlight w:val="none"/>
        </w:rPr>
        <w:t>压低于欠压保护阈值时触发保护动作</w:t>
      </w:r>
      <w:r>
        <w:rPr>
          <w:rFonts w:hint="eastAsia"/>
          <w:strike/>
          <w:dstrike w:val="0"/>
          <w:highlight w:val="none"/>
          <w:lang w:eastAsia="zh-CN"/>
        </w:rPr>
        <w:t>，</w:t>
      </w:r>
      <w:r>
        <w:rPr>
          <w:rFonts w:hint="eastAsia"/>
          <w:strike/>
          <w:dstrike w:val="0"/>
          <w:highlight w:val="none"/>
        </w:rPr>
        <w:t>欠压保护触发电压偏差≤±2%</w:t>
      </w:r>
    </w:p>
    <w:p w14:paraId="6CFF0698">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rPr>
          <w:rFonts w:hint="eastAsia" w:hAnsi="Times New Roman" w:cs="Times New Roman"/>
          <w:highlight w:val="none"/>
        </w:rPr>
      </w:pPr>
      <w:r>
        <w:rPr>
          <w:rFonts w:hint="eastAsia"/>
          <w:highlight w:val="none"/>
        </w:rPr>
        <w:t>过流保护</w:t>
      </w:r>
      <w:r>
        <w:rPr>
          <w:rFonts w:hint="eastAsia" w:hAnsi="Times New Roman" w:cs="Times New Roman"/>
          <w:highlight w:val="none"/>
        </w:rPr>
        <w:t xml:space="preserve">功能 </w:t>
      </w:r>
    </w:p>
    <w:p w14:paraId="5ED9CD59">
      <w:pPr>
        <w:pStyle w:val="233"/>
        <w:tabs>
          <w:tab w:val="center" w:pos="4201"/>
          <w:tab w:val="right" w:leader="dot" w:pos="9298"/>
        </w:tabs>
        <w:ind w:firstLine="420"/>
        <w:rPr>
          <w:rFonts w:hint="eastAsia"/>
          <w:highlight w:val="none"/>
          <w:lang w:eastAsia="zh-CN"/>
        </w:rPr>
      </w:pPr>
      <w:r>
        <w:rPr>
          <w:rFonts w:hint="eastAsia"/>
          <w:highlight w:val="none"/>
        </w:rPr>
        <w:t>按照6.1.</w:t>
      </w:r>
      <w:r>
        <w:rPr>
          <w:rFonts w:hint="eastAsia"/>
          <w:highlight w:val="none"/>
          <w:lang w:val="en-US" w:eastAsia="zh-CN"/>
        </w:rPr>
        <w:t>8</w:t>
      </w:r>
      <w:r>
        <w:rPr>
          <w:rFonts w:hint="eastAsia"/>
          <w:highlight w:val="none"/>
        </w:rPr>
        <w:t>进行测试，</w:t>
      </w:r>
      <w:r>
        <w:rPr>
          <w:rFonts w:hint="eastAsia"/>
          <w:highlight w:val="none"/>
          <w:lang w:eastAsia="zh-CN"/>
        </w:rPr>
        <w:t>，纯电动客车用电源管理芯片应具备过流保护功能，</w:t>
      </w:r>
      <w:r>
        <w:rPr>
          <w:rFonts w:hint="eastAsia"/>
          <w:highlight w:val="none"/>
          <w:lang w:val="en-US" w:eastAsia="zh-CN"/>
        </w:rPr>
        <w:t>输出电流超过保护</w:t>
      </w:r>
      <w:r>
        <w:rPr>
          <w:rFonts w:hint="eastAsia"/>
          <w:highlight w:val="none"/>
          <w:lang w:eastAsia="zh-CN"/>
        </w:rPr>
        <w:t>阈值时，快速触发保护动作，限制输出电流幅值或直接关断供电输出。</w:t>
      </w:r>
    </w:p>
    <w:p w14:paraId="1BA0A9F3">
      <w:pPr>
        <w:pStyle w:val="233"/>
        <w:tabs>
          <w:tab w:val="center" w:pos="4201"/>
          <w:tab w:val="right" w:leader="dot" w:pos="9298"/>
        </w:tabs>
        <w:ind w:firstLine="420"/>
        <w:rPr>
          <w:rFonts w:hint="eastAsia" w:eastAsia="宋体"/>
          <w:highlight w:val="none"/>
          <w:lang w:eastAsia="zh-CN"/>
        </w:rPr>
      </w:pPr>
      <w:r>
        <w:rPr>
          <w:strike/>
          <w:dstrike w:val="0"/>
          <w:highlight w:val="none"/>
        </w:rPr>
        <w:t>过流触发电流偏差≤±</w:t>
      </w:r>
      <w:r>
        <w:rPr>
          <w:rFonts w:hint="eastAsia"/>
          <w:strike/>
          <w:dstrike w:val="0"/>
          <w:highlight w:val="none"/>
        </w:rPr>
        <w:t>2</w:t>
      </w:r>
      <w:r>
        <w:rPr>
          <w:strike/>
          <w:dstrike w:val="0"/>
          <w:highlight w:val="none"/>
        </w:rPr>
        <w:t>%，</w:t>
      </w:r>
      <w:r>
        <w:rPr>
          <w:rFonts w:hint="eastAsia"/>
          <w:strike/>
          <w:dstrike w:val="0"/>
          <w:highlight w:val="none"/>
          <w:lang w:val="en-US" w:eastAsia="zh-CN"/>
        </w:rPr>
        <w:t>并</w:t>
      </w:r>
      <w:r>
        <w:rPr>
          <w:strike/>
          <w:dstrike w:val="0"/>
          <w:highlight w:val="none"/>
        </w:rPr>
        <w:t>支持110%-150%额定电流区间的可调节阈值</w:t>
      </w:r>
      <w:r>
        <w:rPr>
          <w:rFonts w:hint="eastAsia"/>
          <w:strike/>
          <w:dstrike w:val="0"/>
          <w:highlight w:val="none"/>
          <w:lang w:eastAsia="zh-CN"/>
        </w:rPr>
        <w:t>，</w:t>
      </w:r>
      <w:r>
        <w:rPr>
          <w:rFonts w:hint="eastAsia"/>
          <w:strike/>
          <w:dstrike w:val="0"/>
          <w:highlight w:val="none"/>
        </w:rPr>
        <w:t>过流保护限流门限由产品标准规定。</w:t>
      </w:r>
      <w:r>
        <w:rPr>
          <w:rFonts w:hint="eastAsia"/>
          <w:highlight w:val="none"/>
        </w:rPr>
        <w:t>进行短路试验时,电源不应损坏,不考虑熔断丝的损坏或失效</w:t>
      </w:r>
      <w:r>
        <w:rPr>
          <w:rFonts w:hint="eastAsia"/>
          <w:highlight w:val="none"/>
          <w:lang w:eastAsia="zh-CN"/>
        </w:rPr>
        <w:t>。</w:t>
      </w:r>
    </w:p>
    <w:p w14:paraId="7DA47F14">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rPr>
          <w:rFonts w:hAnsi="Times New Roman" w:cs="Times New Roman"/>
          <w:highlight w:val="none"/>
        </w:rPr>
      </w:pPr>
      <w:r>
        <w:rPr>
          <w:rFonts w:hint="eastAsia"/>
          <w:highlight w:val="none"/>
        </w:rPr>
        <w:t>过温保护</w:t>
      </w:r>
      <w:r>
        <w:rPr>
          <w:rFonts w:hint="eastAsia" w:hAnsi="Times New Roman" w:cs="Times New Roman"/>
          <w:highlight w:val="none"/>
        </w:rPr>
        <w:t xml:space="preserve">功能 </w:t>
      </w:r>
    </w:p>
    <w:p w14:paraId="656A6BE0">
      <w:pPr>
        <w:pStyle w:val="233"/>
        <w:tabs>
          <w:tab w:val="center" w:pos="4201"/>
          <w:tab w:val="right" w:leader="dot" w:pos="9298"/>
        </w:tabs>
        <w:ind w:firstLine="420"/>
        <w:rPr>
          <w:rFonts w:hint="eastAsia"/>
          <w:highlight w:val="none"/>
        </w:rPr>
      </w:pPr>
      <w:r>
        <w:rPr>
          <w:rFonts w:hint="eastAsia"/>
          <w:highlight w:val="none"/>
        </w:rPr>
        <w:tab/>
      </w:r>
      <w:r>
        <w:rPr>
          <w:rFonts w:hint="eastAsia"/>
          <w:highlight w:val="none"/>
        </w:rPr>
        <w:t>按照6.1.</w:t>
      </w:r>
      <w:r>
        <w:rPr>
          <w:rFonts w:hint="eastAsia"/>
          <w:highlight w:val="none"/>
          <w:lang w:val="en-US" w:eastAsia="zh-CN"/>
        </w:rPr>
        <w:t>9</w:t>
      </w:r>
      <w:r>
        <w:rPr>
          <w:rFonts w:hint="eastAsia"/>
          <w:highlight w:val="none"/>
        </w:rPr>
        <w:t>进行测试，纯电动客车用电源管理芯片应具备过温保护功能，芯片实时监测内部温度，</w:t>
      </w:r>
    </w:p>
    <w:p w14:paraId="7C912B37">
      <w:pPr>
        <w:pStyle w:val="233"/>
        <w:tabs>
          <w:tab w:val="center" w:pos="4201"/>
          <w:tab w:val="right" w:leader="dot" w:pos="9298"/>
        </w:tabs>
        <w:ind w:firstLine="420"/>
        <w:rPr>
          <w:rFonts w:hint="eastAsia"/>
          <w:highlight w:val="none"/>
        </w:rPr>
      </w:pPr>
      <w:r>
        <w:rPr>
          <w:rFonts w:hint="eastAsia"/>
          <w:highlight w:val="none"/>
        </w:rPr>
        <w:t>超温时自动关停或降功率运行，防止高温损坏器件，温度恢复后自动复位工作。</w:t>
      </w:r>
    </w:p>
    <w:p w14:paraId="2AAC1E20">
      <w:pPr>
        <w:pStyle w:val="233"/>
        <w:tabs>
          <w:tab w:val="center" w:pos="4201"/>
          <w:tab w:val="right" w:leader="dot" w:pos="9298"/>
        </w:tabs>
        <w:ind w:firstLine="420"/>
        <w:rPr>
          <w:strike/>
          <w:dstrike w:val="0"/>
          <w:highlight w:val="none"/>
        </w:rPr>
      </w:pPr>
      <w:r>
        <w:rPr>
          <w:rFonts w:hint="eastAsia"/>
          <w:strike/>
          <w:dstrike w:val="0"/>
          <w:highlight w:val="none"/>
          <w:lang w:eastAsia="zh-CN"/>
        </w:rPr>
        <w:t>纯电动客车用电源管理芯片</w:t>
      </w:r>
      <w:r>
        <w:rPr>
          <w:rFonts w:hint="eastAsia"/>
          <w:strike/>
          <w:dstrike w:val="0"/>
          <w:highlight w:val="none"/>
        </w:rPr>
        <w:t>应具备过温保护功能，</w:t>
      </w:r>
      <w:r>
        <w:rPr>
          <w:rFonts w:hint="eastAsia"/>
          <w:strike/>
          <w:dstrike w:val="0"/>
          <w:highlight w:val="none"/>
          <w:lang w:val="en-US" w:eastAsia="zh-CN"/>
        </w:rPr>
        <w:t>芯片超过规格书保护阈值触发过温保护动作，自动切断输出或执行限流，降低功率等保护动作，当芯片温度恢复规格书阈值，芯片恢复正常输出</w:t>
      </w:r>
      <w:r>
        <w:rPr>
          <w:rFonts w:hint="eastAsia"/>
          <w:strike/>
          <w:dstrike w:val="0"/>
          <w:color w:val="FF0000"/>
          <w:highlight w:val="none"/>
          <w:lang w:eastAsia="zh-CN"/>
        </w:rPr>
        <w:t>（</w:t>
      </w:r>
      <w:r>
        <w:rPr>
          <w:rFonts w:hint="eastAsia"/>
          <w:strike/>
          <w:dstrike w:val="0"/>
          <w:color w:val="FF0000"/>
          <w:highlight w:val="none"/>
          <w:lang w:val="en-US" w:eastAsia="zh-CN"/>
        </w:rPr>
        <w:t>具体保护状态）</w:t>
      </w:r>
      <w:r>
        <w:rPr>
          <w:rFonts w:hint="eastAsia"/>
          <w:strike/>
          <w:dstrike w:val="0"/>
          <w:highlight w:val="none"/>
        </w:rPr>
        <w:t>其各项性能参数应符合产品规格书的要求。</w:t>
      </w:r>
    </w:p>
    <w:p w14:paraId="280C6ED8">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rPr>
          <w:rFonts w:hAnsi="Times New Roman" w:cs="Times New Roman"/>
          <w:strike w:val="0"/>
          <w:dstrike w:val="0"/>
          <w:highlight w:val="none"/>
        </w:rPr>
      </w:pPr>
      <w:r>
        <w:rPr>
          <w:rFonts w:hint="eastAsia"/>
          <w:highlight w:val="none"/>
        </w:rPr>
        <w:t>短路保护</w:t>
      </w:r>
      <w:r>
        <w:rPr>
          <w:rFonts w:hint="eastAsia" w:hAnsi="Times New Roman" w:cs="Times New Roman"/>
          <w:strike w:val="0"/>
          <w:dstrike w:val="0"/>
          <w:highlight w:val="none"/>
        </w:rPr>
        <w:t xml:space="preserve">功能 </w:t>
      </w:r>
    </w:p>
    <w:p w14:paraId="0005174F">
      <w:pPr>
        <w:pStyle w:val="233"/>
        <w:tabs>
          <w:tab w:val="center" w:pos="4201"/>
          <w:tab w:val="right" w:leader="dot" w:pos="9298"/>
        </w:tabs>
        <w:ind w:firstLine="420"/>
        <w:rPr>
          <w:strike/>
          <w:dstrike w:val="0"/>
          <w:highlight w:val="none"/>
        </w:rPr>
      </w:pPr>
      <w:r>
        <w:rPr>
          <w:rFonts w:hint="eastAsia"/>
          <w:highlight w:val="none"/>
        </w:rPr>
        <w:tab/>
      </w:r>
      <w:r>
        <w:rPr>
          <w:rFonts w:hint="eastAsia"/>
          <w:highlight w:val="none"/>
        </w:rPr>
        <w:t>按照6.1.</w:t>
      </w:r>
      <w:r>
        <w:rPr>
          <w:rFonts w:hint="eastAsia"/>
          <w:highlight w:val="none"/>
          <w:lang w:val="en-US" w:eastAsia="zh-CN"/>
        </w:rPr>
        <w:t>10</w:t>
      </w:r>
      <w:r>
        <w:rPr>
          <w:rFonts w:hint="eastAsia"/>
          <w:highlight w:val="none"/>
        </w:rPr>
        <w:t>进行测试，</w:t>
      </w:r>
      <w:r>
        <w:rPr>
          <w:rFonts w:hint="eastAsia"/>
          <w:highlight w:val="none"/>
          <w:lang w:eastAsia="zh-CN"/>
        </w:rPr>
        <w:t>纯电动客车用电源管理芯片纯电动客车用电源管理芯片应具备短路保护功能，可识别输出短路故障，限制大电流并切断输出，规避短路引发器件损坏。</w:t>
      </w:r>
      <w:r>
        <w:rPr>
          <w:rFonts w:hint="eastAsia"/>
          <w:strike/>
          <w:dstrike w:val="0"/>
          <w:highlight w:val="none"/>
        </w:rPr>
        <w:t>应具备短路保护功能，其各项性能参数</w:t>
      </w:r>
      <w:r>
        <w:rPr>
          <w:rFonts w:hint="eastAsia"/>
          <w:strike/>
          <w:dstrike w:val="0"/>
          <w:highlight w:val="none"/>
          <w:lang w:eastAsia="zh-CN"/>
        </w:rPr>
        <w:t>应符合产品规格书的要求</w:t>
      </w:r>
      <w:r>
        <w:rPr>
          <w:rFonts w:hint="eastAsia"/>
          <w:strike/>
          <w:dstrike w:val="0"/>
          <w:highlight w:val="none"/>
        </w:rPr>
        <w:t>。</w:t>
      </w:r>
    </w:p>
    <w:p w14:paraId="5E5BE613">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rPr>
          <w:rFonts w:hAnsi="Times New Roman" w:cs="Times New Roman"/>
          <w:strike w:val="0"/>
          <w:dstrike w:val="0"/>
          <w:highlight w:val="none"/>
        </w:rPr>
      </w:pPr>
      <w:r>
        <w:rPr>
          <w:rFonts w:hint="eastAsia"/>
          <w:highlight w:val="none"/>
        </w:rPr>
        <w:t>控制</w:t>
      </w:r>
      <w:r>
        <w:rPr>
          <w:rFonts w:hint="eastAsia" w:hAnsi="Times New Roman" w:cs="Times New Roman"/>
          <w:strike w:val="0"/>
          <w:dstrike w:val="0"/>
          <w:highlight w:val="none"/>
        </w:rPr>
        <w:t xml:space="preserve">功能 </w:t>
      </w:r>
    </w:p>
    <w:p w14:paraId="06963F79">
      <w:pPr>
        <w:pStyle w:val="233"/>
        <w:tabs>
          <w:tab w:val="center" w:pos="4201"/>
          <w:tab w:val="right" w:leader="dot" w:pos="9298"/>
        </w:tabs>
        <w:ind w:firstLine="420"/>
        <w:rPr>
          <w:highlight w:val="none"/>
        </w:rPr>
      </w:pPr>
      <w:r>
        <w:rPr>
          <w:rFonts w:hint="eastAsia"/>
          <w:highlight w:val="none"/>
        </w:rPr>
        <w:tab/>
      </w:r>
      <w:r>
        <w:rPr>
          <w:rFonts w:hint="eastAsia"/>
          <w:highlight w:val="none"/>
        </w:rPr>
        <w:t>按照6.1.</w:t>
      </w:r>
      <w:r>
        <w:rPr>
          <w:rFonts w:hint="eastAsia"/>
          <w:highlight w:val="none"/>
          <w:lang w:val="en-US" w:eastAsia="zh-CN"/>
        </w:rPr>
        <w:t>11</w:t>
      </w:r>
      <w:r>
        <w:rPr>
          <w:rFonts w:hint="eastAsia"/>
          <w:highlight w:val="none"/>
        </w:rPr>
        <w:t>进行测试，控制功能宜包括电源时序控制功能、低功耗模式管理功能、故障诊断功能、</w:t>
      </w:r>
      <w:r>
        <w:rPr>
          <w:rFonts w:hint="eastAsia"/>
          <w:highlight w:val="none"/>
          <w:lang w:val="en-US" w:eastAsia="zh-CN"/>
        </w:rPr>
        <w:t>电</w:t>
      </w:r>
      <w:r>
        <w:rPr>
          <w:rFonts w:hint="eastAsia"/>
          <w:highlight w:val="none"/>
        </w:rPr>
        <w:t>源</w:t>
      </w:r>
      <w:r>
        <w:rPr>
          <w:rFonts w:hint="eastAsia"/>
          <w:highlight w:val="none"/>
          <w:lang w:val="en-US" w:eastAsia="zh-CN"/>
        </w:rPr>
        <w:t>管理</w:t>
      </w:r>
      <w:r>
        <w:rPr>
          <w:rFonts w:hint="eastAsia"/>
          <w:highlight w:val="none"/>
        </w:rPr>
        <w:t>芯片应集成窗口看门狗或独立看门狗</w:t>
      </w:r>
      <w:r>
        <w:rPr>
          <w:rFonts w:hint="eastAsia"/>
          <w:highlight w:val="none"/>
          <w:lang w:eastAsia="zh-CN"/>
        </w:rPr>
        <w:t>，</w:t>
      </w:r>
      <w:r>
        <w:rPr>
          <w:rFonts w:hint="eastAsia"/>
          <w:highlight w:val="none"/>
          <w:lang w:val="en-US" w:eastAsia="zh-CN"/>
        </w:rPr>
        <w:t>保证芯片正常工作</w:t>
      </w:r>
      <w:r>
        <w:rPr>
          <w:rFonts w:hint="eastAsia"/>
          <w:highlight w:val="none"/>
        </w:rPr>
        <w:t>。</w:t>
      </w:r>
    </w:p>
    <w:p w14:paraId="4D0DBAC1">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rPr>
          <w:rFonts w:hAnsi="Times New Roman" w:cs="Times New Roman"/>
          <w:strike w:val="0"/>
          <w:dstrike w:val="0"/>
          <w:highlight w:val="none"/>
        </w:rPr>
      </w:pPr>
      <w:r>
        <w:rPr>
          <w:rFonts w:hint="eastAsia"/>
          <w:highlight w:val="none"/>
        </w:rPr>
        <w:t>通信</w:t>
      </w:r>
      <w:r>
        <w:rPr>
          <w:rFonts w:hint="eastAsia" w:hAnsi="Times New Roman" w:cs="Times New Roman"/>
          <w:strike w:val="0"/>
          <w:dstrike w:val="0"/>
          <w:highlight w:val="none"/>
        </w:rPr>
        <w:t xml:space="preserve">功能 </w:t>
      </w:r>
    </w:p>
    <w:p w14:paraId="22C267FD">
      <w:pPr>
        <w:pStyle w:val="233"/>
        <w:tabs>
          <w:tab w:val="center" w:pos="4201"/>
          <w:tab w:val="right" w:leader="dot" w:pos="9298"/>
        </w:tabs>
        <w:ind w:firstLine="420"/>
        <w:rPr>
          <w:highlight w:val="none"/>
        </w:rPr>
      </w:pPr>
      <w:r>
        <w:rPr>
          <w:rFonts w:hint="eastAsia"/>
          <w:highlight w:val="none"/>
        </w:rPr>
        <w:t>按照6.1.</w:t>
      </w:r>
      <w:r>
        <w:rPr>
          <w:rFonts w:hint="eastAsia"/>
          <w:highlight w:val="none"/>
          <w:lang w:val="en-US" w:eastAsia="zh-CN"/>
        </w:rPr>
        <w:t>12</w:t>
      </w:r>
      <w:r>
        <w:rPr>
          <w:rFonts w:hint="eastAsia"/>
          <w:highlight w:val="none"/>
        </w:rPr>
        <w:t>进行测试，宜支持通信功能。通信功能至少应支持</w:t>
      </w:r>
      <w:r>
        <w:rPr>
          <w:highlight w:val="none"/>
        </w:rPr>
        <w:t>CAN/LIN/</w:t>
      </w:r>
      <w:r>
        <w:rPr>
          <w:rFonts w:hint="eastAsia"/>
          <w:highlight w:val="none"/>
        </w:rPr>
        <w:t>中的一种</w:t>
      </w:r>
      <w:r>
        <w:rPr>
          <w:highlight w:val="none"/>
        </w:rPr>
        <w:t>通信协议</w:t>
      </w:r>
      <w:r>
        <w:rPr>
          <w:rFonts w:hint="eastAsia"/>
          <w:highlight w:val="none"/>
        </w:rPr>
        <w:t>。</w:t>
      </w:r>
    </w:p>
    <w:p w14:paraId="2D43440E">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rPr>
          <w:strike/>
          <w:dstrike w:val="0"/>
          <w:highlight w:val="none"/>
        </w:rPr>
      </w:pPr>
      <w:r>
        <w:rPr>
          <w:rFonts w:hint="eastAsia"/>
          <w:strike/>
          <w:dstrike w:val="0"/>
          <w:highlight w:val="none"/>
        </w:rPr>
        <w:t>电源软启动</w:t>
      </w:r>
    </w:p>
    <w:p w14:paraId="08969EC3">
      <w:pPr>
        <w:pStyle w:val="2"/>
        <w:rPr>
          <w:rFonts w:hint="eastAsia" w:ascii="宋体" w:hAnsi="宋体" w:eastAsia="宋体" w:cs="宋体"/>
          <w:strike/>
          <w:dstrike w:val="0"/>
          <w:sz w:val="21"/>
          <w:highlight w:val="none"/>
          <w:lang w:eastAsia="zh-CN"/>
        </w:rPr>
      </w:pPr>
      <w:r>
        <w:rPr>
          <w:rFonts w:hint="eastAsia" w:ascii="宋体" w:hAnsi="宋体" w:eastAsia="宋体" w:cs="宋体"/>
          <w:strike/>
          <w:dstrike w:val="0"/>
          <w:sz w:val="21"/>
          <w:highlight w:val="none"/>
          <w:lang w:eastAsia="zh-CN"/>
        </w:rPr>
        <w:t>纯电动客车用电源管理芯片</w:t>
      </w:r>
      <w:r>
        <w:rPr>
          <w:rFonts w:hint="eastAsia" w:ascii="宋体" w:hAnsi="宋体" w:eastAsia="宋体" w:cs="宋体"/>
          <w:strike/>
          <w:dstrike w:val="0"/>
          <w:sz w:val="21"/>
          <w:highlight w:val="none"/>
        </w:rPr>
        <w:t>应具备应具备</w:t>
      </w:r>
      <w:r>
        <w:rPr>
          <w:rFonts w:hint="eastAsia" w:ascii="宋体" w:hAnsi="宋体" w:eastAsia="宋体" w:cs="宋体"/>
          <w:strike/>
          <w:dstrike w:val="0"/>
          <w:sz w:val="21"/>
          <w:highlight w:val="none"/>
          <w:lang w:val="en-US" w:eastAsia="zh-CN"/>
        </w:rPr>
        <w:t>电源</w:t>
      </w:r>
      <w:r>
        <w:rPr>
          <w:rFonts w:hint="eastAsia" w:ascii="宋体" w:hAnsi="宋体" w:eastAsia="宋体" w:cs="宋体"/>
          <w:strike/>
          <w:dstrike w:val="0"/>
          <w:sz w:val="21"/>
          <w:highlight w:val="none"/>
        </w:rPr>
        <w:t>软启动调节功能</w:t>
      </w:r>
      <w:r>
        <w:rPr>
          <w:rFonts w:hint="eastAsia" w:ascii="宋体" w:hAnsi="宋体" w:eastAsia="宋体" w:cs="宋体"/>
          <w:strike/>
          <w:dstrike w:val="0"/>
          <w:sz w:val="21"/>
          <w:highlight w:val="none"/>
          <w:lang w:eastAsia="zh-CN"/>
        </w:rPr>
        <w:t>（</w:t>
      </w:r>
      <w:r>
        <w:rPr>
          <w:rFonts w:hint="eastAsia" w:ascii="宋体" w:hAnsi="宋体" w:eastAsia="宋体" w:cs="宋体"/>
          <w:strike/>
          <w:dstrike w:val="0"/>
          <w:sz w:val="21"/>
          <w:highlight w:val="none"/>
          <w:lang w:val="en-US" w:eastAsia="zh-CN"/>
        </w:rPr>
        <w:t>定义一下</w:t>
      </w:r>
      <w:r>
        <w:rPr>
          <w:rFonts w:hint="eastAsia" w:ascii="宋体" w:hAnsi="宋体" w:eastAsia="宋体" w:cs="宋体"/>
          <w:strike/>
          <w:dstrike w:val="0"/>
          <w:sz w:val="21"/>
          <w:highlight w:val="none"/>
          <w:lang w:eastAsia="zh-CN"/>
        </w:rPr>
        <w:t>）</w:t>
      </w:r>
      <w:r>
        <w:rPr>
          <w:rFonts w:hint="eastAsia" w:ascii="宋体" w:hAnsi="宋体" w:eastAsia="宋体" w:cs="宋体"/>
          <w:strike/>
          <w:dstrike w:val="0"/>
          <w:sz w:val="21"/>
          <w:highlight w:val="none"/>
        </w:rPr>
        <w:t>，启动时间可调范围</w:t>
      </w:r>
      <w:r>
        <w:rPr>
          <w:rFonts w:hint="eastAsia" w:ascii="宋体" w:hAnsi="宋体" w:eastAsia="宋体" w:cs="宋体"/>
          <w:strike/>
          <w:dstrike w:val="0"/>
          <w:sz w:val="21"/>
          <w:highlight w:val="none"/>
          <w:lang w:eastAsia="zh-CN"/>
        </w:rPr>
        <w:t>（</w:t>
      </w:r>
      <w:r>
        <w:rPr>
          <w:rFonts w:hint="eastAsia" w:ascii="宋体" w:hAnsi="宋体" w:eastAsia="宋体" w:cs="宋体"/>
          <w:strike/>
          <w:dstrike w:val="0"/>
          <w:sz w:val="21"/>
          <w:highlight w:val="none"/>
        </w:rPr>
        <w:t>0</w:t>
      </w:r>
      <w:r>
        <w:rPr>
          <w:rFonts w:hint="eastAsia" w:ascii="宋体" w:hAnsi="宋体" w:eastAsia="宋体" w:cs="宋体"/>
          <w:strike/>
          <w:dstrike w:val="0"/>
          <w:sz w:val="20"/>
          <w:szCs w:val="20"/>
          <w:highlight w:val="none"/>
        </w:rPr>
        <w:t>～</w:t>
      </w:r>
      <w:r>
        <w:rPr>
          <w:rFonts w:hint="eastAsia" w:ascii="宋体" w:hAnsi="宋体" w:eastAsia="宋体" w:cs="宋体"/>
          <w:strike/>
          <w:dstrike w:val="0"/>
          <w:sz w:val="21"/>
          <w:highlight w:val="none"/>
        </w:rPr>
        <w:t>6.3</w:t>
      </w:r>
      <w:r>
        <w:rPr>
          <w:rFonts w:hint="eastAsia" w:ascii="宋体" w:hAnsi="宋体" w:eastAsia="宋体" w:cs="宋体"/>
          <w:strike/>
          <w:dstrike w:val="0"/>
          <w:sz w:val="21"/>
          <w:highlight w:val="none"/>
          <w:lang w:eastAsia="zh-CN"/>
        </w:rPr>
        <w:t>）</w:t>
      </w:r>
      <w:r>
        <w:rPr>
          <w:rFonts w:hint="eastAsia" w:ascii="宋体" w:hAnsi="宋体" w:eastAsia="宋体" w:cs="宋体"/>
          <w:strike/>
          <w:dstrike w:val="0"/>
          <w:sz w:val="21"/>
          <w:highlight w:val="none"/>
        </w:rPr>
        <w:t>ms</w:t>
      </w:r>
      <w:r>
        <w:rPr>
          <w:rFonts w:hint="eastAsia" w:ascii="宋体" w:hAnsi="宋体" w:eastAsia="宋体" w:cs="宋体"/>
          <w:strike/>
          <w:dstrike w:val="0"/>
          <w:sz w:val="21"/>
          <w:highlight w:val="none"/>
          <w:lang w:eastAsia="zh-CN"/>
        </w:rPr>
        <w:t>。</w:t>
      </w:r>
    </w:p>
    <w:p w14:paraId="05327FE1">
      <w:pPr>
        <w:pStyle w:val="107"/>
        <w:spacing w:before="120" w:after="120"/>
        <w:rPr>
          <w:highlight w:val="none"/>
        </w:rPr>
      </w:pPr>
      <w:bookmarkStart w:id="52" w:name="_Toc298"/>
      <w:bookmarkStart w:id="53" w:name="_Toc3139"/>
      <w:r>
        <w:rPr>
          <w:rFonts w:hint="eastAsia"/>
          <w:highlight w:val="none"/>
        </w:rPr>
        <w:t>性能要求</w:t>
      </w:r>
      <w:bookmarkEnd w:id="52"/>
      <w:bookmarkEnd w:id="53"/>
    </w:p>
    <w:p w14:paraId="7D608020">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rPr>
          <w:highlight w:val="none"/>
        </w:rPr>
      </w:pPr>
      <w:r>
        <w:rPr>
          <w:rFonts w:hint="eastAsia"/>
          <w:strike w:val="0"/>
          <w:dstrike w:val="0"/>
          <w:highlight w:val="none"/>
        </w:rPr>
        <w:t>电源软启动</w:t>
      </w:r>
      <w:r>
        <w:rPr>
          <w:rFonts w:hint="eastAsia"/>
          <w:strike w:val="0"/>
          <w:dstrike w:val="0"/>
          <w:highlight w:val="none"/>
          <w:lang w:val="en-US" w:eastAsia="zh-CN"/>
        </w:rPr>
        <w:t>时间</w:t>
      </w:r>
    </w:p>
    <w:p w14:paraId="7A203DF6">
      <w:pPr>
        <w:pStyle w:val="233"/>
        <w:tabs>
          <w:tab w:val="center" w:pos="4201"/>
          <w:tab w:val="right" w:leader="dot" w:pos="9298"/>
        </w:tabs>
        <w:ind w:firstLine="420"/>
        <w:rPr>
          <w:strike/>
          <w:dstrike w:val="0"/>
          <w:highlight w:val="none"/>
        </w:rPr>
      </w:pPr>
      <w:r>
        <w:rPr>
          <w:rFonts w:hint="eastAsia"/>
          <w:strike/>
          <w:dstrike w:val="0"/>
          <w:highlight w:val="none"/>
        </w:rPr>
        <w:t>按照6.2.1进行测试，纯电动客车用电源管理芯片供电启动时间应不超过2</w:t>
      </w:r>
      <w:r>
        <w:rPr>
          <w:rFonts w:hint="eastAsia"/>
          <w:strike/>
          <w:dstrike w:val="0"/>
          <w:highlight w:val="none"/>
          <w:lang w:val="en-US" w:eastAsia="zh-CN"/>
        </w:rPr>
        <w:t xml:space="preserve"> </w:t>
      </w:r>
      <w:r>
        <w:rPr>
          <w:rFonts w:hint="eastAsia"/>
          <w:strike/>
          <w:dstrike w:val="0"/>
          <w:highlight w:val="none"/>
        </w:rPr>
        <w:t xml:space="preserve">ms。 </w:t>
      </w:r>
    </w:p>
    <w:p w14:paraId="41F60DC3">
      <w:pPr>
        <w:pStyle w:val="233"/>
        <w:tabs>
          <w:tab w:val="center" w:pos="4201"/>
          <w:tab w:val="right" w:leader="dot" w:pos="9298"/>
        </w:tabs>
        <w:ind w:left="780" w:leftChars="200" w:hanging="360" w:hangingChars="200"/>
        <w:rPr>
          <w:rFonts w:hint="eastAsia" w:ascii="宋体" w:hAnsi="宋体" w:eastAsia="宋体" w:cs="宋体"/>
          <w:strike/>
          <w:dstrike w:val="0"/>
          <w:sz w:val="18"/>
          <w:szCs w:val="18"/>
          <w:highlight w:val="none"/>
        </w:rPr>
      </w:pPr>
      <w:r>
        <w:rPr>
          <w:rFonts w:hint="eastAsia" w:ascii="黑体" w:hAnsi="黑体" w:eastAsia="黑体" w:cs="黑体"/>
          <w:strike/>
          <w:dstrike w:val="0"/>
          <w:sz w:val="18"/>
          <w:szCs w:val="18"/>
          <w:highlight w:val="none"/>
        </w:rPr>
        <w:t>注</w:t>
      </w:r>
      <w:r>
        <w:rPr>
          <w:rFonts w:hint="eastAsia" w:ascii="宋体" w:hAnsi="宋体" w:eastAsia="宋体" w:cs="宋体"/>
          <w:strike/>
          <w:dstrike w:val="0"/>
          <w:sz w:val="18"/>
          <w:szCs w:val="18"/>
          <w:highlight w:val="none"/>
        </w:rPr>
        <w:t>：供电启动时间指芯片从上电开始至输出电压稳定在目标值±2%范围内的时间。</w:t>
      </w:r>
    </w:p>
    <w:p w14:paraId="1BDF7CE4">
      <w:pPr>
        <w:pStyle w:val="2"/>
        <w:rPr>
          <w:rFonts w:hint="eastAsia" w:ascii="宋体" w:hAnsi="宋体" w:eastAsia="宋体" w:cs="宋体"/>
          <w:strike w:val="0"/>
          <w:dstrike w:val="0"/>
          <w:sz w:val="21"/>
          <w:highlight w:val="none"/>
          <w:lang w:eastAsia="zh-CN"/>
        </w:rPr>
      </w:pPr>
      <w:r>
        <w:rPr>
          <w:rFonts w:hint="eastAsia" w:ascii="宋体" w:hAnsi="宋体" w:eastAsia="宋体" w:cs="宋体"/>
          <w:strike w:val="0"/>
          <w:dstrike w:val="0"/>
          <w:sz w:val="21"/>
          <w:highlight w:val="none"/>
        </w:rPr>
        <w:t>按照6.2.1进行测试，纯电动客车用电源管理芯片启动时间可调范围</w:t>
      </w:r>
      <w:r>
        <w:rPr>
          <w:rFonts w:hint="eastAsia" w:ascii="宋体" w:hAnsi="宋体" w:eastAsia="宋体" w:cs="宋体"/>
          <w:strike w:val="0"/>
          <w:dstrike w:val="0"/>
          <w:sz w:val="21"/>
          <w:highlight w:val="none"/>
          <w:lang w:val="en-US" w:eastAsia="zh-CN"/>
        </w:rPr>
        <w:t>应符合电源管理芯片规格书要求</w:t>
      </w:r>
      <w:r>
        <w:rPr>
          <w:rFonts w:hint="eastAsia" w:ascii="宋体" w:hAnsi="宋体" w:eastAsia="宋体" w:cs="宋体"/>
          <w:strike w:val="0"/>
          <w:dstrike w:val="0"/>
          <w:sz w:val="21"/>
          <w:highlight w:val="none"/>
          <w:lang w:eastAsia="zh-CN"/>
        </w:rPr>
        <w:t>。</w:t>
      </w:r>
    </w:p>
    <w:p w14:paraId="3E474A0D">
      <w:pPr>
        <w:pStyle w:val="233"/>
        <w:tabs>
          <w:tab w:val="center" w:pos="4201"/>
          <w:tab w:val="right" w:leader="dot" w:pos="9298"/>
        </w:tabs>
        <w:ind w:left="780" w:leftChars="200" w:hanging="360" w:hangingChars="200"/>
        <w:rPr>
          <w:rFonts w:hint="eastAsia" w:ascii="宋体" w:hAnsi="宋体" w:eastAsia="宋体" w:cs="宋体"/>
          <w:strike/>
          <w:dstrike w:val="0"/>
          <w:sz w:val="18"/>
          <w:szCs w:val="18"/>
          <w:highlight w:val="none"/>
        </w:rPr>
      </w:pPr>
    </w:p>
    <w:p w14:paraId="177AD460">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rPr>
          <w:highlight w:val="none"/>
        </w:rPr>
      </w:pPr>
      <w:r>
        <w:rPr>
          <w:rFonts w:hint="eastAsia"/>
          <w:highlight w:val="none"/>
        </w:rPr>
        <w:t>静态电流</w:t>
      </w:r>
    </w:p>
    <w:p w14:paraId="5E3214E1">
      <w:pPr>
        <w:keepNext w:val="0"/>
        <w:keepLines w:val="0"/>
        <w:widowControl/>
        <w:suppressLineNumbers w:val="0"/>
        <w:jc w:val="left"/>
        <w:rPr>
          <w:strike/>
          <w:highlight w:val="none"/>
        </w:rPr>
      </w:pPr>
      <w:r>
        <w:rPr>
          <w:rFonts w:hint="eastAsia"/>
          <w:highlight w:val="none"/>
        </w:rPr>
        <w:t>按照6.2.2进行测试，纯电动客车用电源管理芯片</w:t>
      </w:r>
      <w:r>
        <w:rPr>
          <w:rFonts w:hint="eastAsia"/>
          <w:highlight w:val="none"/>
          <w:lang w:eastAsia="zh-CN"/>
        </w:rPr>
        <w:t>，</w:t>
      </w:r>
      <w:r>
        <w:rPr>
          <w:rFonts w:hint="eastAsia"/>
          <w:highlight w:val="none"/>
          <w:lang w:val="en-US" w:eastAsia="zh-CN"/>
        </w:rPr>
        <w:t>在额定输入电压和规定负载条件下，</w:t>
      </w:r>
      <w:r>
        <w:rPr>
          <w:rFonts w:hint="eastAsia"/>
          <w:highlight w:val="none"/>
        </w:rPr>
        <w:t>电源管理芯片</w:t>
      </w:r>
      <w:r>
        <w:rPr>
          <w:rFonts w:hint="eastAsia"/>
          <w:highlight w:val="none"/>
          <w:lang w:val="en-US" w:eastAsia="zh-CN"/>
        </w:rPr>
        <w:t>处于稳态，无开关动作，无输出电流时的状态，</w:t>
      </w:r>
      <w:r>
        <w:rPr>
          <w:rFonts w:hint="eastAsia"/>
          <w:highlight w:val="none"/>
        </w:rPr>
        <w:t>静态电流要求应不大于400μA。</w:t>
      </w:r>
    </w:p>
    <w:p w14:paraId="4257E9CF">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rPr>
          <w:highlight w:val="none"/>
        </w:rPr>
      </w:pPr>
      <w:r>
        <w:rPr>
          <w:rFonts w:hint="eastAsia"/>
          <w:highlight w:val="none"/>
        </w:rPr>
        <w:t>异常反应时间</w:t>
      </w:r>
    </w:p>
    <w:p w14:paraId="41B17D85">
      <w:pPr>
        <w:pStyle w:val="233"/>
        <w:tabs>
          <w:tab w:val="center" w:pos="4201"/>
          <w:tab w:val="right" w:leader="dot" w:pos="9298"/>
        </w:tabs>
        <w:ind w:firstLine="420"/>
        <w:rPr>
          <w:highlight w:val="none"/>
        </w:rPr>
      </w:pPr>
      <w:r>
        <w:rPr>
          <w:rFonts w:hint="eastAsia"/>
          <w:highlight w:val="none"/>
        </w:rPr>
        <w:t>按照6.2.3进行测试，纯电动客车用电源管理芯片供电异常反应时间应不超过80μs。</w:t>
      </w:r>
    </w:p>
    <w:p w14:paraId="5129308E">
      <w:pPr>
        <w:pStyle w:val="233"/>
        <w:tabs>
          <w:tab w:val="center" w:pos="4201"/>
          <w:tab w:val="right" w:leader="dot" w:pos="9298"/>
        </w:tabs>
        <w:ind w:left="780" w:leftChars="200" w:hanging="360" w:hangingChars="200"/>
        <w:rPr>
          <w:sz w:val="18"/>
          <w:szCs w:val="18"/>
          <w:highlight w:val="none"/>
        </w:rPr>
      </w:pPr>
      <w:r>
        <w:rPr>
          <w:rFonts w:hint="eastAsia" w:ascii="黑体" w:hAnsi="黑体" w:eastAsia="黑体" w:cs="黑体"/>
          <w:sz w:val="18"/>
          <w:szCs w:val="18"/>
          <w:highlight w:val="none"/>
        </w:rPr>
        <w:t>注</w:t>
      </w:r>
      <w:r>
        <w:rPr>
          <w:rFonts w:hint="eastAsia"/>
          <w:sz w:val="18"/>
          <w:szCs w:val="18"/>
          <w:highlight w:val="none"/>
        </w:rPr>
        <w:t>：供电异常反应时间指从纯电动客车用电源管理芯片处于供电异常（过压、欠压、短路等且不影响上报功能的异常）至保护功能结束。</w:t>
      </w:r>
    </w:p>
    <w:p w14:paraId="34389E3D">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rPr>
          <w:highlight w:val="none"/>
        </w:rPr>
      </w:pPr>
      <w:r>
        <w:rPr>
          <w:rFonts w:hint="eastAsia"/>
          <w:highlight w:val="none"/>
        </w:rPr>
        <w:t>温度监测性能</w:t>
      </w:r>
    </w:p>
    <w:p w14:paraId="7B1B5E27">
      <w:pPr>
        <w:pStyle w:val="233"/>
        <w:tabs>
          <w:tab w:val="center" w:pos="4201"/>
          <w:tab w:val="right" w:leader="dot" w:pos="9298"/>
        </w:tabs>
        <w:ind w:firstLine="420"/>
        <w:rPr>
          <w:highlight w:val="none"/>
        </w:rPr>
      </w:pPr>
      <w:r>
        <w:rPr>
          <w:rFonts w:hint="eastAsia"/>
          <w:highlight w:val="none"/>
        </w:rPr>
        <w:t>按照6.2.4进行测试，纯电动客车用电源管理芯片在全工作温度范围内精度误差应不大于±3℃。</w:t>
      </w:r>
    </w:p>
    <w:p w14:paraId="63F7EFC2">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rPr>
          <w:highlight w:val="none"/>
        </w:rPr>
      </w:pPr>
      <w:r>
        <w:rPr>
          <w:rFonts w:hint="eastAsia"/>
          <w:highlight w:val="none"/>
        </w:rPr>
        <w:t>负载调整率</w:t>
      </w:r>
    </w:p>
    <w:p w14:paraId="2E2D5EF6">
      <w:pPr>
        <w:pStyle w:val="233"/>
        <w:tabs>
          <w:tab w:val="center" w:pos="4201"/>
          <w:tab w:val="right" w:leader="dot" w:pos="9298"/>
        </w:tabs>
        <w:ind w:firstLine="420"/>
        <w:rPr>
          <w:rFonts w:hint="eastAsia"/>
          <w:highlight w:val="none"/>
        </w:rPr>
      </w:pPr>
      <w:r>
        <w:rPr>
          <w:rFonts w:hint="eastAsia"/>
          <w:highlight w:val="none"/>
        </w:rPr>
        <w:t>按6.2.5进行测试，纯电动客车用电源管理芯片</w:t>
      </w:r>
      <w:r>
        <w:rPr>
          <w:rFonts w:hint="eastAsia"/>
          <w:highlight w:val="none"/>
          <w:lang w:val="en-US" w:eastAsia="zh-CN"/>
        </w:rPr>
        <w:t>负载变化引起的额定输出电压的变化率(</w:t>
      </w:r>
    </w:p>
    <w:p w14:paraId="39B5CD67">
      <w:pPr>
        <w:pStyle w:val="233"/>
        <w:tabs>
          <w:tab w:val="center" w:pos="4201"/>
          <w:tab w:val="right" w:leader="dot" w:pos="9298"/>
        </w:tabs>
        <w:ind w:firstLine="420"/>
        <w:rPr>
          <w:highlight w:val="none"/>
        </w:rPr>
      </w:pPr>
      <w:r>
        <w:rPr>
          <w:rFonts w:hint="eastAsia"/>
          <w:highlight w:val="none"/>
          <w:lang w:val="en-US" w:eastAsia="zh-CN"/>
        </w:rPr>
        <w:t>0~100%额定电流范围)</w:t>
      </w:r>
      <w:r>
        <w:rPr>
          <w:rFonts w:hint="eastAsia"/>
          <w:highlight w:val="none"/>
          <w:lang w:eastAsia="zh-CN"/>
        </w:rPr>
        <w:t>，</w:t>
      </w:r>
      <w:r>
        <w:rPr>
          <w:rFonts w:hint="eastAsia"/>
          <w:highlight w:val="none"/>
        </w:rPr>
        <w:t>负载调整率偏差≤±2%</w:t>
      </w:r>
    </w:p>
    <w:p w14:paraId="0E95BFCA">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rPr>
          <w:highlight w:val="none"/>
        </w:rPr>
      </w:pPr>
      <w:r>
        <w:rPr>
          <w:rFonts w:hint="eastAsia"/>
          <w:highlight w:val="none"/>
        </w:rPr>
        <w:t>线性调整率</w:t>
      </w:r>
    </w:p>
    <w:p w14:paraId="21EB53EB">
      <w:pPr>
        <w:pStyle w:val="233"/>
        <w:tabs>
          <w:tab w:val="center" w:pos="4201"/>
          <w:tab w:val="right" w:leader="dot" w:pos="9298"/>
        </w:tabs>
        <w:ind w:firstLine="420"/>
        <w:rPr>
          <w:highlight w:val="none"/>
        </w:rPr>
      </w:pPr>
      <w:r>
        <w:rPr>
          <w:rFonts w:hint="eastAsia"/>
          <w:highlight w:val="none"/>
        </w:rPr>
        <w:t>按6.2.6进行测试，纯电动客车用电源管理芯片输入电压在额定值±10%范围内变化时，输出电压偏差≤±</w:t>
      </w:r>
      <w:r>
        <w:rPr>
          <w:rFonts w:hint="eastAsia"/>
          <w:highlight w:val="none"/>
          <w:lang w:val="en-US" w:eastAsia="zh-CN"/>
        </w:rPr>
        <w:t>2</w:t>
      </w:r>
      <w:r>
        <w:rPr>
          <w:rFonts w:hint="eastAsia"/>
          <w:highlight w:val="none"/>
        </w:rPr>
        <w:t>%</w:t>
      </w:r>
    </w:p>
    <w:p w14:paraId="5BFF264D">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rPr>
          <w:highlight w:val="none"/>
        </w:rPr>
      </w:pPr>
      <w:r>
        <w:rPr>
          <w:rFonts w:hint="eastAsia"/>
          <w:highlight w:val="none"/>
        </w:rPr>
        <w:t>电压漂移</w:t>
      </w:r>
    </w:p>
    <w:p w14:paraId="666D4032">
      <w:pPr>
        <w:pStyle w:val="233"/>
        <w:tabs>
          <w:tab w:val="center" w:pos="4201"/>
          <w:tab w:val="right" w:leader="dot" w:pos="9298"/>
        </w:tabs>
        <w:ind w:firstLine="420"/>
        <w:rPr>
          <w:strike w:val="0"/>
          <w:highlight w:val="none"/>
        </w:rPr>
      </w:pPr>
      <w:r>
        <w:rPr>
          <w:rFonts w:hint="eastAsia"/>
          <w:strike w:val="0"/>
          <w:dstrike w:val="0"/>
          <w:highlight w:val="none"/>
        </w:rPr>
        <w:t>按6.2.7进行测试，纯电动客车用电源管理芯片连续工作1</w:t>
      </w:r>
      <w:r>
        <w:rPr>
          <w:rFonts w:hint="eastAsia"/>
          <w:strike w:val="0"/>
          <w:dstrike w:val="0"/>
          <w:highlight w:val="none"/>
          <w:lang w:val="en-US" w:eastAsia="zh-CN"/>
        </w:rPr>
        <w:t>2</w:t>
      </w:r>
      <w:r>
        <w:rPr>
          <w:rFonts w:hint="eastAsia"/>
          <w:strike w:val="0"/>
          <w:dstrike w:val="0"/>
          <w:highlight w:val="none"/>
        </w:rPr>
        <w:t>00小时，输出电压漂移≤±1%。</w:t>
      </w:r>
    </w:p>
    <w:p w14:paraId="0844B168">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rPr>
          <w:highlight w:val="none"/>
        </w:rPr>
      </w:pPr>
      <w:r>
        <w:rPr>
          <w:rFonts w:hint="eastAsia"/>
          <w:highlight w:val="none"/>
        </w:rPr>
        <w:t>输入电压跃变</w:t>
      </w:r>
    </w:p>
    <w:p w14:paraId="4E56A431">
      <w:pPr>
        <w:pStyle w:val="233"/>
        <w:tabs>
          <w:tab w:val="center" w:pos="4201"/>
          <w:tab w:val="right" w:leader="dot" w:pos="9298"/>
        </w:tabs>
        <w:ind w:firstLine="420"/>
        <w:rPr>
          <w:strike w:val="0"/>
          <w:dstrike w:val="0"/>
          <w:highlight w:val="none"/>
        </w:rPr>
      </w:pPr>
      <w:r>
        <w:rPr>
          <w:rFonts w:hint="eastAsia"/>
          <w:highlight w:val="none"/>
        </w:rPr>
        <w:t>按6.2.8进行测试，纯电动客车用电源管理芯片输入电压</w:t>
      </w:r>
      <w:r>
        <w:rPr>
          <w:rFonts w:hint="eastAsia"/>
          <w:highlight w:val="none"/>
          <w:lang w:val="en-US" w:eastAsia="zh-CN"/>
        </w:rPr>
        <w:t>跃变</w:t>
      </w:r>
      <w:r>
        <w:rPr>
          <w:rFonts w:hint="eastAsia"/>
          <w:highlight w:val="none"/>
        </w:rPr>
        <w:t>，输出电压过冲幅度≤±5%额定值</w:t>
      </w:r>
      <w:r>
        <w:rPr>
          <w:rFonts w:hint="eastAsia"/>
          <w:highlight w:val="none"/>
          <w:lang w:eastAsia="zh-CN"/>
        </w:rPr>
        <w:t>，</w:t>
      </w:r>
      <w:r>
        <w:rPr>
          <w:rFonts w:hint="eastAsia"/>
          <w:strike w:val="0"/>
          <w:dstrike w:val="0"/>
          <w:highlight w:val="none"/>
        </w:rPr>
        <w:t>输出电压恢复至稳态精度范围时间≤200μs</w:t>
      </w:r>
    </w:p>
    <w:p w14:paraId="6CE5DB97">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rPr>
          <w:highlight w:val="none"/>
        </w:rPr>
      </w:pPr>
      <w:r>
        <w:rPr>
          <w:rFonts w:hint="eastAsia"/>
          <w:highlight w:val="none"/>
        </w:rPr>
        <w:t>负载跃变</w:t>
      </w:r>
    </w:p>
    <w:p w14:paraId="4926305B">
      <w:pPr>
        <w:pStyle w:val="233"/>
        <w:tabs>
          <w:tab w:val="center" w:pos="4201"/>
          <w:tab w:val="right" w:leader="dot" w:pos="9298"/>
        </w:tabs>
        <w:ind w:firstLine="420"/>
        <w:rPr>
          <w:highlight w:val="none"/>
        </w:rPr>
      </w:pPr>
      <w:r>
        <w:rPr>
          <w:rFonts w:hint="eastAsia"/>
          <w:highlight w:val="none"/>
        </w:rPr>
        <w:t>按6.2.9进行测试，负载</w:t>
      </w:r>
      <w:r>
        <w:rPr>
          <w:rFonts w:hint="eastAsia"/>
          <w:highlight w:val="none"/>
          <w:lang w:val="en-US" w:eastAsia="zh-CN"/>
        </w:rPr>
        <w:t>跃变</w:t>
      </w:r>
      <w:r>
        <w:rPr>
          <w:rFonts w:hint="eastAsia"/>
          <w:highlight w:val="none"/>
        </w:rPr>
        <w:t>时，输出电压过冲幅度≤±2%</w:t>
      </w:r>
      <w:r>
        <w:rPr>
          <w:rFonts w:hint="eastAsia"/>
          <w:highlight w:val="none"/>
          <w:lang w:val="en-US" w:eastAsia="zh-CN"/>
        </w:rPr>
        <w:t>的</w:t>
      </w:r>
      <w:r>
        <w:rPr>
          <w:rFonts w:hint="eastAsia"/>
          <w:highlight w:val="none"/>
        </w:rPr>
        <w:t>额定值，输出电压恢复至稳态精度范围时间≤200μs</w:t>
      </w:r>
    </w:p>
    <w:p w14:paraId="591A00AD">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rPr>
          <w:highlight w:val="none"/>
        </w:rPr>
      </w:pPr>
      <w:r>
        <w:rPr>
          <w:rFonts w:hint="eastAsia"/>
          <w:highlight w:val="none"/>
          <w:lang w:val="en-US" w:eastAsia="zh-CN"/>
        </w:rPr>
        <w:t>转换</w:t>
      </w:r>
      <w:r>
        <w:rPr>
          <w:rFonts w:hint="eastAsia"/>
          <w:highlight w:val="none"/>
        </w:rPr>
        <w:t>效率</w:t>
      </w:r>
    </w:p>
    <w:p w14:paraId="5598E315">
      <w:pPr>
        <w:pStyle w:val="233"/>
        <w:tabs>
          <w:tab w:val="center" w:pos="4201"/>
          <w:tab w:val="right" w:leader="dot" w:pos="9298"/>
        </w:tabs>
        <w:ind w:firstLine="420"/>
        <w:rPr>
          <w:color w:val="FF0000"/>
          <w:highlight w:val="none"/>
        </w:rPr>
      </w:pPr>
      <w:r>
        <w:rPr>
          <w:rFonts w:hint="eastAsia"/>
          <w:color w:val="FF0000"/>
          <w:highlight w:val="none"/>
        </w:rPr>
        <w:t>按6.2.10进行测试，单路输出BUCK，boost等拓扑结构电源，额定满载时</w:t>
      </w:r>
      <w:r>
        <w:rPr>
          <w:rFonts w:hint="eastAsia"/>
          <w:color w:val="FF0000"/>
          <w:highlight w:val="none"/>
          <w:lang w:val="en-US" w:eastAsia="zh-CN"/>
        </w:rPr>
        <w:t>转换</w:t>
      </w:r>
      <w:r>
        <w:rPr>
          <w:rFonts w:hint="eastAsia"/>
          <w:color w:val="FF0000"/>
          <w:highlight w:val="none"/>
        </w:rPr>
        <w:t>效率≥92%；多路输出的PMIC额定满载时效率≥</w:t>
      </w:r>
      <w:r>
        <w:rPr>
          <w:rFonts w:hint="eastAsia"/>
          <w:color w:val="FF0000"/>
          <w:highlight w:val="none"/>
          <w:lang w:val="en-US" w:eastAsia="zh-CN"/>
        </w:rPr>
        <w:t>8</w:t>
      </w:r>
      <w:r>
        <w:rPr>
          <w:rFonts w:hint="eastAsia"/>
          <w:color w:val="FF0000"/>
          <w:highlight w:val="none"/>
        </w:rPr>
        <w:t xml:space="preserve">0% </w:t>
      </w:r>
    </w:p>
    <w:p w14:paraId="654C8E98">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rPr>
          <w:highlight w:val="none"/>
        </w:rPr>
      </w:pPr>
      <w:r>
        <w:rPr>
          <w:rFonts w:hint="eastAsia"/>
          <w:highlight w:val="none"/>
        </w:rPr>
        <w:t>稳流精度</w:t>
      </w:r>
    </w:p>
    <w:p w14:paraId="4507419F">
      <w:pPr>
        <w:keepNext w:val="0"/>
        <w:keepLines w:val="0"/>
        <w:pageBreakBefore w:val="0"/>
        <w:widowControl/>
        <w:kinsoku/>
        <w:wordWrap/>
        <w:overflowPunct/>
        <w:topLinePunct w:val="0"/>
        <w:autoSpaceDE/>
        <w:autoSpaceDN/>
        <w:bidi w:val="0"/>
        <w:adjustRightInd w:val="0"/>
        <w:snapToGrid/>
        <w:spacing w:line="240" w:lineRule="auto"/>
        <w:ind w:firstLine="420" w:firstLineChars="200"/>
        <w:jc w:val="left"/>
        <w:textAlignment w:val="auto"/>
        <w:rPr>
          <w:rFonts w:hint="eastAsia" w:ascii="宋体" w:hAnsi="宋体"/>
          <w:kern w:val="0"/>
          <w:szCs w:val="20"/>
          <w:highlight w:val="none"/>
        </w:rPr>
      </w:pPr>
      <w:r>
        <w:rPr>
          <w:rFonts w:hint="eastAsia" w:ascii="宋体" w:hAnsi="Times New Roman"/>
          <w:highlight w:val="none"/>
        </w:rPr>
        <w:t>按6.2.11进行测试，</w:t>
      </w:r>
      <w:r>
        <w:rPr>
          <w:rFonts w:hint="eastAsia"/>
          <w:highlight w:val="none"/>
        </w:rPr>
        <w:t>具</w:t>
      </w:r>
      <w:r>
        <w:rPr>
          <w:rFonts w:hint="eastAsia"/>
          <w:highlight w:val="none"/>
          <w:lang w:val="en-US" w:eastAsia="zh-CN"/>
        </w:rPr>
        <w:t>有</w:t>
      </w:r>
      <w:r>
        <w:rPr>
          <w:rFonts w:hint="eastAsia"/>
          <w:highlight w:val="none"/>
        </w:rPr>
        <w:t>恒流功能</w:t>
      </w:r>
      <w:r>
        <w:rPr>
          <w:rFonts w:hint="eastAsia"/>
          <w:highlight w:val="none"/>
          <w:lang w:val="en-US" w:eastAsia="zh-CN"/>
        </w:rPr>
        <w:t>电源管理</w:t>
      </w:r>
      <w:r>
        <w:rPr>
          <w:rFonts w:hint="eastAsia"/>
          <w:highlight w:val="none"/>
        </w:rPr>
        <w:t>芯片，</w:t>
      </w:r>
      <w:r>
        <w:rPr>
          <w:rFonts w:hint="eastAsia" w:ascii="宋体" w:hAnsi="宋体"/>
          <w:kern w:val="0"/>
          <w:szCs w:val="20"/>
          <w:highlight w:val="none"/>
        </w:rPr>
        <w:t>输出电流精度≤±1%。</w:t>
      </w:r>
    </w:p>
    <w:p w14:paraId="426D59E3">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rPr>
          <w:highlight w:val="none"/>
        </w:rPr>
      </w:pPr>
      <w:r>
        <w:rPr>
          <w:rFonts w:hint="eastAsia"/>
          <w:highlight w:val="none"/>
        </w:rPr>
        <w:t>稳压精度</w:t>
      </w:r>
    </w:p>
    <w:p w14:paraId="781E2D3B">
      <w:pPr>
        <w:keepNext w:val="0"/>
        <w:keepLines w:val="0"/>
        <w:pageBreakBefore w:val="0"/>
        <w:widowControl/>
        <w:kinsoku/>
        <w:wordWrap/>
        <w:overflowPunct/>
        <w:topLinePunct w:val="0"/>
        <w:autoSpaceDE/>
        <w:autoSpaceDN/>
        <w:bidi w:val="0"/>
        <w:adjustRightInd w:val="0"/>
        <w:snapToGrid/>
        <w:spacing w:line="240" w:lineRule="auto"/>
        <w:ind w:firstLine="420" w:firstLineChars="200"/>
        <w:jc w:val="left"/>
        <w:textAlignment w:val="auto"/>
        <w:rPr>
          <w:rFonts w:hint="eastAsia" w:ascii="宋体" w:hAnsi="宋体" w:eastAsia="宋体" w:cs="宋体"/>
          <w:kern w:val="0"/>
          <w:szCs w:val="20"/>
          <w:highlight w:val="none"/>
        </w:rPr>
      </w:pPr>
      <w:r>
        <w:rPr>
          <w:rFonts w:hint="eastAsia" w:ascii="宋体" w:hAnsi="宋体" w:eastAsia="宋体" w:cs="宋体"/>
          <w:highlight w:val="none"/>
        </w:rPr>
        <w:t>按6.2.12进行测试</w:t>
      </w:r>
      <w:r>
        <w:rPr>
          <w:rFonts w:hint="eastAsia" w:ascii="宋体" w:hAnsi="宋体" w:eastAsia="宋体" w:cs="宋体"/>
          <w:color w:val="4472C4" w:themeColor="accent1"/>
          <w:highlight w:val="none"/>
          <w14:textFill>
            <w14:solidFill>
              <w14:schemeClr w14:val="accent1"/>
            </w14:solidFill>
          </w14:textFill>
        </w:rPr>
        <w:t>，</w:t>
      </w:r>
      <w:r>
        <w:rPr>
          <w:rFonts w:hint="eastAsia" w:ascii="宋体" w:hAnsi="宋体" w:cs="宋体"/>
          <w:highlight w:val="none"/>
          <w:lang w:val="en-US" w:eastAsia="zh-CN"/>
        </w:rPr>
        <w:t>纯电动客车电源管理芯片</w:t>
      </w:r>
      <w:r>
        <w:rPr>
          <w:rFonts w:hint="eastAsia"/>
          <w:highlight w:val="none"/>
        </w:rPr>
        <w:t>在</w:t>
      </w:r>
      <w:r>
        <w:rPr>
          <w:rFonts w:hint="eastAsia"/>
          <w:highlight w:val="none"/>
          <w:lang w:val="en-US" w:eastAsia="zh-CN"/>
        </w:rPr>
        <w:t>额定工作条件下</w:t>
      </w:r>
      <w:r>
        <w:rPr>
          <w:rFonts w:hint="eastAsia"/>
          <w:highlight w:val="none"/>
          <w:lang w:eastAsia="zh-CN"/>
        </w:rPr>
        <w:t>，</w:t>
      </w:r>
      <w:r>
        <w:rPr>
          <w:rFonts w:hint="eastAsia"/>
          <w:highlight w:val="none"/>
          <w:lang w:val="en-US" w:eastAsia="zh-CN"/>
        </w:rPr>
        <w:t>实际输出电压与额定</w:t>
      </w:r>
      <w:r>
        <w:rPr>
          <w:rFonts w:hint="eastAsia" w:ascii="宋体" w:hAnsi="宋体" w:eastAsia="宋体" w:cs="宋体"/>
          <w:kern w:val="0"/>
          <w:szCs w:val="20"/>
          <w:highlight w:val="none"/>
        </w:rPr>
        <w:t>输出电压</w:t>
      </w:r>
      <w:r>
        <w:rPr>
          <w:rFonts w:hint="eastAsia" w:ascii="宋体" w:hAnsi="宋体" w:cs="宋体"/>
          <w:kern w:val="0"/>
          <w:szCs w:val="20"/>
          <w:highlight w:val="none"/>
          <w:lang w:val="en-US" w:eastAsia="zh-CN"/>
        </w:rPr>
        <w:t>最大偏差</w:t>
      </w:r>
      <w:r>
        <w:rPr>
          <w:rFonts w:hint="eastAsia" w:ascii="宋体" w:hAnsi="宋体" w:eastAsia="宋体" w:cs="宋体"/>
          <w:kern w:val="0"/>
          <w:szCs w:val="20"/>
          <w:highlight w:val="none"/>
        </w:rPr>
        <w:t>≤±1%。</w:t>
      </w:r>
    </w:p>
    <w:p w14:paraId="38BA337C">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rPr>
          <w:highlight w:val="none"/>
        </w:rPr>
      </w:pPr>
      <w:r>
        <w:rPr>
          <w:rFonts w:hint="eastAsia" w:ascii="宋体" w:hAnsi="宋体" w:cs="宋体"/>
          <w:kern w:val="0"/>
          <w:szCs w:val="20"/>
          <w:highlight w:val="none"/>
          <w:lang w:val="en-US" w:eastAsia="zh-CN"/>
        </w:rPr>
        <w:t>纹波峰峰值</w:t>
      </w:r>
    </w:p>
    <w:p w14:paraId="5A55EA0C">
      <w:pPr>
        <w:keepNext w:val="0"/>
        <w:keepLines w:val="0"/>
        <w:pageBreakBefore w:val="0"/>
        <w:widowControl/>
        <w:kinsoku/>
        <w:wordWrap/>
        <w:overflowPunct/>
        <w:topLinePunct w:val="0"/>
        <w:autoSpaceDE/>
        <w:autoSpaceDN/>
        <w:bidi w:val="0"/>
        <w:adjustRightInd w:val="0"/>
        <w:snapToGrid/>
        <w:spacing w:line="240" w:lineRule="auto"/>
        <w:ind w:firstLine="420" w:firstLineChars="200"/>
        <w:jc w:val="left"/>
        <w:textAlignment w:val="auto"/>
        <w:rPr>
          <w:rFonts w:hint="eastAsia" w:ascii="宋体" w:hAnsi="宋体" w:eastAsia="宋体" w:cs="宋体"/>
          <w:kern w:val="0"/>
          <w:szCs w:val="20"/>
          <w:highlight w:val="none"/>
        </w:rPr>
      </w:pPr>
      <w:r>
        <w:rPr>
          <w:rFonts w:hint="eastAsia" w:ascii="宋体" w:hAnsi="宋体" w:eastAsia="宋体" w:cs="宋体"/>
          <w:highlight w:val="none"/>
        </w:rPr>
        <w:t>按6.2.13进行测试，除LDO外</w:t>
      </w:r>
      <w:r>
        <w:rPr>
          <w:rFonts w:hint="eastAsia" w:ascii="宋体" w:hAnsi="宋体" w:cs="宋体"/>
          <w:highlight w:val="none"/>
          <w:lang w:val="en-US" w:eastAsia="zh-CN"/>
        </w:rPr>
        <w:t>,纯电动客车电源管理芯片的</w:t>
      </w:r>
      <w:r>
        <w:rPr>
          <w:rFonts w:hint="eastAsia" w:ascii="宋体" w:hAnsi="宋体" w:eastAsia="宋体" w:cs="宋体"/>
          <w:kern w:val="0"/>
          <w:szCs w:val="20"/>
          <w:highlight w:val="none"/>
        </w:rPr>
        <w:t>测量带宽20Hz~20MHz时，输出</w:t>
      </w:r>
      <w:r>
        <w:rPr>
          <w:rFonts w:hint="eastAsia" w:ascii="宋体" w:hAnsi="宋体" w:cs="宋体"/>
          <w:kern w:val="0"/>
          <w:szCs w:val="20"/>
          <w:highlight w:val="none"/>
          <w:lang w:val="en-US" w:eastAsia="zh-CN"/>
        </w:rPr>
        <w:t>纹波峰峰值</w:t>
      </w:r>
      <w:r>
        <w:rPr>
          <w:rFonts w:hint="eastAsia" w:ascii="宋体" w:hAnsi="宋体" w:eastAsia="宋体" w:cs="宋体"/>
          <w:kern w:val="0"/>
          <w:szCs w:val="20"/>
          <w:highlight w:val="none"/>
        </w:rPr>
        <w:t>≤</w:t>
      </w:r>
      <w:r>
        <w:rPr>
          <w:rFonts w:hint="eastAsia" w:ascii="宋体" w:hAnsi="宋体" w:cs="宋体"/>
          <w:kern w:val="0"/>
          <w:szCs w:val="20"/>
          <w:highlight w:val="none"/>
          <w:lang w:val="en-US" w:eastAsia="zh-CN"/>
        </w:rPr>
        <w:t>额定电压的</w:t>
      </w:r>
      <w:r>
        <w:rPr>
          <w:rFonts w:hint="eastAsia" w:ascii="宋体" w:hAnsi="宋体" w:eastAsia="宋体" w:cs="宋体"/>
          <w:kern w:val="0"/>
          <w:szCs w:val="20"/>
          <w:highlight w:val="none"/>
        </w:rPr>
        <w:t>1%。</w:t>
      </w:r>
    </w:p>
    <w:p w14:paraId="0DC2D862">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rPr>
          <w:highlight w:val="none"/>
        </w:rPr>
      </w:pPr>
      <w:r>
        <w:rPr>
          <w:rFonts w:hint="eastAsia"/>
          <w:highlight w:val="none"/>
        </w:rPr>
        <w:t>工作频率</w:t>
      </w:r>
    </w:p>
    <w:p w14:paraId="06F3E100">
      <w:pPr>
        <w:pStyle w:val="2"/>
        <w:keepNext w:val="0"/>
        <w:keepLines w:val="0"/>
        <w:pageBreakBefore w:val="0"/>
        <w:widowControl w:val="0"/>
        <w:kinsoku/>
        <w:wordWrap/>
        <w:overflowPunct/>
        <w:topLinePunct w:val="0"/>
        <w:autoSpaceDE/>
        <w:autoSpaceDN/>
        <w:bidi w:val="0"/>
        <w:adjustRightInd w:val="0"/>
        <w:snapToGrid/>
        <w:spacing w:line="240" w:lineRule="auto"/>
        <w:ind w:firstLine="420" w:firstLineChars="200"/>
        <w:jc w:val="left"/>
        <w:textAlignment w:val="auto"/>
        <w:rPr>
          <w:rFonts w:hint="eastAsia" w:ascii="宋体" w:hAnsi="宋体" w:eastAsia="宋体" w:cs="宋体"/>
          <w:sz w:val="21"/>
          <w:highlight w:val="none"/>
        </w:rPr>
      </w:pPr>
      <w:r>
        <w:rPr>
          <w:rFonts w:hint="eastAsia" w:ascii="宋体" w:hAnsi="宋体" w:eastAsia="宋体" w:cs="宋体"/>
          <w:sz w:val="21"/>
          <w:highlight w:val="none"/>
        </w:rPr>
        <w:t>按6.2.14进行测试，纯电动客车用电源管理芯片工作频率应能够调节，调节区间为50KHZ-</w:t>
      </w:r>
      <w:r>
        <w:rPr>
          <w:rFonts w:hint="eastAsia" w:ascii="宋体" w:hAnsi="宋体" w:eastAsia="宋体" w:cs="宋体"/>
          <w:sz w:val="21"/>
          <w:highlight w:val="none"/>
          <w:lang w:val="en-US" w:eastAsia="zh-CN"/>
        </w:rPr>
        <w:t>2.2</w:t>
      </w:r>
      <w:r>
        <w:rPr>
          <w:rFonts w:hint="eastAsia" w:ascii="宋体" w:hAnsi="宋体" w:eastAsia="宋体" w:cs="宋体"/>
          <w:sz w:val="21"/>
          <w:highlight w:val="none"/>
        </w:rPr>
        <w:t>MHZ。</w:t>
      </w:r>
    </w:p>
    <w:p w14:paraId="33B000F1">
      <w:pPr>
        <w:pStyle w:val="107"/>
        <w:spacing w:before="120" w:after="120"/>
        <w:rPr>
          <w:highlight w:val="none"/>
        </w:rPr>
      </w:pPr>
      <w:bookmarkStart w:id="54" w:name="_Toc26112"/>
      <w:bookmarkStart w:id="55" w:name="_Toc14525"/>
      <w:r>
        <w:rPr>
          <w:rFonts w:hint="eastAsia"/>
          <w:highlight w:val="none"/>
        </w:rPr>
        <w:t>可靠性要求</w:t>
      </w:r>
      <w:bookmarkEnd w:id="54"/>
      <w:bookmarkEnd w:id="55"/>
      <w:bookmarkStart w:id="56" w:name="_Toc105488629"/>
      <w:bookmarkStart w:id="57" w:name="_Toc105488628"/>
    </w:p>
    <w:bookmarkEnd w:id="56"/>
    <w:bookmarkEnd w:id="57"/>
    <w:p w14:paraId="0220E303">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rPr>
          <w:highlight w:val="none"/>
        </w:rPr>
      </w:pPr>
      <w:bookmarkStart w:id="58" w:name="OLE_LINK7"/>
      <w:r>
        <w:rPr>
          <w:rFonts w:hint="eastAsia"/>
          <w:highlight w:val="none"/>
        </w:rPr>
        <w:t>基本要求</w:t>
      </w:r>
    </w:p>
    <w:bookmarkEnd w:id="58"/>
    <w:p w14:paraId="42B1AC2D">
      <w:pPr>
        <w:pStyle w:val="58"/>
        <w:ind w:firstLine="420"/>
        <w:rPr>
          <w:rFonts w:hint="eastAsia"/>
          <w:highlight w:val="none"/>
        </w:rPr>
      </w:pPr>
      <w:r>
        <w:rPr>
          <w:rFonts w:hint="eastAsia"/>
          <w:highlight w:val="none"/>
          <w:lang w:val="en-US" w:eastAsia="zh-CN"/>
        </w:rPr>
        <w:t>纯电动客车</w:t>
      </w:r>
      <w:r>
        <w:rPr>
          <w:rFonts w:hint="eastAsia"/>
          <w:strike/>
          <w:dstrike w:val="0"/>
          <w:highlight w:val="none"/>
          <w:lang w:val="en-US" w:eastAsia="zh-CN"/>
        </w:rPr>
        <w:t>电池管理</w:t>
      </w:r>
      <w:r>
        <w:rPr>
          <w:rFonts w:hint="eastAsia"/>
          <w:strike/>
          <w:dstrike w:val="0"/>
          <w:highlight w:val="none"/>
        </w:rPr>
        <w:t>系统、电机</w:t>
      </w:r>
      <w:r>
        <w:rPr>
          <w:rFonts w:hint="eastAsia"/>
          <w:strike/>
          <w:dstrike w:val="0"/>
          <w:highlight w:val="none"/>
          <w:lang w:val="en-US" w:eastAsia="zh-CN"/>
        </w:rPr>
        <w:t>控制</w:t>
      </w:r>
      <w:r>
        <w:rPr>
          <w:rFonts w:hint="eastAsia"/>
          <w:strike/>
          <w:dstrike w:val="0"/>
          <w:highlight w:val="none"/>
        </w:rPr>
        <w:t>系统、车载充电系统</w:t>
      </w:r>
      <w:r>
        <w:rPr>
          <w:rFonts w:hint="eastAsia"/>
          <w:highlight w:val="none"/>
        </w:rPr>
        <w:t>用</w:t>
      </w:r>
      <w:r>
        <w:rPr>
          <w:rFonts w:hint="eastAsia"/>
          <w:highlight w:val="none"/>
          <w:lang w:val="en-US" w:eastAsia="zh-CN"/>
        </w:rPr>
        <w:t>电源管理</w:t>
      </w:r>
      <w:r>
        <w:rPr>
          <w:rFonts w:hint="eastAsia"/>
          <w:highlight w:val="none"/>
        </w:rPr>
        <w:t>芯片工作环境温度至少应满足表</w:t>
      </w:r>
      <w:r>
        <w:rPr>
          <w:rFonts w:hint="eastAsia"/>
          <w:highlight w:val="none"/>
          <w:lang w:val="en-US" w:eastAsia="zh-CN"/>
        </w:rPr>
        <w:t>5</w:t>
      </w:r>
      <w:r>
        <w:rPr>
          <w:rFonts w:hint="eastAsia"/>
          <w:highlight w:val="none"/>
        </w:rPr>
        <w:t>中的1级</w:t>
      </w:r>
      <w:r>
        <w:rPr>
          <w:rFonts w:hint="eastAsia"/>
          <w:strike/>
          <w:dstrike w:val="0"/>
          <w:highlight w:val="none"/>
        </w:rPr>
        <w:t>，其他系统用</w:t>
      </w:r>
      <w:r>
        <w:rPr>
          <w:rFonts w:hint="eastAsia"/>
          <w:strike/>
          <w:dstrike w:val="0"/>
          <w:highlight w:val="none"/>
          <w:lang w:val="en-US" w:eastAsia="zh-CN"/>
        </w:rPr>
        <w:t>电源管理</w:t>
      </w:r>
      <w:r>
        <w:rPr>
          <w:rFonts w:hint="eastAsia"/>
          <w:strike/>
          <w:dstrike w:val="0"/>
          <w:highlight w:val="none"/>
        </w:rPr>
        <w:t>芯片工作温度至少应满足表6中的2级</w:t>
      </w:r>
      <w:r>
        <w:rPr>
          <w:rFonts w:hint="eastAsia"/>
          <w:highlight w:val="none"/>
        </w:rPr>
        <w:t>。</w:t>
      </w:r>
    </w:p>
    <w:p w14:paraId="386F1068">
      <w:pPr>
        <w:pStyle w:val="233"/>
        <w:tabs>
          <w:tab w:val="center" w:pos="4201"/>
          <w:tab w:val="right" w:leader="dot" w:pos="9298"/>
        </w:tabs>
        <w:spacing w:before="120" w:after="120" w:afterLines="50"/>
        <w:ind w:firstLine="420"/>
        <w:jc w:val="center"/>
        <w:rPr>
          <w:rFonts w:hint="eastAsia" w:ascii="黑体" w:hAnsi="黑体" w:eastAsia="黑体"/>
          <w:highlight w:val="none"/>
        </w:rPr>
      </w:pPr>
      <w:r>
        <w:rPr>
          <w:rFonts w:hint="eastAsia" w:ascii="黑体" w:hAnsi="黑体" w:eastAsia="黑体"/>
          <w:highlight w:val="none"/>
        </w:rPr>
        <w:t>表 5</w:t>
      </w:r>
      <w:r>
        <w:rPr>
          <w:rFonts w:ascii="黑体" w:hAnsi="黑体" w:eastAsia="黑体"/>
          <w:highlight w:val="none"/>
        </w:rPr>
        <w:t xml:space="preserve"> </w:t>
      </w:r>
      <w:r>
        <w:rPr>
          <w:rFonts w:hint="eastAsia" w:ascii="黑体" w:hAnsi="黑体" w:eastAsia="黑体"/>
          <w:highlight w:val="none"/>
        </w:rPr>
        <w:t xml:space="preserve">工作环境温度等级 </w:t>
      </w:r>
    </w:p>
    <w:tbl>
      <w:tblPr>
        <w:tblStyle w:val="29"/>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27"/>
        <w:gridCol w:w="8252"/>
      </w:tblGrid>
      <w:tr w14:paraId="0F7875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8" w:hRule="atLeast"/>
          <w:tblHeader/>
          <w:jc w:val="center"/>
        </w:trPr>
        <w:tc>
          <w:tcPr>
            <w:tcW w:w="1127" w:type="dxa"/>
            <w:tcBorders>
              <w:tl2br w:val="nil"/>
              <w:tr2bl w:val="nil"/>
            </w:tcBorders>
            <w:vAlign w:val="center"/>
          </w:tcPr>
          <w:p w14:paraId="17D52745">
            <w:pPr>
              <w:pStyle w:val="233"/>
              <w:tabs>
                <w:tab w:val="center" w:pos="4201"/>
                <w:tab w:val="right" w:leader="dot" w:pos="9298"/>
              </w:tabs>
              <w:ind w:firstLine="0" w:firstLineChars="0"/>
              <w:jc w:val="center"/>
              <w:rPr>
                <w:sz w:val="18"/>
                <w:szCs w:val="18"/>
                <w:highlight w:val="none"/>
              </w:rPr>
            </w:pPr>
            <w:r>
              <w:rPr>
                <w:rFonts w:hint="eastAsia"/>
                <w:sz w:val="18"/>
                <w:szCs w:val="18"/>
                <w:highlight w:val="none"/>
              </w:rPr>
              <w:t>等级</w:t>
            </w:r>
          </w:p>
        </w:tc>
        <w:tc>
          <w:tcPr>
            <w:tcW w:w="8252" w:type="dxa"/>
            <w:tcBorders>
              <w:tl2br w:val="nil"/>
              <w:tr2bl w:val="nil"/>
            </w:tcBorders>
            <w:vAlign w:val="center"/>
          </w:tcPr>
          <w:p w14:paraId="67505276">
            <w:pPr>
              <w:pStyle w:val="233"/>
              <w:tabs>
                <w:tab w:val="center" w:pos="4201"/>
                <w:tab w:val="right" w:leader="dot" w:pos="9298"/>
              </w:tabs>
              <w:ind w:firstLine="0" w:firstLineChars="0"/>
              <w:jc w:val="center"/>
              <w:rPr>
                <w:sz w:val="18"/>
                <w:szCs w:val="18"/>
                <w:highlight w:val="none"/>
              </w:rPr>
            </w:pPr>
            <w:r>
              <w:rPr>
                <w:rFonts w:hint="eastAsia"/>
                <w:sz w:val="18"/>
                <w:szCs w:val="18"/>
                <w:highlight w:val="none"/>
              </w:rPr>
              <w:t>工作环境</w:t>
            </w:r>
            <w:r>
              <w:rPr>
                <w:sz w:val="18"/>
                <w:szCs w:val="18"/>
                <w:highlight w:val="none"/>
              </w:rPr>
              <w:t>温度范围</w:t>
            </w:r>
          </w:p>
        </w:tc>
      </w:tr>
      <w:tr w14:paraId="3BBFAE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127" w:type="dxa"/>
            <w:tcBorders>
              <w:tl2br w:val="nil"/>
              <w:tr2bl w:val="nil"/>
            </w:tcBorders>
            <w:vAlign w:val="center"/>
          </w:tcPr>
          <w:p w14:paraId="1B36DFCF">
            <w:pPr>
              <w:pStyle w:val="233"/>
              <w:tabs>
                <w:tab w:val="center" w:pos="4201"/>
                <w:tab w:val="right" w:leader="dot" w:pos="9298"/>
              </w:tabs>
              <w:ind w:firstLine="0" w:firstLineChars="0"/>
              <w:jc w:val="center"/>
              <w:rPr>
                <w:rFonts w:cs="宋体"/>
                <w:sz w:val="18"/>
                <w:szCs w:val="18"/>
                <w:highlight w:val="none"/>
              </w:rPr>
            </w:pPr>
            <w:r>
              <w:rPr>
                <w:rFonts w:hint="eastAsia" w:cs="宋体"/>
                <w:sz w:val="18"/>
                <w:szCs w:val="18"/>
                <w:highlight w:val="none"/>
              </w:rPr>
              <w:t>0</w:t>
            </w:r>
          </w:p>
        </w:tc>
        <w:tc>
          <w:tcPr>
            <w:tcW w:w="8252" w:type="dxa"/>
            <w:tcBorders>
              <w:tl2br w:val="nil"/>
              <w:tr2bl w:val="nil"/>
            </w:tcBorders>
            <w:vAlign w:val="center"/>
          </w:tcPr>
          <w:p w14:paraId="2334CD96">
            <w:pPr>
              <w:pStyle w:val="233"/>
              <w:tabs>
                <w:tab w:val="center" w:pos="4201"/>
                <w:tab w:val="right" w:leader="dot" w:pos="9298"/>
              </w:tabs>
              <w:ind w:firstLine="0" w:firstLineChars="0"/>
              <w:jc w:val="center"/>
              <w:rPr>
                <w:rFonts w:cs="宋体"/>
                <w:sz w:val="18"/>
                <w:szCs w:val="18"/>
                <w:highlight w:val="none"/>
              </w:rPr>
            </w:pPr>
            <w:r>
              <w:rPr>
                <w:rFonts w:hint="eastAsia" w:cs="宋体"/>
                <w:sz w:val="18"/>
                <w:szCs w:val="18"/>
                <w:highlight w:val="none"/>
              </w:rPr>
              <w:t>-40 ℃～150 ℃</w:t>
            </w:r>
          </w:p>
        </w:tc>
      </w:tr>
      <w:tr w14:paraId="4A2D33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127" w:type="dxa"/>
            <w:tcBorders>
              <w:tl2br w:val="nil"/>
              <w:tr2bl w:val="nil"/>
            </w:tcBorders>
            <w:vAlign w:val="center"/>
          </w:tcPr>
          <w:p w14:paraId="439A7C93">
            <w:pPr>
              <w:pStyle w:val="233"/>
              <w:tabs>
                <w:tab w:val="center" w:pos="4201"/>
                <w:tab w:val="right" w:leader="dot" w:pos="9298"/>
              </w:tabs>
              <w:ind w:firstLine="0" w:firstLineChars="0"/>
              <w:jc w:val="center"/>
              <w:rPr>
                <w:rFonts w:cs="宋体"/>
                <w:sz w:val="18"/>
                <w:szCs w:val="18"/>
                <w:highlight w:val="none"/>
              </w:rPr>
            </w:pPr>
            <w:r>
              <w:rPr>
                <w:rFonts w:hint="eastAsia" w:cs="宋体"/>
                <w:sz w:val="18"/>
                <w:szCs w:val="18"/>
                <w:highlight w:val="none"/>
              </w:rPr>
              <w:t>1</w:t>
            </w:r>
          </w:p>
        </w:tc>
        <w:tc>
          <w:tcPr>
            <w:tcW w:w="8252" w:type="dxa"/>
            <w:tcBorders>
              <w:tl2br w:val="nil"/>
              <w:tr2bl w:val="nil"/>
            </w:tcBorders>
            <w:vAlign w:val="center"/>
          </w:tcPr>
          <w:p w14:paraId="18A9EE71">
            <w:pPr>
              <w:pStyle w:val="233"/>
              <w:tabs>
                <w:tab w:val="center" w:pos="4201"/>
                <w:tab w:val="right" w:leader="dot" w:pos="9298"/>
              </w:tabs>
              <w:ind w:firstLine="0" w:firstLineChars="0"/>
              <w:jc w:val="center"/>
              <w:rPr>
                <w:rFonts w:cs="宋体"/>
                <w:sz w:val="18"/>
                <w:szCs w:val="18"/>
                <w:highlight w:val="none"/>
              </w:rPr>
            </w:pPr>
            <w:r>
              <w:rPr>
                <w:rFonts w:hint="eastAsia" w:cs="宋体"/>
                <w:sz w:val="18"/>
                <w:szCs w:val="18"/>
                <w:highlight w:val="none"/>
              </w:rPr>
              <w:t>-40 ℃～125 ℃</w:t>
            </w:r>
          </w:p>
        </w:tc>
      </w:tr>
      <w:tr w14:paraId="225066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127" w:type="dxa"/>
            <w:tcBorders>
              <w:tl2br w:val="nil"/>
              <w:tr2bl w:val="nil"/>
            </w:tcBorders>
            <w:vAlign w:val="center"/>
          </w:tcPr>
          <w:p w14:paraId="430F36CE">
            <w:pPr>
              <w:pStyle w:val="233"/>
              <w:tabs>
                <w:tab w:val="center" w:pos="4201"/>
                <w:tab w:val="right" w:leader="dot" w:pos="9298"/>
              </w:tabs>
              <w:ind w:firstLine="0" w:firstLineChars="0"/>
              <w:jc w:val="center"/>
              <w:rPr>
                <w:rFonts w:cs="宋体"/>
                <w:sz w:val="18"/>
                <w:szCs w:val="18"/>
                <w:highlight w:val="none"/>
              </w:rPr>
            </w:pPr>
            <w:r>
              <w:rPr>
                <w:rFonts w:hint="eastAsia" w:cs="宋体"/>
                <w:sz w:val="18"/>
                <w:szCs w:val="18"/>
                <w:highlight w:val="none"/>
              </w:rPr>
              <w:t>2</w:t>
            </w:r>
          </w:p>
        </w:tc>
        <w:tc>
          <w:tcPr>
            <w:tcW w:w="8252" w:type="dxa"/>
            <w:tcBorders>
              <w:tl2br w:val="nil"/>
              <w:tr2bl w:val="nil"/>
            </w:tcBorders>
            <w:vAlign w:val="center"/>
          </w:tcPr>
          <w:p w14:paraId="39B6510E">
            <w:pPr>
              <w:pStyle w:val="233"/>
              <w:tabs>
                <w:tab w:val="center" w:pos="4201"/>
                <w:tab w:val="right" w:leader="dot" w:pos="9298"/>
              </w:tabs>
              <w:ind w:firstLine="0" w:firstLineChars="0"/>
              <w:jc w:val="center"/>
              <w:rPr>
                <w:rFonts w:cs="宋体"/>
                <w:sz w:val="18"/>
                <w:szCs w:val="18"/>
                <w:highlight w:val="none"/>
              </w:rPr>
            </w:pPr>
            <w:r>
              <w:rPr>
                <w:rFonts w:hint="eastAsia" w:cs="宋体"/>
                <w:sz w:val="18"/>
                <w:szCs w:val="18"/>
                <w:highlight w:val="none"/>
              </w:rPr>
              <w:t>-40 ℃～105 ℃</w:t>
            </w:r>
          </w:p>
        </w:tc>
      </w:tr>
      <w:tr w14:paraId="0E1194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1127" w:type="dxa"/>
            <w:tcBorders>
              <w:tl2br w:val="nil"/>
              <w:tr2bl w:val="nil"/>
            </w:tcBorders>
            <w:vAlign w:val="center"/>
          </w:tcPr>
          <w:p w14:paraId="016E4DE9">
            <w:pPr>
              <w:pStyle w:val="233"/>
              <w:tabs>
                <w:tab w:val="center" w:pos="4201"/>
                <w:tab w:val="right" w:leader="dot" w:pos="9298"/>
              </w:tabs>
              <w:ind w:firstLine="0" w:firstLineChars="0"/>
              <w:jc w:val="center"/>
              <w:rPr>
                <w:rFonts w:cs="宋体"/>
                <w:sz w:val="18"/>
                <w:szCs w:val="18"/>
                <w:highlight w:val="none"/>
              </w:rPr>
            </w:pPr>
            <w:r>
              <w:rPr>
                <w:rFonts w:hint="eastAsia" w:cs="宋体"/>
                <w:sz w:val="18"/>
                <w:szCs w:val="18"/>
                <w:highlight w:val="none"/>
              </w:rPr>
              <w:t>3</w:t>
            </w:r>
          </w:p>
        </w:tc>
        <w:tc>
          <w:tcPr>
            <w:tcW w:w="8252" w:type="dxa"/>
            <w:tcBorders>
              <w:tl2br w:val="nil"/>
              <w:tr2bl w:val="nil"/>
            </w:tcBorders>
            <w:vAlign w:val="center"/>
          </w:tcPr>
          <w:p w14:paraId="7FAF95C5">
            <w:pPr>
              <w:pStyle w:val="233"/>
              <w:tabs>
                <w:tab w:val="center" w:pos="4201"/>
                <w:tab w:val="right" w:leader="dot" w:pos="9298"/>
              </w:tabs>
              <w:ind w:firstLine="0" w:firstLineChars="0"/>
              <w:jc w:val="center"/>
              <w:rPr>
                <w:rFonts w:cs="宋体"/>
                <w:sz w:val="18"/>
                <w:szCs w:val="18"/>
                <w:highlight w:val="none"/>
              </w:rPr>
            </w:pPr>
            <w:r>
              <w:rPr>
                <w:rFonts w:hint="eastAsia" w:cs="宋体"/>
                <w:sz w:val="18"/>
                <w:szCs w:val="18"/>
                <w:highlight w:val="none"/>
              </w:rPr>
              <w:t>-40 ℃～</w:t>
            </w:r>
            <w:r>
              <w:rPr>
                <w:rFonts w:cs="宋体"/>
                <w:sz w:val="18"/>
                <w:szCs w:val="18"/>
                <w:highlight w:val="none"/>
              </w:rPr>
              <w:t>85</w:t>
            </w:r>
            <w:r>
              <w:rPr>
                <w:rFonts w:hint="eastAsia" w:cs="宋体"/>
                <w:sz w:val="18"/>
                <w:szCs w:val="18"/>
                <w:highlight w:val="none"/>
              </w:rPr>
              <w:t xml:space="preserve"> ℃</w:t>
            </w:r>
          </w:p>
        </w:tc>
      </w:tr>
    </w:tbl>
    <w:p w14:paraId="5371B0B8">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rPr>
          <w:highlight w:val="none"/>
        </w:rPr>
      </w:pPr>
      <w:r>
        <w:rPr>
          <w:rFonts w:hint="eastAsia"/>
          <w:highlight w:val="none"/>
        </w:rPr>
        <w:t>加速环境应力</w:t>
      </w:r>
    </w:p>
    <w:p w14:paraId="4B956FA4">
      <w:pPr>
        <w:pStyle w:val="96"/>
        <w:numPr>
          <w:ilvl w:val="0"/>
          <w:numId w:val="0"/>
        </w:numPr>
        <w:spacing w:before="120" w:after="120"/>
        <w:ind w:right="210"/>
        <w:rPr>
          <w:rFonts w:hint="eastAsia" w:eastAsia="黑体"/>
          <w:szCs w:val="21"/>
          <w:highlight w:val="none"/>
          <w:lang w:eastAsia="zh-CN"/>
        </w:rPr>
      </w:pPr>
      <w:r>
        <w:rPr>
          <w:rFonts w:hint="eastAsia"/>
          <w:szCs w:val="21"/>
          <w:highlight w:val="none"/>
        </w:rPr>
        <w:t>5.3.2.1  预处理</w:t>
      </w:r>
    </w:p>
    <w:p w14:paraId="3EE8B687">
      <w:pPr>
        <w:pStyle w:val="58"/>
        <w:ind w:firstLine="420"/>
        <w:rPr>
          <w:rFonts w:hint="eastAsia" w:hAnsi="宋体"/>
          <w:highlight w:val="none"/>
        </w:rPr>
      </w:pPr>
      <w:r>
        <w:rPr>
          <w:rFonts w:hint="eastAsia" w:hAnsi="宋体"/>
          <w:highlight w:val="none"/>
        </w:rPr>
        <w:t>按</w:t>
      </w:r>
      <w:r>
        <w:rPr>
          <w:rFonts w:hint="eastAsia"/>
          <w:highlight w:val="none"/>
        </w:rPr>
        <w:t>6.3.2.1</w:t>
      </w:r>
      <w:r>
        <w:rPr>
          <w:rFonts w:hint="eastAsia" w:hAnsi="宋体"/>
          <w:highlight w:val="none"/>
        </w:rPr>
        <w:t>进行试验。试验前后纯电动客车用电源管理芯片外观应满足IEC 60749-3的要求，功能和性能应符合产品规格书的要求。供需双方应协商确定是否允许发生分层，如果允许发生分层，分层不应影响后续的加速环境应力试验。</w:t>
      </w:r>
    </w:p>
    <w:p w14:paraId="00AF2B9E">
      <w:pPr>
        <w:pStyle w:val="96"/>
        <w:numPr>
          <w:ilvl w:val="4"/>
          <w:numId w:val="0"/>
        </w:numPr>
        <w:spacing w:before="120" w:after="120"/>
        <w:ind w:right="210"/>
        <w:rPr>
          <w:highlight w:val="none"/>
        </w:rPr>
      </w:pPr>
      <w:r>
        <w:rPr>
          <w:rFonts w:hint="eastAsia"/>
          <w:highlight w:val="none"/>
        </w:rPr>
        <w:t>5.3.2.2  稳态温湿度偏置寿命</w:t>
      </w:r>
    </w:p>
    <w:p w14:paraId="5B290651">
      <w:pPr>
        <w:pStyle w:val="58"/>
        <w:ind w:firstLine="420"/>
        <w:rPr>
          <w:rFonts w:hint="eastAsia" w:hAnsi="宋体"/>
          <w:highlight w:val="none"/>
        </w:rPr>
      </w:pPr>
      <w:r>
        <w:rPr>
          <w:rFonts w:hint="eastAsia" w:hAnsi="宋体"/>
          <w:highlight w:val="none"/>
        </w:rPr>
        <w:t>稳态温湿度偏置寿命试验和强加速稳态湿热试验可任选一个项目进行试验。</w:t>
      </w:r>
    </w:p>
    <w:p w14:paraId="4FE43AED">
      <w:pPr>
        <w:pStyle w:val="58"/>
        <w:ind w:firstLine="420"/>
        <w:rPr>
          <w:rFonts w:hint="eastAsia" w:hAnsi="宋体"/>
          <w:highlight w:val="none"/>
        </w:rPr>
      </w:pPr>
      <w:r>
        <w:rPr>
          <w:rFonts w:hint="eastAsia" w:hAnsi="宋体"/>
          <w:highlight w:val="none"/>
        </w:rPr>
        <w:t>若选择稳态温湿度偏置寿命试验，按6.3.2.2进行试验。试验前后纯电动客车用电源管理芯片外观应满足</w:t>
      </w:r>
      <w:r>
        <w:rPr>
          <w:rFonts w:hint="eastAsia" w:hAnsi="宋体"/>
          <w:highlight w:val="none"/>
        </w:rPr>
        <w:t>IEC 60749-3的要求，功能和性能应符合产品规格书的要求。</w:t>
      </w:r>
    </w:p>
    <w:p w14:paraId="01B571D0">
      <w:pPr>
        <w:pStyle w:val="96"/>
        <w:numPr>
          <w:ilvl w:val="4"/>
          <w:numId w:val="0"/>
        </w:numPr>
        <w:spacing w:before="120" w:after="120"/>
        <w:ind w:right="210"/>
        <w:rPr>
          <w:highlight w:val="none"/>
        </w:rPr>
      </w:pPr>
      <w:r>
        <w:rPr>
          <w:rFonts w:hint="eastAsia"/>
          <w:highlight w:val="none"/>
        </w:rPr>
        <w:t>5.3.2.3  强加速稳态湿热</w:t>
      </w:r>
    </w:p>
    <w:p w14:paraId="28DBF8A1">
      <w:pPr>
        <w:pStyle w:val="58"/>
        <w:ind w:firstLine="420"/>
        <w:rPr>
          <w:rFonts w:hint="eastAsia" w:hAnsi="宋体"/>
          <w:highlight w:val="none"/>
        </w:rPr>
      </w:pPr>
      <w:r>
        <w:rPr>
          <w:rFonts w:hint="eastAsia" w:hAnsi="宋体"/>
          <w:highlight w:val="none"/>
        </w:rPr>
        <w:t>稳态温湿度偏置寿命试验和强加速稳态湿热试验可任选一个项目进行试验。</w:t>
      </w:r>
    </w:p>
    <w:p w14:paraId="19DDF795">
      <w:pPr>
        <w:pStyle w:val="58"/>
        <w:ind w:firstLine="420"/>
        <w:rPr>
          <w:rFonts w:hint="eastAsia" w:hAnsi="宋体"/>
          <w:highlight w:val="none"/>
        </w:rPr>
      </w:pPr>
      <w:r>
        <w:rPr>
          <w:rFonts w:hint="eastAsia" w:hAnsi="宋体"/>
          <w:highlight w:val="none"/>
        </w:rPr>
        <w:t>若选择强加速稳态湿热试验，按6.3.2.3进行试验。试验前后纯电动客车用电源管理芯片外观应满足IEC 60749-3的要求，功能和性能应符合产品规格书的要求。</w:t>
      </w:r>
    </w:p>
    <w:p w14:paraId="736FD75B">
      <w:pPr>
        <w:pStyle w:val="96"/>
        <w:numPr>
          <w:ilvl w:val="4"/>
          <w:numId w:val="0"/>
        </w:numPr>
        <w:spacing w:before="120" w:after="120"/>
        <w:ind w:right="210"/>
        <w:rPr>
          <w:highlight w:val="none"/>
        </w:rPr>
      </w:pPr>
      <w:r>
        <w:rPr>
          <w:rFonts w:hint="eastAsia"/>
          <w:highlight w:val="none"/>
        </w:rPr>
        <w:t>5.3.2.4  高压蒸煮</w:t>
      </w:r>
    </w:p>
    <w:p w14:paraId="24A5C229">
      <w:pPr>
        <w:pStyle w:val="58"/>
        <w:ind w:firstLine="420"/>
        <w:rPr>
          <w:rFonts w:hint="eastAsia" w:hAnsi="宋体"/>
          <w:highlight w:val="none"/>
        </w:rPr>
      </w:pPr>
      <w:r>
        <w:rPr>
          <w:rFonts w:hint="eastAsia" w:hAnsi="宋体"/>
          <w:highlight w:val="none"/>
        </w:rPr>
        <w:t>高压蒸煮试验、加速耐湿无偏置强加速应力试验和温湿度贮存试验可任选一个项目进行试验。</w:t>
      </w:r>
    </w:p>
    <w:p w14:paraId="06165B5E">
      <w:pPr>
        <w:pStyle w:val="58"/>
        <w:ind w:firstLine="420"/>
        <w:rPr>
          <w:rFonts w:hint="eastAsia" w:hAnsi="宋体"/>
          <w:highlight w:val="none"/>
        </w:rPr>
      </w:pPr>
      <w:r>
        <w:rPr>
          <w:rFonts w:hint="eastAsia" w:hAnsi="宋体"/>
          <w:highlight w:val="none"/>
        </w:rPr>
        <w:t>若选择高压蒸煮试验，按6.3.2.4的方法进行试验。试验前后纯电动客车用电源管理芯片外观应满足IEC 60749-3的要求，纯电动客车用电源管理芯片的功能和性能应符合产品规格书的要求。</w:t>
      </w:r>
    </w:p>
    <w:p w14:paraId="22BBC8AB">
      <w:pPr>
        <w:pStyle w:val="96"/>
        <w:numPr>
          <w:ilvl w:val="0"/>
          <w:numId w:val="0"/>
        </w:numPr>
        <w:spacing w:before="120" w:after="120"/>
        <w:ind w:right="210"/>
        <w:rPr>
          <w:highlight w:val="none"/>
        </w:rPr>
      </w:pPr>
      <w:r>
        <w:rPr>
          <w:rFonts w:hint="eastAsia"/>
          <w:highlight w:val="none"/>
        </w:rPr>
        <w:t>5.3.2.5  加速耐湿无偏置强加速应力</w:t>
      </w:r>
    </w:p>
    <w:p w14:paraId="190DFF59">
      <w:pPr>
        <w:spacing w:line="240" w:lineRule="auto"/>
        <w:ind w:firstLine="420" w:firstLineChars="200"/>
        <w:rPr>
          <w:highlight w:val="none"/>
        </w:rPr>
      </w:pPr>
      <w:r>
        <w:rPr>
          <w:rFonts w:hint="eastAsia"/>
          <w:highlight w:val="none"/>
        </w:rPr>
        <w:t>高压蒸煮试验、加速耐湿无偏置强加速应力试验和温湿度贮存试验可任选一个项目进行试验。</w:t>
      </w:r>
    </w:p>
    <w:p w14:paraId="4909A7CA">
      <w:pPr>
        <w:spacing w:line="240" w:lineRule="auto"/>
        <w:ind w:firstLine="420" w:firstLineChars="200"/>
        <w:rPr>
          <w:rFonts w:hint="eastAsia" w:ascii="宋体" w:hAnsi="宋体" w:cs="宋体"/>
          <w:highlight w:val="none"/>
        </w:rPr>
      </w:pPr>
      <w:r>
        <w:rPr>
          <w:rFonts w:hint="eastAsia"/>
          <w:highlight w:val="none"/>
        </w:rPr>
        <w:t>若选择加速耐湿无偏置强加速应力试验，</w:t>
      </w:r>
      <w:r>
        <w:rPr>
          <w:rFonts w:hint="eastAsia" w:ascii="宋体" w:hAnsi="宋体" w:cs="宋体"/>
          <w:highlight w:val="none"/>
        </w:rPr>
        <w:t>按6.3.2.5进行试验。试验后纯电动客车用电源管理芯片外观应满足IEC 60749-3的要求，</w:t>
      </w:r>
      <w:r>
        <w:rPr>
          <w:rFonts w:hint="eastAsia" w:hAnsi="宋体"/>
          <w:highlight w:val="none"/>
        </w:rPr>
        <w:t>功能和性能</w:t>
      </w:r>
      <w:r>
        <w:rPr>
          <w:rFonts w:hint="eastAsia" w:ascii="宋体" w:hAnsi="宋体" w:cs="宋体"/>
          <w:highlight w:val="none"/>
        </w:rPr>
        <w:t>应符合产品规格书的要求。</w:t>
      </w:r>
    </w:p>
    <w:p w14:paraId="1276BB8A">
      <w:pPr>
        <w:pStyle w:val="96"/>
        <w:numPr>
          <w:ilvl w:val="0"/>
          <w:numId w:val="0"/>
        </w:numPr>
        <w:spacing w:before="120" w:after="120"/>
        <w:ind w:right="210"/>
        <w:rPr>
          <w:highlight w:val="none"/>
        </w:rPr>
      </w:pPr>
      <w:r>
        <w:rPr>
          <w:rFonts w:hint="eastAsia"/>
          <w:highlight w:val="none"/>
        </w:rPr>
        <w:t>5.3.2.6  温湿度贮存</w:t>
      </w:r>
    </w:p>
    <w:p w14:paraId="700557B9">
      <w:pPr>
        <w:spacing w:line="240" w:lineRule="auto"/>
        <w:ind w:firstLine="420" w:firstLineChars="200"/>
        <w:rPr>
          <w:rFonts w:hint="eastAsia" w:ascii="宋体" w:hAnsi="宋体" w:cs="宋体"/>
          <w:highlight w:val="none"/>
        </w:rPr>
      </w:pPr>
      <w:r>
        <w:rPr>
          <w:rFonts w:hint="eastAsia" w:ascii="宋体" w:hAnsi="宋体" w:cs="宋体"/>
          <w:highlight w:val="none"/>
        </w:rPr>
        <w:t>高压蒸煮试验、加速耐湿无偏置强加速应力试验和温湿度贮存试验可任选一个项目进行试验。</w:t>
      </w:r>
    </w:p>
    <w:p w14:paraId="1803560F">
      <w:pPr>
        <w:spacing w:line="240" w:lineRule="auto"/>
        <w:ind w:firstLine="420" w:firstLineChars="200"/>
        <w:rPr>
          <w:rFonts w:hint="eastAsia" w:ascii="宋体" w:hAnsi="宋体" w:cs="宋体"/>
          <w:highlight w:val="none"/>
        </w:rPr>
      </w:pPr>
      <w:r>
        <w:rPr>
          <w:rFonts w:hint="eastAsia" w:ascii="宋体" w:hAnsi="宋体" w:cs="宋体"/>
          <w:highlight w:val="none"/>
        </w:rPr>
        <w:t>若选择温湿度贮存试验，按6.3.2.6进行试验。试验后纯电动客车用电源管理芯片外观应满足IEC 60749-3的要求，</w:t>
      </w:r>
      <w:r>
        <w:rPr>
          <w:rFonts w:hint="eastAsia" w:hAnsi="宋体"/>
          <w:highlight w:val="none"/>
        </w:rPr>
        <w:t>功能和性能</w:t>
      </w:r>
      <w:r>
        <w:rPr>
          <w:rFonts w:hint="eastAsia" w:ascii="宋体" w:hAnsi="宋体" w:cs="宋体"/>
          <w:highlight w:val="none"/>
        </w:rPr>
        <w:t>应符合产品规格书的要求。</w:t>
      </w:r>
    </w:p>
    <w:p w14:paraId="53094F0C">
      <w:pPr>
        <w:pStyle w:val="96"/>
        <w:numPr>
          <w:ilvl w:val="4"/>
          <w:numId w:val="0"/>
        </w:numPr>
        <w:spacing w:before="120" w:after="120"/>
        <w:ind w:right="210"/>
        <w:rPr>
          <w:highlight w:val="none"/>
        </w:rPr>
      </w:pPr>
      <w:r>
        <w:rPr>
          <w:rFonts w:hint="eastAsia"/>
          <w:highlight w:val="none"/>
        </w:rPr>
        <w:t>5.3.2.7  温度循环</w:t>
      </w:r>
    </w:p>
    <w:p w14:paraId="272A51C8">
      <w:pPr>
        <w:pStyle w:val="58"/>
        <w:ind w:firstLine="420"/>
        <w:rPr>
          <w:highlight w:val="none"/>
        </w:rPr>
      </w:pPr>
      <w:r>
        <w:rPr>
          <w:rFonts w:hint="eastAsia" w:hAnsi="宋体"/>
          <w:highlight w:val="none"/>
        </w:rPr>
        <w:t>按</w:t>
      </w:r>
      <w:r>
        <w:rPr>
          <w:rFonts w:hint="eastAsia"/>
          <w:highlight w:val="none"/>
        </w:rPr>
        <w:t>6.3.2.7</w:t>
      </w:r>
      <w:r>
        <w:rPr>
          <w:rFonts w:hint="eastAsia" w:hAnsi="宋体"/>
          <w:highlight w:val="none"/>
        </w:rPr>
        <w:t>进行试验。试验后纯电动客车用电源管理芯片外观应满足IEC 60749-3的要求，功能和性能应符合产品规格书的要求。</w:t>
      </w:r>
    </w:p>
    <w:p w14:paraId="1D903801">
      <w:pPr>
        <w:pStyle w:val="166"/>
        <w:numPr>
          <w:ilvl w:val="0"/>
          <w:numId w:val="0"/>
        </w:numPr>
        <w:spacing w:before="120" w:beforeLines="50" w:after="120" w:afterLines="50"/>
        <w:ind w:right="210"/>
        <w:outlineLvl w:val="3"/>
        <w:rPr>
          <w:rFonts w:ascii="黑体" w:eastAsia="黑体"/>
          <w:highlight w:val="none"/>
        </w:rPr>
      </w:pPr>
      <w:r>
        <w:rPr>
          <w:rFonts w:hint="eastAsia" w:ascii="黑体" w:eastAsia="黑体"/>
          <w:highlight w:val="none"/>
        </w:rPr>
        <w:t>5.3.2.8  功率温度循环</w:t>
      </w:r>
    </w:p>
    <w:p w14:paraId="40C149BE">
      <w:pPr>
        <w:pStyle w:val="58"/>
        <w:ind w:firstLine="420"/>
        <w:rPr>
          <w:rFonts w:hint="eastAsia" w:hAnsi="宋体"/>
          <w:highlight w:val="none"/>
        </w:rPr>
      </w:pPr>
      <w:r>
        <w:rPr>
          <w:rFonts w:hint="eastAsia" w:hAnsi="宋体"/>
          <w:highlight w:val="none"/>
        </w:rPr>
        <w:t>按6.3.2.8进行试验。试验后纯电动客车用电源管理芯片外观应满足IEC</w:t>
      </w:r>
      <w:r>
        <w:rPr>
          <w:rFonts w:hAnsi="宋体"/>
          <w:highlight w:val="none"/>
        </w:rPr>
        <w:t xml:space="preserve"> </w:t>
      </w:r>
      <w:r>
        <w:rPr>
          <w:rFonts w:hint="eastAsia" w:hAnsi="宋体"/>
          <w:highlight w:val="none"/>
        </w:rPr>
        <w:t>60749-3的要求，功能和性能应符合产品规格书的要求。</w:t>
      </w:r>
    </w:p>
    <w:p w14:paraId="5236CD86">
      <w:pPr>
        <w:pStyle w:val="96"/>
        <w:numPr>
          <w:ilvl w:val="0"/>
          <w:numId w:val="0"/>
        </w:numPr>
        <w:spacing w:before="120" w:after="120"/>
        <w:ind w:right="210"/>
        <w:rPr>
          <w:highlight w:val="none"/>
        </w:rPr>
      </w:pPr>
      <w:r>
        <w:rPr>
          <w:rFonts w:hint="eastAsia"/>
          <w:highlight w:val="none"/>
        </w:rPr>
        <w:t>5.3.2.9  高温贮存寿命</w:t>
      </w:r>
    </w:p>
    <w:p w14:paraId="1B775CCE">
      <w:pPr>
        <w:pStyle w:val="58"/>
        <w:ind w:firstLine="420"/>
        <w:rPr>
          <w:rFonts w:hint="eastAsia" w:hAnsi="宋体"/>
          <w:highlight w:val="none"/>
        </w:rPr>
      </w:pPr>
      <w:r>
        <w:rPr>
          <w:rFonts w:hint="eastAsia" w:hAnsi="宋体"/>
          <w:highlight w:val="none"/>
        </w:rPr>
        <w:t>按6.3.2.9进行试验。试验后纯电动客车用电源管理芯片外观应满足IEC 60749-3的要求，功能和性能应符合产品规格书的要求。</w:t>
      </w:r>
    </w:p>
    <w:p w14:paraId="4D301D7B">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rPr>
          <w:highlight w:val="none"/>
        </w:rPr>
      </w:pPr>
      <w:r>
        <w:rPr>
          <w:rFonts w:hint="eastAsia"/>
          <w:highlight w:val="none"/>
        </w:rPr>
        <w:t>加速寿命模拟</w:t>
      </w:r>
    </w:p>
    <w:p w14:paraId="49E7DEEF">
      <w:pPr>
        <w:pStyle w:val="96"/>
        <w:numPr>
          <w:ilvl w:val="0"/>
          <w:numId w:val="0"/>
        </w:numPr>
        <w:spacing w:before="120" w:after="120"/>
        <w:ind w:right="210"/>
        <w:rPr>
          <w:highlight w:val="none"/>
        </w:rPr>
      </w:pPr>
      <w:r>
        <w:rPr>
          <w:rFonts w:hint="eastAsia"/>
          <w:highlight w:val="none"/>
        </w:rPr>
        <w:t>5.3.3.1  高温工作寿命</w:t>
      </w:r>
    </w:p>
    <w:p w14:paraId="5F605C33">
      <w:pPr>
        <w:pStyle w:val="58"/>
        <w:ind w:firstLine="420"/>
        <w:rPr>
          <w:highlight w:val="none"/>
        </w:rPr>
      </w:pPr>
      <w:r>
        <w:rPr>
          <w:rFonts w:hint="eastAsia" w:hAnsi="宋体"/>
          <w:highlight w:val="none"/>
        </w:rPr>
        <w:t>按</w:t>
      </w:r>
      <w:r>
        <w:rPr>
          <w:rFonts w:hint="eastAsia"/>
          <w:highlight w:val="none"/>
        </w:rPr>
        <w:t>6.3.3.1</w:t>
      </w:r>
      <w:r>
        <w:rPr>
          <w:rFonts w:hint="eastAsia" w:hAnsi="宋体"/>
          <w:highlight w:val="none"/>
        </w:rPr>
        <w:t>进行试验。试验中不应发生热关机现象，试验中和试验后纯电动客车用电源管理芯片外观应满足IEC 60749-3的要求，功能和性能应符合产品规格书的要求。</w:t>
      </w:r>
    </w:p>
    <w:p w14:paraId="0EBE0784">
      <w:pPr>
        <w:pStyle w:val="96"/>
        <w:numPr>
          <w:ilvl w:val="0"/>
          <w:numId w:val="0"/>
        </w:numPr>
        <w:spacing w:before="120" w:after="120"/>
        <w:ind w:right="210"/>
        <w:rPr>
          <w:highlight w:val="none"/>
        </w:rPr>
      </w:pPr>
      <w:r>
        <w:rPr>
          <w:rFonts w:hint="eastAsia"/>
          <w:highlight w:val="none"/>
        </w:rPr>
        <w:t>5.3.3.2  早期寿命失效率</w:t>
      </w:r>
    </w:p>
    <w:p w14:paraId="2B331784">
      <w:pPr>
        <w:pStyle w:val="58"/>
        <w:ind w:firstLine="420"/>
        <w:rPr>
          <w:highlight w:val="none"/>
        </w:rPr>
      </w:pPr>
      <w:r>
        <w:rPr>
          <w:rFonts w:hint="eastAsia" w:hAnsi="宋体"/>
          <w:highlight w:val="none"/>
        </w:rPr>
        <w:t>按</w:t>
      </w:r>
      <w:r>
        <w:rPr>
          <w:rFonts w:hint="eastAsia"/>
          <w:highlight w:val="none"/>
        </w:rPr>
        <w:t>6.3.3.2</w:t>
      </w:r>
      <w:r>
        <w:rPr>
          <w:rFonts w:hint="eastAsia" w:hAnsi="宋体"/>
          <w:highlight w:val="none"/>
        </w:rPr>
        <w:t>进行试验。试验中不应发生热关机现象，试验中和试验后纯电动客车用电源管理芯片外观应满足IEC 60749-3的要求，功能和性能应符合产品规格书的要求。</w:t>
      </w:r>
    </w:p>
    <w:p w14:paraId="6219DE25">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rPr>
          <w:highlight w:val="none"/>
        </w:rPr>
      </w:pPr>
      <w:r>
        <w:rPr>
          <w:rFonts w:hint="eastAsia"/>
          <w:highlight w:val="none"/>
        </w:rPr>
        <w:t>封装完整性</w:t>
      </w:r>
    </w:p>
    <w:p w14:paraId="156C1E51">
      <w:pPr>
        <w:pStyle w:val="96"/>
        <w:numPr>
          <w:ilvl w:val="0"/>
          <w:numId w:val="0"/>
        </w:numPr>
        <w:spacing w:before="120" w:after="120"/>
        <w:ind w:right="210"/>
        <w:rPr>
          <w:highlight w:val="none"/>
        </w:rPr>
      </w:pPr>
      <w:r>
        <w:rPr>
          <w:rFonts w:hint="eastAsia"/>
          <w:highlight w:val="none"/>
        </w:rPr>
        <w:t>5.3.4.1 键合点剪切强度</w:t>
      </w:r>
    </w:p>
    <w:p w14:paraId="6DF5CE03">
      <w:pPr>
        <w:pStyle w:val="58"/>
        <w:ind w:firstLine="420"/>
        <w:rPr>
          <w:rFonts w:hint="eastAsia" w:hAnsi="宋体"/>
          <w:highlight w:val="none"/>
        </w:rPr>
      </w:pPr>
      <w:r>
        <w:rPr>
          <w:rFonts w:hint="eastAsia" w:hAnsi="宋体"/>
          <w:highlight w:val="none"/>
        </w:rPr>
        <w:t>若纯电动客车用电源管理芯片采用打线键合（wire bond）封装，按照</w:t>
      </w:r>
      <w:r>
        <w:rPr>
          <w:rFonts w:hint="eastAsia"/>
          <w:highlight w:val="none"/>
        </w:rPr>
        <w:t>6.3.4.1</w:t>
      </w:r>
      <w:r>
        <w:rPr>
          <w:rFonts w:hint="eastAsia" w:hAnsi="宋体"/>
          <w:highlight w:val="none"/>
        </w:rPr>
        <w:t>进行试验。不同键合直径对应的剪切力和平均剪切力不应低于表6的要求。键合点分离模式应为1、2、3或6；分离模式不应为4或5。将测得剪切力的结果汇总正态分布，应过程能力K指数C</w:t>
      </w:r>
      <w:r>
        <w:rPr>
          <w:rFonts w:hint="eastAsia" w:hAnsi="宋体"/>
          <w:highlight w:val="none"/>
          <w:vertAlign w:val="subscript"/>
        </w:rPr>
        <w:t>pk</w:t>
      </w:r>
      <w:r>
        <w:rPr>
          <w:rFonts w:hint="eastAsia" w:hAnsi="宋体"/>
          <w:highlight w:val="none"/>
        </w:rPr>
        <w:t>大于1.67。开封过程不应影响键合剪切强度或键合拉力。</w:t>
      </w:r>
    </w:p>
    <w:p w14:paraId="76AC0C12">
      <w:pPr>
        <w:adjustRightInd/>
        <w:spacing w:before="120" w:beforeLines="50" w:after="120" w:afterLines="50" w:line="240" w:lineRule="auto"/>
        <w:jc w:val="center"/>
        <w:rPr>
          <w:rFonts w:hint="eastAsia" w:ascii="黑体" w:hAnsi="黑体" w:eastAsia="黑体" w:cs="黑体"/>
          <w:highlight w:val="none"/>
        </w:rPr>
      </w:pPr>
      <w:r>
        <w:rPr>
          <w:rFonts w:hint="eastAsia" w:ascii="黑体" w:hAnsi="黑体" w:eastAsia="黑体" w:cs="黑体"/>
          <w:highlight w:val="none"/>
        </w:rPr>
        <w:t>表6 键合点剪切最小剪切力要求</w:t>
      </w:r>
    </w:p>
    <w:tbl>
      <w:tblPr>
        <w:tblStyle w:val="29"/>
        <w:tblW w:w="945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3214"/>
        <w:gridCol w:w="3008"/>
        <w:gridCol w:w="3237"/>
      </w:tblGrid>
      <w:tr w14:paraId="68E3A4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3214" w:type="dxa"/>
            <w:tcBorders>
              <w:tl2br w:val="nil"/>
              <w:tr2bl w:val="nil"/>
            </w:tcBorders>
            <w:vAlign w:val="center"/>
          </w:tcPr>
          <w:p w14:paraId="415812CA">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键合点直径</w:t>
            </w:r>
          </w:p>
          <w:p w14:paraId="6AD599C9">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μm</w:t>
            </w:r>
          </w:p>
        </w:tc>
        <w:tc>
          <w:tcPr>
            <w:tcW w:w="3008" w:type="dxa"/>
            <w:tcBorders>
              <w:tl2br w:val="nil"/>
              <w:tr2bl w:val="nil"/>
            </w:tcBorders>
            <w:vAlign w:val="center"/>
          </w:tcPr>
          <w:p w14:paraId="1F799C06">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最小平均剪切力</w:t>
            </w:r>
          </w:p>
          <w:p w14:paraId="17634A27">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gf</w:t>
            </w:r>
          </w:p>
        </w:tc>
        <w:tc>
          <w:tcPr>
            <w:tcW w:w="3237" w:type="dxa"/>
            <w:tcBorders>
              <w:tl2br w:val="nil"/>
              <w:tr2bl w:val="nil"/>
            </w:tcBorders>
            <w:vAlign w:val="center"/>
          </w:tcPr>
          <w:p w14:paraId="572087F1">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最小剪切力</w:t>
            </w:r>
          </w:p>
          <w:p w14:paraId="160C1739">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gf</w:t>
            </w:r>
          </w:p>
        </w:tc>
      </w:tr>
      <w:tr w14:paraId="3B4051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214" w:type="dxa"/>
            <w:tcBorders>
              <w:tl2br w:val="nil"/>
              <w:tr2bl w:val="nil"/>
            </w:tcBorders>
            <w:vAlign w:val="center"/>
          </w:tcPr>
          <w:p w14:paraId="00193EFF">
            <w:pPr>
              <w:pStyle w:val="180"/>
              <w:rPr>
                <w:rFonts w:hint="eastAsia" w:hAnsi="宋体" w:cs="宋体"/>
                <w:szCs w:val="18"/>
                <w:highlight w:val="none"/>
              </w:rPr>
            </w:pPr>
            <w:r>
              <w:rPr>
                <w:rFonts w:hint="eastAsia" w:hAnsi="宋体" w:cs="宋体"/>
                <w:color w:val="000000"/>
                <w:szCs w:val="18"/>
                <w:highlight w:val="none"/>
                <w:lang w:bidi="ar"/>
              </w:rPr>
              <w:t>50.8</w:t>
            </w:r>
          </w:p>
        </w:tc>
        <w:tc>
          <w:tcPr>
            <w:tcW w:w="3008" w:type="dxa"/>
            <w:tcBorders>
              <w:tl2br w:val="nil"/>
              <w:tr2bl w:val="nil"/>
            </w:tcBorders>
            <w:vAlign w:val="center"/>
          </w:tcPr>
          <w:p w14:paraId="63927FEC">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12.6</w:t>
            </w:r>
          </w:p>
        </w:tc>
        <w:tc>
          <w:tcPr>
            <w:tcW w:w="3237" w:type="dxa"/>
            <w:tcBorders>
              <w:tl2br w:val="nil"/>
              <w:tr2bl w:val="nil"/>
            </w:tcBorders>
            <w:vAlign w:val="center"/>
          </w:tcPr>
          <w:p w14:paraId="06425EED">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5.7</w:t>
            </w:r>
          </w:p>
        </w:tc>
      </w:tr>
      <w:tr w14:paraId="63BC08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 w:hRule="atLeast"/>
          <w:jc w:val="center"/>
        </w:trPr>
        <w:tc>
          <w:tcPr>
            <w:tcW w:w="3214" w:type="dxa"/>
            <w:tcBorders>
              <w:tl2br w:val="nil"/>
              <w:tr2bl w:val="nil"/>
            </w:tcBorders>
            <w:vAlign w:val="center"/>
          </w:tcPr>
          <w:p w14:paraId="2D78576A">
            <w:pPr>
              <w:pStyle w:val="180"/>
              <w:rPr>
                <w:rFonts w:hint="eastAsia" w:hAnsi="宋体" w:cs="宋体"/>
                <w:szCs w:val="18"/>
                <w:highlight w:val="none"/>
              </w:rPr>
            </w:pPr>
            <w:r>
              <w:rPr>
                <w:rFonts w:hint="eastAsia" w:hAnsi="宋体" w:cs="宋体"/>
                <w:color w:val="000000"/>
                <w:szCs w:val="18"/>
                <w:highlight w:val="none"/>
                <w:lang w:bidi="ar"/>
              </w:rPr>
              <w:t>53.3</w:t>
            </w:r>
          </w:p>
        </w:tc>
        <w:tc>
          <w:tcPr>
            <w:tcW w:w="3008" w:type="dxa"/>
            <w:tcBorders>
              <w:tl2br w:val="nil"/>
              <w:tr2bl w:val="nil"/>
            </w:tcBorders>
            <w:vAlign w:val="center"/>
          </w:tcPr>
          <w:p w14:paraId="7CBE4C54">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14.0</w:t>
            </w:r>
          </w:p>
        </w:tc>
        <w:tc>
          <w:tcPr>
            <w:tcW w:w="3237" w:type="dxa"/>
            <w:tcBorders>
              <w:tl2br w:val="nil"/>
              <w:tr2bl w:val="nil"/>
            </w:tcBorders>
            <w:vAlign w:val="center"/>
          </w:tcPr>
          <w:p w14:paraId="2B833604">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6.8</w:t>
            </w:r>
          </w:p>
        </w:tc>
      </w:tr>
      <w:tr w14:paraId="285560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6" w:hRule="atLeast"/>
          <w:jc w:val="center"/>
        </w:trPr>
        <w:tc>
          <w:tcPr>
            <w:tcW w:w="3214" w:type="dxa"/>
            <w:tcBorders>
              <w:tl2br w:val="nil"/>
              <w:tr2bl w:val="nil"/>
            </w:tcBorders>
            <w:vAlign w:val="center"/>
          </w:tcPr>
          <w:p w14:paraId="3FAE4A67">
            <w:pPr>
              <w:pStyle w:val="180"/>
              <w:rPr>
                <w:rFonts w:hint="eastAsia" w:hAnsi="宋体" w:cs="宋体"/>
                <w:szCs w:val="18"/>
                <w:highlight w:val="none"/>
              </w:rPr>
            </w:pPr>
            <w:r>
              <w:rPr>
                <w:rFonts w:hint="eastAsia" w:hAnsi="宋体" w:cs="宋体"/>
                <w:color w:val="000000"/>
                <w:szCs w:val="18"/>
                <w:highlight w:val="none"/>
                <w:lang w:bidi="ar"/>
              </w:rPr>
              <w:t>55.9</w:t>
            </w:r>
          </w:p>
        </w:tc>
        <w:tc>
          <w:tcPr>
            <w:tcW w:w="3008" w:type="dxa"/>
            <w:tcBorders>
              <w:tl2br w:val="nil"/>
              <w:tr2bl w:val="nil"/>
            </w:tcBorders>
            <w:vAlign w:val="center"/>
          </w:tcPr>
          <w:p w14:paraId="1C692C02">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15.5</w:t>
            </w:r>
          </w:p>
        </w:tc>
        <w:tc>
          <w:tcPr>
            <w:tcW w:w="3237" w:type="dxa"/>
            <w:tcBorders>
              <w:tl2br w:val="nil"/>
              <w:tr2bl w:val="nil"/>
            </w:tcBorders>
            <w:vAlign w:val="center"/>
          </w:tcPr>
          <w:p w14:paraId="09CA135C">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8.1</w:t>
            </w:r>
          </w:p>
        </w:tc>
      </w:tr>
      <w:tr w14:paraId="455A43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4" w:hRule="atLeast"/>
          <w:jc w:val="center"/>
        </w:trPr>
        <w:tc>
          <w:tcPr>
            <w:tcW w:w="3214" w:type="dxa"/>
            <w:tcBorders>
              <w:tl2br w:val="nil"/>
              <w:tr2bl w:val="nil"/>
            </w:tcBorders>
            <w:vAlign w:val="center"/>
          </w:tcPr>
          <w:p w14:paraId="6E67C5EA">
            <w:pPr>
              <w:pStyle w:val="180"/>
              <w:rPr>
                <w:rFonts w:hint="eastAsia" w:hAnsi="宋体" w:cs="宋体"/>
                <w:szCs w:val="18"/>
                <w:highlight w:val="none"/>
              </w:rPr>
            </w:pPr>
            <w:r>
              <w:rPr>
                <w:rFonts w:hint="eastAsia" w:hAnsi="宋体" w:cs="宋体"/>
                <w:color w:val="000000"/>
                <w:szCs w:val="18"/>
                <w:highlight w:val="none"/>
                <w:lang w:bidi="ar"/>
              </w:rPr>
              <w:t>58.4</w:t>
            </w:r>
          </w:p>
        </w:tc>
        <w:tc>
          <w:tcPr>
            <w:tcW w:w="3008" w:type="dxa"/>
            <w:tcBorders>
              <w:tl2br w:val="nil"/>
              <w:tr2bl w:val="nil"/>
            </w:tcBorders>
            <w:vAlign w:val="center"/>
          </w:tcPr>
          <w:p w14:paraId="1E209746">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17.1</w:t>
            </w:r>
          </w:p>
        </w:tc>
        <w:tc>
          <w:tcPr>
            <w:tcW w:w="3237" w:type="dxa"/>
            <w:tcBorders>
              <w:tl2br w:val="nil"/>
              <w:tr2bl w:val="nil"/>
            </w:tcBorders>
            <w:vAlign w:val="center"/>
          </w:tcPr>
          <w:p w14:paraId="6358163E">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9.5</w:t>
            </w:r>
          </w:p>
        </w:tc>
      </w:tr>
      <w:tr w14:paraId="056D6B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214" w:type="dxa"/>
            <w:tcBorders>
              <w:tl2br w:val="nil"/>
              <w:tr2bl w:val="nil"/>
            </w:tcBorders>
            <w:vAlign w:val="center"/>
          </w:tcPr>
          <w:p w14:paraId="32CD42F1">
            <w:pPr>
              <w:pStyle w:val="180"/>
              <w:rPr>
                <w:rFonts w:hint="eastAsia" w:hAnsi="宋体" w:cs="宋体"/>
                <w:szCs w:val="18"/>
                <w:highlight w:val="none"/>
              </w:rPr>
            </w:pPr>
            <w:r>
              <w:rPr>
                <w:rFonts w:hint="eastAsia" w:hAnsi="宋体" w:cs="宋体"/>
                <w:color w:val="000000"/>
                <w:szCs w:val="18"/>
                <w:highlight w:val="none"/>
                <w:lang w:bidi="ar"/>
              </w:rPr>
              <w:t>61.0</w:t>
            </w:r>
          </w:p>
        </w:tc>
        <w:tc>
          <w:tcPr>
            <w:tcW w:w="3008" w:type="dxa"/>
            <w:tcBorders>
              <w:tl2br w:val="nil"/>
              <w:tr2bl w:val="nil"/>
            </w:tcBorders>
            <w:vAlign w:val="center"/>
          </w:tcPr>
          <w:p w14:paraId="078DF31E">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18.8</w:t>
            </w:r>
          </w:p>
        </w:tc>
        <w:tc>
          <w:tcPr>
            <w:tcW w:w="3237" w:type="dxa"/>
            <w:tcBorders>
              <w:tl2br w:val="nil"/>
              <w:tr2bl w:val="nil"/>
            </w:tcBorders>
            <w:vAlign w:val="center"/>
          </w:tcPr>
          <w:p w14:paraId="6BB47806">
            <w:pPr>
              <w:adjustRightInd/>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10.9</w:t>
            </w:r>
          </w:p>
        </w:tc>
      </w:tr>
      <w:tr w14:paraId="64A21E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1" w:hRule="atLeast"/>
          <w:jc w:val="center"/>
        </w:trPr>
        <w:tc>
          <w:tcPr>
            <w:tcW w:w="3214" w:type="dxa"/>
            <w:tcBorders>
              <w:tl2br w:val="nil"/>
              <w:tr2bl w:val="nil"/>
            </w:tcBorders>
            <w:vAlign w:val="center"/>
          </w:tcPr>
          <w:p w14:paraId="51D04737">
            <w:pPr>
              <w:pStyle w:val="180"/>
              <w:rPr>
                <w:rFonts w:hint="eastAsia" w:hAnsi="宋体" w:cs="宋体"/>
                <w:szCs w:val="18"/>
                <w:highlight w:val="none"/>
              </w:rPr>
            </w:pPr>
            <w:r>
              <w:rPr>
                <w:rFonts w:hint="eastAsia" w:hAnsi="宋体" w:cs="宋体"/>
                <w:color w:val="000000"/>
                <w:szCs w:val="18"/>
                <w:highlight w:val="none"/>
                <w:lang w:bidi="ar"/>
              </w:rPr>
              <w:t>63.5</w:t>
            </w:r>
          </w:p>
        </w:tc>
        <w:tc>
          <w:tcPr>
            <w:tcW w:w="3008" w:type="dxa"/>
            <w:tcBorders>
              <w:tl2br w:val="nil"/>
              <w:tr2bl w:val="nil"/>
            </w:tcBorders>
            <w:vAlign w:val="center"/>
          </w:tcPr>
          <w:p w14:paraId="3E48F6D3">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20.6</w:t>
            </w:r>
          </w:p>
        </w:tc>
        <w:tc>
          <w:tcPr>
            <w:tcW w:w="3237" w:type="dxa"/>
            <w:tcBorders>
              <w:tl2br w:val="nil"/>
              <w:tr2bl w:val="nil"/>
            </w:tcBorders>
            <w:vAlign w:val="center"/>
          </w:tcPr>
          <w:p w14:paraId="1031E16F">
            <w:pPr>
              <w:adjustRightInd/>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12.4</w:t>
            </w:r>
          </w:p>
        </w:tc>
      </w:tr>
      <w:tr w14:paraId="06FA37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7" w:hRule="atLeast"/>
          <w:jc w:val="center"/>
        </w:trPr>
        <w:tc>
          <w:tcPr>
            <w:tcW w:w="3214" w:type="dxa"/>
            <w:tcBorders>
              <w:tl2br w:val="nil"/>
              <w:tr2bl w:val="nil"/>
            </w:tcBorders>
            <w:vAlign w:val="center"/>
          </w:tcPr>
          <w:p w14:paraId="3A7B5FD7">
            <w:pPr>
              <w:pStyle w:val="180"/>
              <w:rPr>
                <w:rFonts w:hint="eastAsia" w:hAnsi="宋体" w:cs="宋体"/>
                <w:szCs w:val="18"/>
                <w:highlight w:val="none"/>
              </w:rPr>
            </w:pPr>
            <w:r>
              <w:rPr>
                <w:rFonts w:hint="eastAsia" w:hAnsi="宋体" w:cs="宋体"/>
                <w:color w:val="000000"/>
                <w:szCs w:val="18"/>
                <w:highlight w:val="none"/>
                <w:lang w:bidi="ar"/>
              </w:rPr>
              <w:t>66.0</w:t>
            </w:r>
          </w:p>
        </w:tc>
        <w:tc>
          <w:tcPr>
            <w:tcW w:w="3008" w:type="dxa"/>
            <w:tcBorders>
              <w:tl2br w:val="nil"/>
              <w:tr2bl w:val="nil"/>
            </w:tcBorders>
            <w:vAlign w:val="center"/>
          </w:tcPr>
          <w:p w14:paraId="2A1899AB">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22.4</w:t>
            </w:r>
          </w:p>
        </w:tc>
        <w:tc>
          <w:tcPr>
            <w:tcW w:w="3237" w:type="dxa"/>
            <w:tcBorders>
              <w:tl2br w:val="nil"/>
              <w:tr2bl w:val="nil"/>
            </w:tcBorders>
            <w:vAlign w:val="center"/>
          </w:tcPr>
          <w:p w14:paraId="0CCBF171">
            <w:pPr>
              <w:adjustRightInd/>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14.0</w:t>
            </w:r>
          </w:p>
        </w:tc>
      </w:tr>
      <w:tr w14:paraId="45137D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4" w:hRule="atLeast"/>
          <w:jc w:val="center"/>
        </w:trPr>
        <w:tc>
          <w:tcPr>
            <w:tcW w:w="3214" w:type="dxa"/>
            <w:tcBorders>
              <w:tl2br w:val="nil"/>
              <w:tr2bl w:val="nil"/>
            </w:tcBorders>
            <w:vAlign w:val="center"/>
          </w:tcPr>
          <w:p w14:paraId="4842F11A">
            <w:pPr>
              <w:pStyle w:val="180"/>
              <w:rPr>
                <w:rFonts w:hint="eastAsia" w:hAnsi="宋体" w:cs="宋体"/>
                <w:szCs w:val="18"/>
                <w:highlight w:val="none"/>
              </w:rPr>
            </w:pPr>
            <w:r>
              <w:rPr>
                <w:rFonts w:hint="eastAsia" w:hAnsi="宋体" w:cs="宋体"/>
                <w:color w:val="000000"/>
                <w:szCs w:val="18"/>
                <w:highlight w:val="none"/>
                <w:lang w:bidi="ar"/>
              </w:rPr>
              <w:t>68.6</w:t>
            </w:r>
          </w:p>
        </w:tc>
        <w:tc>
          <w:tcPr>
            <w:tcW w:w="3008" w:type="dxa"/>
            <w:tcBorders>
              <w:tl2br w:val="nil"/>
              <w:tr2bl w:val="nil"/>
            </w:tcBorders>
            <w:vAlign w:val="center"/>
          </w:tcPr>
          <w:p w14:paraId="4B284684">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24.4</w:t>
            </w:r>
          </w:p>
        </w:tc>
        <w:tc>
          <w:tcPr>
            <w:tcW w:w="3237" w:type="dxa"/>
            <w:tcBorders>
              <w:tl2br w:val="nil"/>
              <w:tr2bl w:val="nil"/>
            </w:tcBorders>
            <w:vAlign w:val="center"/>
          </w:tcPr>
          <w:p w14:paraId="63260826">
            <w:pPr>
              <w:adjustRightInd/>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15.6</w:t>
            </w:r>
          </w:p>
        </w:tc>
      </w:tr>
      <w:tr w14:paraId="096CFF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76" w:hRule="atLeast"/>
          <w:jc w:val="center"/>
        </w:trPr>
        <w:tc>
          <w:tcPr>
            <w:tcW w:w="3214" w:type="dxa"/>
            <w:tcBorders>
              <w:tl2br w:val="nil"/>
              <w:tr2bl w:val="nil"/>
            </w:tcBorders>
            <w:vAlign w:val="center"/>
          </w:tcPr>
          <w:p w14:paraId="17C6A16A">
            <w:pPr>
              <w:pStyle w:val="180"/>
              <w:rPr>
                <w:rFonts w:hint="eastAsia" w:hAnsi="宋体" w:cs="宋体"/>
                <w:szCs w:val="18"/>
                <w:highlight w:val="none"/>
              </w:rPr>
            </w:pPr>
            <w:r>
              <w:rPr>
                <w:rFonts w:hint="eastAsia" w:hAnsi="宋体" w:cs="宋体"/>
                <w:color w:val="000000"/>
                <w:szCs w:val="18"/>
                <w:highlight w:val="none"/>
                <w:lang w:bidi="ar"/>
              </w:rPr>
              <w:t>71.1</w:t>
            </w:r>
          </w:p>
        </w:tc>
        <w:tc>
          <w:tcPr>
            <w:tcW w:w="3008" w:type="dxa"/>
            <w:tcBorders>
              <w:tl2br w:val="nil"/>
              <w:tr2bl w:val="nil"/>
            </w:tcBorders>
            <w:vAlign w:val="center"/>
          </w:tcPr>
          <w:p w14:paraId="3A2B2DE2">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26.5</w:t>
            </w:r>
          </w:p>
        </w:tc>
        <w:tc>
          <w:tcPr>
            <w:tcW w:w="3237" w:type="dxa"/>
            <w:tcBorders>
              <w:tl2br w:val="nil"/>
              <w:tr2bl w:val="nil"/>
            </w:tcBorders>
            <w:vAlign w:val="center"/>
          </w:tcPr>
          <w:p w14:paraId="258C10CB">
            <w:pPr>
              <w:adjustRightInd/>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17.4</w:t>
            </w:r>
          </w:p>
        </w:tc>
      </w:tr>
      <w:tr w14:paraId="207A1A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3214" w:type="dxa"/>
            <w:tcBorders>
              <w:tl2br w:val="nil"/>
              <w:tr2bl w:val="nil"/>
            </w:tcBorders>
            <w:vAlign w:val="center"/>
          </w:tcPr>
          <w:p w14:paraId="3591F351">
            <w:pPr>
              <w:pStyle w:val="180"/>
              <w:rPr>
                <w:rFonts w:hint="eastAsia" w:hAnsi="宋体" w:cs="宋体"/>
                <w:szCs w:val="18"/>
                <w:highlight w:val="none"/>
              </w:rPr>
            </w:pPr>
            <w:r>
              <w:rPr>
                <w:rFonts w:hint="eastAsia" w:hAnsi="宋体" w:cs="宋体"/>
                <w:color w:val="000000"/>
                <w:szCs w:val="18"/>
                <w:highlight w:val="none"/>
                <w:lang w:bidi="ar"/>
              </w:rPr>
              <w:t>73.7</w:t>
            </w:r>
          </w:p>
        </w:tc>
        <w:tc>
          <w:tcPr>
            <w:tcW w:w="3008" w:type="dxa"/>
            <w:tcBorders>
              <w:tl2br w:val="nil"/>
              <w:tr2bl w:val="nil"/>
            </w:tcBorders>
            <w:vAlign w:val="center"/>
          </w:tcPr>
          <w:p w14:paraId="3B3037E7">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28.6</w:t>
            </w:r>
          </w:p>
        </w:tc>
        <w:tc>
          <w:tcPr>
            <w:tcW w:w="3237" w:type="dxa"/>
            <w:tcBorders>
              <w:tl2br w:val="nil"/>
              <w:tr2bl w:val="nil"/>
            </w:tcBorders>
            <w:vAlign w:val="center"/>
          </w:tcPr>
          <w:p w14:paraId="43DD6BB7">
            <w:pPr>
              <w:adjustRightInd/>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19.2</w:t>
            </w:r>
          </w:p>
        </w:tc>
      </w:tr>
      <w:tr w14:paraId="7DF519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3214" w:type="dxa"/>
            <w:tcBorders>
              <w:tl2br w:val="nil"/>
              <w:tr2bl w:val="nil"/>
            </w:tcBorders>
            <w:vAlign w:val="center"/>
          </w:tcPr>
          <w:p w14:paraId="074FFF7A">
            <w:pPr>
              <w:pStyle w:val="180"/>
              <w:rPr>
                <w:rFonts w:hint="eastAsia" w:hAnsi="宋体" w:cs="宋体"/>
                <w:szCs w:val="18"/>
                <w:highlight w:val="none"/>
              </w:rPr>
            </w:pPr>
            <w:r>
              <w:rPr>
                <w:rFonts w:hint="eastAsia" w:hAnsi="宋体" w:cs="宋体"/>
                <w:color w:val="000000"/>
                <w:szCs w:val="18"/>
                <w:highlight w:val="none"/>
                <w:lang w:bidi="ar"/>
              </w:rPr>
              <w:t>76.2</w:t>
            </w:r>
          </w:p>
        </w:tc>
        <w:tc>
          <w:tcPr>
            <w:tcW w:w="3008" w:type="dxa"/>
            <w:tcBorders>
              <w:tl2br w:val="nil"/>
              <w:tr2bl w:val="nil"/>
            </w:tcBorders>
            <w:vAlign w:val="center"/>
          </w:tcPr>
          <w:p w14:paraId="23089655">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30.8</w:t>
            </w:r>
          </w:p>
        </w:tc>
        <w:tc>
          <w:tcPr>
            <w:tcW w:w="3237" w:type="dxa"/>
            <w:tcBorders>
              <w:tl2br w:val="nil"/>
              <w:tr2bl w:val="nil"/>
            </w:tcBorders>
            <w:vAlign w:val="center"/>
          </w:tcPr>
          <w:p w14:paraId="1B7BF866">
            <w:pPr>
              <w:adjustRightInd/>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21.1</w:t>
            </w:r>
          </w:p>
        </w:tc>
      </w:tr>
      <w:tr w14:paraId="42C9E2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9" w:hRule="atLeast"/>
          <w:jc w:val="center"/>
        </w:trPr>
        <w:tc>
          <w:tcPr>
            <w:tcW w:w="3214" w:type="dxa"/>
            <w:tcBorders>
              <w:tl2br w:val="nil"/>
              <w:tr2bl w:val="nil"/>
            </w:tcBorders>
            <w:vAlign w:val="center"/>
          </w:tcPr>
          <w:p w14:paraId="3EDC4EAC">
            <w:pPr>
              <w:pStyle w:val="180"/>
              <w:rPr>
                <w:rFonts w:hint="eastAsia" w:hAnsi="宋体" w:cs="宋体"/>
                <w:szCs w:val="18"/>
                <w:highlight w:val="none"/>
              </w:rPr>
            </w:pPr>
            <w:r>
              <w:rPr>
                <w:rFonts w:hint="eastAsia" w:hAnsi="宋体" w:cs="宋体"/>
                <w:color w:val="000000"/>
                <w:szCs w:val="18"/>
                <w:highlight w:val="none"/>
                <w:lang w:bidi="ar"/>
              </w:rPr>
              <w:t>78.7</w:t>
            </w:r>
          </w:p>
        </w:tc>
        <w:tc>
          <w:tcPr>
            <w:tcW w:w="3008" w:type="dxa"/>
            <w:tcBorders>
              <w:tl2br w:val="nil"/>
              <w:tr2bl w:val="nil"/>
            </w:tcBorders>
            <w:vAlign w:val="center"/>
          </w:tcPr>
          <w:p w14:paraId="24C2F6A0">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33.2</w:t>
            </w:r>
          </w:p>
        </w:tc>
        <w:tc>
          <w:tcPr>
            <w:tcW w:w="3237" w:type="dxa"/>
            <w:tcBorders>
              <w:tl2br w:val="nil"/>
              <w:tr2bl w:val="nil"/>
            </w:tcBorders>
            <w:vAlign w:val="center"/>
          </w:tcPr>
          <w:p w14:paraId="667C1F4E">
            <w:pPr>
              <w:adjustRightInd/>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23.1</w:t>
            </w:r>
          </w:p>
        </w:tc>
      </w:tr>
      <w:tr w14:paraId="347287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14" w:hRule="atLeast"/>
          <w:jc w:val="center"/>
        </w:trPr>
        <w:tc>
          <w:tcPr>
            <w:tcW w:w="3214" w:type="dxa"/>
            <w:tcBorders>
              <w:tl2br w:val="nil"/>
              <w:tr2bl w:val="nil"/>
            </w:tcBorders>
            <w:vAlign w:val="center"/>
          </w:tcPr>
          <w:p w14:paraId="56072408">
            <w:pPr>
              <w:pStyle w:val="180"/>
              <w:rPr>
                <w:rFonts w:hint="eastAsia" w:hAnsi="宋体" w:cs="宋体"/>
                <w:szCs w:val="18"/>
                <w:highlight w:val="none"/>
              </w:rPr>
            </w:pPr>
            <w:r>
              <w:rPr>
                <w:rFonts w:hint="eastAsia" w:hAnsi="宋体" w:cs="宋体"/>
                <w:color w:val="000000"/>
                <w:szCs w:val="18"/>
                <w:highlight w:val="none"/>
                <w:lang w:bidi="ar"/>
              </w:rPr>
              <w:t>81.3</w:t>
            </w:r>
          </w:p>
        </w:tc>
        <w:tc>
          <w:tcPr>
            <w:tcW w:w="3008" w:type="dxa"/>
            <w:tcBorders>
              <w:tl2br w:val="nil"/>
              <w:tr2bl w:val="nil"/>
            </w:tcBorders>
            <w:vAlign w:val="center"/>
          </w:tcPr>
          <w:p w14:paraId="6AFE2AEF">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35.6</w:t>
            </w:r>
          </w:p>
        </w:tc>
        <w:tc>
          <w:tcPr>
            <w:tcW w:w="3237" w:type="dxa"/>
            <w:tcBorders>
              <w:tl2br w:val="nil"/>
              <w:tr2bl w:val="nil"/>
            </w:tcBorders>
            <w:vAlign w:val="center"/>
          </w:tcPr>
          <w:p w14:paraId="33C1FF79">
            <w:pPr>
              <w:adjustRightInd/>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25.1</w:t>
            </w:r>
          </w:p>
        </w:tc>
      </w:tr>
      <w:tr w14:paraId="40C22E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214" w:type="dxa"/>
            <w:tcBorders>
              <w:tl2br w:val="nil"/>
              <w:tr2bl w:val="nil"/>
            </w:tcBorders>
            <w:vAlign w:val="center"/>
          </w:tcPr>
          <w:p w14:paraId="28B672A6">
            <w:pPr>
              <w:pStyle w:val="180"/>
              <w:rPr>
                <w:rFonts w:hint="eastAsia" w:hAnsi="宋体" w:cs="宋体"/>
                <w:szCs w:val="18"/>
                <w:highlight w:val="none"/>
              </w:rPr>
            </w:pPr>
            <w:r>
              <w:rPr>
                <w:rFonts w:hint="eastAsia" w:hAnsi="宋体" w:cs="宋体"/>
                <w:color w:val="000000"/>
                <w:szCs w:val="18"/>
                <w:highlight w:val="none"/>
                <w:lang w:bidi="ar"/>
              </w:rPr>
              <w:t>83.8</w:t>
            </w:r>
          </w:p>
        </w:tc>
        <w:tc>
          <w:tcPr>
            <w:tcW w:w="3008" w:type="dxa"/>
            <w:tcBorders>
              <w:tl2br w:val="nil"/>
              <w:tr2bl w:val="nil"/>
            </w:tcBorders>
            <w:vAlign w:val="center"/>
          </w:tcPr>
          <w:p w14:paraId="7A592198">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38.1</w:t>
            </w:r>
          </w:p>
        </w:tc>
        <w:tc>
          <w:tcPr>
            <w:tcW w:w="3237" w:type="dxa"/>
            <w:tcBorders>
              <w:tl2br w:val="nil"/>
              <w:tr2bl w:val="nil"/>
            </w:tcBorders>
            <w:vAlign w:val="center"/>
          </w:tcPr>
          <w:p w14:paraId="486AB583">
            <w:pPr>
              <w:adjustRightInd/>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27.2</w:t>
            </w:r>
          </w:p>
        </w:tc>
      </w:tr>
      <w:tr w14:paraId="765FFA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214" w:type="dxa"/>
            <w:tcBorders>
              <w:tl2br w:val="nil"/>
              <w:tr2bl w:val="nil"/>
            </w:tcBorders>
            <w:vAlign w:val="center"/>
          </w:tcPr>
          <w:p w14:paraId="7484316D">
            <w:pPr>
              <w:pStyle w:val="180"/>
              <w:rPr>
                <w:rFonts w:hint="eastAsia" w:hAnsi="宋体" w:cs="宋体"/>
                <w:szCs w:val="18"/>
                <w:highlight w:val="none"/>
              </w:rPr>
            </w:pPr>
            <w:r>
              <w:rPr>
                <w:rFonts w:hint="eastAsia" w:hAnsi="宋体" w:cs="宋体"/>
                <w:color w:val="000000"/>
                <w:szCs w:val="18"/>
                <w:highlight w:val="none"/>
                <w:lang w:bidi="ar"/>
              </w:rPr>
              <w:t>86.4</w:t>
            </w:r>
          </w:p>
        </w:tc>
        <w:tc>
          <w:tcPr>
            <w:tcW w:w="3008" w:type="dxa"/>
            <w:tcBorders>
              <w:tl2br w:val="nil"/>
              <w:tr2bl w:val="nil"/>
            </w:tcBorders>
            <w:vAlign w:val="center"/>
          </w:tcPr>
          <w:p w14:paraId="0E69195D">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40.7</w:t>
            </w:r>
          </w:p>
        </w:tc>
        <w:tc>
          <w:tcPr>
            <w:tcW w:w="3237" w:type="dxa"/>
            <w:tcBorders>
              <w:tl2br w:val="nil"/>
              <w:tr2bl w:val="nil"/>
            </w:tcBorders>
            <w:vAlign w:val="center"/>
          </w:tcPr>
          <w:p w14:paraId="70FEB483">
            <w:pPr>
              <w:adjustRightInd/>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29.4</w:t>
            </w:r>
          </w:p>
        </w:tc>
      </w:tr>
      <w:tr w14:paraId="135517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214" w:type="dxa"/>
            <w:tcBorders>
              <w:tl2br w:val="nil"/>
              <w:tr2bl w:val="nil"/>
            </w:tcBorders>
            <w:vAlign w:val="center"/>
          </w:tcPr>
          <w:p w14:paraId="5B1901F2">
            <w:pPr>
              <w:pStyle w:val="180"/>
              <w:rPr>
                <w:rFonts w:hint="eastAsia" w:hAnsi="宋体" w:cs="宋体"/>
                <w:szCs w:val="18"/>
                <w:highlight w:val="none"/>
              </w:rPr>
            </w:pPr>
            <w:r>
              <w:rPr>
                <w:rFonts w:hint="eastAsia" w:hAnsi="宋体" w:cs="宋体"/>
                <w:color w:val="000000"/>
                <w:szCs w:val="18"/>
                <w:highlight w:val="none"/>
                <w:lang w:bidi="ar"/>
              </w:rPr>
              <w:t>88.9</w:t>
            </w:r>
          </w:p>
        </w:tc>
        <w:tc>
          <w:tcPr>
            <w:tcW w:w="3008" w:type="dxa"/>
            <w:tcBorders>
              <w:tl2br w:val="nil"/>
              <w:tr2bl w:val="nil"/>
            </w:tcBorders>
            <w:vAlign w:val="center"/>
          </w:tcPr>
          <w:p w14:paraId="696C82D8">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43.4</w:t>
            </w:r>
          </w:p>
        </w:tc>
        <w:tc>
          <w:tcPr>
            <w:tcW w:w="3237" w:type="dxa"/>
            <w:tcBorders>
              <w:tl2br w:val="nil"/>
              <w:tr2bl w:val="nil"/>
            </w:tcBorders>
            <w:vAlign w:val="center"/>
          </w:tcPr>
          <w:p w14:paraId="02E481D2">
            <w:pPr>
              <w:adjustRightInd/>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31.7</w:t>
            </w:r>
          </w:p>
        </w:tc>
      </w:tr>
      <w:tr w14:paraId="589EE2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214" w:type="dxa"/>
            <w:tcBorders>
              <w:tl2br w:val="nil"/>
              <w:tr2bl w:val="nil"/>
            </w:tcBorders>
            <w:vAlign w:val="center"/>
          </w:tcPr>
          <w:p w14:paraId="42773F45">
            <w:pPr>
              <w:pStyle w:val="180"/>
              <w:rPr>
                <w:rFonts w:hint="eastAsia" w:hAnsi="宋体" w:cs="宋体"/>
                <w:szCs w:val="18"/>
                <w:highlight w:val="none"/>
              </w:rPr>
            </w:pPr>
            <w:r>
              <w:rPr>
                <w:rFonts w:hint="eastAsia" w:hAnsi="宋体" w:cs="宋体"/>
                <w:color w:val="000000"/>
                <w:szCs w:val="18"/>
                <w:highlight w:val="none"/>
                <w:lang w:bidi="ar"/>
              </w:rPr>
              <w:t>91.4</w:t>
            </w:r>
          </w:p>
        </w:tc>
        <w:tc>
          <w:tcPr>
            <w:tcW w:w="3008" w:type="dxa"/>
            <w:tcBorders>
              <w:tl2br w:val="nil"/>
              <w:tr2bl w:val="nil"/>
            </w:tcBorders>
            <w:vAlign w:val="center"/>
          </w:tcPr>
          <w:p w14:paraId="73C3201E">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46.2</w:t>
            </w:r>
          </w:p>
        </w:tc>
        <w:tc>
          <w:tcPr>
            <w:tcW w:w="3237" w:type="dxa"/>
            <w:tcBorders>
              <w:tl2br w:val="nil"/>
              <w:tr2bl w:val="nil"/>
            </w:tcBorders>
            <w:vAlign w:val="center"/>
          </w:tcPr>
          <w:p w14:paraId="1FB407E0">
            <w:pPr>
              <w:adjustRightInd/>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34.1</w:t>
            </w:r>
          </w:p>
        </w:tc>
      </w:tr>
      <w:tr w14:paraId="166BAA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214" w:type="dxa"/>
            <w:tcBorders>
              <w:tl2br w:val="nil"/>
              <w:tr2bl w:val="nil"/>
            </w:tcBorders>
            <w:vAlign w:val="center"/>
          </w:tcPr>
          <w:p w14:paraId="625BD00D">
            <w:pPr>
              <w:pStyle w:val="180"/>
              <w:rPr>
                <w:rFonts w:hint="eastAsia" w:hAnsi="宋体" w:cs="宋体"/>
                <w:szCs w:val="18"/>
                <w:highlight w:val="none"/>
              </w:rPr>
            </w:pPr>
            <w:r>
              <w:rPr>
                <w:rFonts w:hint="eastAsia" w:hAnsi="宋体" w:cs="宋体"/>
                <w:color w:val="000000"/>
                <w:szCs w:val="18"/>
                <w:highlight w:val="none"/>
                <w:lang w:bidi="ar"/>
              </w:rPr>
              <w:t>94.0</w:t>
            </w:r>
          </w:p>
        </w:tc>
        <w:tc>
          <w:tcPr>
            <w:tcW w:w="3008" w:type="dxa"/>
            <w:tcBorders>
              <w:tl2br w:val="nil"/>
              <w:tr2bl w:val="nil"/>
            </w:tcBorders>
            <w:vAlign w:val="center"/>
          </w:tcPr>
          <w:p w14:paraId="77497223">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49.1</w:t>
            </w:r>
          </w:p>
        </w:tc>
        <w:tc>
          <w:tcPr>
            <w:tcW w:w="3237" w:type="dxa"/>
            <w:tcBorders>
              <w:tl2br w:val="nil"/>
              <w:tr2bl w:val="nil"/>
            </w:tcBorders>
            <w:vAlign w:val="center"/>
          </w:tcPr>
          <w:p w14:paraId="57ACACBD">
            <w:pPr>
              <w:adjustRightInd/>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36.5</w:t>
            </w:r>
          </w:p>
        </w:tc>
      </w:tr>
      <w:tr w14:paraId="489BED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3214" w:type="dxa"/>
            <w:tcBorders>
              <w:tl2br w:val="nil"/>
              <w:tr2bl w:val="nil"/>
            </w:tcBorders>
            <w:vAlign w:val="center"/>
          </w:tcPr>
          <w:p w14:paraId="3B7C848D">
            <w:pPr>
              <w:pStyle w:val="180"/>
              <w:rPr>
                <w:rFonts w:hint="eastAsia" w:hAnsi="宋体" w:cs="宋体"/>
                <w:szCs w:val="18"/>
                <w:highlight w:val="none"/>
              </w:rPr>
            </w:pPr>
            <w:r>
              <w:rPr>
                <w:rFonts w:hint="eastAsia" w:hAnsi="宋体" w:cs="宋体"/>
                <w:color w:val="000000"/>
                <w:szCs w:val="18"/>
                <w:highlight w:val="none"/>
                <w:lang w:bidi="ar"/>
              </w:rPr>
              <w:t>96.5</w:t>
            </w:r>
          </w:p>
        </w:tc>
        <w:tc>
          <w:tcPr>
            <w:tcW w:w="3008" w:type="dxa"/>
            <w:tcBorders>
              <w:tl2br w:val="nil"/>
              <w:tr2bl w:val="nil"/>
            </w:tcBorders>
            <w:vAlign w:val="center"/>
          </w:tcPr>
          <w:p w14:paraId="32F5EE50">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52.1</w:t>
            </w:r>
          </w:p>
        </w:tc>
        <w:tc>
          <w:tcPr>
            <w:tcW w:w="3237" w:type="dxa"/>
            <w:tcBorders>
              <w:tl2br w:val="nil"/>
              <w:tr2bl w:val="nil"/>
            </w:tcBorders>
            <w:vAlign w:val="center"/>
          </w:tcPr>
          <w:p w14:paraId="1FC44BC8">
            <w:pPr>
              <w:adjustRightInd/>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39.1</w:t>
            </w:r>
          </w:p>
        </w:tc>
      </w:tr>
      <w:tr w14:paraId="1C94DF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3214" w:type="dxa"/>
            <w:tcBorders>
              <w:tl2br w:val="nil"/>
              <w:tr2bl w:val="nil"/>
            </w:tcBorders>
            <w:vAlign w:val="center"/>
          </w:tcPr>
          <w:p w14:paraId="20F444E3">
            <w:pPr>
              <w:pStyle w:val="180"/>
              <w:rPr>
                <w:rFonts w:hint="eastAsia" w:hAnsi="宋体" w:cs="宋体"/>
                <w:szCs w:val="18"/>
                <w:highlight w:val="none"/>
              </w:rPr>
            </w:pPr>
            <w:r>
              <w:rPr>
                <w:rFonts w:hint="eastAsia" w:hAnsi="宋体" w:cs="宋体"/>
                <w:color w:val="000000"/>
                <w:szCs w:val="18"/>
                <w:highlight w:val="none"/>
                <w:lang w:bidi="ar"/>
              </w:rPr>
              <w:t>99.1</w:t>
            </w:r>
          </w:p>
        </w:tc>
        <w:tc>
          <w:tcPr>
            <w:tcW w:w="3008" w:type="dxa"/>
            <w:tcBorders>
              <w:tl2br w:val="nil"/>
              <w:tr2bl w:val="nil"/>
            </w:tcBorders>
            <w:vAlign w:val="center"/>
          </w:tcPr>
          <w:p w14:paraId="56038112">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55.2</w:t>
            </w:r>
          </w:p>
        </w:tc>
        <w:tc>
          <w:tcPr>
            <w:tcW w:w="3237" w:type="dxa"/>
            <w:tcBorders>
              <w:tl2br w:val="nil"/>
              <w:tr2bl w:val="nil"/>
            </w:tcBorders>
            <w:vAlign w:val="center"/>
          </w:tcPr>
          <w:p w14:paraId="5F7B69C0">
            <w:pPr>
              <w:adjustRightInd/>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41.7</w:t>
            </w:r>
          </w:p>
        </w:tc>
      </w:tr>
    </w:tbl>
    <w:p w14:paraId="1645F87D">
      <w:pPr>
        <w:pStyle w:val="96"/>
        <w:numPr>
          <w:ilvl w:val="0"/>
          <w:numId w:val="0"/>
        </w:numPr>
        <w:spacing w:before="120" w:after="120"/>
        <w:ind w:right="210"/>
        <w:rPr>
          <w:highlight w:val="none"/>
        </w:rPr>
      </w:pPr>
      <w:r>
        <w:rPr>
          <w:rFonts w:hint="eastAsia"/>
          <w:highlight w:val="none"/>
        </w:rPr>
        <w:t>5.3.4.2  破坏性键合拉力</w:t>
      </w:r>
    </w:p>
    <w:p w14:paraId="155AA383">
      <w:pPr>
        <w:pStyle w:val="58"/>
        <w:ind w:firstLine="420"/>
        <w:rPr>
          <w:rFonts w:hint="eastAsia" w:hAnsi="宋体"/>
          <w:highlight w:val="none"/>
        </w:rPr>
      </w:pPr>
      <w:r>
        <w:rPr>
          <w:rFonts w:hint="eastAsia" w:hAnsi="宋体"/>
          <w:highlight w:val="none"/>
        </w:rPr>
        <w:t>若纯电动客车用电源管理芯片</w:t>
      </w:r>
      <w:r>
        <w:rPr>
          <w:rFonts w:ascii="Times New Roman"/>
          <w:highlight w:val="none"/>
        </w:rPr>
        <w:t>采用打线键合封装，按照</w:t>
      </w:r>
      <w:r>
        <w:rPr>
          <w:rFonts w:hint="eastAsia" w:hAnsi="宋体" w:cs="宋体"/>
          <w:highlight w:val="none"/>
        </w:rPr>
        <w:t>6.3.4.2</w:t>
      </w:r>
      <w:r>
        <w:rPr>
          <w:rFonts w:ascii="Times New Roman"/>
          <w:highlight w:val="none"/>
        </w:rPr>
        <w:t>进行试验。</w:t>
      </w:r>
      <w:r>
        <w:rPr>
          <w:rFonts w:hint="eastAsia" w:hAnsi="宋体" w:cs="宋体"/>
          <w:highlight w:val="none"/>
        </w:rPr>
        <w:t>6.3.2.7</w:t>
      </w:r>
      <w:r>
        <w:rPr>
          <w:rFonts w:hint="eastAsia" w:ascii="Times New Roman"/>
          <w:highlight w:val="none"/>
        </w:rPr>
        <w:t>试验</w:t>
      </w:r>
      <w:r>
        <w:rPr>
          <w:rFonts w:ascii="Times New Roman"/>
          <w:highlight w:val="none"/>
        </w:rPr>
        <w:t>后，键合线线径不小于</w:t>
      </w:r>
      <w:r>
        <w:rPr>
          <w:rFonts w:hint="eastAsia" w:hAnsi="宋体" w:cs="宋体"/>
          <w:highlight w:val="none"/>
        </w:rPr>
        <w:t>25.4 μm时，温度循环试验后样品金线的最小拉力不应低于3 gf；键合线线径小于25.4 μm时，不同键合线直径对应的最小拉力不应低于表7的要求。将测得拉力的结果汇总正态分布，应满足过程能力K指数C</w:t>
      </w:r>
      <w:r>
        <w:rPr>
          <w:rFonts w:hint="eastAsia" w:hAnsi="宋体" w:cs="宋体"/>
          <w:highlight w:val="none"/>
          <w:vertAlign w:val="subscript"/>
        </w:rPr>
        <w:t>pk</w:t>
      </w:r>
      <w:r>
        <w:rPr>
          <w:rFonts w:hint="eastAsia" w:hAnsi="宋体" w:cs="宋体"/>
          <w:highlight w:val="none"/>
        </w:rPr>
        <w:t>大于1.67</w:t>
      </w:r>
      <w:r>
        <w:rPr>
          <w:rFonts w:hint="eastAsia" w:hAnsi="宋体"/>
          <w:highlight w:val="none"/>
        </w:rPr>
        <w:t>。</w:t>
      </w:r>
    </w:p>
    <w:p w14:paraId="0D2B0BB7">
      <w:pPr>
        <w:pStyle w:val="58"/>
        <w:ind w:firstLine="420"/>
        <w:rPr>
          <w:rFonts w:hint="eastAsia" w:hAnsi="宋体"/>
          <w:highlight w:val="none"/>
        </w:rPr>
      </w:pPr>
    </w:p>
    <w:p w14:paraId="111A8CF4">
      <w:pPr>
        <w:pStyle w:val="58"/>
        <w:ind w:firstLine="420"/>
        <w:rPr>
          <w:rFonts w:hint="eastAsia" w:hAnsi="宋体"/>
          <w:highlight w:val="none"/>
        </w:rPr>
      </w:pPr>
    </w:p>
    <w:p w14:paraId="513F92BC">
      <w:pPr>
        <w:adjustRightInd/>
        <w:spacing w:before="120" w:beforeLines="50" w:after="120" w:afterLines="50" w:line="240" w:lineRule="auto"/>
        <w:jc w:val="center"/>
        <w:rPr>
          <w:rFonts w:hint="eastAsia" w:ascii="黑体" w:hAnsi="黑体" w:eastAsia="黑体" w:cs="黑体"/>
          <w:highlight w:val="none"/>
        </w:rPr>
      </w:pPr>
      <w:r>
        <w:rPr>
          <w:rFonts w:hint="eastAsia" w:ascii="黑体" w:hAnsi="黑体" w:eastAsia="黑体" w:cs="黑体"/>
          <w:highlight w:val="none"/>
        </w:rPr>
        <w:t>表7 最小拉力要求</w:t>
      </w:r>
    </w:p>
    <w:tbl>
      <w:tblPr>
        <w:tblStyle w:val="29"/>
        <w:tblW w:w="9420"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4710"/>
        <w:gridCol w:w="4710"/>
      </w:tblGrid>
      <w:tr w14:paraId="70285F6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PrEx>
        <w:trPr>
          <w:trHeight w:val="413" w:hRule="atLeast"/>
          <w:jc w:val="center"/>
        </w:trPr>
        <w:tc>
          <w:tcPr>
            <w:tcW w:w="4710" w:type="dxa"/>
            <w:tcBorders>
              <w:tl2br w:val="nil"/>
              <w:tr2bl w:val="nil"/>
            </w:tcBorders>
            <w:vAlign w:val="center"/>
          </w:tcPr>
          <w:p w14:paraId="0EED0E57">
            <w:pPr>
              <w:pStyle w:val="180"/>
              <w:rPr>
                <w:rFonts w:hint="eastAsia" w:hAnsi="宋体" w:cs="宋体"/>
                <w:szCs w:val="18"/>
                <w:highlight w:val="none"/>
              </w:rPr>
            </w:pPr>
            <w:r>
              <w:rPr>
                <w:rFonts w:hint="eastAsia" w:hAnsi="宋体" w:cs="宋体"/>
                <w:szCs w:val="18"/>
                <w:highlight w:val="none"/>
              </w:rPr>
              <w:t>键合线线径</w:t>
            </w:r>
          </w:p>
          <w:p w14:paraId="374BE37E">
            <w:pPr>
              <w:pStyle w:val="180"/>
              <w:rPr>
                <w:rFonts w:hint="eastAsia" w:hAnsi="宋体" w:cs="宋体"/>
                <w:szCs w:val="18"/>
                <w:highlight w:val="none"/>
              </w:rPr>
            </w:pPr>
            <w:r>
              <w:rPr>
                <w:rFonts w:hint="eastAsia" w:hAnsi="宋体" w:cs="宋体"/>
                <w:szCs w:val="18"/>
                <w:highlight w:val="none"/>
              </w:rPr>
              <w:t>μm</w:t>
            </w:r>
          </w:p>
        </w:tc>
        <w:tc>
          <w:tcPr>
            <w:tcW w:w="4710" w:type="dxa"/>
            <w:tcBorders>
              <w:tl2br w:val="nil"/>
              <w:tr2bl w:val="nil"/>
            </w:tcBorders>
            <w:vAlign w:val="center"/>
          </w:tcPr>
          <w:p w14:paraId="756321FA">
            <w:pPr>
              <w:pStyle w:val="180"/>
              <w:rPr>
                <w:rFonts w:hint="eastAsia" w:hAnsi="宋体" w:cs="宋体"/>
                <w:szCs w:val="18"/>
                <w:highlight w:val="none"/>
              </w:rPr>
            </w:pPr>
            <w:r>
              <w:rPr>
                <w:rFonts w:hint="eastAsia" w:hAnsi="宋体" w:cs="宋体"/>
                <w:szCs w:val="18"/>
                <w:highlight w:val="none"/>
              </w:rPr>
              <w:t>最小拉力</w:t>
            </w:r>
          </w:p>
          <w:p w14:paraId="771B5F6A">
            <w:pPr>
              <w:pStyle w:val="180"/>
              <w:rPr>
                <w:rFonts w:hint="eastAsia" w:hAnsi="宋体" w:cs="宋体"/>
                <w:szCs w:val="18"/>
                <w:highlight w:val="none"/>
              </w:rPr>
            </w:pPr>
            <w:r>
              <w:rPr>
                <w:rFonts w:hint="eastAsia" w:hAnsi="宋体" w:cs="宋体"/>
                <w:szCs w:val="18"/>
                <w:highlight w:val="none"/>
              </w:rPr>
              <w:t>gf</w:t>
            </w:r>
          </w:p>
        </w:tc>
      </w:tr>
      <w:tr w14:paraId="4CAE60E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05" w:hRule="atLeast"/>
          <w:jc w:val="center"/>
        </w:trPr>
        <w:tc>
          <w:tcPr>
            <w:tcW w:w="4710" w:type="dxa"/>
            <w:tcBorders>
              <w:tl2br w:val="nil"/>
              <w:tr2bl w:val="nil"/>
            </w:tcBorders>
            <w:vAlign w:val="center"/>
          </w:tcPr>
          <w:p w14:paraId="57E153BA">
            <w:pPr>
              <w:pStyle w:val="180"/>
              <w:rPr>
                <w:rFonts w:hint="eastAsia" w:hAnsi="宋体" w:cs="宋体"/>
                <w:szCs w:val="18"/>
                <w:highlight w:val="none"/>
              </w:rPr>
            </w:pPr>
            <w:r>
              <w:rPr>
                <w:rFonts w:hint="eastAsia" w:hAnsi="宋体" w:cs="宋体"/>
                <w:szCs w:val="18"/>
                <w:highlight w:val="none"/>
              </w:rPr>
              <w:t>18</w:t>
            </w:r>
          </w:p>
        </w:tc>
        <w:tc>
          <w:tcPr>
            <w:tcW w:w="4710" w:type="dxa"/>
            <w:tcBorders>
              <w:tl2br w:val="nil"/>
              <w:tr2bl w:val="nil"/>
            </w:tcBorders>
            <w:vAlign w:val="center"/>
          </w:tcPr>
          <w:p w14:paraId="7A55E7E6">
            <w:pPr>
              <w:pStyle w:val="180"/>
              <w:rPr>
                <w:rFonts w:hint="eastAsia" w:hAnsi="宋体" w:cs="宋体"/>
                <w:szCs w:val="18"/>
                <w:highlight w:val="none"/>
              </w:rPr>
            </w:pPr>
            <w:r>
              <w:rPr>
                <w:rFonts w:hint="eastAsia" w:hAnsi="宋体" w:cs="宋体"/>
                <w:szCs w:val="18"/>
                <w:highlight w:val="none"/>
              </w:rPr>
              <w:t>1.5</w:t>
            </w:r>
          </w:p>
        </w:tc>
      </w:tr>
      <w:tr w14:paraId="1ABBB81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83" w:hRule="atLeast"/>
          <w:jc w:val="center"/>
        </w:trPr>
        <w:tc>
          <w:tcPr>
            <w:tcW w:w="4710" w:type="dxa"/>
            <w:tcBorders>
              <w:tl2br w:val="nil"/>
              <w:tr2bl w:val="nil"/>
            </w:tcBorders>
            <w:vAlign w:val="center"/>
          </w:tcPr>
          <w:p w14:paraId="58C7A188">
            <w:pPr>
              <w:pStyle w:val="180"/>
              <w:rPr>
                <w:rFonts w:hint="eastAsia" w:hAnsi="宋体" w:cs="宋体"/>
                <w:szCs w:val="18"/>
                <w:highlight w:val="none"/>
              </w:rPr>
            </w:pPr>
            <w:r>
              <w:rPr>
                <w:rFonts w:hint="eastAsia" w:hAnsi="宋体" w:cs="宋体"/>
                <w:szCs w:val="18"/>
                <w:highlight w:val="none"/>
              </w:rPr>
              <w:t>20</w:t>
            </w:r>
          </w:p>
        </w:tc>
        <w:tc>
          <w:tcPr>
            <w:tcW w:w="4710" w:type="dxa"/>
            <w:tcBorders>
              <w:tl2br w:val="nil"/>
              <w:tr2bl w:val="nil"/>
            </w:tcBorders>
            <w:vAlign w:val="center"/>
          </w:tcPr>
          <w:p w14:paraId="7D8CB9AA">
            <w:pPr>
              <w:pStyle w:val="180"/>
              <w:rPr>
                <w:rFonts w:hint="eastAsia" w:hAnsi="宋体" w:cs="宋体"/>
                <w:szCs w:val="18"/>
                <w:highlight w:val="none"/>
              </w:rPr>
            </w:pPr>
            <w:r>
              <w:rPr>
                <w:rFonts w:hint="eastAsia" w:hAnsi="宋体" w:cs="宋体"/>
                <w:szCs w:val="18"/>
                <w:highlight w:val="none"/>
              </w:rPr>
              <w:t>1.9</w:t>
            </w:r>
          </w:p>
        </w:tc>
      </w:tr>
    </w:tbl>
    <w:p w14:paraId="2E929556">
      <w:pPr>
        <w:pStyle w:val="96"/>
        <w:numPr>
          <w:ilvl w:val="0"/>
          <w:numId w:val="0"/>
        </w:numPr>
        <w:spacing w:before="120" w:after="120"/>
        <w:ind w:right="210"/>
        <w:rPr>
          <w:highlight w:val="none"/>
        </w:rPr>
      </w:pPr>
      <w:r>
        <w:rPr>
          <w:rFonts w:hint="eastAsia"/>
          <w:highlight w:val="none"/>
        </w:rPr>
        <w:t>5.3.4.3  可焊性</w:t>
      </w:r>
    </w:p>
    <w:p w14:paraId="4877E08E">
      <w:pPr>
        <w:pStyle w:val="58"/>
        <w:ind w:firstLine="420"/>
        <w:rPr>
          <w:highlight w:val="none"/>
        </w:rPr>
      </w:pPr>
      <w:r>
        <w:rPr>
          <w:rFonts w:hint="eastAsia" w:hAnsi="宋体"/>
          <w:highlight w:val="none"/>
        </w:rPr>
        <w:t>按</w:t>
      </w:r>
      <w:r>
        <w:rPr>
          <w:rFonts w:hint="eastAsia" w:hAnsi="宋体" w:cs="宋体"/>
          <w:highlight w:val="none"/>
        </w:rPr>
        <w:t>6.3.4.3</w:t>
      </w:r>
      <w:r>
        <w:rPr>
          <w:rFonts w:hint="eastAsia" w:hAnsi="宋体"/>
          <w:highlight w:val="none"/>
        </w:rPr>
        <w:t>进行试验。试验后纯电动客车用电源管理芯片的焊接区域应呈现连续的焊料层，单个端子的焊料层覆盖率应大于该端子总面积的95%。</w:t>
      </w:r>
    </w:p>
    <w:p w14:paraId="39EE7909">
      <w:pPr>
        <w:pStyle w:val="96"/>
        <w:numPr>
          <w:ilvl w:val="0"/>
          <w:numId w:val="0"/>
        </w:numPr>
        <w:spacing w:before="120" w:after="120"/>
        <w:ind w:right="210"/>
        <w:rPr>
          <w:highlight w:val="none"/>
        </w:rPr>
      </w:pPr>
      <w:r>
        <w:rPr>
          <w:rFonts w:hint="eastAsia"/>
          <w:highlight w:val="none"/>
        </w:rPr>
        <w:t>5.3.4.4  物理尺寸量测</w:t>
      </w:r>
    </w:p>
    <w:p w14:paraId="0CA612C2">
      <w:pPr>
        <w:pStyle w:val="58"/>
        <w:ind w:firstLine="420"/>
        <w:rPr>
          <w:highlight w:val="none"/>
        </w:rPr>
      </w:pPr>
      <w:r>
        <w:rPr>
          <w:rFonts w:ascii="Times New Roman"/>
          <w:highlight w:val="none"/>
        </w:rPr>
        <w:t>按</w:t>
      </w:r>
      <w:r>
        <w:rPr>
          <w:rFonts w:hint="eastAsia" w:hAnsi="宋体" w:cs="宋体"/>
          <w:highlight w:val="none"/>
        </w:rPr>
        <w:t>6.3.4.4</w:t>
      </w:r>
      <w:r>
        <w:rPr>
          <w:rFonts w:hint="eastAsia" w:hAnsi="宋体"/>
          <w:highlight w:val="none"/>
        </w:rPr>
        <w:t>进行试验</w:t>
      </w:r>
      <w:r>
        <w:rPr>
          <w:rFonts w:ascii="Times New Roman"/>
          <w:highlight w:val="none"/>
        </w:rPr>
        <w:t>。</w:t>
      </w:r>
      <w:r>
        <w:rPr>
          <w:rFonts w:hint="eastAsia" w:ascii="Times New Roman"/>
          <w:highlight w:val="none"/>
        </w:rPr>
        <w:t>纯电动客车用电源管理芯片</w:t>
      </w:r>
      <w:r>
        <w:rPr>
          <w:rFonts w:ascii="Times New Roman"/>
          <w:highlight w:val="none"/>
        </w:rPr>
        <w:t>的物理尺寸及共面度应符合设计要求，如无共面度要求，共面度不应超过</w:t>
      </w:r>
      <w:r>
        <w:rPr>
          <w:rFonts w:hint="eastAsia" w:hAnsi="宋体" w:cs="宋体"/>
          <w:highlight w:val="none"/>
        </w:rPr>
        <w:t>150 μm，应满足过程能力K指数C</w:t>
      </w:r>
      <w:r>
        <w:rPr>
          <w:rFonts w:hint="eastAsia" w:hAnsi="宋体" w:cs="宋体"/>
          <w:highlight w:val="none"/>
          <w:vertAlign w:val="subscript"/>
        </w:rPr>
        <w:t>pk</w:t>
      </w:r>
      <w:r>
        <w:rPr>
          <w:rFonts w:hint="eastAsia" w:hAnsi="宋体" w:cs="宋体"/>
          <w:highlight w:val="none"/>
        </w:rPr>
        <w:t>大于1.67</w:t>
      </w:r>
      <w:r>
        <w:rPr>
          <w:rFonts w:hint="eastAsia" w:hAnsi="宋体"/>
          <w:highlight w:val="none"/>
        </w:rPr>
        <w:t>。</w:t>
      </w:r>
    </w:p>
    <w:p w14:paraId="5A2A50B3">
      <w:pPr>
        <w:pStyle w:val="96"/>
        <w:numPr>
          <w:ilvl w:val="0"/>
          <w:numId w:val="0"/>
        </w:numPr>
        <w:spacing w:before="120" w:after="120"/>
        <w:ind w:right="210"/>
        <w:rPr>
          <w:highlight w:val="none"/>
        </w:rPr>
      </w:pPr>
      <w:r>
        <w:rPr>
          <w:rFonts w:hint="eastAsia"/>
          <w:highlight w:val="none"/>
        </w:rPr>
        <w:t>5.3.4.5  焊球剪切</w:t>
      </w:r>
    </w:p>
    <w:p w14:paraId="2466D405">
      <w:pPr>
        <w:pStyle w:val="58"/>
        <w:ind w:firstLine="420"/>
        <w:rPr>
          <w:rFonts w:hint="eastAsia" w:hAnsi="宋体"/>
          <w:highlight w:val="none"/>
        </w:rPr>
      </w:pPr>
      <w:r>
        <w:rPr>
          <w:rFonts w:hint="eastAsia" w:hAnsi="宋体"/>
          <w:highlight w:val="none"/>
        </w:rPr>
        <w:t>按照</w:t>
      </w:r>
      <w:r>
        <w:rPr>
          <w:rFonts w:hint="eastAsia" w:hAnsi="宋体" w:cs="宋体"/>
          <w:highlight w:val="none"/>
        </w:rPr>
        <w:t>6.3.4.5</w:t>
      </w:r>
      <w:r>
        <w:rPr>
          <w:rFonts w:hint="eastAsia" w:hAnsi="宋体"/>
          <w:highlight w:val="none"/>
        </w:rPr>
        <w:t>进行试验。不同焊球直径对应的最小剪切力应不低于表8的要求，超过或未定义的球径，最小剪切力应不低于3200 gf/mm</w:t>
      </w:r>
      <w:r>
        <w:rPr>
          <w:rFonts w:hint="eastAsia" w:hAnsi="宋体"/>
          <w:highlight w:val="none"/>
          <w:vertAlign w:val="superscript"/>
        </w:rPr>
        <w:t>2</w:t>
      </w:r>
      <w:r>
        <w:rPr>
          <w:rFonts w:hint="eastAsia" w:hAnsi="宋体"/>
          <w:highlight w:val="none"/>
        </w:rPr>
        <w:t>。焊球分离模式应为1、2或4，当分离模式为2时焊球分离模式应不超过总面积的5%且剩余面积应为模式1和/或4；分离模式应不为3或5。将测得剪切力的结果汇总正态分布，应满足过程能力K指数C</w:t>
      </w:r>
      <w:r>
        <w:rPr>
          <w:rFonts w:hint="eastAsia" w:hAnsi="宋体"/>
          <w:highlight w:val="none"/>
          <w:vertAlign w:val="subscript"/>
        </w:rPr>
        <w:t>pk</w:t>
      </w:r>
      <w:r>
        <w:rPr>
          <w:rFonts w:hint="eastAsia" w:hAnsi="宋体"/>
          <w:highlight w:val="none"/>
        </w:rPr>
        <w:t>大于1.67。</w:t>
      </w:r>
    </w:p>
    <w:p w14:paraId="5DD32A97">
      <w:pPr>
        <w:pStyle w:val="58"/>
        <w:spacing w:before="120" w:beforeLines="50" w:after="120" w:afterLines="50"/>
        <w:ind w:firstLine="420"/>
        <w:jc w:val="center"/>
        <w:rPr>
          <w:rFonts w:hint="eastAsia" w:ascii="黑体" w:hAnsi="黑体" w:eastAsia="黑体" w:cs="黑体"/>
          <w:highlight w:val="none"/>
        </w:rPr>
      </w:pPr>
      <w:r>
        <w:rPr>
          <w:rFonts w:hint="eastAsia" w:ascii="黑体" w:hAnsi="黑体" w:eastAsia="黑体" w:cs="黑体"/>
          <w:highlight w:val="none"/>
        </w:rPr>
        <w:t>表 8  最小剪切力要求</w:t>
      </w:r>
    </w:p>
    <w:tbl>
      <w:tblPr>
        <w:tblStyle w:val="28"/>
        <w:tblW w:w="4999"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4692"/>
        <w:gridCol w:w="4690"/>
      </w:tblGrid>
      <w:tr w14:paraId="75523B9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59" w:hRule="atLeast"/>
          <w:jc w:val="center"/>
        </w:trPr>
        <w:tc>
          <w:tcPr>
            <w:tcW w:w="2500" w:type="pct"/>
            <w:tcBorders>
              <w:tl2br w:val="nil"/>
              <w:tr2bl w:val="nil"/>
            </w:tcBorders>
            <w:vAlign w:val="center"/>
          </w:tcPr>
          <w:p w14:paraId="0915C6F7">
            <w:pPr>
              <w:pStyle w:val="239"/>
              <w:spacing w:line="240" w:lineRule="auto"/>
              <w:ind w:left="851" w:right="388"/>
              <w:rPr>
                <w:rFonts w:hint="eastAsia"/>
                <w:sz w:val="18"/>
                <w:highlight w:val="none"/>
              </w:rPr>
            </w:pPr>
            <w:r>
              <w:rPr>
                <w:rFonts w:hint="eastAsia"/>
                <w:sz w:val="18"/>
                <w:highlight w:val="none"/>
                <w:lang w:eastAsia="zh-CN"/>
              </w:rPr>
              <w:t>焊</w:t>
            </w:r>
            <w:r>
              <w:rPr>
                <w:sz w:val="18"/>
                <w:highlight w:val="none"/>
              </w:rPr>
              <w:t>球直径</w:t>
            </w:r>
          </w:p>
          <w:p w14:paraId="237E989F">
            <w:pPr>
              <w:pStyle w:val="239"/>
              <w:spacing w:line="240" w:lineRule="auto"/>
              <w:ind w:left="851" w:right="388"/>
              <w:rPr>
                <w:rFonts w:hint="eastAsia"/>
                <w:sz w:val="18"/>
                <w:highlight w:val="none"/>
              </w:rPr>
            </w:pPr>
            <w:r>
              <w:rPr>
                <w:sz w:val="18"/>
                <w:highlight w:val="none"/>
              </w:rPr>
              <w:t>mm</w:t>
            </w:r>
          </w:p>
        </w:tc>
        <w:tc>
          <w:tcPr>
            <w:tcW w:w="2499" w:type="pct"/>
            <w:tcBorders>
              <w:tl2br w:val="nil"/>
              <w:tr2bl w:val="nil"/>
            </w:tcBorders>
            <w:vAlign w:val="center"/>
          </w:tcPr>
          <w:p w14:paraId="4AB1C9A7">
            <w:pPr>
              <w:pStyle w:val="239"/>
              <w:spacing w:line="240" w:lineRule="auto"/>
              <w:ind w:left="1415" w:right="947"/>
              <w:rPr>
                <w:rFonts w:hint="eastAsia"/>
                <w:sz w:val="18"/>
                <w:highlight w:val="none"/>
              </w:rPr>
            </w:pPr>
            <w:r>
              <w:rPr>
                <w:sz w:val="18"/>
                <w:highlight w:val="none"/>
              </w:rPr>
              <w:t>最小剪切力</w:t>
            </w:r>
          </w:p>
          <w:p w14:paraId="2191E6DC">
            <w:pPr>
              <w:pStyle w:val="239"/>
              <w:spacing w:line="240" w:lineRule="auto"/>
              <w:ind w:left="1415" w:right="947"/>
              <w:rPr>
                <w:rFonts w:hint="eastAsia"/>
                <w:sz w:val="18"/>
                <w:highlight w:val="none"/>
              </w:rPr>
            </w:pPr>
            <w:r>
              <w:rPr>
                <w:sz w:val="18"/>
                <w:highlight w:val="none"/>
              </w:rPr>
              <w:t>gf</w:t>
            </w:r>
          </w:p>
        </w:tc>
      </w:tr>
      <w:tr w14:paraId="545A006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25" w:hRule="atLeast"/>
          <w:jc w:val="center"/>
        </w:trPr>
        <w:tc>
          <w:tcPr>
            <w:tcW w:w="2500" w:type="pct"/>
            <w:tcBorders>
              <w:tl2br w:val="nil"/>
              <w:tr2bl w:val="nil"/>
            </w:tcBorders>
            <w:vAlign w:val="center"/>
          </w:tcPr>
          <w:p w14:paraId="6EC42BF9">
            <w:pPr>
              <w:pStyle w:val="239"/>
              <w:spacing w:line="240" w:lineRule="auto"/>
              <w:ind w:left="854" w:right="388"/>
              <w:rPr>
                <w:rFonts w:hint="eastAsia"/>
                <w:sz w:val="18"/>
                <w:highlight w:val="none"/>
              </w:rPr>
            </w:pPr>
            <w:r>
              <w:rPr>
                <w:sz w:val="18"/>
                <w:highlight w:val="none"/>
              </w:rPr>
              <w:t>0.23</w:t>
            </w:r>
          </w:p>
        </w:tc>
        <w:tc>
          <w:tcPr>
            <w:tcW w:w="2499" w:type="pct"/>
            <w:tcBorders>
              <w:tl2br w:val="nil"/>
              <w:tr2bl w:val="nil"/>
            </w:tcBorders>
            <w:vAlign w:val="center"/>
          </w:tcPr>
          <w:p w14:paraId="76D7EADC">
            <w:pPr>
              <w:pStyle w:val="239"/>
              <w:spacing w:line="240" w:lineRule="auto"/>
              <w:ind w:left="1415" w:right="950"/>
              <w:rPr>
                <w:rFonts w:hint="eastAsia"/>
                <w:sz w:val="18"/>
                <w:highlight w:val="none"/>
              </w:rPr>
            </w:pPr>
            <w:r>
              <w:rPr>
                <w:sz w:val="18"/>
                <w:highlight w:val="none"/>
              </w:rPr>
              <w:t>133</w:t>
            </w:r>
          </w:p>
        </w:tc>
      </w:tr>
      <w:tr w14:paraId="7308D92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25" w:hRule="atLeast"/>
          <w:jc w:val="center"/>
        </w:trPr>
        <w:tc>
          <w:tcPr>
            <w:tcW w:w="2500" w:type="pct"/>
            <w:tcBorders>
              <w:tl2br w:val="nil"/>
              <w:tr2bl w:val="nil"/>
            </w:tcBorders>
            <w:vAlign w:val="center"/>
          </w:tcPr>
          <w:p w14:paraId="1BCEE483">
            <w:pPr>
              <w:pStyle w:val="239"/>
              <w:spacing w:line="240" w:lineRule="auto"/>
              <w:ind w:left="854" w:right="388"/>
              <w:rPr>
                <w:rFonts w:hint="eastAsia"/>
                <w:sz w:val="18"/>
                <w:highlight w:val="none"/>
              </w:rPr>
            </w:pPr>
            <w:r>
              <w:rPr>
                <w:sz w:val="18"/>
                <w:highlight w:val="none"/>
              </w:rPr>
              <w:t>0.28</w:t>
            </w:r>
          </w:p>
        </w:tc>
        <w:tc>
          <w:tcPr>
            <w:tcW w:w="2499" w:type="pct"/>
            <w:tcBorders>
              <w:tl2br w:val="nil"/>
              <w:tr2bl w:val="nil"/>
            </w:tcBorders>
            <w:vAlign w:val="center"/>
          </w:tcPr>
          <w:p w14:paraId="6B212EAF">
            <w:pPr>
              <w:pStyle w:val="239"/>
              <w:spacing w:line="240" w:lineRule="auto"/>
              <w:ind w:left="1415" w:right="950"/>
              <w:rPr>
                <w:rFonts w:hint="eastAsia"/>
                <w:sz w:val="18"/>
                <w:highlight w:val="none"/>
              </w:rPr>
            </w:pPr>
            <w:r>
              <w:rPr>
                <w:sz w:val="18"/>
                <w:highlight w:val="none"/>
              </w:rPr>
              <w:t>197</w:t>
            </w:r>
          </w:p>
        </w:tc>
      </w:tr>
      <w:tr w14:paraId="0FF50F0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25" w:hRule="atLeast"/>
          <w:jc w:val="center"/>
        </w:trPr>
        <w:tc>
          <w:tcPr>
            <w:tcW w:w="2500" w:type="pct"/>
            <w:tcBorders>
              <w:tl2br w:val="nil"/>
              <w:tr2bl w:val="nil"/>
            </w:tcBorders>
            <w:vAlign w:val="center"/>
          </w:tcPr>
          <w:p w14:paraId="357F5E19">
            <w:pPr>
              <w:pStyle w:val="239"/>
              <w:spacing w:line="240" w:lineRule="auto"/>
              <w:ind w:left="854" w:right="388"/>
              <w:rPr>
                <w:rFonts w:hint="eastAsia"/>
                <w:sz w:val="18"/>
                <w:highlight w:val="none"/>
              </w:rPr>
            </w:pPr>
            <w:r>
              <w:rPr>
                <w:sz w:val="18"/>
                <w:highlight w:val="none"/>
              </w:rPr>
              <w:t>0.33</w:t>
            </w:r>
          </w:p>
        </w:tc>
        <w:tc>
          <w:tcPr>
            <w:tcW w:w="2499" w:type="pct"/>
            <w:tcBorders>
              <w:tl2br w:val="nil"/>
              <w:tr2bl w:val="nil"/>
            </w:tcBorders>
            <w:vAlign w:val="center"/>
          </w:tcPr>
          <w:p w14:paraId="7249B015">
            <w:pPr>
              <w:pStyle w:val="239"/>
              <w:spacing w:line="240" w:lineRule="auto"/>
              <w:ind w:left="1415" w:right="950"/>
              <w:rPr>
                <w:rFonts w:hint="eastAsia"/>
                <w:sz w:val="18"/>
                <w:highlight w:val="none"/>
              </w:rPr>
            </w:pPr>
            <w:r>
              <w:rPr>
                <w:sz w:val="18"/>
                <w:highlight w:val="none"/>
              </w:rPr>
              <w:t>274</w:t>
            </w:r>
          </w:p>
        </w:tc>
      </w:tr>
      <w:tr w14:paraId="6D738E4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25" w:hRule="atLeast"/>
          <w:jc w:val="center"/>
        </w:trPr>
        <w:tc>
          <w:tcPr>
            <w:tcW w:w="2500" w:type="pct"/>
            <w:tcBorders>
              <w:tl2br w:val="nil"/>
              <w:tr2bl w:val="nil"/>
            </w:tcBorders>
            <w:vAlign w:val="center"/>
          </w:tcPr>
          <w:p w14:paraId="474DC9D2">
            <w:pPr>
              <w:pStyle w:val="239"/>
              <w:spacing w:line="240" w:lineRule="auto"/>
              <w:ind w:left="854" w:right="388"/>
              <w:rPr>
                <w:rFonts w:hint="eastAsia"/>
                <w:sz w:val="18"/>
                <w:highlight w:val="none"/>
              </w:rPr>
            </w:pPr>
            <w:r>
              <w:rPr>
                <w:sz w:val="18"/>
                <w:highlight w:val="none"/>
              </w:rPr>
              <w:t>0.38</w:t>
            </w:r>
          </w:p>
        </w:tc>
        <w:tc>
          <w:tcPr>
            <w:tcW w:w="2499" w:type="pct"/>
            <w:tcBorders>
              <w:tl2br w:val="nil"/>
              <w:tr2bl w:val="nil"/>
            </w:tcBorders>
            <w:vAlign w:val="center"/>
          </w:tcPr>
          <w:p w14:paraId="0E444E11">
            <w:pPr>
              <w:pStyle w:val="239"/>
              <w:spacing w:line="240" w:lineRule="auto"/>
              <w:ind w:left="1415" w:right="950"/>
              <w:rPr>
                <w:rFonts w:hint="eastAsia"/>
                <w:sz w:val="18"/>
                <w:highlight w:val="none"/>
              </w:rPr>
            </w:pPr>
            <w:r>
              <w:rPr>
                <w:sz w:val="18"/>
                <w:highlight w:val="none"/>
              </w:rPr>
              <w:t>363</w:t>
            </w:r>
          </w:p>
        </w:tc>
      </w:tr>
      <w:tr w14:paraId="2FC7EBF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25" w:hRule="atLeast"/>
          <w:jc w:val="center"/>
        </w:trPr>
        <w:tc>
          <w:tcPr>
            <w:tcW w:w="2500" w:type="pct"/>
            <w:tcBorders>
              <w:tl2br w:val="nil"/>
              <w:tr2bl w:val="nil"/>
            </w:tcBorders>
            <w:vAlign w:val="center"/>
          </w:tcPr>
          <w:p w14:paraId="05274605">
            <w:pPr>
              <w:pStyle w:val="239"/>
              <w:spacing w:line="240" w:lineRule="auto"/>
              <w:ind w:left="854" w:right="388"/>
              <w:rPr>
                <w:rFonts w:hint="eastAsia"/>
                <w:sz w:val="18"/>
                <w:highlight w:val="none"/>
              </w:rPr>
            </w:pPr>
            <w:r>
              <w:rPr>
                <w:sz w:val="18"/>
                <w:highlight w:val="none"/>
              </w:rPr>
              <w:t>0.43</w:t>
            </w:r>
          </w:p>
        </w:tc>
        <w:tc>
          <w:tcPr>
            <w:tcW w:w="2499" w:type="pct"/>
            <w:tcBorders>
              <w:tl2br w:val="nil"/>
              <w:tr2bl w:val="nil"/>
            </w:tcBorders>
            <w:vAlign w:val="center"/>
          </w:tcPr>
          <w:p w14:paraId="4EB5CEB6">
            <w:pPr>
              <w:pStyle w:val="239"/>
              <w:spacing w:line="240" w:lineRule="auto"/>
              <w:ind w:left="1415" w:right="950"/>
              <w:rPr>
                <w:rFonts w:hint="eastAsia"/>
                <w:sz w:val="18"/>
                <w:highlight w:val="none"/>
              </w:rPr>
            </w:pPr>
            <w:r>
              <w:rPr>
                <w:sz w:val="18"/>
                <w:highlight w:val="none"/>
              </w:rPr>
              <w:t>465</w:t>
            </w:r>
          </w:p>
        </w:tc>
      </w:tr>
      <w:tr w14:paraId="7B85C66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25" w:hRule="atLeast"/>
          <w:jc w:val="center"/>
        </w:trPr>
        <w:tc>
          <w:tcPr>
            <w:tcW w:w="2500" w:type="pct"/>
            <w:tcBorders>
              <w:tl2br w:val="nil"/>
              <w:tr2bl w:val="nil"/>
            </w:tcBorders>
            <w:vAlign w:val="center"/>
          </w:tcPr>
          <w:p w14:paraId="23B53AE1">
            <w:pPr>
              <w:pStyle w:val="239"/>
              <w:spacing w:line="240" w:lineRule="auto"/>
              <w:ind w:left="854" w:right="388"/>
              <w:rPr>
                <w:rFonts w:hint="eastAsia"/>
                <w:sz w:val="18"/>
                <w:highlight w:val="none"/>
              </w:rPr>
            </w:pPr>
            <w:r>
              <w:rPr>
                <w:sz w:val="18"/>
                <w:highlight w:val="none"/>
              </w:rPr>
              <w:t>0.48</w:t>
            </w:r>
          </w:p>
        </w:tc>
        <w:tc>
          <w:tcPr>
            <w:tcW w:w="2499" w:type="pct"/>
            <w:tcBorders>
              <w:tl2br w:val="nil"/>
              <w:tr2bl w:val="nil"/>
            </w:tcBorders>
            <w:vAlign w:val="center"/>
          </w:tcPr>
          <w:p w14:paraId="7AA087C7">
            <w:pPr>
              <w:pStyle w:val="239"/>
              <w:spacing w:line="240" w:lineRule="auto"/>
              <w:ind w:left="1415" w:right="950"/>
              <w:rPr>
                <w:rFonts w:hint="eastAsia"/>
                <w:sz w:val="18"/>
                <w:highlight w:val="none"/>
              </w:rPr>
            </w:pPr>
            <w:r>
              <w:rPr>
                <w:sz w:val="18"/>
                <w:highlight w:val="none"/>
              </w:rPr>
              <w:t>579</w:t>
            </w:r>
          </w:p>
        </w:tc>
      </w:tr>
      <w:tr w14:paraId="4EFB926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25" w:hRule="atLeast"/>
          <w:jc w:val="center"/>
        </w:trPr>
        <w:tc>
          <w:tcPr>
            <w:tcW w:w="2500" w:type="pct"/>
            <w:tcBorders>
              <w:tl2br w:val="nil"/>
              <w:tr2bl w:val="nil"/>
            </w:tcBorders>
            <w:vAlign w:val="center"/>
          </w:tcPr>
          <w:p w14:paraId="5619CAB7">
            <w:pPr>
              <w:pStyle w:val="239"/>
              <w:spacing w:line="240" w:lineRule="auto"/>
              <w:ind w:left="854" w:right="388"/>
              <w:rPr>
                <w:rFonts w:hint="eastAsia"/>
                <w:sz w:val="18"/>
                <w:highlight w:val="none"/>
              </w:rPr>
            </w:pPr>
            <w:r>
              <w:rPr>
                <w:sz w:val="18"/>
                <w:highlight w:val="none"/>
              </w:rPr>
              <w:t>0.53</w:t>
            </w:r>
          </w:p>
        </w:tc>
        <w:tc>
          <w:tcPr>
            <w:tcW w:w="2499" w:type="pct"/>
            <w:tcBorders>
              <w:tl2br w:val="nil"/>
              <w:tr2bl w:val="nil"/>
            </w:tcBorders>
            <w:vAlign w:val="center"/>
          </w:tcPr>
          <w:p w14:paraId="3682B236">
            <w:pPr>
              <w:pStyle w:val="239"/>
              <w:spacing w:line="240" w:lineRule="auto"/>
              <w:ind w:left="1415" w:right="950"/>
              <w:rPr>
                <w:rFonts w:hint="eastAsia"/>
                <w:sz w:val="18"/>
                <w:highlight w:val="none"/>
              </w:rPr>
            </w:pPr>
            <w:r>
              <w:rPr>
                <w:sz w:val="18"/>
                <w:highlight w:val="none"/>
              </w:rPr>
              <w:t>706</w:t>
            </w:r>
          </w:p>
        </w:tc>
      </w:tr>
      <w:tr w14:paraId="00E7C45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25" w:hRule="atLeast"/>
          <w:jc w:val="center"/>
        </w:trPr>
        <w:tc>
          <w:tcPr>
            <w:tcW w:w="2500" w:type="pct"/>
            <w:tcBorders>
              <w:tl2br w:val="nil"/>
              <w:tr2bl w:val="nil"/>
            </w:tcBorders>
            <w:vAlign w:val="center"/>
          </w:tcPr>
          <w:p w14:paraId="242BD8D4">
            <w:pPr>
              <w:pStyle w:val="239"/>
              <w:spacing w:line="240" w:lineRule="auto"/>
              <w:ind w:left="854" w:right="388"/>
              <w:rPr>
                <w:rFonts w:hint="eastAsia"/>
                <w:sz w:val="18"/>
                <w:highlight w:val="none"/>
              </w:rPr>
            </w:pPr>
            <w:r>
              <w:rPr>
                <w:sz w:val="18"/>
                <w:highlight w:val="none"/>
              </w:rPr>
              <w:t>0.58</w:t>
            </w:r>
          </w:p>
        </w:tc>
        <w:tc>
          <w:tcPr>
            <w:tcW w:w="2499" w:type="pct"/>
            <w:tcBorders>
              <w:tl2br w:val="nil"/>
              <w:tr2bl w:val="nil"/>
            </w:tcBorders>
            <w:vAlign w:val="center"/>
          </w:tcPr>
          <w:p w14:paraId="4129EFF8">
            <w:pPr>
              <w:pStyle w:val="239"/>
              <w:spacing w:line="240" w:lineRule="auto"/>
              <w:ind w:left="1415" w:right="950"/>
              <w:rPr>
                <w:rFonts w:hint="eastAsia"/>
                <w:sz w:val="18"/>
                <w:highlight w:val="none"/>
              </w:rPr>
            </w:pPr>
            <w:r>
              <w:rPr>
                <w:sz w:val="18"/>
                <w:highlight w:val="none"/>
              </w:rPr>
              <w:t>845</w:t>
            </w:r>
          </w:p>
        </w:tc>
      </w:tr>
      <w:tr w14:paraId="23AE7F7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25" w:hRule="atLeast"/>
          <w:jc w:val="center"/>
        </w:trPr>
        <w:tc>
          <w:tcPr>
            <w:tcW w:w="2500" w:type="pct"/>
            <w:tcBorders>
              <w:tl2br w:val="nil"/>
              <w:tr2bl w:val="nil"/>
            </w:tcBorders>
            <w:vAlign w:val="center"/>
          </w:tcPr>
          <w:p w14:paraId="56648091">
            <w:pPr>
              <w:pStyle w:val="239"/>
              <w:spacing w:line="240" w:lineRule="auto"/>
              <w:ind w:left="854" w:right="388"/>
              <w:rPr>
                <w:rFonts w:hint="eastAsia"/>
                <w:sz w:val="18"/>
                <w:highlight w:val="none"/>
              </w:rPr>
            </w:pPr>
            <w:r>
              <w:rPr>
                <w:sz w:val="18"/>
                <w:highlight w:val="none"/>
              </w:rPr>
              <w:t>0.63</w:t>
            </w:r>
          </w:p>
        </w:tc>
        <w:tc>
          <w:tcPr>
            <w:tcW w:w="2499" w:type="pct"/>
            <w:tcBorders>
              <w:tl2br w:val="nil"/>
              <w:tr2bl w:val="nil"/>
            </w:tcBorders>
            <w:vAlign w:val="center"/>
          </w:tcPr>
          <w:p w14:paraId="68A52CA4">
            <w:pPr>
              <w:pStyle w:val="239"/>
              <w:spacing w:line="240" w:lineRule="auto"/>
              <w:ind w:left="1415" w:right="950"/>
              <w:rPr>
                <w:rFonts w:hint="eastAsia"/>
                <w:sz w:val="18"/>
                <w:highlight w:val="none"/>
              </w:rPr>
            </w:pPr>
            <w:r>
              <w:rPr>
                <w:sz w:val="18"/>
                <w:highlight w:val="none"/>
              </w:rPr>
              <w:t>998</w:t>
            </w:r>
          </w:p>
        </w:tc>
      </w:tr>
      <w:tr w14:paraId="7BC5FE6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60" w:hRule="atLeast"/>
          <w:jc w:val="center"/>
        </w:trPr>
        <w:tc>
          <w:tcPr>
            <w:tcW w:w="2500" w:type="pct"/>
            <w:tcBorders>
              <w:tl2br w:val="nil"/>
              <w:tr2bl w:val="nil"/>
            </w:tcBorders>
            <w:vAlign w:val="center"/>
          </w:tcPr>
          <w:p w14:paraId="785C1985">
            <w:pPr>
              <w:pStyle w:val="239"/>
              <w:spacing w:line="240" w:lineRule="auto"/>
              <w:ind w:left="854" w:right="388"/>
              <w:rPr>
                <w:rFonts w:hint="eastAsia"/>
                <w:sz w:val="18"/>
                <w:highlight w:val="none"/>
              </w:rPr>
            </w:pPr>
            <w:r>
              <w:rPr>
                <w:sz w:val="18"/>
                <w:highlight w:val="none"/>
              </w:rPr>
              <w:t>0.68</w:t>
            </w:r>
          </w:p>
        </w:tc>
        <w:tc>
          <w:tcPr>
            <w:tcW w:w="2499" w:type="pct"/>
            <w:tcBorders>
              <w:tl2br w:val="nil"/>
              <w:tr2bl w:val="nil"/>
            </w:tcBorders>
            <w:vAlign w:val="center"/>
          </w:tcPr>
          <w:p w14:paraId="004BECBF">
            <w:pPr>
              <w:pStyle w:val="239"/>
              <w:spacing w:line="240" w:lineRule="auto"/>
              <w:ind w:left="1415" w:right="948"/>
              <w:rPr>
                <w:rFonts w:hint="eastAsia"/>
                <w:sz w:val="18"/>
                <w:highlight w:val="none"/>
              </w:rPr>
            </w:pPr>
            <w:r>
              <w:rPr>
                <w:sz w:val="18"/>
                <w:highlight w:val="none"/>
              </w:rPr>
              <w:t>1162</w:t>
            </w:r>
          </w:p>
        </w:tc>
      </w:tr>
      <w:tr w14:paraId="4562288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61" w:hRule="atLeast"/>
          <w:jc w:val="center"/>
        </w:trPr>
        <w:tc>
          <w:tcPr>
            <w:tcW w:w="2500" w:type="pct"/>
            <w:tcBorders>
              <w:tl2br w:val="nil"/>
              <w:tr2bl w:val="nil"/>
            </w:tcBorders>
            <w:vAlign w:val="center"/>
          </w:tcPr>
          <w:p w14:paraId="75BCA268">
            <w:pPr>
              <w:pStyle w:val="239"/>
              <w:spacing w:line="240" w:lineRule="auto"/>
              <w:ind w:left="854" w:right="388"/>
              <w:rPr>
                <w:rFonts w:hint="eastAsia"/>
                <w:sz w:val="18"/>
                <w:highlight w:val="none"/>
              </w:rPr>
            </w:pPr>
            <w:r>
              <w:rPr>
                <w:sz w:val="18"/>
                <w:highlight w:val="none"/>
              </w:rPr>
              <w:t>0.73</w:t>
            </w:r>
          </w:p>
        </w:tc>
        <w:tc>
          <w:tcPr>
            <w:tcW w:w="2499" w:type="pct"/>
            <w:tcBorders>
              <w:tl2br w:val="nil"/>
              <w:tr2bl w:val="nil"/>
            </w:tcBorders>
            <w:vAlign w:val="center"/>
          </w:tcPr>
          <w:p w14:paraId="60AF6FD5">
            <w:pPr>
              <w:pStyle w:val="239"/>
              <w:spacing w:line="240" w:lineRule="auto"/>
              <w:ind w:left="1415" w:right="948"/>
              <w:rPr>
                <w:rFonts w:hint="eastAsia"/>
                <w:sz w:val="18"/>
                <w:highlight w:val="none"/>
              </w:rPr>
            </w:pPr>
            <w:r>
              <w:rPr>
                <w:sz w:val="18"/>
                <w:highlight w:val="none"/>
              </w:rPr>
              <w:t>1339</w:t>
            </w:r>
          </w:p>
        </w:tc>
      </w:tr>
      <w:tr w14:paraId="3927C0E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2500" w:type="pct"/>
            <w:tcBorders>
              <w:tl2br w:val="nil"/>
              <w:tr2bl w:val="nil"/>
            </w:tcBorders>
            <w:vAlign w:val="center"/>
          </w:tcPr>
          <w:p w14:paraId="61BA91D2">
            <w:pPr>
              <w:pStyle w:val="239"/>
              <w:spacing w:line="240" w:lineRule="auto"/>
              <w:ind w:left="854" w:right="388"/>
              <w:rPr>
                <w:rFonts w:hint="eastAsia"/>
                <w:sz w:val="18"/>
                <w:highlight w:val="none"/>
              </w:rPr>
            </w:pPr>
            <w:r>
              <w:rPr>
                <w:sz w:val="18"/>
                <w:highlight w:val="none"/>
              </w:rPr>
              <w:t>0.78</w:t>
            </w:r>
          </w:p>
        </w:tc>
        <w:tc>
          <w:tcPr>
            <w:tcW w:w="2499" w:type="pct"/>
            <w:tcBorders>
              <w:tl2br w:val="nil"/>
              <w:tr2bl w:val="nil"/>
            </w:tcBorders>
            <w:vAlign w:val="center"/>
          </w:tcPr>
          <w:p w14:paraId="4D791502">
            <w:pPr>
              <w:pStyle w:val="239"/>
              <w:spacing w:line="240" w:lineRule="auto"/>
              <w:ind w:left="1415" w:right="948"/>
              <w:rPr>
                <w:rFonts w:hint="eastAsia"/>
                <w:sz w:val="18"/>
                <w:highlight w:val="none"/>
              </w:rPr>
            </w:pPr>
            <w:r>
              <w:rPr>
                <w:sz w:val="18"/>
                <w:highlight w:val="none"/>
              </w:rPr>
              <w:t>1529</w:t>
            </w:r>
          </w:p>
        </w:tc>
      </w:tr>
    </w:tbl>
    <w:p w14:paraId="452002DC">
      <w:pPr>
        <w:pStyle w:val="96"/>
        <w:numPr>
          <w:ilvl w:val="0"/>
          <w:numId w:val="0"/>
        </w:numPr>
        <w:spacing w:before="120" w:after="120"/>
        <w:ind w:right="210"/>
        <w:rPr>
          <w:highlight w:val="none"/>
        </w:rPr>
      </w:pPr>
      <w:r>
        <w:rPr>
          <w:rFonts w:hint="eastAsia"/>
          <w:highlight w:val="none"/>
        </w:rPr>
        <w:t>5.3.4.6  凸块剪切</w:t>
      </w:r>
    </w:p>
    <w:p w14:paraId="781A7A73">
      <w:pPr>
        <w:pStyle w:val="58"/>
        <w:ind w:firstLine="420"/>
        <w:rPr>
          <w:rFonts w:ascii="Times New Roman"/>
          <w:highlight w:val="none"/>
        </w:rPr>
      </w:pPr>
      <w:r>
        <w:rPr>
          <w:highlight w:val="none"/>
        </w:rPr>
        <w:t>对于采用凸块（BUMP）的封装，按照</w:t>
      </w:r>
      <w:r>
        <w:rPr>
          <w:rFonts w:hint="eastAsia"/>
          <w:highlight w:val="none"/>
        </w:rPr>
        <w:t>6.3.</w:t>
      </w:r>
      <w:r>
        <w:rPr>
          <w:rFonts w:hint="eastAsia"/>
          <w:highlight w:val="none"/>
          <w:lang w:val="en-US" w:eastAsia="zh-CN"/>
        </w:rPr>
        <w:t>4</w:t>
      </w:r>
      <w:r>
        <w:rPr>
          <w:rFonts w:hint="eastAsia"/>
          <w:highlight w:val="none"/>
        </w:rPr>
        <w:t>.6</w:t>
      </w:r>
      <w:r>
        <w:rPr>
          <w:highlight w:val="none"/>
        </w:rPr>
        <w:t xml:space="preserve">的方法进行试验。将测得剪切力的结果汇总正态分布， </w:t>
      </w:r>
      <w:r>
        <w:rPr>
          <w:position w:val="1"/>
          <w:highlight w:val="none"/>
        </w:rPr>
        <w:t>应满足</w:t>
      </w:r>
      <w:r>
        <w:rPr>
          <w:rFonts w:hint="eastAsia"/>
          <w:position w:val="1"/>
          <w:highlight w:val="none"/>
        </w:rPr>
        <w:t>过程能力K指数</w:t>
      </w:r>
      <w:r>
        <w:rPr>
          <w:position w:val="1"/>
          <w:highlight w:val="none"/>
        </w:rPr>
        <w:t>C</w:t>
      </w:r>
      <w:r>
        <w:rPr>
          <w:sz w:val="11"/>
          <w:highlight w:val="none"/>
        </w:rPr>
        <w:t>pk</w:t>
      </w:r>
      <w:r>
        <w:rPr>
          <w:rFonts w:hint="eastAsia"/>
          <w:position w:val="1"/>
          <w:highlight w:val="none"/>
        </w:rPr>
        <w:t>大于</w:t>
      </w:r>
      <w:r>
        <w:rPr>
          <w:position w:val="1"/>
          <w:highlight w:val="none"/>
        </w:rPr>
        <w:t>1.67</w:t>
      </w:r>
      <w:r>
        <w:rPr>
          <w:rFonts w:ascii="Times New Roman"/>
          <w:highlight w:val="none"/>
        </w:rPr>
        <w:t>。</w:t>
      </w:r>
    </w:p>
    <w:p w14:paraId="2AD88763">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rPr>
          <w:highlight w:val="none"/>
        </w:rPr>
      </w:pPr>
      <w:r>
        <w:rPr>
          <w:rFonts w:hint="eastAsia"/>
          <w:highlight w:val="none"/>
        </w:rPr>
        <w:t>晶圆工艺可靠性</w:t>
      </w:r>
    </w:p>
    <w:p w14:paraId="4FCEB34F">
      <w:pPr>
        <w:pStyle w:val="96"/>
        <w:spacing w:before="120" w:after="120"/>
        <w:rPr>
          <w:highlight w:val="none"/>
        </w:rPr>
      </w:pPr>
      <w:r>
        <w:rPr>
          <w:rFonts w:hint="eastAsia"/>
          <w:highlight w:val="none"/>
        </w:rPr>
        <w:t>电迁移</w:t>
      </w:r>
    </w:p>
    <w:p w14:paraId="47C1CF71">
      <w:pPr>
        <w:pStyle w:val="58"/>
        <w:widowControl w:val="0"/>
        <w:adjustRightInd w:val="0"/>
        <w:ind w:firstLine="420"/>
        <w:rPr>
          <w:rFonts w:hint="eastAsia" w:hAnsi="宋体"/>
          <w:highlight w:val="none"/>
        </w:rPr>
      </w:pPr>
      <w:r>
        <w:rPr>
          <w:rFonts w:hint="eastAsia" w:hAnsi="宋体"/>
          <w:highlight w:val="none"/>
        </w:rPr>
        <w:t>按6.3.5.1进行试验，结果由供需双方协商确定。</w:t>
      </w:r>
    </w:p>
    <w:p w14:paraId="713FF18C">
      <w:pPr>
        <w:pStyle w:val="96"/>
        <w:spacing w:before="120" w:after="120"/>
        <w:rPr>
          <w:highlight w:val="none"/>
        </w:rPr>
      </w:pPr>
      <w:r>
        <w:rPr>
          <w:rFonts w:hint="eastAsia"/>
          <w:highlight w:val="none"/>
        </w:rPr>
        <w:t>电解质击穿</w:t>
      </w:r>
    </w:p>
    <w:p w14:paraId="3D227D59">
      <w:pPr>
        <w:pStyle w:val="58"/>
        <w:widowControl w:val="0"/>
        <w:adjustRightInd w:val="0"/>
        <w:ind w:firstLine="420"/>
        <w:rPr>
          <w:rFonts w:hint="eastAsia" w:hAnsi="宋体"/>
          <w:highlight w:val="none"/>
        </w:rPr>
      </w:pPr>
      <w:r>
        <w:rPr>
          <w:rFonts w:hint="eastAsia" w:hAnsi="宋体"/>
          <w:highlight w:val="none"/>
        </w:rPr>
        <w:t>按6.3.5.2进行试验，结果由供需双方协商确定。</w:t>
      </w:r>
    </w:p>
    <w:p w14:paraId="6F2F91FA">
      <w:pPr>
        <w:pStyle w:val="96"/>
        <w:spacing w:before="120" w:after="120"/>
        <w:rPr>
          <w:highlight w:val="none"/>
        </w:rPr>
      </w:pPr>
      <w:r>
        <w:rPr>
          <w:rFonts w:hint="eastAsia"/>
          <w:highlight w:val="none"/>
        </w:rPr>
        <w:t>热载流子注入效应</w:t>
      </w:r>
    </w:p>
    <w:p w14:paraId="0F000B13">
      <w:pPr>
        <w:pStyle w:val="58"/>
        <w:widowControl w:val="0"/>
        <w:adjustRightInd w:val="0"/>
        <w:ind w:firstLine="420"/>
        <w:rPr>
          <w:rFonts w:hint="eastAsia" w:hAnsi="宋体"/>
          <w:highlight w:val="none"/>
        </w:rPr>
      </w:pPr>
      <w:r>
        <w:rPr>
          <w:rFonts w:hint="eastAsia" w:hAnsi="宋体"/>
          <w:highlight w:val="none"/>
        </w:rPr>
        <w:t>按6.3.5.3进行试验，结果由供需双方协商确定。</w:t>
      </w:r>
    </w:p>
    <w:p w14:paraId="0FB59712">
      <w:pPr>
        <w:pStyle w:val="96"/>
        <w:spacing w:before="120" w:after="120"/>
        <w:rPr>
          <w:highlight w:val="none"/>
        </w:rPr>
      </w:pPr>
      <w:r>
        <w:rPr>
          <w:rFonts w:hint="eastAsia"/>
          <w:highlight w:val="none"/>
        </w:rPr>
        <w:t>负偏压温度不稳定</w:t>
      </w:r>
    </w:p>
    <w:p w14:paraId="447145BC">
      <w:pPr>
        <w:pStyle w:val="58"/>
        <w:widowControl w:val="0"/>
        <w:adjustRightInd w:val="0"/>
        <w:ind w:firstLine="420"/>
        <w:rPr>
          <w:rFonts w:hint="eastAsia" w:hAnsi="宋体"/>
          <w:highlight w:val="none"/>
        </w:rPr>
      </w:pPr>
      <w:r>
        <w:rPr>
          <w:rFonts w:hint="eastAsia" w:hAnsi="宋体"/>
          <w:highlight w:val="none"/>
        </w:rPr>
        <w:t>按6.3.5.4进行试验，结果由供需双方协商确定。</w:t>
      </w:r>
    </w:p>
    <w:p w14:paraId="488D1FFA">
      <w:pPr>
        <w:pStyle w:val="96"/>
        <w:spacing w:before="120" w:after="120"/>
        <w:rPr>
          <w:highlight w:val="none"/>
        </w:rPr>
      </w:pPr>
      <w:r>
        <w:rPr>
          <w:rFonts w:hint="eastAsia"/>
          <w:highlight w:val="none"/>
        </w:rPr>
        <w:t xml:space="preserve">应力迁移 </w:t>
      </w:r>
    </w:p>
    <w:p w14:paraId="69109C20">
      <w:pPr>
        <w:pStyle w:val="58"/>
        <w:widowControl w:val="0"/>
        <w:adjustRightInd w:val="0"/>
        <w:ind w:firstLine="420"/>
        <w:rPr>
          <w:rFonts w:hint="eastAsia" w:hAnsi="宋体"/>
          <w:highlight w:val="none"/>
        </w:rPr>
      </w:pPr>
      <w:r>
        <w:rPr>
          <w:rFonts w:hint="eastAsia" w:hAnsi="宋体"/>
          <w:highlight w:val="none"/>
        </w:rPr>
        <w:t>按6.3.5.5进行试验，结果由供需双方协商确定。</w:t>
      </w:r>
    </w:p>
    <w:p w14:paraId="3D425D74">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rPr>
          <w:highlight w:val="none"/>
        </w:rPr>
      </w:pPr>
      <w:r>
        <w:rPr>
          <w:rFonts w:hint="eastAsia"/>
          <w:highlight w:val="none"/>
        </w:rPr>
        <w:t>电性能验证</w:t>
      </w:r>
    </w:p>
    <w:p w14:paraId="3607FF36">
      <w:pPr>
        <w:pStyle w:val="96"/>
        <w:numPr>
          <w:ilvl w:val="0"/>
          <w:numId w:val="0"/>
        </w:numPr>
        <w:spacing w:before="120" w:after="120"/>
        <w:rPr>
          <w:highlight w:val="none"/>
        </w:rPr>
      </w:pPr>
      <w:r>
        <w:rPr>
          <w:rFonts w:hint="eastAsia"/>
          <w:highlight w:val="none"/>
        </w:rPr>
        <w:t>5.3.6.1  电性能参数</w:t>
      </w:r>
    </w:p>
    <w:p w14:paraId="6BD68CD0">
      <w:pPr>
        <w:pStyle w:val="58"/>
        <w:ind w:firstLine="420"/>
        <w:rPr>
          <w:rFonts w:hint="eastAsia" w:hAnsi="宋体"/>
          <w:highlight w:val="none"/>
        </w:rPr>
      </w:pPr>
      <w:r>
        <w:rPr>
          <w:rFonts w:hint="eastAsia" w:hAnsi="宋体"/>
          <w:highlight w:val="none"/>
        </w:rPr>
        <w:t>按6.3.6.1进行试验，纯电动客车用电源管理芯片电性能参数应符合产品规格书的要求。</w:t>
      </w:r>
    </w:p>
    <w:p w14:paraId="20E4EB5F">
      <w:pPr>
        <w:pStyle w:val="96"/>
        <w:numPr>
          <w:ilvl w:val="0"/>
          <w:numId w:val="0"/>
        </w:numPr>
        <w:spacing w:before="120" w:after="120"/>
        <w:ind w:right="210"/>
        <w:rPr>
          <w:highlight w:val="none"/>
        </w:rPr>
      </w:pPr>
      <w:r>
        <w:rPr>
          <w:rFonts w:hint="eastAsia"/>
          <w:highlight w:val="none"/>
        </w:rPr>
        <w:t>5.3.6.2  人体模型静电放电</w:t>
      </w:r>
    </w:p>
    <w:p w14:paraId="09264CE5">
      <w:pPr>
        <w:pStyle w:val="58"/>
        <w:ind w:firstLine="420"/>
        <w:rPr>
          <w:highlight w:val="none"/>
        </w:rPr>
      </w:pPr>
      <w:r>
        <w:rPr>
          <w:rFonts w:hint="eastAsia" w:hAnsi="宋体"/>
          <w:highlight w:val="none"/>
        </w:rPr>
        <w:t>按6.3.6.2进行试验。试验后，纯电动客车用电源管理芯片外观应满足IEC 60749-3的要求，功能和性能应符合产品规格书的要求，ESD失效阈值应至少达到2级或由供需双方协商确定。</w:t>
      </w:r>
    </w:p>
    <w:p w14:paraId="1D609535">
      <w:pPr>
        <w:pStyle w:val="96"/>
        <w:numPr>
          <w:ilvl w:val="0"/>
          <w:numId w:val="0"/>
        </w:numPr>
        <w:spacing w:before="120" w:after="120"/>
        <w:ind w:right="210"/>
        <w:rPr>
          <w:highlight w:val="none"/>
        </w:rPr>
      </w:pPr>
      <w:r>
        <w:rPr>
          <w:rFonts w:hint="eastAsia"/>
          <w:highlight w:val="none"/>
        </w:rPr>
        <w:t>5.3.6.3  带电器件模型静电放电</w:t>
      </w:r>
    </w:p>
    <w:p w14:paraId="1D48C595">
      <w:pPr>
        <w:pStyle w:val="58"/>
        <w:ind w:firstLine="420"/>
        <w:rPr>
          <w:highlight w:val="none"/>
        </w:rPr>
      </w:pPr>
      <w:r>
        <w:rPr>
          <w:rFonts w:hint="eastAsia" w:hAnsi="宋体"/>
          <w:highlight w:val="none"/>
        </w:rPr>
        <w:t>按6.3.6.3进行试验。试验后纯电动客车用电源管理芯片外观应满足IEC 60749-3的要求，功能和性能应符合产品规格书的要求，ESD失效阈值应至少达到C2a级或由供需双方协商确定。</w:t>
      </w:r>
    </w:p>
    <w:p w14:paraId="0BD0A8DE">
      <w:pPr>
        <w:pStyle w:val="96"/>
        <w:numPr>
          <w:ilvl w:val="0"/>
          <w:numId w:val="0"/>
        </w:numPr>
        <w:spacing w:before="120" w:after="120"/>
        <w:rPr>
          <w:highlight w:val="none"/>
        </w:rPr>
      </w:pPr>
      <w:r>
        <w:rPr>
          <w:rFonts w:hint="eastAsia"/>
          <w:highlight w:val="none"/>
        </w:rPr>
        <w:t>5.3.6.4  闩锁效应</w:t>
      </w:r>
    </w:p>
    <w:p w14:paraId="5EEB07EA">
      <w:pPr>
        <w:pStyle w:val="58"/>
        <w:ind w:firstLine="420"/>
        <w:rPr>
          <w:rFonts w:hint="eastAsia" w:hAnsi="宋体"/>
          <w:highlight w:val="none"/>
        </w:rPr>
      </w:pPr>
      <w:r>
        <w:rPr>
          <w:rFonts w:hint="eastAsia" w:hAnsi="宋体"/>
          <w:highlight w:val="none"/>
        </w:rPr>
        <w:t>按6.3.6.4进行试验。试验后纯电动客车用电源管理芯片外观应满足IEC 60749-3的要求，功能和性能应符合产品规格书的要求。试验后电源引脚的电流值不应超过1.4×I</w:t>
      </w:r>
      <w:r>
        <w:rPr>
          <w:rFonts w:hint="eastAsia" w:hAnsi="宋体"/>
          <w:highlight w:val="none"/>
          <w:vertAlign w:val="subscript"/>
        </w:rPr>
        <w:t>nor</w:t>
      </w:r>
      <w:r>
        <w:rPr>
          <w:rFonts w:hint="eastAsia" w:hAnsi="宋体"/>
          <w:highlight w:val="none"/>
        </w:rPr>
        <w:t>或I</w:t>
      </w:r>
      <w:r>
        <w:rPr>
          <w:rFonts w:hint="eastAsia" w:hAnsi="宋体"/>
          <w:highlight w:val="none"/>
          <w:vertAlign w:val="subscript"/>
        </w:rPr>
        <w:t>nor</w:t>
      </w:r>
      <w:r>
        <w:rPr>
          <w:rFonts w:hint="eastAsia" w:hAnsi="宋体"/>
          <w:highlight w:val="none"/>
        </w:rPr>
        <w:t>+10 mA中的最大值。</w:t>
      </w:r>
    </w:p>
    <w:p w14:paraId="799B8FD8">
      <w:pPr>
        <w:pStyle w:val="96"/>
        <w:numPr>
          <w:ilvl w:val="0"/>
          <w:numId w:val="0"/>
        </w:numPr>
        <w:spacing w:before="120" w:after="120"/>
        <w:rPr>
          <w:highlight w:val="none"/>
        </w:rPr>
      </w:pPr>
      <w:r>
        <w:rPr>
          <w:rFonts w:hint="eastAsia"/>
          <w:highlight w:val="none"/>
        </w:rPr>
        <w:t>5.3.6.5  电性参数分布</w:t>
      </w:r>
    </w:p>
    <w:p w14:paraId="5FEA4AA0">
      <w:pPr>
        <w:pStyle w:val="233"/>
        <w:tabs>
          <w:tab w:val="center" w:pos="4201"/>
          <w:tab w:val="right" w:leader="dot" w:pos="9298"/>
        </w:tabs>
        <w:ind w:firstLine="420"/>
        <w:rPr>
          <w:rFonts w:cs="宋体"/>
          <w:highlight w:val="none"/>
        </w:rPr>
      </w:pPr>
      <w:r>
        <w:rPr>
          <w:rFonts w:hint="eastAsia" w:cs="宋体"/>
          <w:highlight w:val="none"/>
        </w:rPr>
        <w:t>按6.3.6.5进行试验，过程能力K指数C</w:t>
      </w:r>
      <w:r>
        <w:rPr>
          <w:rFonts w:hint="eastAsia" w:cs="宋体"/>
          <w:highlight w:val="none"/>
          <w:vertAlign w:val="subscript"/>
        </w:rPr>
        <w:t>PK</w:t>
      </w:r>
      <w:r>
        <w:rPr>
          <w:rFonts w:hint="eastAsia" w:cs="宋体"/>
          <w:highlight w:val="none"/>
        </w:rPr>
        <w:t>如果适用，则相应的增加试验样本量，C</w:t>
      </w:r>
      <w:r>
        <w:rPr>
          <w:rFonts w:hint="eastAsia" w:cs="宋体"/>
          <w:highlight w:val="none"/>
          <w:vertAlign w:val="subscript"/>
        </w:rPr>
        <w:t>pk</w:t>
      </w:r>
      <w:r>
        <w:rPr>
          <w:rFonts w:hint="eastAsia" w:cs="宋体"/>
          <w:highlight w:val="none"/>
        </w:rPr>
        <w:t>应大于1.67。</w:t>
      </w:r>
    </w:p>
    <w:p w14:paraId="3A3DD163">
      <w:pPr>
        <w:pStyle w:val="96"/>
        <w:numPr>
          <w:ilvl w:val="0"/>
          <w:numId w:val="0"/>
        </w:numPr>
        <w:spacing w:before="120" w:after="120"/>
        <w:ind w:right="210"/>
        <w:rPr>
          <w:highlight w:val="none"/>
        </w:rPr>
      </w:pPr>
      <w:r>
        <w:rPr>
          <w:rFonts w:hint="eastAsia"/>
          <w:highlight w:val="none"/>
        </w:rPr>
        <w:t>5.3.6.6  故障分级</w:t>
      </w:r>
    </w:p>
    <w:p w14:paraId="7096A711">
      <w:pPr>
        <w:pStyle w:val="233"/>
        <w:tabs>
          <w:tab w:val="center" w:pos="4201"/>
          <w:tab w:val="right" w:leader="dot" w:pos="9298"/>
        </w:tabs>
        <w:ind w:firstLine="420"/>
        <w:rPr>
          <w:rFonts w:cs="宋体"/>
          <w:highlight w:val="none"/>
        </w:rPr>
      </w:pPr>
      <w:r>
        <w:rPr>
          <w:rFonts w:hint="eastAsia" w:cs="宋体"/>
          <w:highlight w:val="none"/>
        </w:rPr>
        <w:t>按6.3.6.6进行试验，测试覆盖率宜满足下列要求：</w:t>
      </w:r>
    </w:p>
    <w:p w14:paraId="5E942ACA">
      <w:pPr>
        <w:numPr>
          <w:ilvl w:val="0"/>
          <w:numId w:val="33"/>
        </w:numPr>
        <w:tabs>
          <w:tab w:val="left" w:pos="360"/>
          <w:tab w:val="left" w:pos="567"/>
        </w:tabs>
        <w:adjustRightInd/>
        <w:spacing w:line="240" w:lineRule="auto"/>
        <w:ind w:left="840" w:leftChars="200" w:hanging="420" w:hangingChars="200"/>
        <w:jc w:val="left"/>
        <w:rPr>
          <w:rFonts w:ascii="Times New Roman" w:hAnsi="Times New Roman"/>
          <w:szCs w:val="24"/>
          <w:highlight w:val="none"/>
        </w:rPr>
      </w:pPr>
      <w:r>
        <w:rPr>
          <w:rFonts w:hint="eastAsia" w:ascii="Times New Roman" w:hAnsi="Times New Roman"/>
          <w:szCs w:val="24"/>
          <w:highlight w:val="none"/>
        </w:rPr>
        <w:t xml:space="preserve">模拟电路或混合模式电路的模拟电路块：100%； </w:t>
      </w:r>
    </w:p>
    <w:p w14:paraId="753A6BB5">
      <w:pPr>
        <w:numPr>
          <w:ilvl w:val="0"/>
          <w:numId w:val="33"/>
        </w:numPr>
        <w:tabs>
          <w:tab w:val="left" w:pos="360"/>
          <w:tab w:val="left" w:pos="567"/>
        </w:tabs>
        <w:adjustRightInd/>
        <w:spacing w:line="240" w:lineRule="auto"/>
        <w:ind w:left="840" w:leftChars="200" w:hanging="420" w:hangingChars="200"/>
        <w:jc w:val="left"/>
        <w:rPr>
          <w:rFonts w:ascii="Times New Roman" w:hAnsi="Times New Roman"/>
          <w:szCs w:val="24"/>
          <w:highlight w:val="none"/>
        </w:rPr>
      </w:pPr>
      <w:r>
        <w:rPr>
          <w:rFonts w:hint="eastAsia" w:ascii="Times New Roman" w:hAnsi="Times New Roman"/>
          <w:szCs w:val="24"/>
          <w:highlight w:val="none"/>
        </w:rPr>
        <w:t xml:space="preserve">数字电路或混合模式电路的数字电路块逻辑翻转故障模型测试覆盖率：不低于98%； </w:t>
      </w:r>
    </w:p>
    <w:p w14:paraId="5D430746">
      <w:pPr>
        <w:numPr>
          <w:ilvl w:val="0"/>
          <w:numId w:val="33"/>
        </w:numPr>
        <w:tabs>
          <w:tab w:val="left" w:pos="360"/>
          <w:tab w:val="left" w:pos="567"/>
        </w:tabs>
        <w:adjustRightInd/>
        <w:spacing w:line="240" w:lineRule="auto"/>
        <w:ind w:left="840" w:leftChars="200" w:hanging="420" w:hangingChars="200"/>
        <w:jc w:val="left"/>
        <w:rPr>
          <w:rFonts w:ascii="Times New Roman" w:hAnsi="Times New Roman"/>
          <w:szCs w:val="24"/>
          <w:highlight w:val="none"/>
        </w:rPr>
      </w:pPr>
      <w:r>
        <w:rPr>
          <w:rFonts w:hint="eastAsia" w:ascii="Times New Roman" w:hAnsi="Times New Roman"/>
          <w:szCs w:val="24"/>
          <w:highlight w:val="none"/>
        </w:rPr>
        <w:t xml:space="preserve">具有IDDQ或ISSQ的数字电路或数字电路块辑翻转故障模型测试覆盖率：不低于97%； </w:t>
      </w:r>
    </w:p>
    <w:p w14:paraId="6F7AE078">
      <w:pPr>
        <w:numPr>
          <w:ilvl w:val="0"/>
          <w:numId w:val="33"/>
        </w:numPr>
        <w:tabs>
          <w:tab w:val="left" w:pos="360"/>
          <w:tab w:val="left" w:pos="567"/>
        </w:tabs>
        <w:adjustRightInd/>
        <w:spacing w:line="240" w:lineRule="auto"/>
        <w:ind w:left="840" w:leftChars="200" w:hanging="420" w:hangingChars="200"/>
        <w:jc w:val="left"/>
        <w:rPr>
          <w:rFonts w:ascii="Times New Roman" w:hAnsi="Times New Roman"/>
          <w:szCs w:val="24"/>
          <w:highlight w:val="none"/>
        </w:rPr>
      </w:pPr>
      <w:r>
        <w:rPr>
          <w:rFonts w:hint="eastAsia" w:ascii="Times New Roman" w:hAnsi="Times New Roman"/>
          <w:szCs w:val="24"/>
          <w:highlight w:val="none"/>
        </w:rPr>
        <w:t xml:space="preserve">利用扫描设计的数字电路或数字电路块的转换延迟故障覆盖率：不低于80%； </w:t>
      </w:r>
    </w:p>
    <w:p w14:paraId="580245D7">
      <w:pPr>
        <w:numPr>
          <w:ilvl w:val="0"/>
          <w:numId w:val="33"/>
        </w:numPr>
        <w:tabs>
          <w:tab w:val="left" w:pos="360"/>
          <w:tab w:val="left" w:pos="567"/>
        </w:tabs>
        <w:adjustRightInd/>
        <w:spacing w:line="240" w:lineRule="auto"/>
        <w:ind w:left="840" w:leftChars="200" w:hanging="420" w:hangingChars="200"/>
        <w:jc w:val="left"/>
        <w:rPr>
          <w:rFonts w:ascii="Times New Roman" w:hAnsi="Times New Roman"/>
          <w:szCs w:val="24"/>
          <w:highlight w:val="none"/>
        </w:rPr>
      </w:pPr>
      <w:r>
        <w:rPr>
          <w:rFonts w:hint="eastAsia" w:ascii="Times New Roman" w:hAnsi="Times New Roman"/>
          <w:szCs w:val="24"/>
          <w:highlight w:val="none"/>
        </w:rPr>
        <w:t xml:space="preserve">在IDDQ故障覆盖范围内使用伪固定的数字电路或数字电路块：不低于70%。 </w:t>
      </w:r>
    </w:p>
    <w:p w14:paraId="6A3E38D2">
      <w:pPr>
        <w:numPr>
          <w:ilvl w:val="0"/>
          <w:numId w:val="33"/>
        </w:numPr>
        <w:tabs>
          <w:tab w:val="left" w:pos="360"/>
          <w:tab w:val="left" w:pos="567"/>
        </w:tabs>
        <w:adjustRightInd/>
        <w:spacing w:line="240" w:lineRule="auto"/>
        <w:ind w:left="840" w:leftChars="200" w:hanging="420" w:hangingChars="200"/>
        <w:jc w:val="left"/>
        <w:rPr>
          <w:rFonts w:ascii="Times New Roman" w:hAnsi="Times New Roman"/>
          <w:szCs w:val="24"/>
          <w:highlight w:val="none"/>
        </w:rPr>
      </w:pPr>
      <w:r>
        <w:rPr>
          <w:rFonts w:hint="eastAsia" w:ascii="Times New Roman" w:hAnsi="Times New Roman"/>
          <w:szCs w:val="24"/>
          <w:highlight w:val="none"/>
        </w:rPr>
        <w:t>不满足以上测试覆盖率的技术要求时，由供需双方协商确定测试覆盖率要求并说明。</w:t>
      </w:r>
    </w:p>
    <w:p w14:paraId="7016C9D2">
      <w:pPr>
        <w:pStyle w:val="96"/>
        <w:numPr>
          <w:ilvl w:val="0"/>
          <w:numId w:val="0"/>
        </w:numPr>
        <w:spacing w:before="120" w:after="120"/>
        <w:rPr>
          <w:highlight w:val="none"/>
        </w:rPr>
      </w:pPr>
      <w:r>
        <w:rPr>
          <w:rFonts w:hint="eastAsia"/>
          <w:highlight w:val="none"/>
        </w:rPr>
        <w:t>5.3.6.7  电特性表征</w:t>
      </w:r>
    </w:p>
    <w:p w14:paraId="35496EF5">
      <w:pPr>
        <w:pStyle w:val="58"/>
        <w:ind w:firstLine="420"/>
        <w:rPr>
          <w:rFonts w:hint="eastAsia" w:hAnsi="宋体"/>
          <w:highlight w:val="none"/>
        </w:rPr>
      </w:pPr>
      <w:r>
        <w:rPr>
          <w:rFonts w:hint="eastAsia" w:hAnsi="宋体"/>
          <w:highlight w:val="none"/>
        </w:rPr>
        <w:t>按6.3.6.7进行试验，结果由供需双方协商确定。</w:t>
      </w:r>
    </w:p>
    <w:p w14:paraId="5D32759C">
      <w:pPr>
        <w:pStyle w:val="96"/>
        <w:numPr>
          <w:ilvl w:val="0"/>
          <w:numId w:val="0"/>
        </w:numPr>
        <w:spacing w:before="120" w:after="120"/>
        <w:ind w:right="210"/>
        <w:rPr>
          <w:highlight w:val="none"/>
        </w:rPr>
      </w:pPr>
      <w:r>
        <w:rPr>
          <w:rFonts w:hint="eastAsia"/>
          <w:highlight w:val="none"/>
        </w:rPr>
        <w:t>5.3.6.8  软错误率</w:t>
      </w:r>
    </w:p>
    <w:p w14:paraId="73D6BBE2">
      <w:pPr>
        <w:pStyle w:val="58"/>
        <w:ind w:firstLine="420"/>
        <w:rPr>
          <w:rFonts w:hint="eastAsia" w:hAnsi="宋体"/>
          <w:highlight w:val="none"/>
        </w:rPr>
      </w:pPr>
      <w:r>
        <w:rPr>
          <w:rFonts w:hint="eastAsia" w:hAnsi="宋体"/>
          <w:highlight w:val="none"/>
        </w:rPr>
        <w:t>按6.3.6.8的方法进行试验，结果由供需双方协商确定。</w:t>
      </w:r>
    </w:p>
    <w:p w14:paraId="0FF2C19E">
      <w:pPr>
        <w:pStyle w:val="96"/>
        <w:numPr>
          <w:ilvl w:val="0"/>
          <w:numId w:val="0"/>
        </w:numPr>
        <w:spacing w:before="120" w:after="120"/>
        <w:ind w:right="210"/>
        <w:rPr>
          <w:highlight w:val="none"/>
        </w:rPr>
      </w:pPr>
      <w:r>
        <w:rPr>
          <w:rFonts w:hint="eastAsia"/>
          <w:highlight w:val="none"/>
        </w:rPr>
        <w:t>5.3.6.9  锡须试验</w:t>
      </w:r>
    </w:p>
    <w:p w14:paraId="6EFA8F41">
      <w:pPr>
        <w:pStyle w:val="233"/>
        <w:tabs>
          <w:tab w:val="center" w:pos="4201"/>
          <w:tab w:val="right" w:leader="dot" w:pos="9298"/>
        </w:tabs>
        <w:ind w:firstLine="420"/>
        <w:rPr>
          <w:rFonts w:cs="宋体"/>
          <w:highlight w:val="none"/>
        </w:rPr>
      </w:pPr>
      <w:r>
        <w:rPr>
          <w:highlight w:val="none"/>
        </w:rPr>
        <w:t>按</w:t>
      </w:r>
      <w:r>
        <w:rPr>
          <w:rFonts w:hint="eastAsia"/>
          <w:highlight w:val="none"/>
        </w:rPr>
        <w:t>6.3.6.9</w:t>
      </w:r>
      <w:r>
        <w:rPr>
          <w:highlight w:val="none"/>
        </w:rPr>
        <w:t>的方法进行试验。试验后锡须的生长长度温湿度试验</w:t>
      </w:r>
      <w:r>
        <w:rPr>
          <w:rFonts w:hint="eastAsia"/>
          <w:highlight w:val="none"/>
        </w:rPr>
        <w:t>应不大于</w:t>
      </w:r>
      <w:r>
        <w:rPr>
          <w:rFonts w:hint="eastAsia"/>
          <w:strike/>
          <w:dstrike w:val="0"/>
          <w:highlight w:val="none"/>
        </w:rPr>
        <w:t>不应</w:t>
      </w:r>
      <w:r>
        <w:rPr>
          <w:strike/>
          <w:dstrike w:val="0"/>
          <w:highlight w:val="none"/>
        </w:rPr>
        <w:t>大于</w:t>
      </w:r>
      <w:r>
        <w:rPr>
          <w:highlight w:val="none"/>
        </w:rPr>
        <w:t>40</w:t>
      </w:r>
      <w:r>
        <w:rPr>
          <w:rFonts w:hint="eastAsia"/>
          <w:highlight w:val="none"/>
        </w:rPr>
        <w:t xml:space="preserve"> </w:t>
      </w:r>
      <w:r>
        <w:rPr>
          <w:rFonts w:ascii="Times New Roman"/>
          <w:highlight w:val="none"/>
        </w:rPr>
        <w:t>μ</w:t>
      </w:r>
      <w:r>
        <w:rPr>
          <w:rFonts w:hint="eastAsia"/>
          <w:highlight w:val="none"/>
        </w:rPr>
        <w:t>m</w:t>
      </w:r>
      <w:r>
        <w:rPr>
          <w:highlight w:val="none"/>
        </w:rPr>
        <w:t>，温度循环试验</w:t>
      </w:r>
      <w:r>
        <w:rPr>
          <w:rFonts w:hint="eastAsia"/>
          <w:highlight w:val="none"/>
        </w:rPr>
        <w:t>应不大于</w:t>
      </w:r>
      <w:r>
        <w:rPr>
          <w:rFonts w:hint="eastAsia"/>
          <w:strike/>
          <w:dstrike w:val="0"/>
          <w:highlight w:val="none"/>
        </w:rPr>
        <w:t>不应</w:t>
      </w:r>
      <w:r>
        <w:rPr>
          <w:strike/>
          <w:dstrike w:val="0"/>
          <w:highlight w:val="none"/>
        </w:rPr>
        <w:t>大于</w:t>
      </w:r>
      <w:r>
        <w:rPr>
          <w:highlight w:val="none"/>
        </w:rPr>
        <w:t>45</w:t>
      </w:r>
      <w:r>
        <w:rPr>
          <w:rFonts w:hint="eastAsia"/>
          <w:highlight w:val="none"/>
        </w:rPr>
        <w:t xml:space="preserve"> μ</w:t>
      </w:r>
      <w:r>
        <w:rPr>
          <w:highlight w:val="none"/>
        </w:rPr>
        <w:t>m，锡须密度应符合</w:t>
      </w:r>
      <w:r>
        <w:rPr>
          <w:rFonts w:hint="eastAsia"/>
          <w:highlight w:val="none"/>
        </w:rPr>
        <w:t>产品规格书的</w:t>
      </w:r>
      <w:r>
        <w:rPr>
          <w:highlight w:val="none"/>
        </w:rPr>
        <w:t>要求。</w:t>
      </w:r>
    </w:p>
    <w:p w14:paraId="1D56AE0C">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rPr>
          <w:rFonts w:hint="eastAsia"/>
          <w:highlight w:val="none"/>
        </w:rPr>
      </w:pPr>
      <w:r>
        <w:rPr>
          <w:rFonts w:hint="eastAsia"/>
          <w:highlight w:val="none"/>
        </w:rPr>
        <w:t>缺陷筛选</w:t>
      </w:r>
    </w:p>
    <w:p w14:paraId="215FB889">
      <w:pPr>
        <w:pStyle w:val="96"/>
        <w:spacing w:before="120" w:after="120"/>
        <w:rPr>
          <w:highlight w:val="none"/>
        </w:rPr>
      </w:pPr>
      <w:r>
        <w:rPr>
          <w:rFonts w:hint="eastAsia"/>
          <w:highlight w:val="none"/>
        </w:rPr>
        <w:t>参数分布平均</w:t>
      </w:r>
    </w:p>
    <w:p w14:paraId="70371FC1">
      <w:pPr>
        <w:autoSpaceDE w:val="0"/>
        <w:autoSpaceDN w:val="0"/>
        <w:spacing w:line="240" w:lineRule="auto"/>
        <w:ind w:firstLine="420" w:firstLineChars="200"/>
        <w:rPr>
          <w:rFonts w:hint="eastAsia" w:ascii="宋体" w:hAnsi="宋体" w:cs="宋体"/>
          <w:highlight w:val="none"/>
        </w:rPr>
      </w:pPr>
      <w:r>
        <w:rPr>
          <w:rFonts w:hint="eastAsia" w:ascii="宋体" w:hAnsi="宋体" w:cs="宋体"/>
          <w:highlight w:val="none"/>
        </w:rPr>
        <w:t>按6.3.7.1进行试验，结果由供需双方协商确定。</w:t>
      </w:r>
    </w:p>
    <w:p w14:paraId="0DCA33F7">
      <w:pPr>
        <w:pStyle w:val="96"/>
        <w:spacing w:before="120" w:after="120"/>
        <w:rPr>
          <w:highlight w:val="none"/>
        </w:rPr>
      </w:pPr>
      <w:r>
        <w:rPr>
          <w:rFonts w:hint="eastAsia"/>
          <w:highlight w:val="none"/>
        </w:rPr>
        <w:t>统计良率分析</w:t>
      </w:r>
    </w:p>
    <w:p w14:paraId="21384028">
      <w:pPr>
        <w:autoSpaceDE w:val="0"/>
        <w:autoSpaceDN w:val="0"/>
        <w:spacing w:line="240" w:lineRule="auto"/>
        <w:ind w:firstLine="420" w:firstLineChars="200"/>
        <w:rPr>
          <w:rFonts w:hint="eastAsia" w:ascii="宋体" w:hAnsi="宋体" w:cs="宋体"/>
          <w:highlight w:val="none"/>
        </w:rPr>
      </w:pPr>
      <w:r>
        <w:rPr>
          <w:rFonts w:hint="eastAsia" w:ascii="宋体" w:hAnsi="宋体" w:cs="宋体"/>
          <w:highlight w:val="none"/>
        </w:rPr>
        <w:t>按6.3.7.2进行试验，结果由供需双方协商确定。</w:t>
      </w:r>
    </w:p>
    <w:p w14:paraId="06020591">
      <w:pPr>
        <w:pStyle w:val="240"/>
        <w:widowControl/>
        <w:numPr>
          <w:ilvl w:val="0"/>
          <w:numId w:val="2"/>
        </w:numPr>
        <w:shd w:val="clear" w:color="FFFFFF" w:fill="FFFFFF"/>
        <w:adjustRightInd/>
        <w:spacing w:before="120" w:beforeLines="50" w:after="120" w:afterLines="50" w:line="240" w:lineRule="auto"/>
        <w:ind w:firstLineChars="0"/>
        <w:jc w:val="center"/>
        <w:outlineLvl w:val="0"/>
        <w:rPr>
          <w:rFonts w:ascii="黑体" w:hAnsi="Times New Roman" w:eastAsia="黑体"/>
          <w:vanish/>
          <w:kern w:val="0"/>
          <w:szCs w:val="20"/>
          <w:highlight w:val="none"/>
        </w:rPr>
      </w:pPr>
    </w:p>
    <w:p w14:paraId="169C46A6">
      <w:pPr>
        <w:pStyle w:val="240"/>
        <w:widowControl/>
        <w:numPr>
          <w:ilvl w:val="1"/>
          <w:numId w:val="2"/>
        </w:numPr>
        <w:adjustRightInd/>
        <w:spacing w:before="120" w:beforeLines="50" w:after="120" w:afterLines="50" w:line="240" w:lineRule="auto"/>
        <w:ind w:firstLineChars="0"/>
        <w:outlineLvl w:val="0"/>
        <w:rPr>
          <w:rFonts w:ascii="黑体" w:hAnsi="Times New Roman" w:eastAsia="黑体"/>
          <w:vanish/>
          <w:kern w:val="0"/>
          <w:szCs w:val="20"/>
          <w:highlight w:val="none"/>
        </w:rPr>
      </w:pPr>
    </w:p>
    <w:p w14:paraId="044EFFE9">
      <w:pPr>
        <w:pStyle w:val="240"/>
        <w:widowControl/>
        <w:numPr>
          <w:ilvl w:val="1"/>
          <w:numId w:val="2"/>
        </w:numPr>
        <w:adjustRightInd/>
        <w:spacing w:before="120" w:beforeLines="50" w:after="120" w:afterLines="50" w:line="240" w:lineRule="auto"/>
        <w:ind w:firstLineChars="0"/>
        <w:outlineLvl w:val="0"/>
        <w:rPr>
          <w:rFonts w:ascii="黑体" w:hAnsi="Times New Roman" w:eastAsia="黑体"/>
          <w:vanish/>
          <w:kern w:val="0"/>
          <w:szCs w:val="20"/>
          <w:highlight w:val="none"/>
        </w:rPr>
      </w:pPr>
    </w:p>
    <w:p w14:paraId="65BC4A8F">
      <w:pPr>
        <w:pStyle w:val="240"/>
        <w:widowControl/>
        <w:numPr>
          <w:ilvl w:val="1"/>
          <w:numId w:val="2"/>
        </w:numPr>
        <w:adjustRightInd/>
        <w:spacing w:before="120" w:beforeLines="50" w:after="120" w:afterLines="50" w:line="240" w:lineRule="auto"/>
        <w:ind w:firstLineChars="0"/>
        <w:outlineLvl w:val="0"/>
        <w:rPr>
          <w:rFonts w:ascii="黑体" w:hAnsi="Times New Roman" w:eastAsia="黑体"/>
          <w:vanish/>
          <w:kern w:val="0"/>
          <w:szCs w:val="20"/>
          <w:highlight w:val="none"/>
        </w:rPr>
      </w:pPr>
    </w:p>
    <w:p w14:paraId="038543A4">
      <w:pPr>
        <w:pStyle w:val="240"/>
        <w:widowControl/>
        <w:numPr>
          <w:ilvl w:val="1"/>
          <w:numId w:val="2"/>
        </w:numPr>
        <w:adjustRightInd/>
        <w:spacing w:before="120" w:beforeLines="50" w:after="120" w:afterLines="50" w:line="240" w:lineRule="auto"/>
        <w:ind w:firstLineChars="0"/>
        <w:outlineLvl w:val="0"/>
        <w:rPr>
          <w:rFonts w:ascii="黑体" w:hAnsi="Times New Roman" w:eastAsia="黑体"/>
          <w:vanish/>
          <w:kern w:val="0"/>
          <w:szCs w:val="20"/>
          <w:highlight w:val="none"/>
        </w:rPr>
      </w:pPr>
    </w:p>
    <w:p w14:paraId="2A80AF70">
      <w:pPr>
        <w:pStyle w:val="240"/>
        <w:widowControl/>
        <w:numPr>
          <w:ilvl w:val="1"/>
          <w:numId w:val="2"/>
        </w:numPr>
        <w:adjustRightInd/>
        <w:spacing w:before="120" w:beforeLines="50" w:after="120" w:afterLines="50" w:line="240" w:lineRule="auto"/>
        <w:ind w:firstLineChars="0"/>
        <w:outlineLvl w:val="0"/>
        <w:rPr>
          <w:rFonts w:ascii="黑体" w:hAnsi="Times New Roman" w:eastAsia="黑体"/>
          <w:vanish/>
          <w:kern w:val="0"/>
          <w:szCs w:val="20"/>
          <w:highlight w:val="none"/>
        </w:rPr>
      </w:pPr>
    </w:p>
    <w:p w14:paraId="25D732C2">
      <w:pPr>
        <w:pStyle w:val="240"/>
        <w:widowControl/>
        <w:numPr>
          <w:ilvl w:val="2"/>
          <w:numId w:val="2"/>
        </w:numPr>
        <w:adjustRightInd/>
        <w:spacing w:before="120" w:beforeLines="50" w:after="120" w:afterLines="50" w:line="240" w:lineRule="auto"/>
        <w:ind w:firstLineChars="0"/>
        <w:outlineLvl w:val="1"/>
        <w:rPr>
          <w:rFonts w:ascii="黑体" w:hAnsi="Times New Roman" w:eastAsia="黑体"/>
          <w:vanish/>
          <w:kern w:val="0"/>
          <w:szCs w:val="20"/>
          <w:highlight w:val="none"/>
        </w:rPr>
      </w:pPr>
    </w:p>
    <w:p w14:paraId="4BC2F280">
      <w:pPr>
        <w:pStyle w:val="240"/>
        <w:widowControl/>
        <w:numPr>
          <w:ilvl w:val="2"/>
          <w:numId w:val="2"/>
        </w:numPr>
        <w:adjustRightInd/>
        <w:spacing w:before="120" w:beforeLines="50" w:after="120" w:afterLines="50" w:line="240" w:lineRule="auto"/>
        <w:ind w:firstLineChars="0"/>
        <w:outlineLvl w:val="1"/>
        <w:rPr>
          <w:rFonts w:ascii="黑体" w:hAnsi="Times New Roman" w:eastAsia="黑体"/>
          <w:vanish/>
          <w:kern w:val="0"/>
          <w:szCs w:val="20"/>
          <w:highlight w:val="none"/>
        </w:rPr>
      </w:pPr>
    </w:p>
    <w:p w14:paraId="10DDF0EB">
      <w:pPr>
        <w:pStyle w:val="240"/>
        <w:widowControl/>
        <w:numPr>
          <w:ilvl w:val="2"/>
          <w:numId w:val="2"/>
        </w:numPr>
        <w:adjustRightInd/>
        <w:spacing w:before="120" w:beforeLines="50" w:after="120" w:afterLines="50" w:line="240" w:lineRule="auto"/>
        <w:ind w:firstLineChars="0"/>
        <w:outlineLvl w:val="1"/>
        <w:rPr>
          <w:rFonts w:ascii="黑体" w:hAnsi="Times New Roman" w:eastAsia="黑体"/>
          <w:vanish/>
          <w:kern w:val="0"/>
          <w:szCs w:val="20"/>
          <w:highlight w:val="none"/>
        </w:rPr>
      </w:pPr>
    </w:p>
    <w:p w14:paraId="2D7027BC">
      <w:pPr>
        <w:pStyle w:val="107"/>
        <w:spacing w:before="120" w:after="120"/>
        <w:rPr>
          <w:highlight w:val="none"/>
        </w:rPr>
      </w:pPr>
      <w:bookmarkStart w:id="59" w:name="_Toc13642"/>
      <w:bookmarkStart w:id="60" w:name="_Toc17617"/>
      <w:r>
        <w:rPr>
          <w:rFonts w:hint="eastAsia"/>
          <w:highlight w:val="none"/>
        </w:rPr>
        <w:t>电磁兼容要求</w:t>
      </w:r>
      <w:bookmarkEnd w:id="59"/>
      <w:bookmarkEnd w:id="60"/>
    </w:p>
    <w:p w14:paraId="42B13243">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rPr>
          <w:highlight w:val="none"/>
        </w:rPr>
      </w:pPr>
      <w:r>
        <w:rPr>
          <w:rFonts w:hint="eastAsia"/>
          <w:highlight w:val="none"/>
        </w:rPr>
        <w:t>电磁发射要求</w:t>
      </w:r>
    </w:p>
    <w:p w14:paraId="22E1FB73">
      <w:pPr>
        <w:pStyle w:val="96"/>
        <w:spacing w:before="120" w:after="120"/>
        <w:rPr>
          <w:highlight w:val="none"/>
        </w:rPr>
      </w:pPr>
      <w:r>
        <w:rPr>
          <w:rFonts w:hint="eastAsia"/>
          <w:highlight w:val="none"/>
        </w:rPr>
        <w:t>辐射发射</w:t>
      </w:r>
    </w:p>
    <w:p w14:paraId="52782CB7">
      <w:pPr>
        <w:autoSpaceDE w:val="0"/>
        <w:autoSpaceDN w:val="0"/>
        <w:spacing w:line="240" w:lineRule="auto"/>
        <w:ind w:firstLine="420" w:firstLineChars="200"/>
        <w:rPr>
          <w:rFonts w:ascii="宋体" w:hAnsi="Times New Roman" w:cs="宋体"/>
          <w:highlight w:val="none"/>
        </w:rPr>
      </w:pPr>
      <w:r>
        <w:rPr>
          <w:rFonts w:hint="eastAsia" w:ascii="宋体" w:hAnsi="宋体"/>
          <w:highlight w:val="none"/>
        </w:rPr>
        <w:t>按6.4.2.1进行试验，纯电动客车用电源管理芯片应满足GB/T 46894—2025中表1限值等级I的要求。</w:t>
      </w:r>
    </w:p>
    <w:p w14:paraId="67583C53">
      <w:pPr>
        <w:pStyle w:val="96"/>
        <w:spacing w:before="120" w:after="120"/>
        <w:rPr>
          <w:highlight w:val="none"/>
        </w:rPr>
      </w:pPr>
      <w:r>
        <w:rPr>
          <w:rFonts w:hint="eastAsia"/>
          <w:highlight w:val="none"/>
        </w:rPr>
        <w:t>传导发射</w:t>
      </w:r>
    </w:p>
    <w:p w14:paraId="3F0F1FCF">
      <w:pPr>
        <w:numPr>
          <w:ilvl w:val="255"/>
          <w:numId w:val="0"/>
        </w:numPr>
        <w:autoSpaceDE w:val="0"/>
        <w:autoSpaceDN w:val="0"/>
        <w:spacing w:line="240" w:lineRule="auto"/>
        <w:ind w:firstLine="420" w:firstLineChars="200"/>
        <w:rPr>
          <w:rFonts w:hint="eastAsia" w:ascii="宋体" w:hAnsi="宋体"/>
          <w:highlight w:val="none"/>
        </w:rPr>
      </w:pPr>
      <w:r>
        <w:rPr>
          <w:rFonts w:hint="eastAsia" w:ascii="宋体" w:hAnsi="宋体"/>
          <w:highlight w:val="none"/>
        </w:rPr>
        <w:t>按6.4.2.2进行试验，纯电动客车用电源管理芯片应满足GB/T 46894—2025中表1限值等级I的要求。</w:t>
      </w:r>
    </w:p>
    <w:p w14:paraId="42441201">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rPr>
          <w:highlight w:val="none"/>
        </w:rPr>
      </w:pPr>
      <w:r>
        <w:rPr>
          <w:rFonts w:hint="eastAsia"/>
          <w:highlight w:val="none"/>
        </w:rPr>
        <w:t>电磁抗扰度要求</w:t>
      </w:r>
    </w:p>
    <w:p w14:paraId="487386FB">
      <w:pPr>
        <w:pStyle w:val="96"/>
        <w:spacing w:before="120" w:after="120"/>
        <w:rPr>
          <w:highlight w:val="none"/>
        </w:rPr>
      </w:pPr>
      <w:r>
        <w:rPr>
          <w:rFonts w:hint="eastAsia"/>
          <w:highlight w:val="none"/>
        </w:rPr>
        <w:t>辐射抗扰度</w:t>
      </w:r>
    </w:p>
    <w:p w14:paraId="130E2420">
      <w:pPr>
        <w:numPr>
          <w:ilvl w:val="255"/>
          <w:numId w:val="0"/>
        </w:numPr>
        <w:autoSpaceDE w:val="0"/>
        <w:autoSpaceDN w:val="0"/>
        <w:spacing w:line="240" w:lineRule="auto"/>
        <w:ind w:firstLine="420" w:firstLineChars="200"/>
        <w:rPr>
          <w:rFonts w:hint="eastAsia" w:ascii="宋体" w:hAnsi="宋体" w:cs="宋体"/>
          <w:highlight w:val="none"/>
        </w:rPr>
      </w:pPr>
      <w:r>
        <w:rPr>
          <w:rFonts w:hint="eastAsia" w:ascii="宋体" w:hAnsi="宋体"/>
          <w:highlight w:val="none"/>
        </w:rPr>
        <w:t>按6.4.3.1进行试验</w:t>
      </w:r>
      <w:r>
        <w:rPr>
          <w:rFonts w:hint="eastAsia" w:ascii="宋体" w:hAnsi="宋体" w:cs="宋体"/>
          <w:highlight w:val="none"/>
        </w:rPr>
        <w:t>。试验中和试验后，纯电动客车用电源管理芯片的功能状态等级</w:t>
      </w:r>
      <w:r>
        <w:rPr>
          <w:rFonts w:hint="eastAsia" w:ascii="宋体" w:hAnsi="宋体" w:cs="宋体"/>
          <w:highlight w:val="none"/>
          <w:lang w:val="en-US" w:eastAsia="zh-CN"/>
        </w:rPr>
        <w:t>应</w:t>
      </w:r>
      <w:r>
        <w:rPr>
          <w:rFonts w:hint="eastAsia" w:ascii="宋体" w:hAnsi="宋体" w:cs="宋体"/>
          <w:highlight w:val="none"/>
        </w:rPr>
        <w:t>达到</w:t>
      </w:r>
      <w:r>
        <w:rPr>
          <w:rFonts w:hint="eastAsia" w:ascii="宋体" w:hAnsi="宋体"/>
          <w:highlight w:val="none"/>
        </w:rPr>
        <w:t>GB/T 46894—2025</w:t>
      </w:r>
      <w:r>
        <w:rPr>
          <w:rFonts w:hint="eastAsia" w:ascii="宋体" w:hAnsi="宋体"/>
          <w:color w:val="auto"/>
          <w:highlight w:val="none"/>
        </w:rPr>
        <w:t>附录B的</w:t>
      </w:r>
      <w:r>
        <w:rPr>
          <w:rFonts w:hint="eastAsia" w:ascii="宋体" w:hAnsi="宋体" w:cs="黑体"/>
          <w:highlight w:val="none"/>
        </w:rPr>
        <w:t>等级</w:t>
      </w:r>
      <w:r>
        <w:rPr>
          <w:rFonts w:ascii="宋体" w:hAnsi="宋体" w:cs="黑体"/>
          <w:highlight w:val="none"/>
        </w:rPr>
        <w:t>A</w:t>
      </w:r>
      <w:r>
        <w:rPr>
          <w:rFonts w:ascii="宋体" w:hAnsi="宋体" w:cs="黑体"/>
          <w:sz w:val="11"/>
          <w:szCs w:val="11"/>
          <w:highlight w:val="none"/>
        </w:rPr>
        <w:t>IC</w:t>
      </w:r>
      <w:r>
        <w:rPr>
          <w:rFonts w:hint="eastAsia" w:ascii="宋体" w:hAnsi="宋体" w:cs="宋体"/>
          <w:highlight w:val="none"/>
        </w:rPr>
        <w:t>。</w:t>
      </w:r>
    </w:p>
    <w:p w14:paraId="208CAA68">
      <w:pPr>
        <w:pStyle w:val="96"/>
        <w:spacing w:before="120" w:after="120"/>
        <w:rPr>
          <w:highlight w:val="none"/>
        </w:rPr>
      </w:pPr>
      <w:r>
        <w:rPr>
          <w:rFonts w:hint="eastAsia"/>
          <w:highlight w:val="none"/>
        </w:rPr>
        <w:t>传导抗扰度</w:t>
      </w:r>
    </w:p>
    <w:p w14:paraId="4F7215E5">
      <w:pPr>
        <w:numPr>
          <w:ilvl w:val="255"/>
          <w:numId w:val="0"/>
        </w:numPr>
        <w:autoSpaceDE w:val="0"/>
        <w:autoSpaceDN w:val="0"/>
        <w:spacing w:line="240" w:lineRule="auto"/>
        <w:ind w:firstLine="420" w:firstLineChars="200"/>
        <w:rPr>
          <w:rFonts w:hint="eastAsia" w:ascii="宋体" w:hAnsi="宋体" w:cs="宋体"/>
          <w:highlight w:val="none"/>
        </w:rPr>
      </w:pPr>
      <w:r>
        <w:rPr>
          <w:rFonts w:hint="eastAsia" w:ascii="宋体" w:hAnsi="宋体" w:cs="宋体"/>
          <w:highlight w:val="none"/>
        </w:rPr>
        <w:t>按6.4.3.2进行试验。试验中和试验后，纯电动客车用电源管理芯片功能状态等级</w:t>
      </w:r>
      <w:r>
        <w:rPr>
          <w:rFonts w:hint="eastAsia" w:ascii="宋体" w:hAnsi="宋体" w:cs="宋体"/>
          <w:highlight w:val="none"/>
          <w:lang w:val="en-US" w:eastAsia="zh-CN"/>
        </w:rPr>
        <w:t>应</w:t>
      </w:r>
      <w:r>
        <w:rPr>
          <w:rFonts w:hint="eastAsia" w:ascii="宋体" w:hAnsi="宋体" w:cs="宋体"/>
          <w:highlight w:val="none"/>
        </w:rPr>
        <w:t>达到</w:t>
      </w:r>
      <w:r>
        <w:rPr>
          <w:rFonts w:hint="eastAsia" w:ascii="宋体" w:hAnsi="宋体"/>
          <w:highlight w:val="none"/>
        </w:rPr>
        <w:t>GB/T 46894—2025</w:t>
      </w:r>
      <w:r>
        <w:rPr>
          <w:rFonts w:hint="eastAsia" w:ascii="宋体" w:hAnsi="宋体"/>
          <w:color w:val="auto"/>
          <w:highlight w:val="none"/>
        </w:rPr>
        <w:t>附录B的</w:t>
      </w:r>
      <w:r>
        <w:rPr>
          <w:rFonts w:hint="eastAsia" w:ascii="宋体" w:hAnsi="宋体" w:cs="黑体"/>
          <w:highlight w:val="none"/>
        </w:rPr>
        <w:t>等级</w:t>
      </w:r>
      <w:r>
        <w:rPr>
          <w:rFonts w:ascii="宋体" w:hAnsi="宋体" w:cs="黑体"/>
          <w:highlight w:val="none"/>
        </w:rPr>
        <w:t>A</w:t>
      </w:r>
      <w:r>
        <w:rPr>
          <w:rFonts w:ascii="宋体" w:hAnsi="宋体" w:cs="黑体"/>
          <w:sz w:val="11"/>
          <w:szCs w:val="11"/>
          <w:highlight w:val="none"/>
        </w:rPr>
        <w:t>IC</w:t>
      </w:r>
      <w:r>
        <w:rPr>
          <w:rFonts w:hint="eastAsia" w:ascii="宋体" w:hAnsi="宋体" w:cs="宋体"/>
          <w:highlight w:val="none"/>
        </w:rPr>
        <w:t>。</w:t>
      </w:r>
    </w:p>
    <w:p w14:paraId="66BEE248">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rPr>
          <w:rFonts w:hAnsi="Times New Roman" w:cs="Times New Roman"/>
          <w:highlight w:val="none"/>
        </w:rPr>
      </w:pPr>
      <w:r>
        <w:rPr>
          <w:rFonts w:hint="eastAsia"/>
          <w:highlight w:val="none"/>
        </w:rPr>
        <w:t>脉冲抗扰度</w:t>
      </w:r>
      <w:r>
        <w:rPr>
          <w:rFonts w:hint="eastAsia" w:hAnsi="Times New Roman" w:cs="Times New Roman"/>
          <w:highlight w:val="none"/>
        </w:rPr>
        <w:t xml:space="preserve">要求 </w:t>
      </w:r>
    </w:p>
    <w:p w14:paraId="43FBDA2B">
      <w:pPr>
        <w:autoSpaceDE w:val="0"/>
        <w:autoSpaceDN w:val="0"/>
        <w:spacing w:line="240" w:lineRule="auto"/>
        <w:rPr>
          <w:rFonts w:ascii="宋体" w:hAnsi="Times New Roman" w:cs="宋体"/>
          <w:highlight w:val="none"/>
        </w:rPr>
      </w:pPr>
      <w:r>
        <w:rPr>
          <w:rFonts w:hint="eastAsia" w:ascii="宋体" w:hAnsi="Times New Roman" w:cs="宋体"/>
          <w:highlight w:val="none"/>
        </w:rPr>
        <w:t xml:space="preserve">    纯电动客车用电源管理芯片脉冲抗扰度应满足下列要求。</w:t>
      </w:r>
    </w:p>
    <w:p w14:paraId="2FED80AF">
      <w:pPr>
        <w:widowControl/>
        <w:numPr>
          <w:ilvl w:val="0"/>
          <w:numId w:val="34"/>
        </w:numPr>
        <w:autoSpaceDE w:val="0"/>
        <w:autoSpaceDN w:val="0"/>
        <w:adjustRightInd/>
        <w:spacing w:line="240" w:lineRule="auto"/>
        <w:ind w:left="840" w:leftChars="200" w:hanging="420" w:hangingChars="200"/>
        <w:rPr>
          <w:rFonts w:ascii="宋体" w:hAnsi="Times New Roman" w:cs="宋体"/>
          <w:highlight w:val="none"/>
        </w:rPr>
      </w:pPr>
      <w:r>
        <w:rPr>
          <w:rFonts w:hint="eastAsia" w:ascii="宋体" w:hAnsi="Times New Roman" w:cs="宋体"/>
          <w:highlight w:val="none"/>
        </w:rPr>
        <w:t>按6.4.4进行试验，纯电动客车用电源管理芯片应用于12 V系统脉冲抗扰度的功能状态等级宜满足表9要求。</w:t>
      </w:r>
    </w:p>
    <w:p w14:paraId="456E83FA">
      <w:pPr>
        <w:autoSpaceDE w:val="0"/>
        <w:autoSpaceDN w:val="0"/>
        <w:spacing w:before="120" w:beforeLines="50" w:after="120" w:afterLines="50" w:line="240" w:lineRule="auto"/>
        <w:ind w:firstLine="420" w:firstLineChars="200"/>
        <w:jc w:val="center"/>
        <w:rPr>
          <w:rFonts w:ascii="宋体" w:hAnsi="Times New Roman" w:cs="宋体"/>
          <w:highlight w:val="none"/>
        </w:rPr>
      </w:pPr>
      <w:r>
        <w:rPr>
          <w:rFonts w:hint="eastAsia" w:ascii="黑体" w:hAnsi="黑体" w:eastAsia="黑体" w:cs="黑体"/>
          <w:highlight w:val="none"/>
        </w:rPr>
        <w:t>表 9 纯电动客车用电源管理芯片脉冲抗扰度的功能状态等级（1</w:t>
      </w:r>
      <w:r>
        <w:rPr>
          <w:rFonts w:ascii="黑体" w:hAnsi="黑体" w:eastAsia="黑体" w:cs="黑体"/>
          <w:highlight w:val="none"/>
        </w:rPr>
        <w:t>2</w:t>
      </w:r>
      <w:r>
        <w:rPr>
          <w:rFonts w:hint="eastAsia" w:ascii="黑体" w:hAnsi="黑体" w:eastAsia="黑体" w:cs="黑体"/>
          <w:highlight w:val="none"/>
        </w:rPr>
        <w:t xml:space="preserve"> V系统）</w:t>
      </w:r>
    </w:p>
    <w:tbl>
      <w:tblPr>
        <w:tblStyle w:val="29"/>
        <w:tblW w:w="0" w:type="auto"/>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3813"/>
        <w:gridCol w:w="5026"/>
      </w:tblGrid>
      <w:tr w14:paraId="657662E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7" w:hRule="atLeast"/>
          <w:jc w:val="center"/>
        </w:trPr>
        <w:tc>
          <w:tcPr>
            <w:tcW w:w="3813" w:type="dxa"/>
            <w:tcBorders>
              <w:tl2br w:val="nil"/>
              <w:tr2bl w:val="nil"/>
            </w:tcBorders>
            <w:vAlign w:val="center"/>
          </w:tcPr>
          <w:p w14:paraId="3BC9F5D2">
            <w:pPr>
              <w:spacing w:line="240" w:lineRule="auto"/>
              <w:jc w:val="center"/>
              <w:rPr>
                <w:rFonts w:hint="eastAsia" w:ascii="黑体" w:hAnsi="黑体" w:eastAsia="黑体" w:cs="黑体"/>
                <w:sz w:val="18"/>
                <w:highlight w:val="none"/>
              </w:rPr>
            </w:pPr>
            <w:r>
              <w:rPr>
                <w:rFonts w:hint="eastAsia" w:ascii="宋体" w:hAnsi="宋体" w:cs="宋体"/>
                <w:sz w:val="18"/>
                <w:highlight w:val="none"/>
              </w:rPr>
              <w:t>脉冲</w:t>
            </w:r>
          </w:p>
        </w:tc>
        <w:tc>
          <w:tcPr>
            <w:tcW w:w="5026" w:type="dxa"/>
            <w:tcBorders>
              <w:tl2br w:val="nil"/>
              <w:tr2bl w:val="nil"/>
            </w:tcBorders>
            <w:vAlign w:val="center"/>
          </w:tcPr>
          <w:p w14:paraId="4DE857A0">
            <w:pPr>
              <w:spacing w:line="240" w:lineRule="auto"/>
              <w:jc w:val="center"/>
              <w:rPr>
                <w:rFonts w:hint="eastAsia" w:ascii="黑体" w:hAnsi="黑体" w:eastAsia="黑体" w:cs="黑体"/>
                <w:sz w:val="18"/>
                <w:highlight w:val="none"/>
              </w:rPr>
            </w:pPr>
            <w:r>
              <w:rPr>
                <w:rFonts w:hint="eastAsia" w:ascii="宋体" w:hAnsi="宋体" w:cs="宋体"/>
                <w:sz w:val="18"/>
                <w:highlight w:val="none"/>
              </w:rPr>
              <w:t>功能状态等级</w:t>
            </w:r>
          </w:p>
        </w:tc>
      </w:tr>
      <w:tr w14:paraId="4EC4EDC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3813" w:type="dxa"/>
            <w:tcBorders>
              <w:tl2br w:val="nil"/>
              <w:tr2bl w:val="nil"/>
            </w:tcBorders>
            <w:vAlign w:val="center"/>
          </w:tcPr>
          <w:p w14:paraId="09BD003A">
            <w:pPr>
              <w:spacing w:line="240" w:lineRule="auto"/>
              <w:jc w:val="center"/>
              <w:rPr>
                <w:rFonts w:hint="eastAsia" w:ascii="黑体" w:hAnsi="黑体" w:eastAsia="黑体" w:cs="黑体"/>
                <w:sz w:val="18"/>
                <w:highlight w:val="none"/>
              </w:rPr>
            </w:pPr>
            <w:r>
              <w:rPr>
                <w:rFonts w:hint="eastAsia" w:ascii="宋体" w:hAnsi="宋体" w:cs="宋体"/>
                <w:sz w:val="18"/>
                <w:highlight w:val="none"/>
              </w:rPr>
              <w:t>1</w:t>
            </w:r>
          </w:p>
        </w:tc>
        <w:tc>
          <w:tcPr>
            <w:tcW w:w="5026" w:type="dxa"/>
            <w:tcBorders>
              <w:tl2br w:val="nil"/>
              <w:tr2bl w:val="nil"/>
            </w:tcBorders>
            <w:vAlign w:val="center"/>
          </w:tcPr>
          <w:p w14:paraId="32BE6F69">
            <w:pPr>
              <w:spacing w:line="240" w:lineRule="auto"/>
              <w:jc w:val="center"/>
              <w:rPr>
                <w:rFonts w:hint="eastAsia" w:ascii="宋体" w:hAnsi="宋体" w:cs="宋体"/>
                <w:sz w:val="18"/>
                <w:highlight w:val="none"/>
              </w:rPr>
            </w:pPr>
            <w:r>
              <w:rPr>
                <w:rFonts w:hint="eastAsia" w:ascii="宋体" w:hAnsi="宋体" w:cs="宋体"/>
                <w:sz w:val="18"/>
                <w:highlight w:val="none"/>
              </w:rPr>
              <w:t>C</w:t>
            </w:r>
            <w:r>
              <w:rPr>
                <w:rFonts w:hint="eastAsia" w:ascii="宋体" w:hAnsi="宋体" w:cs="宋体"/>
                <w:sz w:val="18"/>
                <w:highlight w:val="none"/>
                <w:vertAlign w:val="subscript"/>
              </w:rPr>
              <w:t>IC</w:t>
            </w:r>
          </w:p>
        </w:tc>
      </w:tr>
      <w:tr w14:paraId="60D2B59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3813" w:type="dxa"/>
            <w:tcBorders>
              <w:tl2br w:val="nil"/>
              <w:tr2bl w:val="nil"/>
            </w:tcBorders>
            <w:vAlign w:val="center"/>
          </w:tcPr>
          <w:p w14:paraId="73E2D4F0">
            <w:pPr>
              <w:spacing w:line="240" w:lineRule="auto"/>
              <w:jc w:val="center"/>
              <w:rPr>
                <w:rFonts w:hint="eastAsia" w:ascii="宋体" w:hAnsi="宋体" w:cs="宋体"/>
                <w:sz w:val="18"/>
                <w:highlight w:val="none"/>
              </w:rPr>
            </w:pPr>
            <w:r>
              <w:rPr>
                <w:rFonts w:hint="eastAsia" w:ascii="宋体" w:hAnsi="宋体" w:cs="宋体"/>
                <w:sz w:val="18"/>
                <w:highlight w:val="none"/>
              </w:rPr>
              <w:t>2</w:t>
            </w:r>
            <w:r>
              <w:rPr>
                <w:rFonts w:ascii="宋体" w:hAnsi="宋体" w:cs="宋体"/>
                <w:sz w:val="18"/>
                <w:highlight w:val="none"/>
              </w:rPr>
              <w:t>a</w:t>
            </w:r>
          </w:p>
        </w:tc>
        <w:tc>
          <w:tcPr>
            <w:tcW w:w="5026" w:type="dxa"/>
            <w:tcBorders>
              <w:tl2br w:val="nil"/>
              <w:tr2bl w:val="nil"/>
            </w:tcBorders>
            <w:vAlign w:val="center"/>
          </w:tcPr>
          <w:p w14:paraId="600FFFBC">
            <w:pPr>
              <w:spacing w:line="240" w:lineRule="auto"/>
              <w:jc w:val="center"/>
              <w:rPr>
                <w:rFonts w:hint="eastAsia" w:ascii="宋体" w:hAnsi="宋体" w:cs="宋体"/>
                <w:sz w:val="18"/>
                <w:highlight w:val="none"/>
              </w:rPr>
            </w:pPr>
            <w:r>
              <w:rPr>
                <w:rFonts w:hint="eastAsia" w:ascii="宋体" w:hAnsi="宋体" w:cs="宋体"/>
                <w:sz w:val="18"/>
                <w:highlight w:val="none"/>
              </w:rPr>
              <w:t>C</w:t>
            </w:r>
            <w:r>
              <w:rPr>
                <w:rFonts w:hint="eastAsia" w:ascii="宋体" w:hAnsi="宋体" w:cs="宋体"/>
                <w:sz w:val="18"/>
                <w:highlight w:val="none"/>
                <w:vertAlign w:val="subscript"/>
              </w:rPr>
              <w:t>IC</w:t>
            </w:r>
          </w:p>
        </w:tc>
      </w:tr>
      <w:tr w14:paraId="7DC2E2F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02" w:hRule="atLeast"/>
          <w:jc w:val="center"/>
        </w:trPr>
        <w:tc>
          <w:tcPr>
            <w:tcW w:w="3813" w:type="dxa"/>
            <w:tcBorders>
              <w:tl2br w:val="nil"/>
              <w:tr2bl w:val="nil"/>
            </w:tcBorders>
            <w:vAlign w:val="center"/>
          </w:tcPr>
          <w:p w14:paraId="0E8C9FEC">
            <w:pPr>
              <w:spacing w:line="240" w:lineRule="auto"/>
              <w:jc w:val="center"/>
              <w:rPr>
                <w:rFonts w:hint="eastAsia" w:ascii="宋体" w:hAnsi="宋体" w:cs="宋体"/>
                <w:sz w:val="18"/>
                <w:highlight w:val="none"/>
              </w:rPr>
            </w:pPr>
            <w:r>
              <w:rPr>
                <w:rFonts w:hint="eastAsia" w:ascii="宋体" w:hAnsi="宋体" w:cs="宋体"/>
                <w:sz w:val="18"/>
                <w:highlight w:val="none"/>
              </w:rPr>
              <w:t>3</w:t>
            </w:r>
            <w:r>
              <w:rPr>
                <w:rFonts w:ascii="宋体" w:hAnsi="宋体" w:cs="宋体"/>
                <w:sz w:val="18"/>
                <w:highlight w:val="none"/>
              </w:rPr>
              <w:t>a</w:t>
            </w:r>
          </w:p>
        </w:tc>
        <w:tc>
          <w:tcPr>
            <w:tcW w:w="5026" w:type="dxa"/>
            <w:tcBorders>
              <w:tl2br w:val="nil"/>
              <w:tr2bl w:val="nil"/>
            </w:tcBorders>
            <w:vAlign w:val="center"/>
          </w:tcPr>
          <w:p w14:paraId="43DFDA34">
            <w:pPr>
              <w:spacing w:line="240" w:lineRule="auto"/>
              <w:jc w:val="center"/>
              <w:rPr>
                <w:rFonts w:hint="eastAsia" w:ascii="宋体" w:hAnsi="宋体" w:cs="宋体"/>
                <w:sz w:val="18"/>
                <w:highlight w:val="none"/>
              </w:rPr>
            </w:pPr>
            <w:r>
              <w:rPr>
                <w:rFonts w:hint="eastAsia" w:ascii="宋体" w:hAnsi="宋体" w:cs="宋体"/>
                <w:sz w:val="18"/>
                <w:highlight w:val="none"/>
              </w:rPr>
              <w:t>A</w:t>
            </w:r>
            <w:r>
              <w:rPr>
                <w:rFonts w:hint="eastAsia" w:ascii="宋体" w:hAnsi="宋体" w:cs="宋体"/>
                <w:sz w:val="18"/>
                <w:highlight w:val="none"/>
                <w:vertAlign w:val="subscript"/>
              </w:rPr>
              <w:t>IC</w:t>
            </w:r>
          </w:p>
        </w:tc>
      </w:tr>
      <w:tr w14:paraId="5C78762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70" w:hRule="atLeast"/>
          <w:jc w:val="center"/>
        </w:trPr>
        <w:tc>
          <w:tcPr>
            <w:tcW w:w="3813" w:type="dxa"/>
            <w:tcBorders>
              <w:tl2br w:val="nil"/>
              <w:tr2bl w:val="nil"/>
            </w:tcBorders>
            <w:vAlign w:val="center"/>
          </w:tcPr>
          <w:p w14:paraId="38892087">
            <w:pPr>
              <w:spacing w:line="240" w:lineRule="auto"/>
              <w:jc w:val="center"/>
              <w:rPr>
                <w:rFonts w:hint="eastAsia" w:ascii="宋体" w:hAnsi="宋体" w:cs="宋体"/>
                <w:sz w:val="18"/>
                <w:highlight w:val="none"/>
              </w:rPr>
            </w:pPr>
            <w:r>
              <w:rPr>
                <w:rFonts w:hint="eastAsia" w:ascii="宋体" w:hAnsi="宋体" w:cs="宋体"/>
                <w:sz w:val="18"/>
                <w:highlight w:val="none"/>
              </w:rPr>
              <w:t>3</w:t>
            </w:r>
            <w:r>
              <w:rPr>
                <w:rFonts w:ascii="宋体" w:hAnsi="宋体" w:cs="宋体"/>
                <w:sz w:val="18"/>
                <w:highlight w:val="none"/>
              </w:rPr>
              <w:t>b</w:t>
            </w:r>
          </w:p>
        </w:tc>
        <w:tc>
          <w:tcPr>
            <w:tcW w:w="5026" w:type="dxa"/>
            <w:tcBorders>
              <w:tl2br w:val="nil"/>
              <w:tr2bl w:val="nil"/>
            </w:tcBorders>
            <w:vAlign w:val="center"/>
          </w:tcPr>
          <w:p w14:paraId="7FB1A0F3">
            <w:pPr>
              <w:spacing w:line="240" w:lineRule="auto"/>
              <w:jc w:val="center"/>
              <w:rPr>
                <w:rFonts w:hint="eastAsia" w:ascii="宋体" w:hAnsi="宋体" w:cs="宋体"/>
                <w:sz w:val="18"/>
                <w:highlight w:val="none"/>
              </w:rPr>
            </w:pPr>
            <w:r>
              <w:rPr>
                <w:rFonts w:hint="eastAsia" w:ascii="宋体" w:hAnsi="宋体" w:cs="宋体"/>
                <w:sz w:val="18"/>
                <w:highlight w:val="none"/>
              </w:rPr>
              <w:t>A</w:t>
            </w:r>
            <w:r>
              <w:rPr>
                <w:rFonts w:hint="eastAsia" w:ascii="宋体" w:hAnsi="宋体" w:cs="宋体"/>
                <w:sz w:val="18"/>
                <w:highlight w:val="none"/>
                <w:vertAlign w:val="subscript"/>
              </w:rPr>
              <w:t>IC</w:t>
            </w:r>
          </w:p>
        </w:tc>
      </w:tr>
    </w:tbl>
    <w:p w14:paraId="145A6568">
      <w:pPr>
        <w:widowControl/>
        <w:numPr>
          <w:ilvl w:val="0"/>
          <w:numId w:val="34"/>
        </w:numPr>
        <w:autoSpaceDE w:val="0"/>
        <w:autoSpaceDN w:val="0"/>
        <w:adjustRightInd/>
        <w:spacing w:before="60" w:beforeLines="25" w:line="240" w:lineRule="auto"/>
        <w:ind w:left="840" w:leftChars="200" w:hanging="420" w:hangingChars="200"/>
        <w:rPr>
          <w:rFonts w:ascii="宋体" w:hAnsi="Times New Roman" w:cs="宋体"/>
          <w:highlight w:val="none"/>
        </w:rPr>
      </w:pPr>
      <w:r>
        <w:rPr>
          <w:rFonts w:hint="eastAsia" w:ascii="宋体" w:hAnsi="Times New Roman" w:cs="宋体"/>
          <w:highlight w:val="none"/>
        </w:rPr>
        <w:t>按6.5.4进行试验，纯电动客车用电源管理芯片应用于24 V系统的功能状态等级宜满足表10要求。</w:t>
      </w:r>
    </w:p>
    <w:p w14:paraId="6AF0FE13">
      <w:pPr>
        <w:widowControl/>
        <w:autoSpaceDE w:val="0"/>
        <w:autoSpaceDN w:val="0"/>
        <w:adjustRightInd/>
        <w:spacing w:before="120" w:beforeLines="50" w:after="120" w:afterLines="50" w:line="240" w:lineRule="auto"/>
        <w:ind w:firstLine="420" w:firstLineChars="200"/>
        <w:jc w:val="center"/>
        <w:rPr>
          <w:rFonts w:hint="eastAsia" w:ascii="黑体" w:hAnsi="黑体" w:eastAsia="黑体" w:cs="黑体"/>
          <w:highlight w:val="none"/>
        </w:rPr>
      </w:pPr>
      <w:r>
        <w:rPr>
          <w:rFonts w:hint="eastAsia" w:ascii="黑体" w:hAnsi="黑体" w:eastAsia="黑体" w:cs="黑体"/>
          <w:highlight w:val="none"/>
        </w:rPr>
        <w:t>表10 纯电动客车用电源管理芯片脉冲抗扰度的功能状态等级（</w:t>
      </w:r>
      <w:r>
        <w:rPr>
          <w:rFonts w:ascii="黑体" w:hAnsi="黑体" w:eastAsia="黑体" w:cs="黑体"/>
          <w:highlight w:val="none"/>
        </w:rPr>
        <w:t>24</w:t>
      </w:r>
      <w:r>
        <w:rPr>
          <w:rFonts w:hint="eastAsia" w:ascii="黑体" w:hAnsi="黑体" w:eastAsia="黑体" w:cs="黑体"/>
          <w:highlight w:val="none"/>
        </w:rPr>
        <w:t xml:space="preserve"> V系统）</w:t>
      </w:r>
    </w:p>
    <w:tbl>
      <w:tblPr>
        <w:tblStyle w:val="29"/>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490"/>
        <w:gridCol w:w="4490"/>
      </w:tblGrid>
      <w:tr w14:paraId="350289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4490" w:type="dxa"/>
            <w:tcBorders>
              <w:tl2br w:val="nil"/>
              <w:tr2bl w:val="nil"/>
            </w:tcBorders>
            <w:vAlign w:val="center"/>
          </w:tcPr>
          <w:p w14:paraId="3A50210E">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脉冲</w:t>
            </w:r>
          </w:p>
        </w:tc>
        <w:tc>
          <w:tcPr>
            <w:tcW w:w="4490" w:type="dxa"/>
            <w:tcBorders>
              <w:tl2br w:val="nil"/>
              <w:tr2bl w:val="nil"/>
            </w:tcBorders>
            <w:vAlign w:val="center"/>
          </w:tcPr>
          <w:p w14:paraId="2F10DD32">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功能状态等级</w:t>
            </w:r>
          </w:p>
        </w:tc>
      </w:tr>
      <w:tr w14:paraId="10BE37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4490" w:type="dxa"/>
            <w:tcBorders>
              <w:tl2br w:val="nil"/>
              <w:tr2bl w:val="nil"/>
            </w:tcBorders>
            <w:vAlign w:val="center"/>
          </w:tcPr>
          <w:p w14:paraId="3D527E4A">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1</w:t>
            </w:r>
          </w:p>
        </w:tc>
        <w:tc>
          <w:tcPr>
            <w:tcW w:w="4490" w:type="dxa"/>
            <w:tcBorders>
              <w:tl2br w:val="nil"/>
              <w:tr2bl w:val="nil"/>
            </w:tcBorders>
            <w:vAlign w:val="center"/>
          </w:tcPr>
          <w:p w14:paraId="20C3C08A">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C</w:t>
            </w:r>
            <w:r>
              <w:rPr>
                <w:rFonts w:hint="eastAsia" w:ascii="宋体" w:hAnsi="宋体" w:cs="宋体"/>
                <w:sz w:val="18"/>
                <w:szCs w:val="18"/>
                <w:highlight w:val="none"/>
                <w:vertAlign w:val="subscript"/>
              </w:rPr>
              <w:t>IC</w:t>
            </w:r>
          </w:p>
        </w:tc>
      </w:tr>
      <w:tr w14:paraId="0E8F20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4490" w:type="dxa"/>
            <w:tcBorders>
              <w:tl2br w:val="nil"/>
              <w:tr2bl w:val="nil"/>
            </w:tcBorders>
            <w:vAlign w:val="center"/>
          </w:tcPr>
          <w:p w14:paraId="6C74C8CD">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2a</w:t>
            </w:r>
          </w:p>
        </w:tc>
        <w:tc>
          <w:tcPr>
            <w:tcW w:w="4490" w:type="dxa"/>
            <w:tcBorders>
              <w:tl2br w:val="nil"/>
              <w:tr2bl w:val="nil"/>
            </w:tcBorders>
            <w:vAlign w:val="center"/>
          </w:tcPr>
          <w:p w14:paraId="57485FC6">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C</w:t>
            </w:r>
            <w:r>
              <w:rPr>
                <w:rFonts w:hint="eastAsia" w:ascii="宋体" w:hAnsi="宋体" w:cs="宋体"/>
                <w:sz w:val="18"/>
                <w:szCs w:val="18"/>
                <w:highlight w:val="none"/>
                <w:vertAlign w:val="subscript"/>
              </w:rPr>
              <w:t>IC</w:t>
            </w:r>
          </w:p>
        </w:tc>
      </w:tr>
      <w:tr w14:paraId="59330E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4490" w:type="dxa"/>
            <w:tcBorders>
              <w:tl2br w:val="nil"/>
              <w:tr2bl w:val="nil"/>
            </w:tcBorders>
            <w:vAlign w:val="center"/>
          </w:tcPr>
          <w:p w14:paraId="23D116E4">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3a</w:t>
            </w:r>
          </w:p>
        </w:tc>
        <w:tc>
          <w:tcPr>
            <w:tcW w:w="4490" w:type="dxa"/>
            <w:tcBorders>
              <w:tl2br w:val="nil"/>
              <w:tr2bl w:val="nil"/>
            </w:tcBorders>
            <w:vAlign w:val="center"/>
          </w:tcPr>
          <w:p w14:paraId="2767EE70">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A</w:t>
            </w:r>
            <w:r>
              <w:rPr>
                <w:rFonts w:hint="eastAsia" w:ascii="宋体" w:hAnsi="宋体" w:cs="宋体"/>
                <w:sz w:val="18"/>
                <w:szCs w:val="18"/>
                <w:highlight w:val="none"/>
                <w:vertAlign w:val="subscript"/>
              </w:rPr>
              <w:t>IC</w:t>
            </w:r>
          </w:p>
        </w:tc>
      </w:tr>
      <w:tr w14:paraId="5A8E23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4490" w:type="dxa"/>
            <w:tcBorders>
              <w:tl2br w:val="nil"/>
              <w:tr2bl w:val="nil"/>
            </w:tcBorders>
            <w:vAlign w:val="center"/>
          </w:tcPr>
          <w:p w14:paraId="16C835A9">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3b</w:t>
            </w:r>
          </w:p>
        </w:tc>
        <w:tc>
          <w:tcPr>
            <w:tcW w:w="4490" w:type="dxa"/>
            <w:tcBorders>
              <w:tl2br w:val="nil"/>
              <w:tr2bl w:val="nil"/>
            </w:tcBorders>
            <w:vAlign w:val="center"/>
          </w:tcPr>
          <w:p w14:paraId="19BF4A32">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A</w:t>
            </w:r>
            <w:r>
              <w:rPr>
                <w:rFonts w:hint="eastAsia" w:ascii="宋体" w:hAnsi="宋体" w:cs="宋体"/>
                <w:sz w:val="18"/>
                <w:szCs w:val="18"/>
                <w:highlight w:val="none"/>
                <w:vertAlign w:val="subscript"/>
              </w:rPr>
              <w:t>IC</w:t>
            </w:r>
          </w:p>
        </w:tc>
      </w:tr>
    </w:tbl>
    <w:p w14:paraId="19FB7094">
      <w:pPr>
        <w:pStyle w:val="67"/>
        <w:spacing w:before="120" w:after="120"/>
        <w:rPr>
          <w:highlight w:val="none"/>
        </w:rPr>
      </w:pPr>
      <w:r>
        <w:rPr>
          <w:rFonts w:hint="eastAsia"/>
          <w:highlight w:val="none"/>
        </w:rPr>
        <w:t>系统级ESD要求</w:t>
      </w:r>
    </w:p>
    <w:p w14:paraId="5E1A913D">
      <w:pPr>
        <w:autoSpaceDE w:val="0"/>
        <w:autoSpaceDN w:val="0"/>
        <w:spacing w:line="240" w:lineRule="auto"/>
        <w:ind w:firstLine="420" w:firstLineChars="200"/>
        <w:rPr>
          <w:rFonts w:ascii="宋体" w:hAnsi="Times New Roman" w:cs="宋体"/>
          <w:strike/>
          <w:color w:val="auto"/>
          <w:highlight w:val="none"/>
        </w:rPr>
      </w:pPr>
      <w:r>
        <w:rPr>
          <w:rFonts w:hint="eastAsia" w:ascii="宋体" w:hAnsi="Times New Roman" w:cs="宋体"/>
          <w:color w:val="auto"/>
          <w:highlight w:val="none"/>
        </w:rPr>
        <w:t>按照6.4.</w:t>
      </w:r>
      <w:r>
        <w:rPr>
          <w:rFonts w:ascii="宋体" w:hAnsi="Times New Roman" w:cs="宋体"/>
          <w:color w:val="auto"/>
          <w:highlight w:val="none"/>
        </w:rPr>
        <w:t>5</w:t>
      </w:r>
      <w:r>
        <w:rPr>
          <w:rFonts w:hint="eastAsia" w:ascii="宋体" w:hAnsi="Times New Roman" w:cs="宋体"/>
          <w:color w:val="auto"/>
          <w:highlight w:val="none"/>
        </w:rPr>
        <w:t>进行试验，</w:t>
      </w:r>
      <w:r>
        <w:rPr>
          <w:rFonts w:hint="eastAsia" w:ascii="宋体" w:hAnsi="宋体"/>
          <w:color w:val="auto"/>
          <w:highlight w:val="none"/>
        </w:rPr>
        <w:t>纯电动客车用电源管理芯片</w:t>
      </w:r>
      <w:r>
        <w:rPr>
          <w:rFonts w:ascii="宋体" w:hAnsi="宋体"/>
          <w:color w:val="auto"/>
          <w:highlight w:val="none"/>
        </w:rPr>
        <w:t>试验等级</w:t>
      </w:r>
      <w:r>
        <w:rPr>
          <w:rFonts w:hint="eastAsia" w:ascii="宋体" w:hAnsi="宋体" w:cs="宋体"/>
          <w:color w:val="auto"/>
          <w:highlight w:val="none"/>
        </w:rPr>
        <w:t>宜达到</w:t>
      </w:r>
      <w:r>
        <w:rPr>
          <w:rFonts w:hint="eastAsia" w:ascii="宋体" w:hAnsi="宋体"/>
          <w:color w:val="auto"/>
          <w:highlight w:val="none"/>
        </w:rPr>
        <w:t>GB/T 46894—2025表5的</w:t>
      </w:r>
      <w:r>
        <w:rPr>
          <w:rFonts w:hint="eastAsia" w:ascii="宋体" w:hAnsi="宋体" w:cs="黑体"/>
          <w:color w:val="auto"/>
          <w:highlight w:val="none"/>
        </w:rPr>
        <w:t>等级</w:t>
      </w:r>
      <w:r>
        <w:rPr>
          <w:rFonts w:ascii="宋体" w:hAnsi="宋体" w:cs="黑体"/>
          <w:color w:val="auto"/>
          <w:highlight w:val="none"/>
        </w:rPr>
        <w:t>Ⅲ</w:t>
      </w:r>
      <w:r>
        <w:rPr>
          <w:rFonts w:hint="eastAsia" w:ascii="宋体" w:hAnsi="宋体" w:cs="黑体"/>
          <w:color w:val="auto"/>
          <w:highlight w:val="none"/>
        </w:rPr>
        <w:t>要求，试验ESD电平为6</w:t>
      </w:r>
      <w:r>
        <w:rPr>
          <w:rFonts w:hint="eastAsia" w:ascii="宋体" w:hAnsi="宋体" w:cs="黑体"/>
          <w:color w:val="auto"/>
          <w:highlight w:val="none"/>
          <w:lang w:val="en-US" w:eastAsia="zh-CN"/>
        </w:rPr>
        <w:t xml:space="preserve"> k</w:t>
      </w:r>
      <w:r>
        <w:rPr>
          <w:rFonts w:hint="eastAsia" w:ascii="宋体" w:hAnsi="宋体" w:cs="黑体"/>
          <w:color w:val="auto"/>
          <w:highlight w:val="none"/>
        </w:rPr>
        <w:t>V。</w:t>
      </w:r>
    </w:p>
    <w:p w14:paraId="3C42C932">
      <w:pPr>
        <w:pStyle w:val="107"/>
        <w:spacing w:before="120" w:after="120"/>
        <w:rPr>
          <w:highlight w:val="none"/>
        </w:rPr>
      </w:pPr>
      <w:bookmarkStart w:id="61" w:name="_Toc24414"/>
      <w:bookmarkStart w:id="62" w:name="_Toc29696"/>
      <w:bookmarkStart w:id="63" w:name="_Toc9528"/>
      <w:bookmarkStart w:id="64" w:name="_Toc4432"/>
      <w:r>
        <w:rPr>
          <w:rFonts w:hint="eastAsia"/>
          <w:highlight w:val="none"/>
        </w:rPr>
        <w:t>功能安全</w:t>
      </w:r>
      <w:bookmarkEnd w:id="61"/>
      <w:r>
        <w:rPr>
          <w:rFonts w:hint="eastAsia"/>
          <w:highlight w:val="none"/>
        </w:rPr>
        <w:t>要求</w:t>
      </w:r>
      <w:bookmarkEnd w:id="62"/>
      <w:bookmarkEnd w:id="63"/>
      <w:bookmarkEnd w:id="64"/>
    </w:p>
    <w:p w14:paraId="692D5C8D">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rPr>
          <w:highlight w:val="none"/>
        </w:rPr>
      </w:pPr>
      <w:r>
        <w:rPr>
          <w:rFonts w:hint="eastAsia"/>
          <w:highlight w:val="none"/>
        </w:rPr>
        <w:t>一般要求</w:t>
      </w:r>
    </w:p>
    <w:p w14:paraId="0C4481D1">
      <w:pPr>
        <w:numPr>
          <w:ilvl w:val="3"/>
          <w:numId w:val="2"/>
        </w:numPr>
        <w:adjustRightInd/>
        <w:spacing w:before="120" w:beforeLines="50" w:after="120" w:afterLines="50" w:line="240" w:lineRule="auto"/>
        <w:ind w:firstLine="420"/>
        <w:outlineLvl w:val="2"/>
        <w:rPr>
          <w:rFonts w:hint="eastAsia" w:ascii="黑体" w:hAnsi="黑体" w:eastAsia="黑体" w:cs="黑体"/>
          <w:vanish/>
          <w:kern w:val="0"/>
          <w:szCs w:val="20"/>
          <w:highlight w:val="none"/>
        </w:rPr>
      </w:pPr>
    </w:p>
    <w:p w14:paraId="3B34D451">
      <w:pPr>
        <w:pStyle w:val="96"/>
        <w:keepNext w:val="0"/>
        <w:keepLines w:val="0"/>
        <w:pageBreakBefore w:val="0"/>
        <w:widowControl/>
        <w:numPr>
          <w:ilvl w:val="4"/>
          <w:numId w:val="0"/>
        </w:numPr>
        <w:kinsoku/>
        <w:wordWrap/>
        <w:overflowPunct/>
        <w:topLinePunct w:val="0"/>
        <w:autoSpaceDE/>
        <w:autoSpaceDN/>
        <w:bidi w:val="0"/>
        <w:adjustRightInd/>
        <w:snapToGrid/>
        <w:spacing w:before="157" w:beforeLines="50" w:after="157" w:afterLines="50"/>
        <w:ind w:leftChars="0"/>
        <w:textAlignment w:val="auto"/>
        <w:rPr>
          <w:highlight w:val="none"/>
        </w:rPr>
      </w:pPr>
      <w:r>
        <w:rPr>
          <w:rFonts w:hint="eastAsia"/>
          <w:highlight w:val="none"/>
          <w:lang w:val="en-US" w:eastAsia="zh-CN"/>
        </w:rPr>
        <w:t xml:space="preserve">5.5.1.1  </w:t>
      </w:r>
      <w:r>
        <w:rPr>
          <w:rFonts w:hint="eastAsia"/>
          <w:highlight w:val="none"/>
        </w:rPr>
        <w:t>开发流程要求</w:t>
      </w:r>
    </w:p>
    <w:p w14:paraId="74C1F366">
      <w:pPr>
        <w:spacing w:line="240" w:lineRule="auto"/>
        <w:ind w:firstLine="420" w:firstLineChars="200"/>
        <w:rPr>
          <w:rFonts w:hint="eastAsia" w:ascii="宋体" w:hAnsi="宋体" w:cs="宋体"/>
          <w:highlight w:val="none"/>
        </w:rPr>
      </w:pPr>
      <w:r>
        <w:rPr>
          <w:rFonts w:hint="eastAsia" w:ascii="宋体" w:hAnsi="宋体" w:cs="宋体"/>
          <w:highlight w:val="none"/>
        </w:rPr>
        <w:t>纯电动客车用电源管理芯片功能安全</w:t>
      </w:r>
      <w:r>
        <w:rPr>
          <w:rFonts w:hint="eastAsia" w:ascii="宋体" w:hAnsi="宋体" w:cs="宋体"/>
          <w:highlight w:val="none"/>
          <w:lang w:val="zh-CN"/>
        </w:rPr>
        <w:t>开发流程包含但不限于合理有效的安全分析，设定严格的验证计划，采用分层设计原则，精确的接口定义，避免组件和接口不必要的复杂性，可维护性和可验证性之类的设计原则等。</w:t>
      </w:r>
      <w:r>
        <w:rPr>
          <w:rFonts w:hint="eastAsia" w:ascii="宋体" w:hAnsi="宋体" w:cs="宋体"/>
          <w:highlight w:val="none"/>
        </w:rPr>
        <w:t>如无特殊情况，纯电动客车用电源管理芯片的功能安全开发流程应符合GB/T 34590.2—2022、GB/T 34590.4—2022、GB/T 34590.5—2022、GB/T 34590.6—2022、GB/T 34590.7—2022、GB/T 34590.8—2022、GB/T 34590.9—2022</w:t>
      </w:r>
      <w:r>
        <w:rPr>
          <w:rFonts w:hint="eastAsia" w:ascii="宋体" w:hAnsi="宋体" w:cs="宋体"/>
          <w:highlight w:val="none"/>
          <w:lang w:eastAsia="zh-CN"/>
        </w:rPr>
        <w:t>、GB/T 34590.10—2022</w:t>
      </w:r>
      <w:r>
        <w:rPr>
          <w:rFonts w:hint="eastAsia" w:ascii="宋体" w:hAnsi="宋体" w:cs="宋体"/>
          <w:highlight w:val="none"/>
        </w:rPr>
        <w:t>和GB/T 34590.11—2022的适用要求。</w:t>
      </w:r>
    </w:p>
    <w:p w14:paraId="4FA3974D">
      <w:pPr>
        <w:pStyle w:val="96"/>
        <w:numPr>
          <w:ilvl w:val="4"/>
          <w:numId w:val="0"/>
        </w:numPr>
        <w:spacing w:before="120" w:after="120"/>
        <w:ind w:leftChars="0"/>
        <w:rPr>
          <w:highlight w:val="none"/>
        </w:rPr>
      </w:pPr>
      <w:r>
        <w:rPr>
          <w:rFonts w:hint="eastAsia"/>
          <w:highlight w:val="none"/>
          <w:lang w:val="en-US" w:eastAsia="zh-CN"/>
        </w:rPr>
        <w:t xml:space="preserve">5.5.1.2  </w:t>
      </w:r>
      <w:r>
        <w:rPr>
          <w:rFonts w:hint="eastAsia"/>
          <w:highlight w:val="none"/>
        </w:rPr>
        <w:t>功能安全需求来源要求</w:t>
      </w:r>
    </w:p>
    <w:p w14:paraId="51F03991">
      <w:pPr>
        <w:spacing w:line="240" w:lineRule="auto"/>
        <w:ind w:firstLine="420" w:firstLineChars="200"/>
        <w:rPr>
          <w:highlight w:val="none"/>
        </w:rPr>
      </w:pPr>
      <w:r>
        <w:rPr>
          <w:rFonts w:hint="eastAsia"/>
          <w:highlight w:val="none"/>
        </w:rPr>
        <w:t>纯电动客车用电源管理芯片的功能安全需求通常来源于下列两方面：</w:t>
      </w:r>
    </w:p>
    <w:p w14:paraId="07DD4C4A">
      <w:pPr>
        <w:numPr>
          <w:ilvl w:val="0"/>
          <w:numId w:val="35"/>
        </w:numPr>
        <w:spacing w:line="240" w:lineRule="auto"/>
        <w:ind w:left="840" w:leftChars="200" w:hanging="420" w:hangingChars="200"/>
        <w:rPr>
          <w:rFonts w:hint="eastAsia" w:ascii="宋体" w:hAnsi="宋体" w:cs="宋体"/>
          <w:highlight w:val="none"/>
        </w:rPr>
      </w:pPr>
      <w:r>
        <w:rPr>
          <w:rFonts w:hint="eastAsia" w:ascii="宋体" w:hAnsi="宋体" w:cs="宋体"/>
          <w:highlight w:val="none"/>
        </w:rPr>
        <w:t>基于电源管理芯片的安全需求推导得到纯电动客车用电源管理芯片的功能安全需求；</w:t>
      </w:r>
    </w:p>
    <w:p w14:paraId="4FC479D7">
      <w:pPr>
        <w:numPr>
          <w:ilvl w:val="0"/>
          <w:numId w:val="35"/>
        </w:numPr>
        <w:spacing w:line="240" w:lineRule="auto"/>
        <w:ind w:left="840" w:leftChars="200" w:hanging="420" w:hangingChars="200"/>
        <w:rPr>
          <w:highlight w:val="none"/>
        </w:rPr>
      </w:pPr>
      <w:r>
        <w:rPr>
          <w:rFonts w:hint="eastAsia" w:ascii="宋体" w:hAnsi="宋体" w:cs="宋体"/>
          <w:highlight w:val="none"/>
        </w:rPr>
        <w:t>基于</w:t>
      </w:r>
      <w:r>
        <w:rPr>
          <w:rFonts w:hint="eastAsia" w:ascii="宋体" w:hAnsi="宋体" w:cs="宋体"/>
          <w:highlight w:val="none"/>
          <w:shd w:val="clear" w:color="auto" w:fill="FFFFFF"/>
        </w:rPr>
        <w:t>预期功能和使用场景(包括外部接口)假设开发的独立于环境的安全要素（</w:t>
      </w:r>
      <w:r>
        <w:rPr>
          <w:rFonts w:hint="eastAsia" w:ascii="宋体" w:hAnsi="宋体" w:cs="宋体"/>
          <w:highlight w:val="none"/>
        </w:rPr>
        <w:t>SEooC</w:t>
      </w:r>
      <w:r>
        <w:rPr>
          <w:rFonts w:hint="eastAsia" w:ascii="宋体" w:hAnsi="宋体" w:cs="宋体"/>
          <w:highlight w:val="none"/>
          <w:shd w:val="clear" w:color="auto" w:fill="FFFFFF"/>
        </w:rPr>
        <w:t>）</w:t>
      </w:r>
      <w:r>
        <w:rPr>
          <w:rFonts w:hint="eastAsia" w:ascii="宋体" w:hAnsi="宋体" w:cs="宋体"/>
          <w:highlight w:val="none"/>
        </w:rPr>
        <w:t>模式，得到纯电动客车用电源管理芯片的功能安全需求。纯电动客车用电源管理芯片设计无特定相关项时，通常采用SEooC模式。</w:t>
      </w:r>
    </w:p>
    <w:p w14:paraId="59092337">
      <w:pPr>
        <w:pStyle w:val="67"/>
        <w:keepNext w:val="0"/>
        <w:keepLines w:val="0"/>
        <w:pageBreakBefore w:val="0"/>
        <w:widowControl w:val="0"/>
        <w:numPr>
          <w:ilvl w:val="3"/>
          <w:numId w:val="0"/>
        </w:numPr>
        <w:kinsoku/>
        <w:wordWrap/>
        <w:overflowPunct/>
        <w:topLinePunct w:val="0"/>
        <w:autoSpaceDE/>
        <w:autoSpaceDN/>
        <w:bidi w:val="0"/>
        <w:adjustRightInd/>
        <w:snapToGrid/>
        <w:spacing w:before="120" w:after="120"/>
        <w:ind w:leftChars="0"/>
        <w:textAlignment w:val="auto"/>
        <w:rPr>
          <w:rFonts w:hint="eastAsia" w:hAnsi="Times New Roman" w:cs="Times New Roman"/>
          <w:highlight w:val="none"/>
        </w:rPr>
      </w:pPr>
      <w:r>
        <w:rPr>
          <w:rFonts w:hint="eastAsia" w:hAnsi="Times New Roman" w:cs="Times New Roman"/>
          <w:highlight w:val="none"/>
          <w:lang w:val="en-US" w:eastAsia="zh-CN"/>
        </w:rPr>
        <w:t xml:space="preserve">5.5.2  </w:t>
      </w:r>
      <w:r>
        <w:rPr>
          <w:rFonts w:hint="eastAsia" w:hAnsi="Times New Roman" w:cs="Times New Roman"/>
          <w:highlight w:val="none"/>
        </w:rPr>
        <w:t>一般要求</w:t>
      </w:r>
    </w:p>
    <w:p w14:paraId="20C262AF">
      <w:pPr>
        <w:pStyle w:val="96"/>
        <w:spacing w:before="120" w:after="120"/>
        <w:rPr>
          <w:highlight w:val="none"/>
        </w:rPr>
      </w:pPr>
      <w:r>
        <w:rPr>
          <w:rFonts w:hint="eastAsia"/>
          <w:highlight w:val="none"/>
        </w:rPr>
        <w:t>ASIL</w:t>
      </w:r>
      <w:r>
        <w:rPr>
          <w:rFonts w:hint="eastAsia"/>
          <w:highlight w:val="none"/>
          <w:lang w:val="en-US" w:eastAsia="zh-CN"/>
        </w:rPr>
        <w:t>等级</w:t>
      </w:r>
      <w:r>
        <w:rPr>
          <w:rFonts w:hint="eastAsia"/>
          <w:highlight w:val="none"/>
        </w:rPr>
        <w:t>要求</w:t>
      </w:r>
    </w:p>
    <w:p w14:paraId="5C50901D">
      <w:pPr>
        <w:autoSpaceDE w:val="0"/>
        <w:autoSpaceDN w:val="0"/>
        <w:spacing w:line="240" w:lineRule="auto"/>
        <w:ind w:firstLine="420" w:firstLineChars="200"/>
        <w:rPr>
          <w:rFonts w:hint="eastAsia" w:ascii="宋体" w:hAnsi="宋体" w:eastAsia="宋体" w:cs="宋体"/>
          <w:highlight w:val="none"/>
        </w:rPr>
      </w:pPr>
      <w:r>
        <w:rPr>
          <w:rFonts w:hint="eastAsia" w:ascii="宋体" w:hAnsi="宋体" w:cs="宋体"/>
          <w:highlight w:val="none"/>
          <w:lang w:val="en-US" w:eastAsia="zh-CN"/>
        </w:rPr>
        <w:t>纯电动客车电源管理芯片的</w:t>
      </w:r>
      <w:r>
        <w:rPr>
          <w:rFonts w:hint="eastAsia" w:ascii="宋体" w:hAnsi="宋体" w:eastAsia="宋体" w:cs="宋体"/>
          <w:highlight w:val="none"/>
        </w:rPr>
        <w:t>功能安全ASIL等级</w:t>
      </w:r>
      <w:r>
        <w:rPr>
          <w:rFonts w:hint="eastAsia" w:ascii="宋体" w:hAnsi="宋体" w:cs="宋体"/>
          <w:highlight w:val="none"/>
          <w:lang w:val="en-US" w:eastAsia="zh-CN"/>
        </w:rPr>
        <w:t>宜</w:t>
      </w:r>
      <w:r>
        <w:rPr>
          <w:rFonts w:hint="eastAsia" w:ascii="宋体" w:hAnsi="宋体" w:eastAsia="宋体" w:cs="宋体"/>
          <w:highlight w:val="none"/>
        </w:rPr>
        <w:t>符合应用环境下的功能安全等级要求</w:t>
      </w:r>
      <w:r>
        <w:rPr>
          <w:rFonts w:hint="eastAsia" w:ascii="宋体" w:hAnsi="宋体" w:cs="宋体"/>
          <w:highlight w:val="none"/>
          <w:lang w:eastAsia="zh-CN"/>
        </w:rPr>
        <w:t>。</w:t>
      </w:r>
      <w:r>
        <w:rPr>
          <w:rFonts w:hint="eastAsia" w:ascii="宋体" w:hAnsi="宋体" w:eastAsia="宋体" w:cs="宋体"/>
          <w:highlight w:val="none"/>
        </w:rPr>
        <w:t>电池管理系统、电机控制系统、车载充电系统</w:t>
      </w:r>
      <w:r>
        <w:rPr>
          <w:rFonts w:hint="eastAsia" w:ascii="宋体" w:hAnsi="宋体" w:cs="宋体"/>
          <w:highlight w:val="none"/>
          <w:lang w:val="en-US" w:eastAsia="zh-CN"/>
        </w:rPr>
        <w:t>电源管理芯片</w:t>
      </w:r>
      <w:r>
        <w:rPr>
          <w:rFonts w:hint="eastAsia" w:ascii="宋体" w:hAnsi="宋体" w:eastAsia="宋体" w:cs="宋体"/>
          <w:highlight w:val="none"/>
        </w:rPr>
        <w:t>的ASIL等级</w:t>
      </w:r>
      <w:r>
        <w:rPr>
          <w:rFonts w:hint="eastAsia" w:ascii="宋体" w:hAnsi="宋体" w:cs="宋体"/>
          <w:highlight w:val="none"/>
          <w:lang w:val="en-US" w:eastAsia="zh-CN"/>
        </w:rPr>
        <w:t>宜</w:t>
      </w:r>
      <w:r>
        <w:rPr>
          <w:rFonts w:hint="eastAsia" w:ascii="宋体" w:hAnsi="宋体" w:eastAsia="宋体" w:cs="宋体"/>
          <w:highlight w:val="none"/>
        </w:rPr>
        <w:t>为D</w:t>
      </w:r>
      <w:r>
        <w:rPr>
          <w:rFonts w:hint="eastAsia" w:ascii="宋体" w:hAnsi="宋体" w:cs="宋体"/>
          <w:highlight w:val="none"/>
          <w:lang w:eastAsia="zh-CN"/>
        </w:rPr>
        <w:t>；</w:t>
      </w:r>
      <w:r>
        <w:rPr>
          <w:rFonts w:hint="eastAsia" w:ascii="宋体" w:hAnsi="宋体" w:eastAsia="宋体" w:cs="宋体"/>
          <w:highlight w:val="none"/>
        </w:rPr>
        <w:t>车身，座舱</w:t>
      </w:r>
      <w:r>
        <w:rPr>
          <w:rFonts w:hint="eastAsia" w:ascii="宋体" w:hAnsi="宋体" w:cs="宋体"/>
          <w:highlight w:val="none"/>
          <w:lang w:eastAsia="zh-CN"/>
        </w:rPr>
        <w:t>、底盘/悬架、行李舱/货舱</w:t>
      </w:r>
      <w:r>
        <w:rPr>
          <w:rFonts w:hint="eastAsia" w:ascii="宋体" w:hAnsi="宋体" w:eastAsia="宋体" w:cs="宋体"/>
          <w:highlight w:val="none"/>
        </w:rPr>
        <w:t>等应用场景的电源管理芯片</w:t>
      </w:r>
      <w:r>
        <w:rPr>
          <w:rFonts w:hint="eastAsia" w:ascii="宋体" w:hAnsi="宋体" w:cs="宋体"/>
          <w:highlight w:val="none"/>
          <w:lang w:val="en-US" w:eastAsia="zh-CN"/>
        </w:rPr>
        <w:t>的</w:t>
      </w:r>
      <w:r>
        <w:rPr>
          <w:rFonts w:hint="eastAsia" w:ascii="宋体" w:hAnsi="宋体" w:eastAsia="宋体" w:cs="宋体"/>
          <w:highlight w:val="none"/>
        </w:rPr>
        <w:t>ASIL</w:t>
      </w:r>
      <w:r>
        <w:rPr>
          <w:rFonts w:hint="eastAsia" w:ascii="宋体" w:hAnsi="宋体" w:cs="宋体"/>
          <w:highlight w:val="none"/>
          <w:lang w:val="en-US" w:eastAsia="zh-CN"/>
        </w:rPr>
        <w:t>等级宜不低于B</w:t>
      </w:r>
      <w:r>
        <w:rPr>
          <w:rFonts w:hint="eastAsia" w:ascii="宋体" w:hAnsi="宋体" w:eastAsia="宋体" w:cs="宋体"/>
          <w:highlight w:val="none"/>
        </w:rPr>
        <w:t>。</w:t>
      </w:r>
    </w:p>
    <w:p w14:paraId="19B59FC0">
      <w:pPr>
        <w:pStyle w:val="96"/>
        <w:spacing w:before="120" w:after="120"/>
        <w:rPr>
          <w:highlight w:val="none"/>
        </w:rPr>
      </w:pPr>
      <w:r>
        <w:rPr>
          <w:rFonts w:hint="eastAsia"/>
          <w:highlight w:val="none"/>
        </w:rPr>
        <w:t>安全机制设计</w:t>
      </w:r>
    </w:p>
    <w:p w14:paraId="67BE3BD9">
      <w:pPr>
        <w:autoSpaceDE w:val="0"/>
        <w:autoSpaceDN w:val="0"/>
        <w:spacing w:line="240" w:lineRule="auto"/>
        <w:ind w:firstLine="420" w:firstLineChars="200"/>
        <w:rPr>
          <w:rFonts w:hint="eastAsia" w:ascii="宋体" w:hAnsi="宋体"/>
          <w:highlight w:val="none"/>
          <w:lang w:val="zh-CN"/>
        </w:rPr>
      </w:pPr>
      <w:r>
        <w:rPr>
          <w:rFonts w:hint="eastAsia" w:ascii="宋体" w:hAnsi="宋体"/>
          <w:highlight w:val="none"/>
          <w:lang w:val="zh-CN"/>
        </w:rPr>
        <w:t>通过安全分析识别出可导致</w:t>
      </w:r>
      <w:r>
        <w:rPr>
          <w:rFonts w:hint="eastAsia" w:ascii="宋体" w:hAnsi="宋体"/>
          <w:highlight w:val="none"/>
        </w:rPr>
        <w:t>纯电动客车用电源管理芯片功能</w:t>
      </w:r>
      <w:r>
        <w:rPr>
          <w:rFonts w:hint="eastAsia" w:ascii="宋体" w:hAnsi="宋体"/>
          <w:highlight w:val="none"/>
          <w:lang w:val="zh-CN"/>
        </w:rPr>
        <w:t>发生违背安全要求的</w:t>
      </w:r>
      <w:r>
        <w:rPr>
          <w:rFonts w:hint="eastAsia" w:ascii="宋体" w:hAnsi="宋体"/>
          <w:highlight w:val="none"/>
        </w:rPr>
        <w:t>纯电动客车用电源管理芯片</w:t>
      </w:r>
      <w:r>
        <w:rPr>
          <w:rFonts w:hint="eastAsia" w:ascii="宋体" w:hAnsi="宋体"/>
          <w:highlight w:val="none"/>
          <w:lang w:val="zh-CN"/>
        </w:rPr>
        <w:t>内部元器件失效</w:t>
      </w:r>
      <w:r>
        <w:rPr>
          <w:rFonts w:hint="eastAsia" w:ascii="宋体" w:hAnsi="宋体"/>
          <w:highlight w:val="none"/>
        </w:rPr>
        <w:t>或</w:t>
      </w:r>
      <w:r>
        <w:rPr>
          <w:rFonts w:hint="eastAsia" w:ascii="宋体" w:hAnsi="宋体"/>
          <w:highlight w:val="none"/>
          <w:lang w:val="zh-CN"/>
        </w:rPr>
        <w:t>故障模式，</w:t>
      </w:r>
      <w:r>
        <w:rPr>
          <w:rFonts w:hint="eastAsia" w:ascii="宋体" w:hAnsi="宋体"/>
          <w:highlight w:val="none"/>
        </w:rPr>
        <w:t>作为</w:t>
      </w:r>
      <w:r>
        <w:rPr>
          <w:rFonts w:hint="eastAsia" w:ascii="宋体" w:hAnsi="宋体"/>
          <w:highlight w:val="none"/>
          <w:lang w:val="zh-CN"/>
        </w:rPr>
        <w:t>安全机制设计</w:t>
      </w:r>
      <w:r>
        <w:rPr>
          <w:rFonts w:hint="eastAsia" w:ascii="宋体" w:hAnsi="宋体"/>
          <w:highlight w:val="none"/>
        </w:rPr>
        <w:t>输入需求，</w:t>
      </w:r>
      <w:r>
        <w:rPr>
          <w:rFonts w:hint="eastAsia" w:ascii="宋体" w:hAnsi="宋体"/>
          <w:highlight w:val="none"/>
          <w:lang w:val="zh-CN"/>
        </w:rPr>
        <w:t>安全分析应考虑所有参与</w:t>
      </w:r>
      <w:r>
        <w:rPr>
          <w:rFonts w:hint="eastAsia" w:ascii="宋体" w:hAnsi="宋体"/>
          <w:highlight w:val="none"/>
        </w:rPr>
        <w:t>纯电动客车用电源管理芯片</w:t>
      </w:r>
      <w:r>
        <w:rPr>
          <w:rFonts w:hint="eastAsia" w:ascii="宋体" w:hAnsi="宋体"/>
          <w:highlight w:val="none"/>
          <w:lang w:val="zh-CN"/>
        </w:rPr>
        <w:t>功能的元器件典型的失效模式。</w:t>
      </w:r>
    </w:p>
    <w:p w14:paraId="080AEF64">
      <w:pPr>
        <w:pStyle w:val="96"/>
        <w:spacing w:before="120" w:after="120"/>
        <w:rPr>
          <w:highlight w:val="none"/>
        </w:rPr>
      </w:pPr>
      <w:r>
        <w:rPr>
          <w:rFonts w:hint="eastAsia"/>
          <w:highlight w:val="none"/>
        </w:rPr>
        <w:t>安全状态设计</w:t>
      </w:r>
    </w:p>
    <w:p w14:paraId="268E96F6">
      <w:pPr>
        <w:spacing w:line="240" w:lineRule="auto"/>
        <w:ind w:firstLine="420" w:firstLineChars="200"/>
        <w:rPr>
          <w:rFonts w:hint="eastAsia" w:ascii="宋体" w:hAnsi="宋体" w:cs="宋体"/>
          <w:highlight w:val="none"/>
        </w:rPr>
      </w:pPr>
      <w:r>
        <w:rPr>
          <w:rFonts w:hint="eastAsia" w:ascii="宋体" w:hAnsi="宋体"/>
          <w:kern w:val="0"/>
          <w:szCs w:val="20"/>
          <w:highlight w:val="none"/>
          <w:lang w:val="zh-CN"/>
        </w:rPr>
        <w:t>当检测到</w:t>
      </w:r>
      <w:r>
        <w:rPr>
          <w:rFonts w:hint="eastAsia" w:ascii="宋体" w:hAnsi="宋体"/>
          <w:kern w:val="0"/>
          <w:szCs w:val="20"/>
          <w:highlight w:val="none"/>
        </w:rPr>
        <w:t>纯电动客车用电源管理芯片</w:t>
      </w:r>
      <w:r>
        <w:rPr>
          <w:rFonts w:hint="eastAsia" w:ascii="宋体" w:hAnsi="宋体"/>
          <w:kern w:val="0"/>
          <w:szCs w:val="20"/>
          <w:highlight w:val="none"/>
          <w:lang w:val="zh-CN"/>
        </w:rPr>
        <w:t>发生可导致违背</w:t>
      </w:r>
      <w:r>
        <w:rPr>
          <w:rFonts w:hint="eastAsia" w:ascii="宋体" w:hAnsi="宋体"/>
          <w:kern w:val="0"/>
          <w:szCs w:val="20"/>
          <w:highlight w:val="none"/>
        </w:rPr>
        <w:t>纯电动客车用电源管理芯片</w:t>
      </w:r>
      <w:r>
        <w:rPr>
          <w:rFonts w:hint="eastAsia" w:ascii="宋体" w:hAnsi="宋体"/>
          <w:kern w:val="0"/>
          <w:szCs w:val="20"/>
          <w:highlight w:val="none"/>
          <w:lang w:val="zh-CN"/>
        </w:rPr>
        <w:t>安全需求的故障时，</w:t>
      </w:r>
      <w:r>
        <w:rPr>
          <w:rFonts w:hint="eastAsia" w:ascii="宋体" w:hAnsi="宋体"/>
          <w:kern w:val="0"/>
          <w:szCs w:val="20"/>
          <w:highlight w:val="none"/>
        </w:rPr>
        <w:t>纯电动客车用电源管理芯片</w:t>
      </w:r>
      <w:r>
        <w:rPr>
          <w:rFonts w:hint="eastAsia" w:ascii="宋体" w:hAnsi="宋体"/>
          <w:kern w:val="0"/>
          <w:szCs w:val="20"/>
          <w:highlight w:val="none"/>
          <w:lang w:val="zh-CN"/>
        </w:rPr>
        <w:t>应在故障处理时间间隔内进入安全要求中设定的安全状态，在故障退出、消除条件未满足时，不应退出安全状态。</w:t>
      </w:r>
      <w:r>
        <w:rPr>
          <w:rFonts w:hint="eastAsia" w:ascii="宋体" w:hAnsi="宋体" w:cs="宋体"/>
          <w:highlight w:val="none"/>
        </w:rPr>
        <w:t>违背安全需求的故障类型由纯电动客车用电源管理芯片供应商提供，并由使用者进行确认和补充。</w:t>
      </w:r>
    </w:p>
    <w:p w14:paraId="474227B8">
      <w:pPr>
        <w:autoSpaceDE w:val="0"/>
        <w:autoSpaceDN w:val="0"/>
        <w:adjustRightInd/>
        <w:spacing w:line="240" w:lineRule="auto"/>
        <w:ind w:firstLine="420" w:firstLineChars="200"/>
        <w:jc w:val="left"/>
        <w:rPr>
          <w:rFonts w:hint="eastAsia" w:ascii="宋体" w:hAnsi="宋体" w:cs="宋体"/>
          <w:highlight w:val="none"/>
        </w:rPr>
      </w:pPr>
      <w:r>
        <w:rPr>
          <w:rFonts w:hint="eastAsia" w:ascii="宋体" w:hAnsi="宋体" w:cs="宋体"/>
          <w:highlight w:val="none"/>
        </w:rPr>
        <w:t>纯电动客车用电源管理芯片的安全状态包含但不限于通过特定引脚输出报警信号，以通知外部系统其处于故障状态；进入复位状态或者引导应用程序进入故障处理状态。纯电动客车用电源管理芯片的故障处理时间间隔可由纯电动客车用电源管理芯片供应商根据具体设计和测试结果给出，若故障处理涉及系统层级或者软件层级时，应考虑系统或者软件对于故障处理时间间隔的影响。</w:t>
      </w:r>
    </w:p>
    <w:p w14:paraId="4FFA9B34">
      <w:pPr>
        <w:pStyle w:val="96"/>
        <w:spacing w:before="120" w:after="120"/>
        <w:rPr>
          <w:highlight w:val="none"/>
        </w:rPr>
      </w:pPr>
      <w:r>
        <w:rPr>
          <w:rFonts w:hint="eastAsia"/>
          <w:highlight w:val="none"/>
        </w:rPr>
        <w:t>潜伏故障的避免</w:t>
      </w:r>
    </w:p>
    <w:p w14:paraId="5C21002B">
      <w:pPr>
        <w:spacing w:line="240" w:lineRule="auto"/>
        <w:ind w:firstLine="420" w:firstLineChars="200"/>
        <w:rPr>
          <w:highlight w:val="none"/>
        </w:rPr>
      </w:pPr>
      <w:r>
        <w:rPr>
          <w:rFonts w:hint="eastAsia"/>
          <w:highlight w:val="none"/>
        </w:rPr>
        <w:t>为减低纯电动客车用电源管理芯片发生潜伏故障，应通过安全分析识别出会违背纯电动客车用电源管理芯片安全需求的双点故障，通过设计安全机制在可接受的多点故障探测时间间隔内完成潜伏故障的探测，检测到失效故障时，纯电动客车用电源管理芯片应进入对应的安全状态。潜伏故障的安全状态由供应商和控制器供应商定义。</w:t>
      </w:r>
    </w:p>
    <w:p w14:paraId="79104922">
      <w:pPr>
        <w:autoSpaceDE w:val="0"/>
        <w:autoSpaceDN w:val="0"/>
        <w:adjustRightInd/>
        <w:spacing w:line="240" w:lineRule="auto"/>
        <w:ind w:left="780" w:leftChars="200" w:hanging="360" w:hangingChars="200"/>
        <w:jc w:val="left"/>
        <w:rPr>
          <w:rFonts w:hint="eastAsia" w:ascii="宋体" w:hAnsi="宋体"/>
          <w:sz w:val="18"/>
          <w:szCs w:val="18"/>
          <w:highlight w:val="none"/>
        </w:rPr>
      </w:pPr>
      <w:r>
        <w:rPr>
          <w:rFonts w:hint="eastAsia" w:ascii="黑体" w:hAnsi="黑体" w:eastAsia="黑体" w:cs="黑体"/>
          <w:sz w:val="18"/>
          <w:szCs w:val="18"/>
          <w:highlight w:val="none"/>
        </w:rPr>
        <w:t>示例</w:t>
      </w:r>
      <w:r>
        <w:rPr>
          <w:rFonts w:hint="eastAsia" w:ascii="宋体" w:hAnsi="宋体"/>
          <w:sz w:val="18"/>
          <w:szCs w:val="18"/>
          <w:highlight w:val="none"/>
        </w:rPr>
        <w:t>：防潜伏故障的安全机制，如上下电自检，或周期性自检。</w:t>
      </w:r>
    </w:p>
    <w:p w14:paraId="00D2A38D">
      <w:pPr>
        <w:pStyle w:val="96"/>
        <w:spacing w:before="120" w:after="120"/>
        <w:rPr>
          <w:highlight w:val="none"/>
        </w:rPr>
      </w:pPr>
      <w:r>
        <w:rPr>
          <w:rFonts w:hint="eastAsia"/>
          <w:highlight w:val="none"/>
        </w:rPr>
        <w:t>电源管理功能技术安全</w:t>
      </w:r>
    </w:p>
    <w:p w14:paraId="2BD917FD">
      <w:pPr>
        <w:spacing w:line="240" w:lineRule="auto"/>
        <w:ind w:firstLine="420" w:firstLineChars="200"/>
        <w:rPr>
          <w:rFonts w:ascii="Times New Roman" w:hAnsi="Times New Roman"/>
          <w:highlight w:val="none"/>
        </w:rPr>
      </w:pPr>
      <w:r>
        <w:rPr>
          <w:rFonts w:ascii="Times New Roman" w:hAnsi="Times New Roman"/>
          <w:highlight w:val="none"/>
        </w:rPr>
        <w:t>纯电动客车用</w:t>
      </w:r>
      <w:r>
        <w:rPr>
          <w:rFonts w:hint="eastAsia" w:ascii="Times New Roman" w:hAnsi="Times New Roman"/>
          <w:highlight w:val="none"/>
        </w:rPr>
        <w:t>电源管理芯片</w:t>
      </w:r>
      <w:r>
        <w:rPr>
          <w:rFonts w:ascii="Times New Roman" w:hAnsi="Times New Roman"/>
          <w:highlight w:val="none"/>
        </w:rPr>
        <w:t>应提供正确的电源管理功能，电源管理功能的定义按5.1.2的规定。</w:t>
      </w:r>
    </w:p>
    <w:p w14:paraId="427A0E7E">
      <w:pPr>
        <w:pStyle w:val="233"/>
        <w:tabs>
          <w:tab w:val="center" w:pos="4201"/>
          <w:tab w:val="right" w:leader="dot" w:pos="9298"/>
        </w:tabs>
        <w:ind w:firstLine="420"/>
        <w:rPr>
          <w:rFonts w:ascii="Times New Roman"/>
          <w:highlight w:val="none"/>
        </w:rPr>
      </w:pPr>
      <w:r>
        <w:rPr>
          <w:rFonts w:ascii="Times New Roman"/>
          <w:highlight w:val="none"/>
        </w:rPr>
        <w:t>为避免电源管理功能故障，纯电动客车用</w:t>
      </w:r>
      <w:r>
        <w:rPr>
          <w:rFonts w:hint="eastAsia" w:ascii="Times New Roman"/>
          <w:highlight w:val="none"/>
        </w:rPr>
        <w:t>电源管理芯片</w:t>
      </w:r>
      <w:r>
        <w:rPr>
          <w:rFonts w:ascii="Times New Roman"/>
          <w:highlight w:val="none"/>
        </w:rPr>
        <w:t>应设计相应的安全机制，安全机制宜符合GB/T 34590.5—2022中表D.7和GB/T 34590.11—2022中表37的要求。</w:t>
      </w:r>
    </w:p>
    <w:p w14:paraId="5F8AC4FC">
      <w:pPr>
        <w:pStyle w:val="106"/>
        <w:spacing w:before="240" w:after="240"/>
        <w:rPr>
          <w:highlight w:val="none"/>
        </w:rPr>
      </w:pPr>
      <w:bookmarkStart w:id="65" w:name="_Toc5214"/>
      <w:bookmarkStart w:id="66" w:name="_Toc30330"/>
      <w:r>
        <w:rPr>
          <w:rFonts w:hint="eastAsia"/>
          <w:highlight w:val="none"/>
        </w:rPr>
        <w:t>试验方法</w:t>
      </w:r>
      <w:bookmarkEnd w:id="65"/>
      <w:bookmarkEnd w:id="66"/>
    </w:p>
    <w:p w14:paraId="69B3EB89">
      <w:pPr>
        <w:pStyle w:val="107"/>
        <w:spacing w:before="120" w:after="120"/>
        <w:rPr>
          <w:highlight w:val="none"/>
        </w:rPr>
      </w:pPr>
      <w:bookmarkStart w:id="67" w:name="_Toc12351"/>
      <w:bookmarkStart w:id="68" w:name="_Toc28914"/>
      <w:r>
        <w:rPr>
          <w:rFonts w:hint="eastAsia"/>
          <w:highlight w:val="none"/>
        </w:rPr>
        <w:t>功能试验</w:t>
      </w:r>
      <w:bookmarkEnd w:id="67"/>
      <w:bookmarkEnd w:id="68"/>
    </w:p>
    <w:p w14:paraId="575070D7">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rPr>
          <w:highlight w:val="none"/>
        </w:rPr>
      </w:pPr>
      <w:r>
        <w:rPr>
          <w:rFonts w:hint="eastAsia"/>
          <w:highlight w:val="none"/>
        </w:rPr>
        <w:t>试验条件</w:t>
      </w:r>
    </w:p>
    <w:p w14:paraId="217F2714">
      <w:pPr>
        <w:pStyle w:val="233"/>
        <w:tabs>
          <w:tab w:val="center" w:pos="4201"/>
          <w:tab w:val="right" w:leader="dot" w:pos="9298"/>
        </w:tabs>
        <w:ind w:firstLine="420"/>
        <w:rPr>
          <w:rFonts w:hint="eastAsia" w:cs="宋体"/>
          <w:highlight w:val="none"/>
        </w:rPr>
      </w:pPr>
      <w:r>
        <w:rPr>
          <w:rFonts w:hint="eastAsia" w:cs="宋体"/>
          <w:highlight w:val="none"/>
        </w:rPr>
        <w:t>试验环境温度为23 ℃±5 ℃，湿度为30%RH~60%RH。</w:t>
      </w:r>
    </w:p>
    <w:p w14:paraId="08271E54">
      <w:pPr>
        <w:pStyle w:val="233"/>
        <w:tabs>
          <w:tab w:val="center" w:pos="4201"/>
          <w:tab w:val="right" w:leader="dot" w:pos="9298"/>
        </w:tabs>
        <w:ind w:firstLine="420"/>
        <w:rPr>
          <w:rFonts w:hint="eastAsia" w:cs="宋体"/>
          <w:highlight w:val="none"/>
        </w:rPr>
      </w:pPr>
      <w:r>
        <w:rPr>
          <w:rFonts w:hint="eastAsia" w:cs="宋体"/>
          <w:highlight w:val="none"/>
        </w:rPr>
        <w:t>工作电压应在产品规格书范围内，且偏差不应超过±1%。</w:t>
      </w:r>
    </w:p>
    <w:p w14:paraId="575B4973">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rPr>
          <w:rFonts w:hint="default"/>
          <w:highlight w:val="none"/>
          <w:lang w:val="en-US" w:eastAsia="zh-CN"/>
        </w:rPr>
      </w:pPr>
      <w:r>
        <w:rPr>
          <w:rFonts w:hint="eastAsia"/>
          <w:highlight w:val="none"/>
          <w:lang w:val="en-US" w:eastAsia="zh-CN"/>
        </w:rPr>
        <w:t>输入</w:t>
      </w:r>
      <w:r>
        <w:rPr>
          <w:rFonts w:hint="eastAsia"/>
          <w:highlight w:val="none"/>
        </w:rPr>
        <w:t>电压</w:t>
      </w:r>
    </w:p>
    <w:p w14:paraId="6E4CB801">
      <w:pPr>
        <w:pStyle w:val="233"/>
        <w:numPr>
          <w:ilvl w:val="255"/>
          <w:numId w:val="0"/>
        </w:numPr>
        <w:tabs>
          <w:tab w:val="center" w:pos="4201"/>
          <w:tab w:val="right" w:leader="dot" w:pos="9298"/>
        </w:tabs>
        <w:ind w:firstLine="400"/>
        <w:rPr>
          <w:rFonts w:hint="eastAsia" w:hAnsi="宋体" w:eastAsia="宋体" w:cs="宋体"/>
          <w:szCs w:val="21"/>
          <w:highlight w:val="none"/>
          <w:lang w:eastAsia="zh-CN"/>
        </w:rPr>
      </w:pPr>
      <w:r>
        <w:rPr>
          <w:rFonts w:hint="eastAsia" w:hAnsi="宋体" w:cs="宋体"/>
          <w:szCs w:val="21"/>
          <w:highlight w:val="none"/>
        </w:rPr>
        <w:t>供电电压测试方法如下</w:t>
      </w:r>
      <w:r>
        <w:rPr>
          <w:rFonts w:hint="eastAsia" w:cs="宋体"/>
          <w:szCs w:val="21"/>
          <w:highlight w:val="none"/>
        </w:rPr>
        <w:t>：</w:t>
      </w:r>
    </w:p>
    <w:p w14:paraId="103BE0E6">
      <w:pPr>
        <w:numPr>
          <w:ilvl w:val="0"/>
          <w:numId w:val="36"/>
        </w:numPr>
        <w:tabs>
          <w:tab w:val="left" w:pos="360"/>
          <w:tab w:val="left" w:pos="567"/>
        </w:tabs>
        <w:adjustRightInd/>
        <w:spacing w:line="240" w:lineRule="auto"/>
        <w:ind w:left="840" w:leftChars="200" w:hanging="420" w:hangingChars="200"/>
        <w:jc w:val="left"/>
        <w:rPr>
          <w:rFonts w:ascii="Times New Roman" w:hAnsi="Times New Roman"/>
          <w:szCs w:val="24"/>
        </w:rPr>
      </w:pPr>
      <w:r>
        <w:t>搭建</w:t>
      </w:r>
      <w:r>
        <w:rPr>
          <w:rFonts w:hint="eastAsia"/>
          <w:lang w:val="en-US" w:eastAsia="zh-CN"/>
        </w:rPr>
        <w:t>测试电</w:t>
      </w:r>
      <w:r>
        <w:t>路</w:t>
      </w:r>
      <w:r>
        <w:rPr>
          <w:rFonts w:hint="eastAsia"/>
          <w:lang w:eastAsia="zh-CN"/>
        </w:rPr>
        <w:t>，</w:t>
      </w:r>
      <w:r>
        <w:rPr>
          <w:rFonts w:hint="eastAsia"/>
          <w:lang w:val="en-US" w:eastAsia="zh-CN"/>
        </w:rPr>
        <w:t>按照xxx图</w:t>
      </w:r>
      <w:r>
        <w:rPr>
          <w:rFonts w:hint="eastAsia" w:ascii="Times New Roman" w:hAnsi="Times New Roman"/>
          <w:szCs w:val="24"/>
          <w:lang w:val="en-US" w:eastAsia="zh-CN"/>
        </w:rPr>
        <w:t>连接</w:t>
      </w:r>
      <w:r>
        <w:rPr>
          <w:rFonts w:hint="eastAsia" w:ascii="Times New Roman" w:hAnsi="Times New Roman"/>
          <w:szCs w:val="24"/>
        </w:rPr>
        <w:t>被测</w:t>
      </w:r>
      <w:r>
        <w:rPr>
          <w:rFonts w:hint="eastAsia" w:ascii="Times New Roman" w:hAnsi="Times New Roman"/>
          <w:szCs w:val="24"/>
          <w:lang w:val="en-US" w:eastAsia="zh-CN"/>
        </w:rPr>
        <w:t>电源管理芯片</w:t>
      </w:r>
      <w:r>
        <w:rPr>
          <w:rFonts w:hint="eastAsia" w:ascii="Times New Roman" w:hAnsi="Times New Roman"/>
          <w:szCs w:val="24"/>
        </w:rPr>
        <w:t>、直流输入源、负载、监测电压表、</w:t>
      </w:r>
      <w:r>
        <w:rPr>
          <w:rFonts w:hint="eastAsia" w:ascii="Times New Roman" w:hAnsi="Times New Roman"/>
          <w:szCs w:val="24"/>
          <w:lang w:val="en-US" w:eastAsia="zh-CN"/>
        </w:rPr>
        <w:t>电流表</w:t>
      </w:r>
    </w:p>
    <w:p w14:paraId="5836502A">
      <w:pPr>
        <w:numPr>
          <w:ilvl w:val="0"/>
          <w:numId w:val="36"/>
        </w:numPr>
        <w:tabs>
          <w:tab w:val="left" w:pos="360"/>
          <w:tab w:val="left" w:pos="567"/>
        </w:tabs>
        <w:adjustRightInd/>
        <w:spacing w:line="240" w:lineRule="auto"/>
        <w:ind w:left="840" w:leftChars="200" w:hanging="420" w:hangingChars="200"/>
        <w:jc w:val="left"/>
        <w:rPr>
          <w:rFonts w:ascii="Times New Roman" w:hAnsi="Times New Roman"/>
          <w:strike w:val="0"/>
          <w:dstrike w:val="0"/>
          <w:szCs w:val="24"/>
        </w:rPr>
      </w:pPr>
      <w:r>
        <w:rPr>
          <w:rFonts w:ascii="Times New Roman" w:hAnsi="Times New Roman"/>
          <w:szCs w:val="24"/>
        </w:rPr>
        <w:t>将输入电压调至规格最小工作输入</w:t>
      </w:r>
      <w:r>
        <w:rPr>
          <w:rFonts w:hint="eastAsia" w:ascii="Times New Roman" w:hAnsi="Times New Roman"/>
          <w:szCs w:val="24"/>
          <w:lang w:val="en-US" w:eastAsia="zh-CN"/>
        </w:rPr>
        <w:t>4V</w:t>
      </w:r>
      <w:r>
        <w:rPr>
          <w:rFonts w:ascii="Times New Roman" w:hAnsi="Times New Roman"/>
          <w:szCs w:val="24"/>
        </w:rPr>
        <w:t>，待电路稳定后读取输出电压</w:t>
      </w:r>
      <w:r>
        <w:rPr>
          <w:rFonts w:ascii="Times New Roman" w:hAnsi="Times New Roman"/>
          <w:strike w:val="0"/>
          <w:dstrike w:val="0"/>
          <w:szCs w:val="24"/>
        </w:rPr>
        <w:t>，确认输出达到</w:t>
      </w:r>
      <w:r>
        <w:rPr>
          <w:rFonts w:hint="eastAsia" w:ascii="Times New Roman" w:hAnsi="Times New Roman"/>
          <w:strike w:val="0"/>
          <w:dstrike w:val="0"/>
          <w:szCs w:val="24"/>
          <w:lang w:val="en-US" w:eastAsia="zh-CN"/>
        </w:rPr>
        <w:t>规格书额定电压</w:t>
      </w:r>
    </w:p>
    <w:p w14:paraId="1C49DC89">
      <w:pPr>
        <w:numPr>
          <w:ilvl w:val="0"/>
          <w:numId w:val="36"/>
        </w:numPr>
        <w:tabs>
          <w:tab w:val="left" w:pos="360"/>
          <w:tab w:val="left" w:pos="567"/>
        </w:tabs>
        <w:adjustRightInd/>
        <w:spacing w:line="240" w:lineRule="auto"/>
        <w:ind w:left="840" w:leftChars="200" w:hanging="420" w:hangingChars="200"/>
        <w:jc w:val="left"/>
        <w:rPr>
          <w:rFonts w:ascii="Times New Roman" w:hAnsi="Times New Roman"/>
          <w:szCs w:val="24"/>
        </w:rPr>
      </w:pPr>
      <w:r>
        <w:rPr>
          <w:rFonts w:hint="eastAsia" w:ascii="Times New Roman" w:hAnsi="Times New Roman"/>
          <w:szCs w:val="24"/>
        </w:rPr>
        <w:t>按规定步长逐步升高输入电压至最大极限输入</w:t>
      </w:r>
      <w:r>
        <w:rPr>
          <w:rFonts w:hint="eastAsia" w:ascii="Times New Roman" w:hAnsi="Times New Roman"/>
          <w:szCs w:val="24"/>
          <w:lang w:val="en-US" w:eastAsia="zh-CN"/>
        </w:rPr>
        <w:t>60V</w:t>
      </w:r>
      <w:r>
        <w:rPr>
          <w:rFonts w:hint="eastAsia" w:ascii="Times New Roman" w:hAnsi="Times New Roman"/>
          <w:szCs w:val="24"/>
        </w:rPr>
        <w:t>，每档电压稳定后同步记录输入电压与对应输出</w:t>
      </w:r>
      <w:r>
        <w:rPr>
          <w:rFonts w:hint="eastAsia" w:ascii="Times New Roman" w:hAnsi="Times New Roman"/>
          <w:szCs w:val="24"/>
          <w:lang w:val="en-US" w:eastAsia="zh-CN"/>
        </w:rPr>
        <w:t>电压</w:t>
      </w:r>
      <w:r>
        <w:rPr>
          <w:rFonts w:hint="eastAsia" w:ascii="Times New Roman" w:hAnsi="Times New Roman"/>
          <w:szCs w:val="24"/>
          <w:lang w:eastAsia="zh-CN"/>
        </w:rPr>
        <w:t>，</w:t>
      </w:r>
      <w:r>
        <w:rPr>
          <w:rFonts w:hint="eastAsia" w:ascii="Times New Roman" w:hAnsi="Times New Roman"/>
          <w:szCs w:val="24"/>
        </w:rPr>
        <w:t>再反向阶梯降压回测</w:t>
      </w:r>
      <w:r>
        <w:rPr>
          <w:rFonts w:hint="eastAsia" w:ascii="Times New Roman" w:hAnsi="Times New Roman"/>
          <w:szCs w:val="24"/>
          <w:lang w:eastAsia="zh-CN"/>
        </w:rPr>
        <w:t>。</w:t>
      </w:r>
    </w:p>
    <w:p w14:paraId="56E6323C">
      <w:pPr>
        <w:numPr>
          <w:ilvl w:val="0"/>
          <w:numId w:val="36"/>
        </w:numPr>
        <w:tabs>
          <w:tab w:val="left" w:pos="360"/>
          <w:tab w:val="left" w:pos="567"/>
        </w:tabs>
        <w:adjustRightInd/>
        <w:spacing w:line="240" w:lineRule="auto"/>
        <w:ind w:left="840" w:leftChars="200" w:hanging="420" w:hangingChars="200"/>
        <w:jc w:val="left"/>
      </w:pPr>
      <w:r>
        <w:rPr>
          <w:rFonts w:hint="eastAsia" w:ascii="Times New Roman" w:hAnsi="Times New Roman"/>
          <w:szCs w:val="24"/>
        </w:rPr>
        <w:t>判断区间内输出</w:t>
      </w:r>
      <w:r>
        <w:rPr>
          <w:rFonts w:hint="eastAsia" w:ascii="Times New Roman" w:hAnsi="Times New Roman"/>
          <w:szCs w:val="24"/>
          <w:lang w:val="en-US" w:eastAsia="zh-CN"/>
        </w:rPr>
        <w:t>电压应</w:t>
      </w:r>
      <w:r>
        <w:rPr>
          <w:rFonts w:ascii="Times New Roman" w:hAnsi="Times New Roman"/>
          <w:strike w:val="0"/>
          <w:dstrike w:val="0"/>
          <w:szCs w:val="24"/>
        </w:rPr>
        <w:t>达到</w:t>
      </w:r>
      <w:r>
        <w:rPr>
          <w:rFonts w:hint="eastAsia" w:ascii="Times New Roman" w:hAnsi="Times New Roman"/>
          <w:strike w:val="0"/>
          <w:dstrike w:val="0"/>
          <w:szCs w:val="24"/>
          <w:lang w:val="en-US" w:eastAsia="zh-CN"/>
        </w:rPr>
        <w:t>规格书额定电压，</w:t>
      </w:r>
      <w:r>
        <w:rPr>
          <w:rFonts w:hint="eastAsia" w:ascii="Times New Roman" w:hAnsi="Times New Roman"/>
          <w:szCs w:val="24"/>
        </w:rPr>
        <w:t>记录</w:t>
      </w:r>
      <w:r>
        <w:rPr>
          <w:rFonts w:hint="eastAsia" w:ascii="Times New Roman" w:hAnsi="Times New Roman"/>
          <w:szCs w:val="24"/>
          <w:lang w:val="en-US" w:eastAsia="zh-CN"/>
        </w:rPr>
        <w:t>电源管理芯片</w:t>
      </w:r>
      <w:r>
        <w:rPr>
          <w:rFonts w:hint="eastAsia" w:ascii="Times New Roman" w:hAnsi="Times New Roman"/>
          <w:szCs w:val="24"/>
        </w:rPr>
        <w:t>有效稳压输入电压范围。</w:t>
      </w:r>
    </w:p>
    <w:p w14:paraId="56A68CAF">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rPr>
          <w:rFonts w:hint="default" w:cs="Times New Roman"/>
          <w:lang w:val="en-US" w:eastAsia="zh-CN"/>
        </w:rPr>
      </w:pPr>
      <w:r>
        <w:rPr>
          <w:rFonts w:hint="eastAsia"/>
        </w:rPr>
        <w:t>输出电压和电流</w:t>
      </w:r>
    </w:p>
    <w:p w14:paraId="559EB321">
      <w:pPr>
        <w:pStyle w:val="233"/>
        <w:tabs>
          <w:tab w:val="center" w:pos="4201"/>
          <w:tab w:val="right" w:leader="dot" w:pos="9298"/>
        </w:tabs>
        <w:ind w:firstLine="420"/>
        <w:rPr>
          <w:rFonts w:hint="eastAsia" w:cs="宋体"/>
        </w:rPr>
      </w:pPr>
      <w:r>
        <w:rPr>
          <w:rFonts w:hint="eastAsia" w:cs="宋体"/>
        </w:rPr>
        <w:t>输出电压和电流功能测试方法如下：</w:t>
      </w:r>
    </w:p>
    <w:p w14:paraId="68E9AE77">
      <w:pPr>
        <w:numPr>
          <w:ilvl w:val="0"/>
          <w:numId w:val="37"/>
        </w:numPr>
        <w:tabs>
          <w:tab w:val="left" w:pos="360"/>
          <w:tab w:val="left" w:pos="567"/>
        </w:tabs>
        <w:adjustRightInd/>
        <w:spacing w:line="240" w:lineRule="auto"/>
        <w:ind w:left="840" w:leftChars="200" w:hanging="420" w:hangingChars="200"/>
        <w:jc w:val="left"/>
        <w:rPr>
          <w:rFonts w:hint="eastAsia"/>
          <w:lang w:val="en-US" w:eastAsia="zh-CN"/>
        </w:rPr>
      </w:pPr>
      <w:r>
        <w:t>搭建</w:t>
      </w:r>
      <w:r>
        <w:rPr>
          <w:rFonts w:hint="eastAsia"/>
          <w:lang w:val="en-US" w:eastAsia="zh-CN"/>
        </w:rPr>
        <w:t>测试电</w:t>
      </w:r>
      <w:r>
        <w:t>路</w:t>
      </w:r>
      <w:r>
        <w:rPr>
          <w:rFonts w:hint="eastAsia"/>
          <w:lang w:eastAsia="zh-CN"/>
        </w:rPr>
        <w:t>，</w:t>
      </w:r>
      <w:r>
        <w:rPr>
          <w:rFonts w:hint="eastAsia"/>
          <w:lang w:val="en-US" w:eastAsia="zh-CN"/>
        </w:rPr>
        <w:t>按照xxx图连接</w:t>
      </w:r>
      <w:r>
        <w:rPr>
          <w:rFonts w:hint="eastAsia"/>
        </w:rPr>
        <w:t>被测</w:t>
      </w:r>
      <w:r>
        <w:rPr>
          <w:rFonts w:hint="eastAsia"/>
          <w:lang w:val="en-US" w:eastAsia="zh-CN"/>
        </w:rPr>
        <w:t>电源管理芯片</w:t>
      </w:r>
      <w:r>
        <w:rPr>
          <w:rFonts w:hint="eastAsia"/>
        </w:rPr>
        <w:t>、直流输入源、负载、监测电压表、</w:t>
      </w:r>
      <w:r>
        <w:rPr>
          <w:rFonts w:hint="eastAsia"/>
          <w:lang w:val="en-US" w:eastAsia="zh-CN"/>
        </w:rPr>
        <w:t>电流表</w:t>
      </w:r>
    </w:p>
    <w:p w14:paraId="5B9BD47D">
      <w:pPr>
        <w:numPr>
          <w:ilvl w:val="0"/>
          <w:numId w:val="37"/>
        </w:numPr>
        <w:tabs>
          <w:tab w:val="left" w:pos="360"/>
          <w:tab w:val="left" w:pos="567"/>
        </w:tabs>
        <w:adjustRightInd/>
        <w:spacing w:line="240" w:lineRule="auto"/>
        <w:ind w:left="840" w:leftChars="200" w:hanging="420" w:hangingChars="200"/>
        <w:jc w:val="left"/>
      </w:pPr>
      <w:r>
        <w:rPr>
          <w:rFonts w:hint="eastAsia"/>
          <w:lang w:val="en-US" w:eastAsia="zh-CN"/>
        </w:rPr>
        <w:t>输入施加额定电压，负载维持稳定，稳定后读取输出电压</w:t>
      </w:r>
    </w:p>
    <w:p w14:paraId="4EA8357A">
      <w:pPr>
        <w:numPr>
          <w:ilvl w:val="0"/>
          <w:numId w:val="37"/>
        </w:numPr>
        <w:tabs>
          <w:tab w:val="left" w:pos="360"/>
          <w:tab w:val="left" w:pos="567"/>
        </w:tabs>
        <w:adjustRightInd/>
        <w:spacing w:line="240" w:lineRule="auto"/>
        <w:ind w:left="840" w:leftChars="200" w:hanging="420" w:hangingChars="200"/>
        <w:jc w:val="left"/>
        <w:rPr>
          <w:rFonts w:hint="eastAsia"/>
          <w:lang w:val="en-US" w:eastAsia="zh-CN"/>
        </w:rPr>
      </w:pPr>
      <w:r>
        <w:rPr>
          <w:rFonts w:hint="eastAsia"/>
          <w:lang w:val="en-US" w:eastAsia="zh-CN"/>
        </w:rPr>
        <w:t>保持输入电压不变，阶梯提升输出电流至最大，每档记录输出电压</w:t>
      </w:r>
    </w:p>
    <w:p w14:paraId="0433A338">
      <w:pPr>
        <w:numPr>
          <w:ilvl w:val="0"/>
          <w:numId w:val="37"/>
        </w:numPr>
        <w:tabs>
          <w:tab w:val="left" w:pos="360"/>
          <w:tab w:val="left" w:pos="567"/>
        </w:tabs>
        <w:adjustRightInd/>
        <w:spacing w:line="240" w:lineRule="auto"/>
        <w:ind w:left="840" w:leftChars="200" w:hanging="420" w:hangingChars="200"/>
        <w:jc w:val="left"/>
      </w:pPr>
      <w:r>
        <w:rPr>
          <w:rFonts w:hint="eastAsia"/>
          <w:lang w:val="en-US" w:eastAsia="zh-CN"/>
        </w:rPr>
        <w:t>电源管理芯片需遍历全输出电压档位，保持额定电流。</w:t>
      </w:r>
    </w:p>
    <w:p w14:paraId="4C094CB9">
      <w:pPr>
        <w:numPr>
          <w:ilvl w:val="0"/>
          <w:numId w:val="37"/>
        </w:numPr>
        <w:tabs>
          <w:tab w:val="left" w:pos="360"/>
          <w:tab w:val="left" w:pos="567"/>
        </w:tabs>
        <w:adjustRightInd/>
        <w:spacing w:line="240" w:lineRule="auto"/>
        <w:ind w:left="840" w:leftChars="200" w:hanging="420" w:hangingChars="200"/>
        <w:jc w:val="left"/>
      </w:pPr>
      <w:r>
        <w:rPr>
          <w:rFonts w:hint="eastAsia"/>
        </w:rPr>
        <w:t>汇总所有电压、电流工况下输出偏差，验证在规定输出电压、输出电流全区间内性能达标，记录有效工作范围。</w:t>
      </w:r>
    </w:p>
    <w:p w14:paraId="1BD12396">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pPr>
      <w:r>
        <w:rPr>
          <w:rFonts w:hint="eastAsia"/>
        </w:rPr>
        <w:t>电源监测功能</w:t>
      </w:r>
    </w:p>
    <w:p w14:paraId="14AA1AA4">
      <w:pPr>
        <w:numPr>
          <w:ilvl w:val="0"/>
          <w:numId w:val="38"/>
        </w:numPr>
        <w:tabs>
          <w:tab w:val="left" w:pos="360"/>
          <w:tab w:val="left" w:pos="567"/>
        </w:tabs>
        <w:adjustRightInd/>
        <w:spacing w:line="240" w:lineRule="auto"/>
        <w:ind w:left="840" w:leftChars="200" w:hanging="420" w:hangingChars="200"/>
        <w:jc w:val="left"/>
      </w:pPr>
      <w:r>
        <w:t>搭建</w:t>
      </w:r>
      <w:r>
        <w:rPr>
          <w:rFonts w:hint="eastAsia"/>
          <w:lang w:val="en-US" w:eastAsia="zh-CN"/>
        </w:rPr>
        <w:t>测试电</w:t>
      </w:r>
      <w:r>
        <w:t>路</w:t>
      </w:r>
      <w:r>
        <w:rPr>
          <w:rFonts w:hint="eastAsia"/>
          <w:lang w:eastAsia="zh-CN"/>
        </w:rPr>
        <w:t>，</w:t>
      </w:r>
      <w:r>
        <w:rPr>
          <w:rFonts w:hint="eastAsia"/>
          <w:lang w:val="en-US" w:eastAsia="zh-CN"/>
        </w:rPr>
        <w:t>按照xxx图连接</w:t>
      </w:r>
      <w:r>
        <w:rPr>
          <w:rFonts w:hint="eastAsia"/>
        </w:rPr>
        <w:t>被测</w:t>
      </w:r>
      <w:r>
        <w:rPr>
          <w:rFonts w:hint="eastAsia"/>
          <w:lang w:val="en-US" w:eastAsia="zh-CN"/>
        </w:rPr>
        <w:t>电源管理芯片</w:t>
      </w:r>
      <w:r>
        <w:rPr>
          <w:rFonts w:hint="eastAsia"/>
        </w:rPr>
        <w:t>、直流输入源、负载、监测电压表、</w:t>
      </w:r>
      <w:r>
        <w:rPr>
          <w:rFonts w:hint="eastAsia"/>
          <w:lang w:val="en-US" w:eastAsia="zh-CN"/>
        </w:rPr>
        <w:t>电流表</w:t>
      </w:r>
    </w:p>
    <w:p w14:paraId="2936A72E">
      <w:pPr>
        <w:numPr>
          <w:ilvl w:val="0"/>
          <w:numId w:val="38"/>
        </w:numPr>
        <w:tabs>
          <w:tab w:val="left" w:pos="360"/>
          <w:tab w:val="left" w:pos="567"/>
        </w:tabs>
        <w:adjustRightInd/>
        <w:spacing w:line="240" w:lineRule="auto"/>
        <w:ind w:left="840" w:leftChars="200" w:hanging="420" w:hangingChars="200"/>
        <w:jc w:val="left"/>
      </w:pPr>
      <w:r>
        <w:t>施加额定输入电压，加载标准输出电流，系统稳定后记录电源监测引脚正常工作电平</w:t>
      </w:r>
    </w:p>
    <w:p w14:paraId="0C15E324">
      <w:pPr>
        <w:numPr>
          <w:ilvl w:val="0"/>
          <w:numId w:val="38"/>
        </w:numPr>
        <w:tabs>
          <w:tab w:val="left" w:pos="360"/>
          <w:tab w:val="left" w:pos="567"/>
        </w:tabs>
        <w:adjustRightInd/>
        <w:spacing w:line="240" w:lineRule="auto"/>
        <w:ind w:left="840" w:leftChars="200" w:hanging="420" w:hangingChars="200"/>
        <w:jc w:val="left"/>
      </w:pPr>
      <w:r>
        <w:rPr>
          <w:rFonts w:hint="eastAsia"/>
          <w:lang w:val="en-US" w:eastAsia="zh-CN"/>
        </w:rPr>
        <w:t>记录电压变化对应的输入电压数值，循环复测多组数据</w:t>
      </w:r>
    </w:p>
    <w:p w14:paraId="7FB6F23B">
      <w:pPr>
        <w:numPr>
          <w:ilvl w:val="0"/>
          <w:numId w:val="38"/>
        </w:numPr>
        <w:tabs>
          <w:tab w:val="left" w:pos="360"/>
          <w:tab w:val="left" w:pos="567"/>
        </w:tabs>
        <w:adjustRightInd/>
        <w:spacing w:line="240" w:lineRule="auto"/>
        <w:ind w:left="840" w:leftChars="200" w:hanging="420" w:hangingChars="200"/>
        <w:jc w:val="left"/>
        <w:rPr>
          <w:rFonts w:hint="eastAsia"/>
        </w:rPr>
      </w:pPr>
      <w:r>
        <w:t>验证电源监测引脚电平</w:t>
      </w:r>
      <w:r>
        <w:rPr>
          <w:rFonts w:hint="eastAsia"/>
          <w:lang w:val="en-US" w:eastAsia="zh-CN"/>
        </w:rPr>
        <w:t>变化的</w:t>
      </w:r>
      <w:r>
        <w:t>逻辑，判定电源监测</w:t>
      </w:r>
      <w:r>
        <w:rPr>
          <w:rFonts w:hint="eastAsia"/>
          <w:lang w:val="en-US" w:eastAsia="zh-CN"/>
        </w:rPr>
        <w:t>引脚</w:t>
      </w:r>
      <w:r>
        <w:rPr>
          <w:rFonts w:hint="eastAsia"/>
        </w:rPr>
        <w:t>电压</w:t>
      </w:r>
      <w:r>
        <w:rPr>
          <w:rFonts w:hint="eastAsia"/>
          <w:lang w:val="en-US" w:eastAsia="zh-CN"/>
        </w:rPr>
        <w:t>符合规格书指标要求</w:t>
      </w:r>
      <w:r>
        <w:t>，记录测试结果。</w:t>
      </w:r>
    </w:p>
    <w:p w14:paraId="4D8B92C2">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rPr>
          <w:rFonts w:hint="eastAsia" w:cs="Times New Roman"/>
          <w:lang w:val="en-US" w:eastAsia="zh-CN"/>
        </w:rPr>
      </w:pPr>
      <w:r>
        <w:rPr>
          <w:rFonts w:hint="eastAsia"/>
        </w:rPr>
        <w:t>电压转换功能</w:t>
      </w:r>
    </w:p>
    <w:p w14:paraId="10AEF719">
      <w:pPr>
        <w:pStyle w:val="58"/>
        <w:rPr>
          <w:rFonts w:hint="eastAsia" w:cs="宋体"/>
        </w:rPr>
      </w:pPr>
      <w:r>
        <w:rPr>
          <w:rFonts w:hint="eastAsia" w:cs="宋体"/>
        </w:rPr>
        <w:t>电</w:t>
      </w:r>
      <w:r>
        <w:rPr>
          <w:rFonts w:hint="eastAsia" w:cs="宋体"/>
          <w:lang w:val="en-US" w:eastAsia="zh-CN"/>
        </w:rPr>
        <w:t>压转换</w:t>
      </w:r>
      <w:r>
        <w:rPr>
          <w:rFonts w:hint="eastAsia" w:cs="宋体"/>
        </w:rPr>
        <w:t>功能测试方法如下：</w:t>
      </w:r>
    </w:p>
    <w:p w14:paraId="3528F6F8">
      <w:pPr>
        <w:numPr>
          <w:ilvl w:val="0"/>
          <w:numId w:val="38"/>
        </w:numPr>
        <w:tabs>
          <w:tab w:val="left" w:pos="360"/>
          <w:tab w:val="left" w:pos="567"/>
        </w:tabs>
        <w:adjustRightInd/>
        <w:spacing w:line="240" w:lineRule="auto"/>
        <w:ind w:left="840" w:leftChars="200" w:hanging="420" w:hangingChars="200"/>
        <w:jc w:val="left"/>
        <w:rPr>
          <w:rFonts w:hint="eastAsia"/>
          <w:lang w:val="en-US" w:eastAsia="zh-CN"/>
        </w:rPr>
      </w:pPr>
      <w:r>
        <w:t>搭建</w:t>
      </w:r>
      <w:r>
        <w:rPr>
          <w:rFonts w:hint="eastAsia"/>
          <w:lang w:val="en-US" w:eastAsia="zh-CN"/>
        </w:rPr>
        <w:t>测试电</w:t>
      </w:r>
      <w:r>
        <w:t>路</w:t>
      </w:r>
      <w:r>
        <w:rPr>
          <w:rFonts w:hint="eastAsia"/>
          <w:lang w:eastAsia="zh-CN"/>
        </w:rPr>
        <w:t>，</w:t>
      </w:r>
      <w:r>
        <w:rPr>
          <w:rFonts w:hint="eastAsia"/>
          <w:lang w:val="en-US" w:eastAsia="zh-CN"/>
        </w:rPr>
        <w:t>按照xxx图连接被测电源管理芯片、直流输入源、负载、监测电压表、电流表</w:t>
      </w:r>
    </w:p>
    <w:p w14:paraId="01F07584">
      <w:pPr>
        <w:pStyle w:val="233"/>
        <w:numPr>
          <w:ilvl w:val="0"/>
          <w:numId w:val="39"/>
        </w:numPr>
        <w:tabs>
          <w:tab w:val="center" w:pos="4201"/>
          <w:tab w:val="right" w:leader="dot" w:pos="9298"/>
        </w:tabs>
        <w:ind w:firstLine="420"/>
      </w:pPr>
      <w:r>
        <w:t>额定输入</w:t>
      </w:r>
      <w:r>
        <w:rPr>
          <w:rFonts w:hint="eastAsia"/>
          <w:lang w:val="en-US" w:eastAsia="zh-CN"/>
        </w:rPr>
        <w:t>,额定负载条件下，分别扫描输入电压区间、输出电流区间，记录各工况转换输出值。</w:t>
      </w:r>
    </w:p>
    <w:p w14:paraId="453F6428">
      <w:pPr>
        <w:pStyle w:val="233"/>
        <w:numPr>
          <w:ilvl w:val="0"/>
          <w:numId w:val="39"/>
        </w:numPr>
        <w:tabs>
          <w:tab w:val="center" w:pos="4201"/>
          <w:tab w:val="right" w:leader="dot" w:pos="9298"/>
        </w:tabs>
        <w:ind w:firstLine="420"/>
      </w:pPr>
      <w:r>
        <w:t>对比所有工况输出偏差，判定电压转换精度是否达标。</w:t>
      </w:r>
    </w:p>
    <w:p w14:paraId="2C3BF574">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rPr>
          <w:rFonts w:hint="eastAsia" w:cs="Times New Roman"/>
          <w:lang w:val="en-US" w:eastAsia="zh-CN"/>
        </w:rPr>
      </w:pPr>
      <w:r>
        <w:rPr>
          <w:rFonts w:hint="eastAsia"/>
        </w:rPr>
        <w:t>过压保护功能</w:t>
      </w:r>
    </w:p>
    <w:p w14:paraId="382C2865">
      <w:pPr>
        <w:pStyle w:val="233"/>
        <w:numPr>
          <w:ilvl w:val="0"/>
          <w:numId w:val="0"/>
        </w:numPr>
        <w:tabs>
          <w:tab w:val="center" w:pos="4201"/>
          <w:tab w:val="right" w:leader="dot" w:pos="9298"/>
        </w:tabs>
        <w:ind w:firstLine="420" w:firstLineChars="200"/>
      </w:pPr>
      <w:r>
        <w:rPr>
          <w:rFonts w:hint="eastAsia" w:cs="宋体"/>
          <w:lang w:val="en-US" w:eastAsia="zh-CN"/>
        </w:rPr>
        <w:t>过压保护</w:t>
      </w:r>
      <w:r>
        <w:rPr>
          <w:rFonts w:hint="eastAsia" w:cs="宋体"/>
        </w:rPr>
        <w:t>功能测试方法如下：</w:t>
      </w:r>
    </w:p>
    <w:p w14:paraId="59F502EE">
      <w:pPr>
        <w:pStyle w:val="233"/>
        <w:numPr>
          <w:ilvl w:val="0"/>
          <w:numId w:val="40"/>
        </w:numPr>
        <w:tabs>
          <w:tab w:val="center" w:pos="4201"/>
          <w:tab w:val="right" w:leader="dot" w:pos="9298"/>
        </w:tabs>
        <w:ind w:firstLine="420"/>
      </w:pPr>
      <w:r>
        <w:t>搭建</w:t>
      </w:r>
      <w:r>
        <w:rPr>
          <w:rFonts w:hint="eastAsia"/>
          <w:lang w:val="en-US" w:eastAsia="zh-CN"/>
        </w:rPr>
        <w:t>测试电</w:t>
      </w:r>
      <w:r>
        <w:t>路</w:t>
      </w:r>
      <w:r>
        <w:rPr>
          <w:rFonts w:hint="eastAsia"/>
          <w:lang w:eastAsia="zh-CN"/>
        </w:rPr>
        <w:t>，</w:t>
      </w:r>
      <w:r>
        <w:rPr>
          <w:rFonts w:hint="eastAsia"/>
          <w:lang w:val="en-US" w:eastAsia="zh-CN"/>
        </w:rPr>
        <w:t>按照xxx图连接被测电源管理芯片、直流输入源、负载、监测电压表、电流表</w:t>
      </w:r>
    </w:p>
    <w:p w14:paraId="00677BEC">
      <w:pPr>
        <w:pStyle w:val="233"/>
        <w:numPr>
          <w:ilvl w:val="0"/>
          <w:numId w:val="40"/>
        </w:numPr>
        <w:tabs>
          <w:tab w:val="center" w:pos="4201"/>
          <w:tab w:val="right" w:leader="dot" w:pos="9298"/>
        </w:tabs>
        <w:ind w:firstLine="420"/>
      </w:pPr>
      <w:r>
        <w:rPr>
          <w:rFonts w:hint="eastAsia"/>
        </w:rPr>
        <w:t>施加额定正常输入电压，加载</w:t>
      </w:r>
      <w:r>
        <w:rPr>
          <w:rFonts w:hint="eastAsia"/>
          <w:lang w:val="en-US" w:eastAsia="zh-CN"/>
        </w:rPr>
        <w:t>额定</w:t>
      </w:r>
      <w:r>
        <w:rPr>
          <w:rFonts w:hint="eastAsia"/>
        </w:rPr>
        <w:t>负载</w:t>
      </w:r>
      <w:r>
        <w:rPr>
          <w:rFonts w:hint="eastAsia"/>
          <w:lang w:val="en-US" w:eastAsia="zh-CN"/>
        </w:rPr>
        <w:t>电流</w:t>
      </w:r>
      <w:r>
        <w:rPr>
          <w:rFonts w:hint="eastAsia"/>
        </w:rPr>
        <w:t>，确认输出</w:t>
      </w:r>
      <w:r>
        <w:rPr>
          <w:rFonts w:hint="eastAsia"/>
          <w:lang w:val="en-US" w:eastAsia="zh-CN"/>
        </w:rPr>
        <w:t>电</w:t>
      </w:r>
      <w:r>
        <w:rPr>
          <w:rFonts w:hint="eastAsia"/>
        </w:rPr>
        <w:t>压正常</w:t>
      </w:r>
    </w:p>
    <w:p w14:paraId="1280B2C6">
      <w:pPr>
        <w:pStyle w:val="233"/>
        <w:numPr>
          <w:ilvl w:val="0"/>
          <w:numId w:val="40"/>
        </w:numPr>
        <w:tabs>
          <w:tab w:val="center" w:pos="4201"/>
          <w:tab w:val="right" w:leader="dot" w:pos="9298"/>
        </w:tabs>
        <w:ind w:firstLine="420"/>
        <w:rPr>
          <w:rFonts w:hint="eastAsia"/>
        </w:rPr>
      </w:pPr>
      <w:r>
        <w:rPr>
          <w:rFonts w:hint="eastAsia"/>
        </w:rPr>
        <w:t>缓慢阶梯升高输入电压，示波器实时观测输出波形，输出跌落/关断瞬间记录输入电压，即为过压触发阈值V</w:t>
      </w:r>
      <w:r>
        <w:rPr>
          <w:rFonts w:hint="eastAsia"/>
          <w:lang w:val="en-US" w:eastAsia="zh-CN"/>
        </w:rPr>
        <w:t>_</w:t>
      </w:r>
      <w:r>
        <w:rPr>
          <w:rFonts w:hint="eastAsia"/>
        </w:rPr>
        <w:t>OVP</w:t>
      </w:r>
    </w:p>
    <w:p w14:paraId="63748099">
      <w:pPr>
        <w:pStyle w:val="233"/>
        <w:numPr>
          <w:ilvl w:val="0"/>
          <w:numId w:val="40"/>
        </w:numPr>
        <w:tabs>
          <w:tab w:val="center" w:pos="4201"/>
          <w:tab w:val="right" w:leader="dot" w:pos="9298"/>
        </w:tabs>
        <w:ind w:firstLine="420"/>
        <w:rPr>
          <w:strike w:val="0"/>
          <w:dstrike w:val="0"/>
        </w:rPr>
      </w:pPr>
      <w:r>
        <w:rPr>
          <w:rFonts w:hint="eastAsia"/>
        </w:rPr>
        <w:t>保持输入超压状态持续</w:t>
      </w:r>
      <w:r>
        <w:rPr>
          <w:rFonts w:hint="eastAsia"/>
          <w:lang w:val="en-US" w:eastAsia="zh-CN"/>
        </w:rPr>
        <w:t>1min</w:t>
      </w:r>
      <w:r>
        <w:rPr>
          <w:rFonts w:hint="eastAsia"/>
        </w:rPr>
        <w:t>，观察无烧毁、无持续大电流</w:t>
      </w:r>
    </w:p>
    <w:p w14:paraId="7E4D12DA">
      <w:pPr>
        <w:pStyle w:val="233"/>
        <w:numPr>
          <w:ilvl w:val="0"/>
          <w:numId w:val="40"/>
        </w:numPr>
        <w:tabs>
          <w:tab w:val="center" w:pos="4201"/>
          <w:tab w:val="right" w:leader="dot" w:pos="9298"/>
        </w:tabs>
        <w:ind w:firstLine="420"/>
        <w:rPr>
          <w:strike w:val="0"/>
          <w:dstrike w:val="0"/>
        </w:rPr>
      </w:pPr>
      <w:r>
        <w:rPr>
          <w:rFonts w:hint="eastAsia"/>
        </w:rPr>
        <w:t>随后缓慢降低输入电压，输出恢复</w:t>
      </w:r>
      <w:r>
        <w:rPr>
          <w:rFonts w:hint="eastAsia"/>
          <w:lang w:val="en-US" w:eastAsia="zh-CN"/>
        </w:rPr>
        <w:t>正常</w:t>
      </w:r>
      <w:r>
        <w:rPr>
          <w:rFonts w:hint="eastAsia"/>
        </w:rPr>
        <w:t>时刻记录</w:t>
      </w:r>
      <w:r>
        <w:rPr>
          <w:rFonts w:hint="eastAsia"/>
          <w:lang w:val="en-US" w:eastAsia="zh-CN"/>
        </w:rPr>
        <w:t>输入</w:t>
      </w:r>
      <w:r>
        <w:rPr>
          <w:rFonts w:hint="eastAsia"/>
        </w:rPr>
        <w:t>电压</w:t>
      </w:r>
      <w:r>
        <w:rPr>
          <w:rFonts w:hint="eastAsia"/>
          <w:strike w:val="0"/>
          <w:dstrike w:val="0"/>
          <w:lang w:eastAsia="zh-CN"/>
        </w:rPr>
        <w:t>，</w:t>
      </w:r>
      <w:r>
        <w:rPr>
          <w:strike w:val="0"/>
          <w:dstrike w:val="0"/>
        </w:rPr>
        <w:t>要求5次测试偏差≤±2%</w:t>
      </w:r>
    </w:p>
    <w:p w14:paraId="3EA8FEC0">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rPr>
          <w:rFonts w:hint="eastAsia" w:eastAsia="宋体"/>
          <w:lang w:eastAsia="zh-CN"/>
        </w:rPr>
      </w:pPr>
      <w:r>
        <w:rPr>
          <w:rFonts w:hint="eastAsia"/>
        </w:rPr>
        <w:t>欠压保护功能</w:t>
      </w:r>
    </w:p>
    <w:p w14:paraId="1FB5CEED">
      <w:pPr>
        <w:pStyle w:val="233"/>
        <w:tabs>
          <w:tab w:val="center" w:pos="4201"/>
          <w:tab w:val="right" w:leader="dot" w:pos="9298"/>
        </w:tabs>
        <w:ind w:firstLine="420"/>
        <w:rPr>
          <w:rFonts w:hint="eastAsia"/>
        </w:rPr>
      </w:pPr>
      <w:r>
        <w:rPr>
          <w:rFonts w:hint="eastAsia" w:cs="宋体"/>
          <w:lang w:val="en-US" w:eastAsia="zh-CN"/>
        </w:rPr>
        <w:t>欠压保护</w:t>
      </w:r>
      <w:r>
        <w:rPr>
          <w:rFonts w:hint="eastAsia" w:cs="宋体"/>
        </w:rPr>
        <w:t>功能测试方法如下：</w:t>
      </w:r>
    </w:p>
    <w:p w14:paraId="7BD0E142">
      <w:pPr>
        <w:pStyle w:val="233"/>
        <w:numPr>
          <w:ilvl w:val="0"/>
          <w:numId w:val="41"/>
        </w:numPr>
        <w:tabs>
          <w:tab w:val="center" w:pos="4201"/>
          <w:tab w:val="right" w:leader="dot" w:pos="9298"/>
        </w:tabs>
        <w:ind w:firstLine="420"/>
      </w:pPr>
      <w:r>
        <w:t>搭建</w:t>
      </w:r>
      <w:r>
        <w:rPr>
          <w:rFonts w:hint="eastAsia"/>
          <w:lang w:val="en-US" w:eastAsia="zh-CN"/>
        </w:rPr>
        <w:t>测试电</w:t>
      </w:r>
      <w:r>
        <w:t>路</w:t>
      </w:r>
      <w:r>
        <w:rPr>
          <w:rFonts w:hint="eastAsia"/>
          <w:lang w:eastAsia="zh-CN"/>
        </w:rPr>
        <w:t>，</w:t>
      </w:r>
      <w:r>
        <w:rPr>
          <w:rFonts w:hint="eastAsia"/>
          <w:lang w:val="en-US" w:eastAsia="zh-CN"/>
        </w:rPr>
        <w:t>按照xxx图连接被测电源管理芯片、直流输入源、负载、监测电压表、电流表</w:t>
      </w:r>
    </w:p>
    <w:p w14:paraId="59CC2FA0">
      <w:pPr>
        <w:pStyle w:val="233"/>
        <w:numPr>
          <w:ilvl w:val="0"/>
          <w:numId w:val="41"/>
        </w:numPr>
        <w:tabs>
          <w:tab w:val="center" w:pos="4201"/>
          <w:tab w:val="right" w:leader="dot" w:pos="9298"/>
        </w:tabs>
        <w:ind w:firstLine="420"/>
      </w:pPr>
      <w:r>
        <w:rPr>
          <w:rFonts w:hint="eastAsia"/>
        </w:rPr>
        <w:t>施加额定正常输入电压，加载</w:t>
      </w:r>
      <w:r>
        <w:rPr>
          <w:rFonts w:hint="eastAsia"/>
          <w:lang w:val="en-US" w:eastAsia="zh-CN"/>
        </w:rPr>
        <w:t>额定</w:t>
      </w:r>
      <w:r>
        <w:rPr>
          <w:rFonts w:hint="eastAsia"/>
        </w:rPr>
        <w:t>负载</w:t>
      </w:r>
      <w:r>
        <w:rPr>
          <w:rFonts w:hint="eastAsia"/>
          <w:lang w:val="en-US" w:eastAsia="zh-CN"/>
        </w:rPr>
        <w:t>电流</w:t>
      </w:r>
      <w:r>
        <w:rPr>
          <w:rFonts w:hint="eastAsia"/>
        </w:rPr>
        <w:t>，确认输出</w:t>
      </w:r>
      <w:r>
        <w:rPr>
          <w:rFonts w:hint="eastAsia"/>
          <w:lang w:val="en-US" w:eastAsia="zh-CN"/>
        </w:rPr>
        <w:t>电</w:t>
      </w:r>
      <w:r>
        <w:rPr>
          <w:rFonts w:hint="eastAsia"/>
        </w:rPr>
        <w:t>压正常</w:t>
      </w:r>
    </w:p>
    <w:p w14:paraId="3B617581">
      <w:pPr>
        <w:pStyle w:val="233"/>
        <w:numPr>
          <w:ilvl w:val="0"/>
          <w:numId w:val="41"/>
        </w:numPr>
        <w:tabs>
          <w:tab w:val="center" w:pos="4201"/>
          <w:tab w:val="right" w:leader="dot" w:pos="9298"/>
        </w:tabs>
        <w:ind w:firstLine="420"/>
        <w:rPr>
          <w:rFonts w:hint="eastAsia"/>
        </w:rPr>
      </w:pPr>
      <w:r>
        <w:rPr>
          <w:rFonts w:hint="eastAsia"/>
          <w:lang w:val="en-US" w:eastAsia="zh-CN"/>
        </w:rPr>
        <w:t>缓慢阶梯降低输入电压，观测输出电压跌落关断瞬间，记录输入电压为欠压触发阈值V_UVP</w:t>
      </w:r>
    </w:p>
    <w:p w14:paraId="79AC2030">
      <w:pPr>
        <w:pStyle w:val="233"/>
        <w:numPr>
          <w:ilvl w:val="0"/>
          <w:numId w:val="41"/>
        </w:numPr>
        <w:tabs>
          <w:tab w:val="center" w:pos="4201"/>
          <w:tab w:val="right" w:leader="dot" w:pos="9298"/>
        </w:tabs>
        <w:ind w:firstLine="420"/>
        <w:rPr>
          <w:rFonts w:hint="eastAsia"/>
        </w:rPr>
      </w:pPr>
      <w:r>
        <w:rPr>
          <w:rFonts w:hint="eastAsia"/>
        </w:rPr>
        <w:t>保持输入</w:t>
      </w:r>
      <w:r>
        <w:rPr>
          <w:rFonts w:hint="eastAsia"/>
          <w:lang w:val="en-US" w:eastAsia="zh-CN"/>
        </w:rPr>
        <w:t>低</w:t>
      </w:r>
      <w:r>
        <w:rPr>
          <w:rFonts w:hint="eastAsia"/>
        </w:rPr>
        <w:t>压状态持续</w:t>
      </w:r>
      <w:r>
        <w:rPr>
          <w:rFonts w:hint="eastAsia"/>
          <w:lang w:val="en-US" w:eastAsia="zh-CN"/>
        </w:rPr>
        <w:t>1min</w:t>
      </w:r>
      <w:r>
        <w:rPr>
          <w:rFonts w:hint="eastAsia"/>
          <w:lang w:eastAsia="zh-CN"/>
        </w:rPr>
        <w:t>，</w:t>
      </w:r>
      <w:r>
        <w:rPr>
          <w:rFonts w:hint="eastAsia"/>
        </w:rPr>
        <w:t>全程监测</w:t>
      </w:r>
      <w:r>
        <w:rPr>
          <w:rFonts w:hint="eastAsia"/>
          <w:lang w:val="en-US" w:eastAsia="zh-CN"/>
        </w:rPr>
        <w:t>芯片</w:t>
      </w:r>
      <w:r>
        <w:rPr>
          <w:rFonts w:hint="eastAsia"/>
        </w:rPr>
        <w:t>无异常发热、无损坏</w:t>
      </w:r>
    </w:p>
    <w:p w14:paraId="0BF05CC1">
      <w:pPr>
        <w:pStyle w:val="233"/>
        <w:numPr>
          <w:ilvl w:val="0"/>
          <w:numId w:val="41"/>
        </w:numPr>
        <w:tabs>
          <w:tab w:val="center" w:pos="4201"/>
          <w:tab w:val="right" w:leader="dot" w:pos="9298"/>
        </w:tabs>
        <w:ind w:firstLine="420"/>
        <w:rPr>
          <w:rFonts w:hint="eastAsia"/>
        </w:rPr>
      </w:pPr>
      <w:r>
        <w:rPr>
          <w:rFonts w:hint="eastAsia"/>
          <w:lang w:val="en-US" w:eastAsia="zh-CN"/>
        </w:rPr>
        <w:t>缓慢抬升输入电压，输出恢复正常输出时记录输入电压，</w:t>
      </w:r>
      <w:r>
        <w:t>要求5次测试偏差≤±2%</w:t>
      </w:r>
    </w:p>
    <w:p w14:paraId="349F969A">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rPr>
          <w:rFonts w:hint="eastAsia" w:eastAsia="宋体" w:cs="宋体"/>
          <w:lang w:eastAsia="zh-CN"/>
        </w:rPr>
      </w:pPr>
      <w:r>
        <w:rPr>
          <w:rFonts w:hint="eastAsia"/>
        </w:rPr>
        <w:t>过流保护功能</w:t>
      </w:r>
    </w:p>
    <w:p w14:paraId="1A5C6B32">
      <w:pPr>
        <w:pStyle w:val="58"/>
        <w:rPr>
          <w:rFonts w:hint="eastAsia" w:eastAsia="宋体" w:cs="宋体"/>
          <w:lang w:eastAsia="zh-CN"/>
        </w:rPr>
      </w:pPr>
      <w:r>
        <w:rPr>
          <w:rFonts w:hint="eastAsia" w:cs="宋体"/>
          <w:lang w:val="en-US" w:eastAsia="zh-CN"/>
        </w:rPr>
        <w:t>过流保护</w:t>
      </w:r>
      <w:r>
        <w:rPr>
          <w:rFonts w:hint="eastAsia" w:cs="宋体"/>
        </w:rPr>
        <w:t>功能测试方法如下：</w:t>
      </w:r>
    </w:p>
    <w:p w14:paraId="39BE50A3">
      <w:pPr>
        <w:pStyle w:val="233"/>
        <w:numPr>
          <w:ilvl w:val="0"/>
          <w:numId w:val="42"/>
        </w:numPr>
        <w:tabs>
          <w:tab w:val="center" w:pos="4201"/>
          <w:tab w:val="right" w:leader="dot" w:pos="9298"/>
        </w:tabs>
        <w:ind w:firstLine="420"/>
      </w:pPr>
      <w:r>
        <w:t>搭建</w:t>
      </w:r>
      <w:r>
        <w:rPr>
          <w:rFonts w:hint="eastAsia"/>
          <w:lang w:val="en-US" w:eastAsia="zh-CN"/>
        </w:rPr>
        <w:t>测试电</w:t>
      </w:r>
      <w:r>
        <w:t>路</w:t>
      </w:r>
      <w:r>
        <w:rPr>
          <w:rFonts w:hint="eastAsia"/>
          <w:lang w:eastAsia="zh-CN"/>
        </w:rPr>
        <w:t>，</w:t>
      </w:r>
      <w:r>
        <w:rPr>
          <w:rFonts w:hint="eastAsia"/>
          <w:lang w:val="en-US" w:eastAsia="zh-CN"/>
        </w:rPr>
        <w:t>按照xxx图连接被测电源管理芯片、直流输入源、负载、监测电压表、电流表</w:t>
      </w:r>
    </w:p>
    <w:p w14:paraId="0650A51E">
      <w:pPr>
        <w:pStyle w:val="233"/>
        <w:numPr>
          <w:ilvl w:val="0"/>
          <w:numId w:val="42"/>
        </w:numPr>
        <w:tabs>
          <w:tab w:val="center" w:pos="4201"/>
          <w:tab w:val="right" w:leader="dot" w:pos="9298"/>
        </w:tabs>
        <w:ind w:firstLine="420"/>
      </w:pPr>
      <w:r>
        <w:rPr>
          <w:rFonts w:hint="eastAsia"/>
        </w:rPr>
        <w:t>施加额定正常输入电压，加载</w:t>
      </w:r>
      <w:r>
        <w:rPr>
          <w:rFonts w:hint="eastAsia"/>
          <w:lang w:val="en-US" w:eastAsia="zh-CN"/>
        </w:rPr>
        <w:t>额定</w:t>
      </w:r>
      <w:r>
        <w:rPr>
          <w:rFonts w:hint="eastAsia"/>
        </w:rPr>
        <w:t>负载</w:t>
      </w:r>
      <w:r>
        <w:rPr>
          <w:rFonts w:hint="eastAsia"/>
          <w:lang w:val="en-US" w:eastAsia="zh-CN"/>
        </w:rPr>
        <w:t>电流</w:t>
      </w:r>
      <w:r>
        <w:rPr>
          <w:rFonts w:hint="eastAsia"/>
        </w:rPr>
        <w:t>，确认输出</w:t>
      </w:r>
      <w:r>
        <w:rPr>
          <w:rFonts w:hint="eastAsia"/>
          <w:lang w:val="en-US" w:eastAsia="zh-CN"/>
        </w:rPr>
        <w:t>电</w:t>
      </w:r>
      <w:r>
        <w:rPr>
          <w:rFonts w:hint="eastAsia"/>
        </w:rPr>
        <w:t>压正常</w:t>
      </w:r>
    </w:p>
    <w:p w14:paraId="7DC9D586">
      <w:pPr>
        <w:pStyle w:val="233"/>
        <w:numPr>
          <w:ilvl w:val="0"/>
          <w:numId w:val="42"/>
        </w:numPr>
        <w:tabs>
          <w:tab w:val="center" w:pos="4201"/>
          <w:tab w:val="right" w:leader="dot" w:pos="9298"/>
        </w:tabs>
        <w:ind w:firstLine="420"/>
      </w:pPr>
      <w:r>
        <w:rPr>
          <w:lang w:val="en-US" w:eastAsia="zh-CN"/>
        </w:rPr>
        <w:t>缓慢阶梯增大输出负载电流，同步监测输出电压、输出电流；当输出电压跌落</w:t>
      </w:r>
      <w:r>
        <w:rPr>
          <w:rFonts w:hint="eastAsia"/>
          <w:lang w:val="en-US" w:eastAsia="zh-CN"/>
        </w:rPr>
        <w:t>或输出关断时</w:t>
      </w:r>
      <w:r>
        <w:rPr>
          <w:lang w:val="en-US" w:eastAsia="zh-CN"/>
        </w:rPr>
        <w:t>，记录当前输出电流，即为过流限制电流</w:t>
      </w:r>
    </w:p>
    <w:p w14:paraId="662892F7">
      <w:pPr>
        <w:pStyle w:val="233"/>
        <w:numPr>
          <w:ilvl w:val="0"/>
          <w:numId w:val="42"/>
        </w:numPr>
        <w:tabs>
          <w:tab w:val="center" w:pos="4201"/>
          <w:tab w:val="right" w:leader="dot" w:pos="9298"/>
        </w:tabs>
        <w:ind w:firstLine="420"/>
      </w:pPr>
      <w:r>
        <w:t>保持限流状态规定</w:t>
      </w:r>
      <w:r>
        <w:rPr>
          <w:rFonts w:hint="eastAsia"/>
          <w:lang w:val="en-US" w:eastAsia="zh-CN"/>
        </w:rPr>
        <w:t>1min</w:t>
      </w:r>
      <w:r>
        <w:t>，</w:t>
      </w:r>
      <w:r>
        <w:rPr>
          <w:rFonts w:hint="eastAsia"/>
        </w:rPr>
        <w:t>全程监测</w:t>
      </w:r>
      <w:r>
        <w:rPr>
          <w:rFonts w:hint="eastAsia"/>
          <w:lang w:val="en-US" w:eastAsia="zh-CN"/>
        </w:rPr>
        <w:t>芯片</w:t>
      </w:r>
      <w:r>
        <w:rPr>
          <w:rFonts w:hint="eastAsia"/>
        </w:rPr>
        <w:t>无异常发热、无损坏</w:t>
      </w:r>
    </w:p>
    <w:p w14:paraId="1BF40466">
      <w:pPr>
        <w:pStyle w:val="233"/>
        <w:numPr>
          <w:ilvl w:val="0"/>
          <w:numId w:val="42"/>
        </w:numPr>
        <w:tabs>
          <w:tab w:val="center" w:pos="4201"/>
          <w:tab w:val="right" w:leader="dot" w:pos="9298"/>
        </w:tabs>
        <w:ind w:firstLine="420"/>
      </w:pPr>
      <w:r>
        <w:t>随后降低负载电流，确认输出电压自动恢复稳压</w:t>
      </w:r>
      <w:r>
        <w:rPr>
          <w:rFonts w:hint="eastAsia"/>
          <w:lang w:eastAsia="zh-CN"/>
        </w:rPr>
        <w:t>，</w:t>
      </w:r>
      <w:r>
        <w:t>实测限流值在规格允许区间，过流时有效限流，减载后输出恢复，过流保护功能合格</w:t>
      </w:r>
    </w:p>
    <w:p w14:paraId="186037D1">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rPr>
          <w:rFonts w:hint="eastAsia" w:cs="Times New Roman"/>
          <w:lang w:val="en-US" w:eastAsia="zh-CN"/>
        </w:rPr>
      </w:pPr>
      <w:r>
        <w:rPr>
          <w:rFonts w:hint="eastAsia"/>
        </w:rPr>
        <w:t>过温保护功能</w:t>
      </w:r>
    </w:p>
    <w:p w14:paraId="17AFBC1B">
      <w:pPr>
        <w:pStyle w:val="58"/>
        <w:rPr>
          <w:rFonts w:hint="eastAsia" w:eastAsia="宋体" w:cs="宋体"/>
          <w:lang w:eastAsia="zh-CN"/>
        </w:rPr>
      </w:pPr>
      <w:r>
        <w:rPr>
          <w:rFonts w:hint="eastAsia" w:cs="宋体"/>
          <w:lang w:val="en-US" w:eastAsia="zh-CN"/>
        </w:rPr>
        <w:t>短路保护</w:t>
      </w:r>
      <w:r>
        <w:rPr>
          <w:rFonts w:hint="eastAsia" w:cs="宋体"/>
        </w:rPr>
        <w:t>功能测试方法如下：</w:t>
      </w:r>
    </w:p>
    <w:p w14:paraId="67CE8D46">
      <w:pPr>
        <w:pStyle w:val="233"/>
        <w:numPr>
          <w:ilvl w:val="0"/>
          <w:numId w:val="43"/>
        </w:numPr>
        <w:tabs>
          <w:tab w:val="center" w:pos="4201"/>
          <w:tab w:val="right" w:leader="dot" w:pos="9298"/>
        </w:tabs>
        <w:ind w:firstLine="420"/>
      </w:pPr>
      <w:r>
        <w:t>搭建</w:t>
      </w:r>
      <w:r>
        <w:rPr>
          <w:rFonts w:hint="eastAsia"/>
          <w:lang w:val="en-US" w:eastAsia="zh-CN"/>
        </w:rPr>
        <w:t>测试电</w:t>
      </w:r>
      <w:r>
        <w:t>路</w:t>
      </w:r>
      <w:r>
        <w:rPr>
          <w:rFonts w:hint="eastAsia"/>
          <w:lang w:eastAsia="zh-CN"/>
        </w:rPr>
        <w:t>，</w:t>
      </w:r>
      <w:r>
        <w:rPr>
          <w:rFonts w:hint="eastAsia"/>
          <w:lang w:val="en-US" w:eastAsia="zh-CN"/>
        </w:rPr>
        <w:t>按照xxx图连接被测电源管理芯片、直流输入源、负载、监测电压表、电流表，温箱</w:t>
      </w:r>
    </w:p>
    <w:p w14:paraId="3E9845EE">
      <w:pPr>
        <w:pStyle w:val="233"/>
        <w:numPr>
          <w:ilvl w:val="0"/>
          <w:numId w:val="43"/>
        </w:numPr>
        <w:tabs>
          <w:tab w:val="center" w:pos="4201"/>
          <w:tab w:val="right" w:leader="dot" w:pos="9298"/>
        </w:tabs>
        <w:ind w:firstLine="420"/>
      </w:pPr>
      <w:r>
        <w:rPr>
          <w:rFonts w:hint="eastAsia"/>
        </w:rPr>
        <w:t>施加额定正常输入电压，加载</w:t>
      </w:r>
      <w:r>
        <w:rPr>
          <w:rFonts w:hint="eastAsia"/>
          <w:lang w:val="en-US" w:eastAsia="zh-CN"/>
        </w:rPr>
        <w:t>额定</w:t>
      </w:r>
      <w:r>
        <w:rPr>
          <w:rFonts w:hint="eastAsia"/>
        </w:rPr>
        <w:t>负载</w:t>
      </w:r>
      <w:r>
        <w:rPr>
          <w:rFonts w:hint="eastAsia"/>
          <w:lang w:val="en-US" w:eastAsia="zh-CN"/>
        </w:rPr>
        <w:t>电流</w:t>
      </w:r>
      <w:r>
        <w:rPr>
          <w:rFonts w:hint="eastAsia"/>
        </w:rPr>
        <w:t>，确认输出</w:t>
      </w:r>
      <w:r>
        <w:rPr>
          <w:rFonts w:hint="eastAsia"/>
          <w:lang w:val="en-US" w:eastAsia="zh-CN"/>
        </w:rPr>
        <w:t>电</w:t>
      </w:r>
      <w:r>
        <w:rPr>
          <w:rFonts w:hint="eastAsia"/>
        </w:rPr>
        <w:t>压正常</w:t>
      </w:r>
    </w:p>
    <w:p w14:paraId="645F1113">
      <w:pPr>
        <w:pStyle w:val="233"/>
        <w:numPr>
          <w:ilvl w:val="0"/>
          <w:numId w:val="43"/>
        </w:numPr>
        <w:tabs>
          <w:tab w:val="center" w:pos="4201"/>
          <w:tab w:val="right" w:leader="dot" w:pos="9298"/>
        </w:tabs>
        <w:ind w:firstLine="420"/>
      </w:pPr>
      <w:r>
        <w:rPr>
          <w:lang w:val="en-US" w:eastAsia="zh-CN"/>
        </w:rPr>
        <w:t>缓慢阶梯</w:t>
      </w:r>
      <w:r>
        <w:rPr>
          <w:rFonts w:hint="eastAsia"/>
          <w:lang w:val="en-US" w:eastAsia="zh-CN"/>
        </w:rPr>
        <w:t>升高温箱温度</w:t>
      </w:r>
      <w:r>
        <w:rPr>
          <w:lang w:val="en-US" w:eastAsia="zh-CN"/>
        </w:rPr>
        <w:t>，同步监测输出电压、输出电流</w:t>
      </w:r>
      <w:r>
        <w:rPr>
          <w:rFonts w:hint="eastAsia"/>
          <w:lang w:val="en-US" w:eastAsia="zh-CN"/>
        </w:rPr>
        <w:t>，芯片温度</w:t>
      </w:r>
    </w:p>
    <w:p w14:paraId="512F9F9D">
      <w:pPr>
        <w:pStyle w:val="233"/>
        <w:numPr>
          <w:ilvl w:val="0"/>
          <w:numId w:val="43"/>
        </w:numPr>
        <w:tabs>
          <w:tab w:val="center" w:pos="4201"/>
          <w:tab w:val="right" w:leader="dot" w:pos="9298"/>
        </w:tabs>
        <w:ind w:firstLine="420"/>
      </w:pPr>
      <w:r>
        <w:rPr>
          <w:lang w:val="en-US" w:eastAsia="zh-CN"/>
        </w:rPr>
        <w:t>当输出电压</w:t>
      </w:r>
      <w:r>
        <w:rPr>
          <w:rFonts w:hint="eastAsia"/>
          <w:lang w:val="en-US" w:eastAsia="zh-CN"/>
        </w:rPr>
        <w:t>输出关断时，</w:t>
      </w:r>
      <w:r>
        <w:rPr>
          <w:lang w:val="en-US" w:eastAsia="zh-CN"/>
        </w:rPr>
        <w:t>记录当前</w:t>
      </w:r>
      <w:r>
        <w:rPr>
          <w:rFonts w:hint="eastAsia"/>
          <w:lang w:val="en-US" w:eastAsia="zh-CN"/>
        </w:rPr>
        <w:t>温度</w:t>
      </w:r>
      <w:r>
        <w:rPr>
          <w:lang w:val="en-US" w:eastAsia="zh-CN"/>
        </w:rPr>
        <w:t>，即为过</w:t>
      </w:r>
      <w:r>
        <w:rPr>
          <w:rFonts w:hint="eastAsia"/>
          <w:lang w:val="en-US" w:eastAsia="zh-CN"/>
        </w:rPr>
        <w:t>温保护值</w:t>
      </w:r>
    </w:p>
    <w:p w14:paraId="7009DF6A">
      <w:pPr>
        <w:pStyle w:val="233"/>
        <w:numPr>
          <w:ilvl w:val="0"/>
          <w:numId w:val="43"/>
        </w:numPr>
        <w:tabs>
          <w:tab w:val="center" w:pos="4201"/>
          <w:tab w:val="right" w:leader="dot" w:pos="9298"/>
        </w:tabs>
        <w:ind w:firstLine="420"/>
      </w:pPr>
      <w:r>
        <w:t>保持</w:t>
      </w:r>
      <w:r>
        <w:rPr>
          <w:rFonts w:hint="eastAsia"/>
          <w:lang w:val="en-US" w:eastAsia="zh-CN"/>
        </w:rPr>
        <w:t>过温1min</w:t>
      </w:r>
      <w:r>
        <w:t>，</w:t>
      </w:r>
      <w:r>
        <w:rPr>
          <w:rFonts w:hint="eastAsia"/>
        </w:rPr>
        <w:t>全程监测</w:t>
      </w:r>
      <w:r>
        <w:rPr>
          <w:rFonts w:hint="eastAsia"/>
          <w:lang w:val="en-US" w:eastAsia="zh-CN"/>
        </w:rPr>
        <w:t>芯片</w:t>
      </w:r>
      <w:r>
        <w:rPr>
          <w:rFonts w:hint="eastAsia"/>
        </w:rPr>
        <w:t>无异常发热、无损坏</w:t>
      </w:r>
    </w:p>
    <w:p w14:paraId="1C6BA191">
      <w:pPr>
        <w:pStyle w:val="233"/>
        <w:numPr>
          <w:ilvl w:val="0"/>
          <w:numId w:val="43"/>
        </w:numPr>
        <w:tabs>
          <w:tab w:val="center" w:pos="4201"/>
          <w:tab w:val="right" w:leader="dot" w:pos="9298"/>
        </w:tabs>
        <w:ind w:firstLine="420"/>
      </w:pPr>
      <w:r>
        <w:t>随后降低</w:t>
      </w:r>
      <w:r>
        <w:rPr>
          <w:rFonts w:hint="eastAsia"/>
          <w:lang w:val="en-US" w:eastAsia="zh-CN"/>
        </w:rPr>
        <w:t>温度</w:t>
      </w:r>
      <w:r>
        <w:t>，确认输出电压自动恢复稳压</w:t>
      </w:r>
      <w:r>
        <w:rPr>
          <w:rFonts w:hint="eastAsia"/>
          <w:lang w:eastAsia="zh-CN"/>
        </w:rPr>
        <w:t>，</w:t>
      </w:r>
      <w:r>
        <w:rPr>
          <w:rFonts w:hint="eastAsia"/>
          <w:lang w:val="en-US" w:eastAsia="zh-CN"/>
        </w:rPr>
        <w:t>稳流状态，</w:t>
      </w:r>
      <w:r>
        <w:t>实测</w:t>
      </w:r>
      <w:r>
        <w:rPr>
          <w:rFonts w:hint="eastAsia"/>
          <w:lang w:val="en-US" w:eastAsia="zh-CN"/>
        </w:rPr>
        <w:t>过温</w:t>
      </w:r>
      <w:r>
        <w:t>值在规格允许区间，过</w:t>
      </w:r>
      <w:r>
        <w:rPr>
          <w:rFonts w:hint="eastAsia"/>
          <w:lang w:val="en-US" w:eastAsia="zh-CN"/>
        </w:rPr>
        <w:t>温</w:t>
      </w:r>
      <w:r>
        <w:t>保护功能合格</w:t>
      </w:r>
    </w:p>
    <w:p w14:paraId="2C977A94">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pPr>
      <w:r>
        <w:rPr>
          <w:rFonts w:hint="eastAsia"/>
        </w:rPr>
        <w:t>控制功能</w:t>
      </w:r>
    </w:p>
    <w:p w14:paraId="4A464047">
      <w:pPr>
        <w:pStyle w:val="233"/>
        <w:tabs>
          <w:tab w:val="center" w:pos="4201"/>
          <w:tab w:val="right" w:leader="dot" w:pos="9298"/>
        </w:tabs>
        <w:ind w:firstLine="420"/>
        <w:rPr>
          <w:rFonts w:hint="eastAsia" w:cs="宋体"/>
          <w:highlight w:val="yellow"/>
        </w:rPr>
      </w:pPr>
      <w:r>
        <w:rPr>
          <w:rFonts w:hint="eastAsia" w:cs="宋体"/>
          <w:highlight w:val="yellow"/>
          <w:lang w:eastAsia="zh-CN"/>
        </w:rPr>
        <w:t>控制</w:t>
      </w:r>
      <w:r>
        <w:rPr>
          <w:rFonts w:hint="eastAsia" w:cs="宋体"/>
          <w:highlight w:val="yellow"/>
        </w:rPr>
        <w:t>功能测试方法如下：</w:t>
      </w:r>
    </w:p>
    <w:p w14:paraId="321233C9">
      <w:pPr>
        <w:pStyle w:val="233"/>
        <w:tabs>
          <w:tab w:val="center" w:pos="4201"/>
          <w:tab w:val="right" w:leader="dot" w:pos="9298"/>
        </w:tabs>
        <w:ind w:firstLine="420"/>
        <w:rPr>
          <w:rFonts w:hint="eastAsia"/>
          <w:highlight w:val="yellow"/>
        </w:rPr>
      </w:pPr>
      <w:r>
        <w:rPr>
          <w:rFonts w:hint="eastAsia"/>
          <w:highlight w:val="yellow"/>
        </w:rPr>
        <w:t>电源时序控制功能、</w:t>
      </w:r>
    </w:p>
    <w:p w14:paraId="49E57D0E">
      <w:pPr>
        <w:pStyle w:val="233"/>
        <w:tabs>
          <w:tab w:val="center" w:pos="4201"/>
          <w:tab w:val="right" w:leader="dot" w:pos="9298"/>
        </w:tabs>
        <w:ind w:firstLine="420"/>
        <w:rPr>
          <w:rFonts w:hint="eastAsia"/>
          <w:highlight w:val="yellow"/>
        </w:rPr>
      </w:pPr>
      <w:r>
        <w:rPr>
          <w:rFonts w:hint="eastAsia"/>
          <w:highlight w:val="yellow"/>
        </w:rPr>
        <w:t>低功耗模式管理功能</w:t>
      </w:r>
    </w:p>
    <w:p w14:paraId="685DFE9B">
      <w:pPr>
        <w:pStyle w:val="233"/>
        <w:tabs>
          <w:tab w:val="center" w:pos="4201"/>
          <w:tab w:val="right" w:leader="dot" w:pos="9298"/>
        </w:tabs>
        <w:ind w:firstLine="420"/>
        <w:rPr>
          <w:rFonts w:hint="eastAsia" w:cs="宋体"/>
          <w:highlight w:val="yellow"/>
        </w:rPr>
      </w:pPr>
      <w:r>
        <w:rPr>
          <w:rFonts w:hint="eastAsia"/>
          <w:highlight w:val="yellow"/>
        </w:rPr>
        <w:t>、故障诊断功能</w:t>
      </w:r>
    </w:p>
    <w:p w14:paraId="041CCCB2">
      <w:pPr>
        <w:numPr>
          <w:ilvl w:val="0"/>
          <w:numId w:val="44"/>
        </w:numPr>
        <w:tabs>
          <w:tab w:val="left" w:pos="360"/>
          <w:tab w:val="left" w:pos="567"/>
        </w:tabs>
        <w:adjustRightInd/>
        <w:spacing w:line="240" w:lineRule="auto"/>
        <w:ind w:left="840" w:leftChars="200" w:hanging="420" w:hangingChars="200"/>
        <w:jc w:val="left"/>
        <w:rPr>
          <w:rFonts w:ascii="Times New Roman" w:hAnsi="Times New Roman"/>
          <w:strike/>
          <w:dstrike w:val="0"/>
          <w:szCs w:val="24"/>
          <w:highlight w:val="yellow"/>
        </w:rPr>
      </w:pPr>
      <w:r>
        <w:rPr>
          <w:rFonts w:hint="eastAsia" w:ascii="Times New Roman" w:hAnsi="Times New Roman"/>
          <w:szCs w:val="24"/>
          <w:highlight w:val="yellow"/>
        </w:rPr>
        <w:t>将纯电动客车用电源管理芯片连接至测试治具，并连接所有测试设备（</w:t>
      </w:r>
      <w:r>
        <w:rPr>
          <w:rFonts w:hint="eastAsia" w:ascii="Times New Roman" w:hAnsi="Times New Roman"/>
          <w:strike/>
          <w:dstrike w:val="0"/>
          <w:szCs w:val="24"/>
          <w:highlight w:val="yellow"/>
        </w:rPr>
        <w:t>电源供应器、电子负载、示波器、逻辑分析仪等）；</w:t>
      </w:r>
    </w:p>
    <w:p w14:paraId="5FE58787">
      <w:pPr>
        <w:numPr>
          <w:ilvl w:val="0"/>
          <w:numId w:val="44"/>
        </w:numPr>
        <w:tabs>
          <w:tab w:val="left" w:pos="360"/>
          <w:tab w:val="left" w:pos="567"/>
        </w:tabs>
        <w:adjustRightInd/>
        <w:spacing w:line="240" w:lineRule="auto"/>
        <w:ind w:left="840" w:leftChars="200" w:hanging="420" w:hangingChars="200"/>
        <w:jc w:val="left"/>
        <w:rPr>
          <w:rFonts w:ascii="Times New Roman" w:hAnsi="Times New Roman"/>
          <w:szCs w:val="24"/>
          <w:highlight w:val="yellow"/>
        </w:rPr>
      </w:pPr>
      <w:r>
        <w:rPr>
          <w:rFonts w:hint="eastAsia" w:ascii="Times New Roman" w:hAnsi="Times New Roman"/>
          <w:szCs w:val="24"/>
          <w:highlight w:val="yellow"/>
        </w:rPr>
        <w:t>配置测试软件，确保能够监测到纯电动客车用电源管理芯片的状态信号等；</w:t>
      </w:r>
    </w:p>
    <w:p w14:paraId="038D2F19">
      <w:pPr>
        <w:numPr>
          <w:ilvl w:val="0"/>
          <w:numId w:val="44"/>
        </w:numPr>
        <w:tabs>
          <w:tab w:val="left" w:pos="360"/>
          <w:tab w:val="left" w:pos="567"/>
        </w:tabs>
        <w:adjustRightInd/>
        <w:spacing w:line="240" w:lineRule="auto"/>
        <w:ind w:left="840" w:leftChars="200" w:hanging="420" w:hangingChars="200"/>
        <w:jc w:val="left"/>
        <w:rPr>
          <w:rFonts w:ascii="Times New Roman" w:hAnsi="Times New Roman"/>
          <w:szCs w:val="24"/>
          <w:highlight w:val="yellow"/>
        </w:rPr>
      </w:pPr>
      <w:r>
        <w:rPr>
          <w:rFonts w:hint="eastAsia" w:ascii="Times New Roman" w:hAnsi="Times New Roman"/>
          <w:szCs w:val="24"/>
          <w:highlight w:val="yellow"/>
        </w:rPr>
        <w:t>设置电源供应器输出电压为纯电动客车用电源管理芯片设计工作电压，并配置电源管理芯片于正常工作状态；</w:t>
      </w:r>
    </w:p>
    <w:p w14:paraId="5A547885">
      <w:pPr>
        <w:numPr>
          <w:ilvl w:val="0"/>
          <w:numId w:val="44"/>
        </w:numPr>
        <w:tabs>
          <w:tab w:val="left" w:pos="360"/>
          <w:tab w:val="left" w:pos="567"/>
        </w:tabs>
        <w:adjustRightInd/>
        <w:spacing w:line="240" w:lineRule="auto"/>
        <w:ind w:left="840" w:leftChars="200" w:hanging="420" w:hangingChars="200"/>
        <w:jc w:val="left"/>
        <w:rPr>
          <w:rFonts w:ascii="Times New Roman" w:hAnsi="Times New Roman"/>
          <w:szCs w:val="24"/>
          <w:highlight w:val="yellow"/>
        </w:rPr>
      </w:pPr>
      <w:r>
        <w:rPr>
          <w:rFonts w:hint="eastAsia" w:ascii="Times New Roman" w:hAnsi="Times New Roman"/>
          <w:szCs w:val="24"/>
          <w:highlight w:val="yellow"/>
        </w:rPr>
        <w:t>初始化纯电动客车用电源管理芯片看门狗配置，设定看门狗溢出周期，使用包含死循环的程序停止对看门狗的重置操作，测试纯电动客车用电源管理芯片是否能看门狗溢出触发系统复位；</w:t>
      </w:r>
    </w:p>
    <w:p w14:paraId="75A0671F">
      <w:pPr>
        <w:numPr>
          <w:ilvl w:val="0"/>
          <w:numId w:val="44"/>
        </w:numPr>
        <w:tabs>
          <w:tab w:val="left" w:pos="360"/>
          <w:tab w:val="left" w:pos="567"/>
        </w:tabs>
        <w:adjustRightInd/>
        <w:spacing w:line="240" w:lineRule="auto"/>
        <w:ind w:left="840" w:leftChars="200" w:hanging="420" w:hangingChars="200"/>
        <w:jc w:val="left"/>
        <w:rPr>
          <w:rFonts w:ascii="Times New Roman" w:hAnsi="Times New Roman"/>
          <w:szCs w:val="24"/>
          <w:highlight w:val="yellow"/>
        </w:rPr>
      </w:pPr>
      <w:r>
        <w:rPr>
          <w:rFonts w:hint="eastAsia" w:ascii="Times New Roman" w:hAnsi="Times New Roman"/>
          <w:szCs w:val="24"/>
          <w:highlight w:val="yellow"/>
        </w:rPr>
        <w:t>纯电动客车用电源管理芯片正常工作时，通过改变电源管理芯片复位引脚电平或断电再上电，测试纯电动客车用电源管理芯片是否能触发系统复位；</w:t>
      </w:r>
    </w:p>
    <w:p w14:paraId="25A1042D">
      <w:pPr>
        <w:numPr>
          <w:ilvl w:val="0"/>
          <w:numId w:val="44"/>
        </w:numPr>
        <w:tabs>
          <w:tab w:val="left" w:pos="360"/>
          <w:tab w:val="left" w:pos="567"/>
        </w:tabs>
        <w:adjustRightInd/>
        <w:spacing w:line="240" w:lineRule="auto"/>
        <w:ind w:left="840" w:leftChars="200" w:hanging="420" w:hangingChars="200"/>
        <w:jc w:val="left"/>
        <w:rPr>
          <w:rFonts w:ascii="Times New Roman" w:hAnsi="Times New Roman"/>
          <w:szCs w:val="24"/>
          <w:highlight w:val="yellow"/>
        </w:rPr>
      </w:pPr>
      <w:r>
        <w:rPr>
          <w:rFonts w:hint="eastAsia" w:ascii="Times New Roman" w:hAnsi="Times New Roman"/>
          <w:szCs w:val="24"/>
          <w:highlight w:val="yellow"/>
        </w:rPr>
        <w:t>使用包含软件复位指令的测试程序，测试纯电动客车用电源理芯片是否能软件触发复位。</w:t>
      </w:r>
    </w:p>
    <w:p w14:paraId="2D2A0C30">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rPr>
          <w:highlight w:val="yellow"/>
        </w:rPr>
      </w:pPr>
      <w:r>
        <w:rPr>
          <w:rFonts w:hint="eastAsia"/>
          <w:highlight w:val="yellow"/>
        </w:rPr>
        <w:t>通信功能</w:t>
      </w:r>
    </w:p>
    <w:p w14:paraId="41225F1C">
      <w:pPr>
        <w:pStyle w:val="233"/>
        <w:tabs>
          <w:tab w:val="center" w:pos="4201"/>
          <w:tab w:val="right" w:leader="dot" w:pos="9298"/>
        </w:tabs>
        <w:ind w:firstLine="420"/>
        <w:rPr>
          <w:rFonts w:hint="eastAsia" w:hAnsi="宋体" w:cs="宋体"/>
          <w:highlight w:val="yellow"/>
        </w:rPr>
      </w:pPr>
      <w:r>
        <w:rPr>
          <w:rFonts w:hint="eastAsia" w:cs="宋体"/>
          <w:highlight w:val="yellow"/>
        </w:rPr>
        <w:t>通信功能测试方法如下：</w:t>
      </w:r>
    </w:p>
    <w:p w14:paraId="5EA78E8F">
      <w:pPr>
        <w:numPr>
          <w:ilvl w:val="0"/>
          <w:numId w:val="45"/>
        </w:numPr>
        <w:tabs>
          <w:tab w:val="left" w:pos="360"/>
          <w:tab w:val="left" w:pos="567"/>
        </w:tabs>
        <w:adjustRightInd/>
        <w:spacing w:line="240" w:lineRule="auto"/>
        <w:ind w:left="840" w:leftChars="200" w:hanging="420" w:hangingChars="200"/>
        <w:jc w:val="left"/>
        <w:rPr>
          <w:rFonts w:ascii="Times New Roman" w:hAnsi="Times New Roman"/>
          <w:szCs w:val="24"/>
          <w:highlight w:val="yellow"/>
        </w:rPr>
      </w:pPr>
      <w:r>
        <w:rPr>
          <w:rFonts w:hint="eastAsia" w:ascii="Times New Roman" w:hAnsi="Times New Roman"/>
          <w:szCs w:val="24"/>
          <w:highlight w:val="yellow"/>
        </w:rPr>
        <w:t>将纯电动客车用电源管理芯片连接，并连接所有测试设备（电源、电子负载、示波器）；</w:t>
      </w:r>
    </w:p>
    <w:p w14:paraId="5D14F889">
      <w:pPr>
        <w:numPr>
          <w:ilvl w:val="0"/>
          <w:numId w:val="45"/>
        </w:numPr>
        <w:tabs>
          <w:tab w:val="left" w:pos="360"/>
          <w:tab w:val="left" w:pos="567"/>
        </w:tabs>
        <w:adjustRightInd/>
        <w:spacing w:line="240" w:lineRule="auto"/>
        <w:ind w:left="840" w:leftChars="200" w:hanging="420" w:hangingChars="200"/>
        <w:jc w:val="left"/>
        <w:rPr>
          <w:rFonts w:ascii="Times New Roman" w:hAnsi="Times New Roman"/>
          <w:szCs w:val="24"/>
          <w:highlight w:val="yellow"/>
        </w:rPr>
      </w:pPr>
      <w:r>
        <w:rPr>
          <w:rFonts w:hint="eastAsia" w:ascii="Times New Roman" w:hAnsi="Times New Roman"/>
          <w:szCs w:val="24"/>
          <w:highlight w:val="yellow"/>
        </w:rPr>
        <w:t>配置测试软件，确保能够监测到纯电动客车用电源管理芯片的状态信号等；</w:t>
      </w:r>
    </w:p>
    <w:p w14:paraId="088F91E4">
      <w:pPr>
        <w:numPr>
          <w:ilvl w:val="0"/>
          <w:numId w:val="45"/>
        </w:numPr>
        <w:tabs>
          <w:tab w:val="left" w:pos="360"/>
          <w:tab w:val="left" w:pos="567"/>
        </w:tabs>
        <w:adjustRightInd/>
        <w:spacing w:line="240" w:lineRule="auto"/>
        <w:ind w:left="840" w:leftChars="200" w:hanging="420" w:hangingChars="200"/>
        <w:jc w:val="left"/>
        <w:rPr>
          <w:rFonts w:ascii="Times New Roman" w:hAnsi="Times New Roman"/>
          <w:szCs w:val="24"/>
          <w:highlight w:val="yellow"/>
        </w:rPr>
      </w:pPr>
      <w:r>
        <w:rPr>
          <w:rFonts w:hint="eastAsia" w:ascii="Times New Roman" w:hAnsi="Times New Roman"/>
          <w:szCs w:val="24"/>
          <w:highlight w:val="yellow"/>
        </w:rPr>
        <w:t>选择合适的数据传输协议，根据通信协议模拟相应的总线发送和接收数据，验证数据的传输是否正确以确认纯电动客车用电源管理芯片是否支持具有相应外部通信功能；</w:t>
      </w:r>
    </w:p>
    <w:p w14:paraId="0CF2C81E">
      <w:pPr>
        <w:pStyle w:val="107"/>
        <w:spacing w:before="120" w:after="120"/>
      </w:pPr>
      <w:bookmarkStart w:id="69" w:name="_Toc2113"/>
      <w:bookmarkStart w:id="70" w:name="_Toc3035"/>
      <w:r>
        <w:rPr>
          <w:rFonts w:hint="eastAsia"/>
        </w:rPr>
        <w:t>性能试验</w:t>
      </w:r>
      <w:bookmarkEnd w:id="69"/>
      <w:bookmarkEnd w:id="70"/>
    </w:p>
    <w:p w14:paraId="58F3DA86">
      <w:pPr>
        <w:pStyle w:val="233"/>
        <w:tabs>
          <w:tab w:val="center" w:pos="4201"/>
          <w:tab w:val="right" w:leader="dot" w:pos="9298"/>
        </w:tabs>
        <w:ind w:firstLine="630" w:firstLineChars="300"/>
        <w:rPr>
          <w:rFonts w:cs="宋体"/>
        </w:rPr>
      </w:pPr>
      <w:bookmarkStart w:id="71" w:name="OLE_LINK11"/>
      <w:r>
        <w:rPr>
          <w:rFonts w:hint="eastAsia" w:cs="宋体"/>
        </w:rPr>
        <w:t>试验条件应符合6.1.1试验条件的规定。</w:t>
      </w:r>
    </w:p>
    <w:p w14:paraId="4EABC2A8">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pPr>
      <w:r>
        <w:rPr>
          <w:rFonts w:hint="eastAsia"/>
        </w:rPr>
        <w:t>电源软启动</w:t>
      </w:r>
      <w:r>
        <w:rPr>
          <w:rFonts w:hint="eastAsia"/>
          <w:lang w:val="en-US" w:eastAsia="zh-CN"/>
        </w:rPr>
        <w:t>时间</w:t>
      </w:r>
    </w:p>
    <w:p w14:paraId="02A4F255">
      <w:pPr>
        <w:pStyle w:val="58"/>
        <w:rPr>
          <w:rFonts w:ascii="Times New Roman" w:hAnsi="Times New Roman"/>
          <w:szCs w:val="24"/>
        </w:rPr>
      </w:pPr>
      <w:r>
        <w:rPr>
          <w:rFonts w:hint="eastAsia"/>
        </w:rPr>
        <w:t>电源软启动</w:t>
      </w:r>
      <w:r>
        <w:rPr>
          <w:rFonts w:hint="eastAsia"/>
          <w:lang w:val="en-US" w:eastAsia="zh-CN"/>
        </w:rPr>
        <w:t>时间</w:t>
      </w:r>
      <w:r>
        <w:rPr>
          <w:rFonts w:hint="eastAsia" w:cs="宋体"/>
        </w:rPr>
        <w:t>测试方法如下</w:t>
      </w:r>
      <w:r>
        <w:rPr>
          <w:rFonts w:hint="eastAsia" w:cs="宋体"/>
          <w:lang w:eastAsia="zh-CN"/>
        </w:rPr>
        <w:t>：</w:t>
      </w:r>
    </w:p>
    <w:p w14:paraId="1AC06908">
      <w:pPr>
        <w:numPr>
          <w:ilvl w:val="0"/>
          <w:numId w:val="46"/>
        </w:numPr>
        <w:tabs>
          <w:tab w:val="left" w:pos="360"/>
          <w:tab w:val="left" w:pos="567"/>
        </w:tabs>
        <w:adjustRightInd/>
        <w:spacing w:line="240" w:lineRule="auto"/>
        <w:ind w:left="840" w:leftChars="200" w:hanging="420" w:hangingChars="200"/>
        <w:jc w:val="left"/>
        <w:rPr>
          <w:rFonts w:ascii="Times New Roman" w:hAnsi="Times New Roman"/>
          <w:szCs w:val="24"/>
        </w:rPr>
      </w:pPr>
      <w:r>
        <w:rPr>
          <w:rFonts w:hint="eastAsia" w:ascii="Times New Roman" w:hAnsi="Times New Roman"/>
          <w:szCs w:val="24"/>
        </w:rPr>
        <w:t>从输入上电有效，到输出电压稳定至额定值的全过程为软启动阶段。</w:t>
      </w:r>
    </w:p>
    <w:p w14:paraId="6D69329D">
      <w:pPr>
        <w:numPr>
          <w:ilvl w:val="0"/>
          <w:numId w:val="46"/>
        </w:numPr>
        <w:tabs>
          <w:tab w:val="left" w:pos="360"/>
          <w:tab w:val="left" w:pos="567"/>
        </w:tabs>
        <w:adjustRightInd/>
        <w:spacing w:line="240" w:lineRule="auto"/>
        <w:ind w:left="840" w:leftChars="200" w:hanging="420" w:hangingChars="200"/>
        <w:jc w:val="left"/>
        <w:rPr>
          <w:rFonts w:ascii="Times New Roman" w:hAnsi="Times New Roman"/>
          <w:szCs w:val="24"/>
        </w:rPr>
      </w:pPr>
      <w:r>
        <w:rPr>
          <w:rFonts w:ascii="Times New Roman" w:hAnsi="Times New Roman"/>
          <w:szCs w:val="24"/>
        </w:rPr>
        <w:t>输入端断开供电，负载调至规定电流</w:t>
      </w:r>
    </w:p>
    <w:p w14:paraId="20A63697">
      <w:pPr>
        <w:numPr>
          <w:ilvl w:val="0"/>
          <w:numId w:val="46"/>
        </w:numPr>
        <w:tabs>
          <w:tab w:val="left" w:pos="360"/>
          <w:tab w:val="left" w:pos="567"/>
        </w:tabs>
        <w:adjustRightInd/>
        <w:spacing w:line="240" w:lineRule="auto"/>
        <w:ind w:left="840" w:leftChars="200" w:hanging="420" w:hangingChars="200"/>
        <w:jc w:val="left"/>
        <w:rPr>
          <w:rFonts w:ascii="Times New Roman" w:hAnsi="Times New Roman"/>
          <w:szCs w:val="24"/>
        </w:rPr>
      </w:pPr>
      <w:r>
        <w:rPr>
          <w:rFonts w:ascii="Times New Roman" w:hAnsi="Times New Roman"/>
          <w:szCs w:val="24"/>
        </w:rPr>
        <w:t>闭合开关上电，示波器同步采集波形</w:t>
      </w:r>
    </w:p>
    <w:p w14:paraId="766AB5B1">
      <w:pPr>
        <w:numPr>
          <w:ilvl w:val="0"/>
          <w:numId w:val="46"/>
        </w:numPr>
        <w:tabs>
          <w:tab w:val="left" w:pos="360"/>
          <w:tab w:val="left" w:pos="567"/>
        </w:tabs>
        <w:adjustRightInd/>
        <w:spacing w:line="240" w:lineRule="auto"/>
        <w:ind w:left="840" w:leftChars="200" w:hanging="420" w:hangingChars="200"/>
        <w:jc w:val="left"/>
        <w:rPr>
          <w:rFonts w:ascii="Times New Roman" w:hAnsi="Times New Roman"/>
          <w:szCs w:val="24"/>
        </w:rPr>
      </w:pPr>
      <w:r>
        <w:rPr>
          <w:rFonts w:ascii="Times New Roman" w:hAnsi="Times New Roman"/>
          <w:szCs w:val="24"/>
        </w:rPr>
        <w:t>记录</w:t>
      </w:r>
      <w:r>
        <w:rPr>
          <w:rFonts w:hint="eastAsia" w:ascii="Times New Roman" w:hAnsi="Times New Roman"/>
          <w:szCs w:val="24"/>
          <w:lang w:val="en-US" w:eastAsia="zh-CN"/>
        </w:rPr>
        <w:t>输出电压上升沿</w:t>
      </w:r>
      <w:r>
        <w:rPr>
          <w:rFonts w:ascii="Times New Roman" w:hAnsi="Times New Roman"/>
          <w:szCs w:val="24"/>
        </w:rPr>
        <w:t>至输出达到标称90%的时间为软启动时间</w:t>
      </w:r>
    </w:p>
    <w:p w14:paraId="5A30E5F0">
      <w:pPr>
        <w:numPr>
          <w:ilvl w:val="0"/>
          <w:numId w:val="46"/>
        </w:numPr>
        <w:tabs>
          <w:tab w:val="left" w:pos="360"/>
          <w:tab w:val="left" w:pos="567"/>
        </w:tabs>
        <w:adjustRightInd/>
        <w:spacing w:line="240" w:lineRule="auto"/>
        <w:ind w:left="840" w:leftChars="200" w:hanging="420" w:hangingChars="200"/>
        <w:jc w:val="left"/>
        <w:rPr>
          <w:rFonts w:ascii="Times New Roman" w:hAnsi="Times New Roman"/>
          <w:szCs w:val="24"/>
        </w:rPr>
      </w:pPr>
      <w:r>
        <w:rPr>
          <w:rFonts w:ascii="Times New Roman" w:hAnsi="Times New Roman"/>
          <w:szCs w:val="24"/>
        </w:rPr>
        <w:t>重复测试3次</w:t>
      </w:r>
      <w:r>
        <w:rPr>
          <w:rFonts w:hint="eastAsia" w:ascii="Times New Roman" w:hAnsi="Times New Roman"/>
          <w:szCs w:val="24"/>
          <w:lang w:eastAsia="zh-CN"/>
        </w:rPr>
        <w:t>，软启动时间、上电过冲均满足规格</w:t>
      </w:r>
      <w:r>
        <w:rPr>
          <w:rFonts w:hint="eastAsia" w:ascii="Times New Roman" w:hAnsi="Times New Roman"/>
          <w:szCs w:val="24"/>
          <w:lang w:val="en-US" w:eastAsia="zh-CN"/>
        </w:rPr>
        <w:t>书要求限制</w:t>
      </w:r>
      <w:r>
        <w:rPr>
          <w:rFonts w:hint="eastAsia" w:ascii="Times New Roman" w:hAnsi="Times New Roman"/>
          <w:szCs w:val="24"/>
          <w:lang w:eastAsia="zh-CN"/>
        </w:rPr>
        <w:t>为合格。</w:t>
      </w:r>
    </w:p>
    <w:bookmarkEnd w:id="71"/>
    <w:p w14:paraId="298825B2">
      <w:pPr>
        <w:pStyle w:val="67"/>
        <w:keepNext w:val="0"/>
        <w:keepLines w:val="0"/>
        <w:pageBreakBefore w:val="0"/>
        <w:widowControl w:val="0"/>
        <w:shd w:val="clear"/>
        <w:kinsoku/>
        <w:wordWrap/>
        <w:overflowPunct/>
        <w:topLinePunct w:val="0"/>
        <w:autoSpaceDE/>
        <w:autoSpaceDN/>
        <w:bidi w:val="0"/>
        <w:adjustRightInd/>
        <w:snapToGrid/>
        <w:spacing w:before="120" w:after="120"/>
        <w:ind w:left="0"/>
        <w:textAlignment w:val="auto"/>
        <w:rPr>
          <w:highlight w:val="none"/>
        </w:rPr>
      </w:pPr>
      <w:r>
        <w:rPr>
          <w:rFonts w:hint="eastAsia"/>
          <w:highlight w:val="none"/>
        </w:rPr>
        <w:t>静态电流</w:t>
      </w:r>
    </w:p>
    <w:p w14:paraId="5AE003FE">
      <w:pPr>
        <w:pStyle w:val="58"/>
        <w:rPr>
          <w:rFonts w:hint="eastAsia" w:ascii="Times New Roman" w:hAnsi="Times New Roman"/>
          <w:szCs w:val="24"/>
          <w:highlight w:val="none"/>
        </w:rPr>
      </w:pPr>
      <w:r>
        <w:rPr>
          <w:rFonts w:hint="eastAsia"/>
          <w:highlight w:val="none"/>
        </w:rPr>
        <w:t>静态电流测试方法如下：</w:t>
      </w:r>
    </w:p>
    <w:p w14:paraId="46FB0AE5">
      <w:pPr>
        <w:numPr>
          <w:ilvl w:val="0"/>
          <w:numId w:val="47"/>
        </w:numPr>
        <w:tabs>
          <w:tab w:val="left" w:pos="360"/>
          <w:tab w:val="left" w:pos="567"/>
        </w:tabs>
        <w:adjustRightInd/>
        <w:spacing w:line="240" w:lineRule="auto"/>
        <w:ind w:left="840" w:leftChars="200" w:hanging="420" w:hangingChars="200"/>
        <w:jc w:val="left"/>
        <w:rPr>
          <w:rFonts w:hint="eastAsia" w:ascii="Times New Roman" w:hAnsi="Times New Roman"/>
          <w:szCs w:val="24"/>
          <w:highlight w:val="none"/>
        </w:rPr>
      </w:pPr>
      <w:r>
        <w:rPr>
          <w:rFonts w:hint="eastAsia" w:ascii="Times New Roman" w:hAnsi="Times New Roman"/>
          <w:szCs w:val="24"/>
          <w:highlight w:val="none"/>
          <w:lang w:val="en-US" w:eastAsia="zh-CN"/>
        </w:rPr>
        <w:t>输出端保持开路，</w:t>
      </w:r>
      <w:r>
        <w:rPr>
          <w:rFonts w:hint="eastAsia"/>
          <w:highlight w:val="none"/>
          <w:lang w:val="en-US" w:eastAsia="zh-CN"/>
        </w:rPr>
        <w:t>在额定输入电压和规定负载条件下，</w:t>
      </w:r>
      <w:r>
        <w:rPr>
          <w:rFonts w:hint="eastAsia"/>
          <w:highlight w:val="none"/>
        </w:rPr>
        <w:t>电源管理芯片</w:t>
      </w:r>
      <w:r>
        <w:rPr>
          <w:rFonts w:hint="eastAsia"/>
          <w:highlight w:val="none"/>
          <w:lang w:val="en-US" w:eastAsia="zh-CN"/>
        </w:rPr>
        <w:t>处于稳态，无开关动作，无输出电流时的状态，</w:t>
      </w:r>
    </w:p>
    <w:p w14:paraId="749BE4D5">
      <w:pPr>
        <w:numPr>
          <w:ilvl w:val="0"/>
          <w:numId w:val="47"/>
        </w:numPr>
        <w:tabs>
          <w:tab w:val="left" w:pos="360"/>
          <w:tab w:val="left" w:pos="567"/>
        </w:tabs>
        <w:adjustRightInd/>
        <w:spacing w:line="240" w:lineRule="auto"/>
        <w:ind w:left="840" w:leftChars="200" w:hanging="420" w:hangingChars="200"/>
        <w:jc w:val="left"/>
        <w:rPr>
          <w:rFonts w:hint="eastAsia" w:ascii="Times New Roman" w:hAnsi="Times New Roman"/>
          <w:szCs w:val="24"/>
          <w:highlight w:val="none"/>
        </w:rPr>
      </w:pPr>
      <w:r>
        <w:rPr>
          <w:rFonts w:hint="eastAsia" w:ascii="Times New Roman" w:hAnsi="Times New Roman"/>
          <w:szCs w:val="24"/>
          <w:highlight w:val="none"/>
          <w:lang w:val="en-US" w:eastAsia="zh-CN"/>
        </w:rPr>
        <w:t xml:space="preserve">施加额定输入电压后读取电流表数值，重复测试 3 次，取平均值； </w:t>
      </w:r>
    </w:p>
    <w:p w14:paraId="1DD2B564">
      <w:pPr>
        <w:numPr>
          <w:ilvl w:val="0"/>
          <w:numId w:val="47"/>
        </w:numPr>
        <w:tabs>
          <w:tab w:val="left" w:pos="360"/>
          <w:tab w:val="left" w:pos="567"/>
        </w:tabs>
        <w:adjustRightInd/>
        <w:spacing w:line="240" w:lineRule="auto"/>
        <w:ind w:left="840" w:leftChars="200" w:hanging="420" w:hangingChars="200"/>
        <w:jc w:val="left"/>
        <w:rPr>
          <w:rFonts w:hint="eastAsia" w:ascii="Times New Roman" w:hAnsi="Times New Roman"/>
          <w:szCs w:val="24"/>
          <w:highlight w:val="none"/>
        </w:rPr>
      </w:pPr>
      <w:r>
        <w:rPr>
          <w:rFonts w:hint="eastAsia"/>
          <w:highlight w:val="none"/>
        </w:rPr>
        <w:t>静态电流要求应不大于400μA</w:t>
      </w:r>
      <w:r>
        <w:rPr>
          <w:rFonts w:hint="eastAsia" w:ascii="Times New Roman" w:hAnsi="Times New Roman"/>
          <w:szCs w:val="24"/>
          <w:highlight w:val="none"/>
          <w:lang w:val="en-US" w:eastAsia="zh-CN"/>
        </w:rPr>
        <w:t>。</w:t>
      </w:r>
    </w:p>
    <w:p w14:paraId="5BC1E665">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pPr>
      <w:r>
        <w:rPr>
          <w:rFonts w:hint="eastAsia"/>
        </w:rPr>
        <w:t>异常反应时间</w:t>
      </w:r>
    </w:p>
    <w:p w14:paraId="12611A6D">
      <w:pPr>
        <w:pStyle w:val="58"/>
      </w:pPr>
      <w:r>
        <w:rPr>
          <w:rFonts w:hint="eastAsia"/>
        </w:rPr>
        <w:t>异常反应时间测试方法如下：</w:t>
      </w:r>
    </w:p>
    <w:p w14:paraId="32DA2A4F">
      <w:pPr>
        <w:numPr>
          <w:ilvl w:val="0"/>
          <w:numId w:val="48"/>
        </w:numPr>
        <w:tabs>
          <w:tab w:val="left" w:pos="360"/>
          <w:tab w:val="left" w:pos="567"/>
        </w:tabs>
        <w:adjustRightInd/>
        <w:spacing w:line="240" w:lineRule="auto"/>
        <w:ind w:left="840" w:leftChars="200" w:hanging="420" w:hangingChars="200"/>
        <w:jc w:val="left"/>
        <w:rPr>
          <w:rFonts w:hint="eastAsia" w:ascii="Times New Roman" w:hAnsi="Times New Roman"/>
          <w:szCs w:val="24"/>
          <w:lang w:val="en-US" w:eastAsia="zh-CN"/>
        </w:rPr>
      </w:pPr>
      <w:r>
        <w:rPr>
          <w:rFonts w:hint="eastAsia" w:ascii="Times New Roman" w:hAnsi="Times New Roman"/>
          <w:szCs w:val="24"/>
          <w:lang w:val="en-US" w:eastAsia="zh-CN"/>
        </w:rPr>
        <w:t>将被测电源管理芯片接入额定输入电源，输出端连接负载并设置为额定输出电流</w:t>
      </w:r>
    </w:p>
    <w:p w14:paraId="765F1E22">
      <w:pPr>
        <w:numPr>
          <w:ilvl w:val="0"/>
          <w:numId w:val="48"/>
        </w:numPr>
        <w:tabs>
          <w:tab w:val="left" w:pos="360"/>
          <w:tab w:val="left" w:pos="567"/>
        </w:tabs>
        <w:adjustRightInd/>
        <w:spacing w:line="240" w:lineRule="auto"/>
        <w:ind w:left="840" w:leftChars="200" w:hanging="420" w:hangingChars="200"/>
        <w:jc w:val="left"/>
        <w:rPr>
          <w:rFonts w:hint="eastAsia" w:ascii="Times New Roman" w:hAnsi="Times New Roman"/>
          <w:szCs w:val="24"/>
          <w:lang w:val="en-US" w:eastAsia="zh-CN"/>
        </w:rPr>
      </w:pPr>
      <w:r>
        <w:rPr>
          <w:rFonts w:hint="eastAsia" w:ascii="Times New Roman" w:hAnsi="Times New Roman"/>
          <w:szCs w:val="24"/>
          <w:lang w:val="en-US" w:eastAsia="zh-CN"/>
        </w:rPr>
        <w:t>选择以下至少3种异常测试场景：输入过压、输入欠压、输出短路、输出过流 ，触发异常保护动作</w:t>
      </w:r>
    </w:p>
    <w:p w14:paraId="28A45922">
      <w:pPr>
        <w:numPr>
          <w:ilvl w:val="0"/>
          <w:numId w:val="48"/>
        </w:numPr>
        <w:tabs>
          <w:tab w:val="left" w:pos="360"/>
          <w:tab w:val="left" w:pos="567"/>
        </w:tabs>
        <w:adjustRightInd/>
        <w:spacing w:line="240" w:lineRule="auto"/>
        <w:ind w:left="840" w:leftChars="200" w:hanging="420" w:hangingChars="200"/>
        <w:jc w:val="left"/>
        <w:rPr>
          <w:highlight w:val="none"/>
          <w:shd w:val="clear"/>
        </w:rPr>
      </w:pPr>
      <w:r>
        <w:rPr>
          <w:rFonts w:hint="eastAsia" w:ascii="Times New Roman" w:hAnsi="Times New Roman"/>
          <w:szCs w:val="24"/>
          <w:lang w:val="en-US" w:eastAsia="zh-CN"/>
        </w:rPr>
        <w:t>记录从异常信号输入到芯片触发保护动作（如输出关断、故障信号输出）的时间间隔，每种异常场景至少测试3次，</w:t>
      </w:r>
      <w:r>
        <w:rPr>
          <w:rFonts w:hint="eastAsia"/>
          <w:highlight w:val="none"/>
          <w:shd w:val="clear"/>
        </w:rPr>
        <w:t>异常反应时间应不超过80μs</w:t>
      </w:r>
    </w:p>
    <w:p w14:paraId="1ABECB01">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pPr>
      <w:r>
        <w:rPr>
          <w:rFonts w:hint="eastAsia"/>
        </w:rPr>
        <w:t>温度监测性能</w:t>
      </w:r>
    </w:p>
    <w:p w14:paraId="247EB64A">
      <w:pPr>
        <w:pStyle w:val="233"/>
        <w:tabs>
          <w:tab w:val="center" w:pos="4201"/>
          <w:tab w:val="right" w:leader="dot" w:pos="9298"/>
        </w:tabs>
        <w:ind w:firstLine="420"/>
      </w:pPr>
      <w:r>
        <w:rPr>
          <w:rFonts w:hint="eastAsia"/>
        </w:rPr>
        <w:t>温度监测性能测试方法如下：</w:t>
      </w:r>
    </w:p>
    <w:p w14:paraId="2C23EEF4">
      <w:pPr>
        <w:pStyle w:val="233"/>
        <w:numPr>
          <w:ilvl w:val="0"/>
          <w:numId w:val="49"/>
        </w:numPr>
        <w:tabs>
          <w:tab w:val="center" w:pos="4201"/>
          <w:tab w:val="right" w:leader="dot" w:pos="9298"/>
        </w:tabs>
        <w:ind w:firstLine="420"/>
      </w:pPr>
      <w:r>
        <w:rPr>
          <w:rFonts w:hint="eastAsia"/>
        </w:rPr>
        <w:t xml:space="preserve"> </w:t>
      </w:r>
      <w:r>
        <w:rPr>
          <w:rFonts w:hint="eastAsia"/>
          <w:lang w:val="en-US" w:eastAsia="zh-CN"/>
        </w:rPr>
        <w:t>电源管理芯片</w:t>
      </w:r>
      <w:r>
        <w:rPr>
          <w:rFonts w:hint="eastAsia"/>
        </w:rPr>
        <w:t>置于温箱，接入</w:t>
      </w:r>
      <w:r>
        <w:rPr>
          <w:rFonts w:hint="eastAsia"/>
          <w:lang w:val="en-US" w:eastAsia="zh-CN"/>
        </w:rPr>
        <w:t>额定</w:t>
      </w:r>
      <w:r>
        <w:rPr>
          <w:rFonts w:hint="eastAsia"/>
        </w:rPr>
        <w:t>输入</w:t>
      </w:r>
      <w:r>
        <w:rPr>
          <w:rFonts w:hint="eastAsia"/>
          <w:lang w:val="en-US" w:eastAsia="zh-CN"/>
        </w:rPr>
        <w:t>电源</w:t>
      </w:r>
      <w:r>
        <w:rPr>
          <w:rFonts w:hint="eastAsia"/>
        </w:rPr>
        <w:t>、输出端</w:t>
      </w:r>
      <w:r>
        <w:rPr>
          <w:rFonts w:hint="eastAsia"/>
          <w:lang w:val="en-US" w:eastAsia="zh-CN"/>
        </w:rPr>
        <w:t>连接</w:t>
      </w:r>
      <w:r>
        <w:rPr>
          <w:rFonts w:hint="eastAsia"/>
        </w:rPr>
        <w:t>负载与</w:t>
      </w:r>
      <w:r>
        <w:rPr>
          <w:rFonts w:hint="eastAsia"/>
          <w:lang w:val="en-US" w:eastAsia="zh-CN"/>
        </w:rPr>
        <w:t>温度监测</w:t>
      </w:r>
    </w:p>
    <w:p w14:paraId="7992D7B6">
      <w:pPr>
        <w:pStyle w:val="233"/>
        <w:numPr>
          <w:ilvl w:val="0"/>
          <w:numId w:val="49"/>
        </w:numPr>
        <w:tabs>
          <w:tab w:val="center" w:pos="4201"/>
          <w:tab w:val="right" w:leader="dot" w:pos="9298"/>
        </w:tabs>
        <w:ind w:firstLine="420"/>
      </w:pPr>
      <w:r>
        <w:rPr>
          <w:rFonts w:hint="eastAsia"/>
        </w:rPr>
        <w:t xml:space="preserve"> </w:t>
      </w:r>
      <w:r>
        <w:rPr>
          <w:rFonts w:hint="eastAsia"/>
          <w:highlight w:val="none"/>
          <w:lang w:val="en-US" w:eastAsia="zh-CN"/>
        </w:rPr>
        <w:t>输入额定电压</w:t>
      </w:r>
      <w:r>
        <w:rPr>
          <w:rFonts w:hint="eastAsia"/>
          <w:highlight w:val="none"/>
        </w:rPr>
        <w:t>，</w:t>
      </w:r>
      <w:r>
        <w:rPr>
          <w:rFonts w:hint="eastAsia"/>
        </w:rPr>
        <w:t>采集 25℃测温输出</w:t>
      </w:r>
      <w:r>
        <w:rPr>
          <w:rFonts w:hint="eastAsia"/>
          <w:lang w:val="en-US" w:eastAsia="zh-CN"/>
        </w:rPr>
        <w:t>电压，确认芯片稳定输出</w:t>
      </w:r>
    </w:p>
    <w:p w14:paraId="116A4F7D">
      <w:pPr>
        <w:pStyle w:val="233"/>
        <w:numPr>
          <w:ilvl w:val="0"/>
          <w:numId w:val="49"/>
        </w:numPr>
        <w:tabs>
          <w:tab w:val="center" w:pos="4201"/>
          <w:tab w:val="right" w:leader="dot" w:pos="9298"/>
        </w:tabs>
        <w:ind w:firstLine="420"/>
      </w:pPr>
      <w:r>
        <w:rPr>
          <w:rFonts w:hint="eastAsia"/>
        </w:rPr>
        <w:t xml:space="preserve"> </w:t>
      </w:r>
      <w:r>
        <w:rPr>
          <w:rFonts w:hint="eastAsia"/>
          <w:lang w:val="en-US" w:eastAsia="zh-CN"/>
        </w:rPr>
        <w:t>在-40~125</w:t>
      </w:r>
      <w:r>
        <w:rPr>
          <w:rFonts w:hint="eastAsia"/>
        </w:rPr>
        <w:t>℃</w:t>
      </w:r>
      <w:r>
        <w:rPr>
          <w:rFonts w:hint="eastAsia"/>
          <w:lang w:val="en-US" w:eastAsia="zh-CN"/>
        </w:rPr>
        <w:t>范围内</w:t>
      </w:r>
      <w:r>
        <w:rPr>
          <w:rFonts w:hint="eastAsia"/>
        </w:rPr>
        <w:t>记录实际温度与</w:t>
      </w:r>
      <w:r>
        <w:rPr>
          <w:rFonts w:hint="eastAsia"/>
          <w:lang w:val="en-US" w:eastAsia="zh-CN"/>
        </w:rPr>
        <w:t>测试温度的差值</w:t>
      </w:r>
      <w:r>
        <w:rPr>
          <w:rFonts w:hint="eastAsia"/>
        </w:rPr>
        <w:t>；</w:t>
      </w:r>
    </w:p>
    <w:p w14:paraId="36783751">
      <w:pPr>
        <w:pStyle w:val="233"/>
        <w:numPr>
          <w:ilvl w:val="0"/>
          <w:numId w:val="49"/>
        </w:numPr>
        <w:tabs>
          <w:tab w:val="center" w:pos="4201"/>
          <w:tab w:val="right" w:leader="dot" w:pos="9298"/>
        </w:tabs>
        <w:ind w:firstLine="420"/>
      </w:pPr>
      <w:r>
        <w:rPr>
          <w:rFonts w:hint="eastAsia"/>
        </w:rPr>
        <w:t xml:space="preserve"> 工作温度范围内精度误差应不大于±3℃。</w:t>
      </w:r>
    </w:p>
    <w:p w14:paraId="35330BD6">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pPr>
      <w:r>
        <w:rPr>
          <w:rFonts w:hint="eastAsia"/>
        </w:rPr>
        <w:t>负载调整率</w:t>
      </w:r>
    </w:p>
    <w:p w14:paraId="5AC983BC">
      <w:pPr>
        <w:pStyle w:val="58"/>
      </w:pPr>
      <w:r>
        <w:rPr>
          <w:rFonts w:hint="eastAsia"/>
          <w:lang w:val="en-US" w:eastAsia="zh-CN"/>
        </w:rPr>
        <w:t>负载调整率</w:t>
      </w:r>
      <w:r>
        <w:rPr>
          <w:rFonts w:hint="eastAsia"/>
        </w:rPr>
        <w:t>测试方法如下：</w:t>
      </w:r>
    </w:p>
    <w:p w14:paraId="0259D707">
      <w:pPr>
        <w:pStyle w:val="233"/>
        <w:numPr>
          <w:ilvl w:val="0"/>
          <w:numId w:val="50"/>
        </w:numPr>
        <w:tabs>
          <w:tab w:val="center" w:pos="4201"/>
          <w:tab w:val="right" w:leader="dot" w:pos="9298"/>
        </w:tabs>
        <w:ind w:firstLine="420"/>
      </w:pPr>
      <w:r>
        <w:rPr>
          <w:rFonts w:hint="eastAsia"/>
        </w:rPr>
        <w:t>将被测电源管理芯片接入额定输入电源，输出端连接电子负载</w:t>
      </w:r>
    </w:p>
    <w:p w14:paraId="4B9AE98E">
      <w:pPr>
        <w:pStyle w:val="233"/>
        <w:numPr>
          <w:ilvl w:val="0"/>
          <w:numId w:val="50"/>
        </w:numPr>
        <w:tabs>
          <w:tab w:val="center" w:pos="4201"/>
          <w:tab w:val="right" w:leader="dot" w:pos="9298"/>
        </w:tabs>
        <w:ind w:firstLine="420"/>
      </w:pPr>
      <w:r>
        <w:t>设置</w:t>
      </w:r>
      <w:r>
        <w:rPr>
          <w:rFonts w:hint="eastAsia"/>
        </w:rPr>
        <w:t>电子负载为</w:t>
      </w:r>
      <w:r>
        <w:rPr>
          <w:rFonts w:hint="eastAsia"/>
          <w:lang w:val="en-US" w:eastAsia="zh-CN"/>
        </w:rPr>
        <w:t>空载</w:t>
      </w:r>
      <w:r>
        <w:t>，待输出电压稳定后记录输出电压值U1</w:t>
      </w:r>
    </w:p>
    <w:p w14:paraId="10FEC768">
      <w:pPr>
        <w:pStyle w:val="233"/>
        <w:numPr>
          <w:ilvl w:val="0"/>
          <w:numId w:val="50"/>
        </w:numPr>
        <w:tabs>
          <w:tab w:val="center" w:pos="4201"/>
          <w:tab w:val="right" w:leader="dot" w:pos="9298"/>
        </w:tabs>
        <w:ind w:firstLine="420"/>
      </w:pPr>
      <w:r>
        <w:t>保持输入电压不变，将电子负载调整为额定输出电流的</w:t>
      </w:r>
      <w:r>
        <w:rPr>
          <w:rFonts w:hint="eastAsia"/>
          <w:lang w:val="en-US" w:eastAsia="zh-CN"/>
        </w:rPr>
        <w:t>0~</w:t>
      </w:r>
      <w:r>
        <w:t>100%，待输出</w:t>
      </w:r>
      <w:r>
        <w:rPr>
          <w:rFonts w:hint="eastAsia"/>
          <w:lang w:val="en-US" w:eastAsia="zh-CN"/>
        </w:rPr>
        <w:t>电流</w:t>
      </w:r>
      <w:r>
        <w:t>稳定后记录输出电压值U2</w:t>
      </w:r>
    </w:p>
    <w:p w14:paraId="19348A98">
      <w:pPr>
        <w:pStyle w:val="233"/>
        <w:numPr>
          <w:ilvl w:val="0"/>
          <w:numId w:val="50"/>
        </w:numPr>
        <w:tabs>
          <w:tab w:val="center" w:pos="4201"/>
          <w:tab w:val="right" w:leader="dot" w:pos="9298"/>
        </w:tabs>
        <w:ind w:firstLine="420"/>
      </w:pPr>
      <w:r>
        <w:t>计算负载效应：</w:t>
      </w:r>
      <w:r>
        <w:rPr>
          <w:rFonts w:hint="eastAsia"/>
        </w:rPr>
        <w:t>负载效应偏差≤±</w:t>
      </w:r>
      <w:r>
        <w:rPr>
          <w:rFonts w:hint="eastAsia"/>
          <w:lang w:val="en-US" w:eastAsia="zh-CN"/>
        </w:rPr>
        <w:t>2</w:t>
      </w:r>
      <w:r>
        <w:rPr>
          <w:rFonts w:hint="eastAsia"/>
        </w:rPr>
        <w:t>%，</w:t>
      </w:r>
      <w:r>
        <w:t>负载效应=|(U2-U1)/U1|×100%</w:t>
      </w:r>
    </w:p>
    <w:p w14:paraId="0FB5AA56">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pPr>
      <w:r>
        <w:rPr>
          <w:rFonts w:hint="eastAsia"/>
        </w:rPr>
        <w:t>线性调整电压</w:t>
      </w:r>
    </w:p>
    <w:p w14:paraId="35D4A341">
      <w:pPr>
        <w:pStyle w:val="58"/>
      </w:pPr>
      <w:r>
        <w:rPr>
          <w:rFonts w:hint="eastAsia"/>
          <w:lang w:val="en-US" w:eastAsia="zh-CN"/>
        </w:rPr>
        <w:t>线性调整电压</w:t>
      </w:r>
      <w:r>
        <w:rPr>
          <w:rFonts w:hint="eastAsia"/>
        </w:rPr>
        <w:t>测试方法如下：</w:t>
      </w:r>
    </w:p>
    <w:p w14:paraId="475452CC">
      <w:pPr>
        <w:pStyle w:val="233"/>
        <w:numPr>
          <w:ilvl w:val="0"/>
          <w:numId w:val="51"/>
        </w:numPr>
        <w:tabs>
          <w:tab w:val="center" w:pos="4201"/>
          <w:tab w:val="right" w:leader="dot" w:pos="9298"/>
        </w:tabs>
        <w:ind w:firstLine="420"/>
        <w:rPr>
          <w:highlight w:val="none"/>
        </w:rPr>
      </w:pPr>
      <w:r>
        <w:rPr>
          <w:rFonts w:hint="eastAsia"/>
          <w:highlight w:val="none"/>
        </w:rPr>
        <w:t xml:space="preserve">连接测试回路：电源管理芯片输入端接可编程直流电源，输出端接额定负载，万用表监测输出电压； </w:t>
      </w:r>
    </w:p>
    <w:p w14:paraId="08F946BC">
      <w:pPr>
        <w:pStyle w:val="233"/>
        <w:numPr>
          <w:ilvl w:val="0"/>
          <w:numId w:val="51"/>
        </w:numPr>
        <w:tabs>
          <w:tab w:val="center" w:pos="4201"/>
          <w:tab w:val="right" w:leader="dot" w:pos="9298"/>
        </w:tabs>
        <w:ind w:firstLine="420"/>
        <w:rPr>
          <w:highlight w:val="none"/>
        </w:rPr>
      </w:pPr>
      <w:r>
        <w:rPr>
          <w:rFonts w:hint="eastAsia"/>
          <w:highlight w:val="none"/>
        </w:rPr>
        <w:t>设定输入电压为额定值，记录</w:t>
      </w:r>
      <w:r>
        <w:rPr>
          <w:rFonts w:hint="eastAsia"/>
          <w:highlight w:val="none"/>
          <w:lang w:val="en-US" w:eastAsia="zh-CN"/>
        </w:rPr>
        <w:t>额定输出电压值</w:t>
      </w:r>
      <w:r>
        <w:rPr>
          <w:rFonts w:hint="eastAsia"/>
          <w:highlight w:val="none"/>
        </w:rPr>
        <w:t xml:space="preserve">； </w:t>
      </w:r>
    </w:p>
    <w:p w14:paraId="5E1B5FFB">
      <w:pPr>
        <w:pStyle w:val="233"/>
        <w:numPr>
          <w:ilvl w:val="0"/>
          <w:numId w:val="51"/>
        </w:numPr>
        <w:tabs>
          <w:tab w:val="center" w:pos="4201"/>
          <w:tab w:val="right" w:leader="dot" w:pos="9298"/>
        </w:tabs>
        <w:ind w:firstLine="420"/>
        <w:rPr>
          <w:highlight w:val="none"/>
        </w:rPr>
      </w:pPr>
      <w:r>
        <w:rPr>
          <w:rFonts w:hint="eastAsia"/>
          <w:highlight w:val="none"/>
        </w:rPr>
        <w:t xml:space="preserve">将输入电压分别调至额定值的90%和110%，记录对应输出电压值； </w:t>
      </w:r>
    </w:p>
    <w:p w14:paraId="5B3DF72D">
      <w:pPr>
        <w:pStyle w:val="233"/>
        <w:numPr>
          <w:ilvl w:val="0"/>
          <w:numId w:val="51"/>
        </w:numPr>
        <w:tabs>
          <w:tab w:val="center" w:pos="4201"/>
          <w:tab w:val="right" w:leader="dot" w:pos="9298"/>
        </w:tabs>
        <w:ind w:firstLine="420"/>
        <w:rPr>
          <w:strike w:val="0"/>
          <w:highlight w:val="none"/>
        </w:rPr>
      </w:pPr>
      <w:r>
        <w:rPr>
          <w:rFonts w:hint="eastAsia"/>
          <w:highlight w:val="none"/>
        </w:rPr>
        <w:t>计算输出电压变化率：|(实测值-</w:t>
      </w:r>
      <w:r>
        <w:rPr>
          <w:rFonts w:hint="eastAsia"/>
          <w:highlight w:val="none"/>
          <w:lang w:val="en-US" w:eastAsia="zh-CN"/>
        </w:rPr>
        <w:t>额定</w:t>
      </w:r>
      <w:r>
        <w:rPr>
          <w:rFonts w:hint="eastAsia"/>
          <w:highlight w:val="none"/>
        </w:rPr>
        <w:t>值)/</w:t>
      </w:r>
      <w:r>
        <w:rPr>
          <w:rFonts w:hint="eastAsia"/>
          <w:highlight w:val="none"/>
          <w:lang w:val="en-US" w:eastAsia="zh-CN"/>
        </w:rPr>
        <w:t>额定</w:t>
      </w:r>
      <w:r>
        <w:rPr>
          <w:rFonts w:hint="eastAsia"/>
          <w:highlight w:val="none"/>
        </w:rPr>
        <w:t>值|×100%，验证是否≤±</w:t>
      </w:r>
      <w:r>
        <w:rPr>
          <w:rFonts w:hint="eastAsia"/>
          <w:strike w:val="0"/>
          <w:highlight w:val="none"/>
        </w:rPr>
        <w:t>2%</w:t>
      </w:r>
    </w:p>
    <w:p w14:paraId="73404EC3">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rPr>
          <w:highlight w:val="none"/>
        </w:rPr>
      </w:pPr>
      <w:r>
        <w:rPr>
          <w:rFonts w:hint="eastAsia"/>
          <w:highlight w:val="none"/>
        </w:rPr>
        <w:t>电压漂移</w:t>
      </w:r>
    </w:p>
    <w:p w14:paraId="2E818882">
      <w:pPr>
        <w:pStyle w:val="58"/>
        <w:rPr>
          <w:highlight w:val="none"/>
        </w:rPr>
      </w:pPr>
      <w:r>
        <w:rPr>
          <w:rFonts w:hint="eastAsia"/>
          <w:highlight w:val="none"/>
          <w:lang w:val="en-US" w:eastAsia="zh-CN"/>
        </w:rPr>
        <w:t>电压漂移</w:t>
      </w:r>
      <w:r>
        <w:rPr>
          <w:rFonts w:hint="eastAsia"/>
          <w:highlight w:val="none"/>
        </w:rPr>
        <w:t>测试方法如下：</w:t>
      </w:r>
    </w:p>
    <w:p w14:paraId="051A91BE">
      <w:pPr>
        <w:pStyle w:val="233"/>
        <w:numPr>
          <w:ilvl w:val="0"/>
          <w:numId w:val="52"/>
        </w:numPr>
        <w:tabs>
          <w:tab w:val="center" w:pos="4201"/>
          <w:tab w:val="right" w:leader="dot" w:pos="9298"/>
        </w:tabs>
        <w:ind w:firstLine="420"/>
        <w:rPr>
          <w:highlight w:val="none"/>
        </w:rPr>
      </w:pPr>
      <w:r>
        <w:rPr>
          <w:rFonts w:hint="eastAsia"/>
          <w:highlight w:val="none"/>
        </w:rPr>
        <w:t>连接测试回路：电源管理芯片输入端接额定电压电源，输出端接额定负载，万用表监测输出电压；</w:t>
      </w:r>
    </w:p>
    <w:p w14:paraId="6755E616">
      <w:pPr>
        <w:pStyle w:val="233"/>
        <w:numPr>
          <w:ilvl w:val="0"/>
          <w:numId w:val="52"/>
        </w:numPr>
        <w:tabs>
          <w:tab w:val="center" w:pos="4201"/>
          <w:tab w:val="right" w:leader="dot" w:pos="9298"/>
        </w:tabs>
        <w:ind w:firstLine="420"/>
        <w:rPr>
          <w:highlight w:val="none"/>
        </w:rPr>
      </w:pPr>
      <w:r>
        <w:rPr>
          <w:highlight w:val="none"/>
        </w:rPr>
        <w:t>连续运行1</w:t>
      </w:r>
      <w:r>
        <w:rPr>
          <w:rFonts w:hint="eastAsia"/>
          <w:highlight w:val="none"/>
          <w:lang w:val="en-US" w:eastAsia="zh-CN"/>
        </w:rPr>
        <w:t>200</w:t>
      </w:r>
      <w:r>
        <w:rPr>
          <w:highlight w:val="none"/>
        </w:rPr>
        <w:t>小时，每24小时记录一次输出电压值；</w:t>
      </w:r>
    </w:p>
    <w:p w14:paraId="6568BF71">
      <w:pPr>
        <w:pStyle w:val="233"/>
        <w:numPr>
          <w:ilvl w:val="0"/>
          <w:numId w:val="52"/>
        </w:numPr>
        <w:tabs>
          <w:tab w:val="center" w:pos="4201"/>
          <w:tab w:val="right" w:leader="dot" w:pos="9298"/>
        </w:tabs>
        <w:ind w:firstLine="420"/>
        <w:rPr>
          <w:highlight w:val="none"/>
        </w:rPr>
      </w:pPr>
      <w:r>
        <w:rPr>
          <w:highlight w:val="none"/>
        </w:rPr>
        <w:t>计算漂移率：|(最终值-初始值)/初始值|×100%，验证是否≤±1%。</w:t>
      </w:r>
    </w:p>
    <w:p w14:paraId="7E855000">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rPr>
          <w:highlight w:val="none"/>
        </w:rPr>
      </w:pPr>
      <w:r>
        <w:rPr>
          <w:rFonts w:hint="eastAsia"/>
          <w:highlight w:val="none"/>
        </w:rPr>
        <w:t>输入电压跃变</w:t>
      </w:r>
    </w:p>
    <w:p w14:paraId="2394B42F">
      <w:pPr>
        <w:pStyle w:val="58"/>
        <w:rPr>
          <w:highlight w:val="none"/>
        </w:rPr>
      </w:pPr>
      <w:r>
        <w:rPr>
          <w:rFonts w:hint="eastAsia"/>
          <w:highlight w:val="none"/>
          <w:lang w:val="en-US" w:eastAsia="zh-CN"/>
        </w:rPr>
        <w:t>输入电压跃变</w:t>
      </w:r>
      <w:r>
        <w:rPr>
          <w:rFonts w:hint="eastAsia"/>
          <w:highlight w:val="none"/>
        </w:rPr>
        <w:t>测试方法如下：</w:t>
      </w:r>
    </w:p>
    <w:p w14:paraId="5B5B1D2A">
      <w:pPr>
        <w:pStyle w:val="233"/>
        <w:numPr>
          <w:ilvl w:val="0"/>
          <w:numId w:val="53"/>
        </w:numPr>
        <w:tabs>
          <w:tab w:val="center" w:pos="4201"/>
          <w:tab w:val="right" w:leader="dot" w:pos="9298"/>
        </w:tabs>
        <w:ind w:firstLine="420"/>
        <w:rPr>
          <w:highlight w:val="none"/>
        </w:rPr>
      </w:pPr>
      <w:r>
        <w:rPr>
          <w:rFonts w:hint="eastAsia"/>
          <w:highlight w:val="none"/>
        </w:rPr>
        <w:t>连接测试回路：电源管理芯片输入端接可开关式直流电源，输出端接满载负载，示波器监测输出电压；</w:t>
      </w:r>
    </w:p>
    <w:p w14:paraId="517AB630">
      <w:pPr>
        <w:pStyle w:val="233"/>
        <w:numPr>
          <w:ilvl w:val="0"/>
          <w:numId w:val="53"/>
        </w:numPr>
        <w:tabs>
          <w:tab w:val="center" w:pos="4201"/>
          <w:tab w:val="right" w:leader="dot" w:pos="9298"/>
        </w:tabs>
        <w:ind w:firstLine="420"/>
        <w:rPr>
          <w:highlight w:val="none"/>
        </w:rPr>
      </w:pPr>
      <w:r>
        <w:rPr>
          <w:rFonts w:hint="eastAsia"/>
          <w:highlight w:val="none"/>
        </w:rPr>
        <w:t>输入电压</w:t>
      </w:r>
      <w:r>
        <w:rPr>
          <w:rFonts w:hint="eastAsia"/>
          <w:highlight w:val="none"/>
          <w:lang w:val="en-US" w:eastAsia="zh-CN"/>
        </w:rPr>
        <w:t>在规定范围内快速变化时</w:t>
      </w:r>
      <w:r>
        <w:rPr>
          <w:highlight w:val="none"/>
        </w:rPr>
        <w:t>，用示波器捕捉输出电压</w:t>
      </w:r>
      <w:r>
        <w:rPr>
          <w:rFonts w:hint="eastAsia"/>
          <w:highlight w:val="none"/>
          <w:lang w:val="en-US" w:eastAsia="zh-CN"/>
        </w:rPr>
        <w:t>变化</w:t>
      </w:r>
      <w:r>
        <w:rPr>
          <w:highlight w:val="none"/>
        </w:rPr>
        <w:t>的最大峰值</w:t>
      </w:r>
      <w:r>
        <w:rPr>
          <w:rFonts w:hint="eastAsia"/>
          <w:highlight w:val="none"/>
          <w:lang w:val="en-US" w:eastAsia="zh-CN"/>
        </w:rPr>
        <w:t>与输出电压恢复至</w:t>
      </w:r>
      <w:r>
        <w:rPr>
          <w:rFonts w:hint="eastAsia"/>
          <w:highlight w:val="none"/>
        </w:rPr>
        <w:t>稳态±1%</w:t>
      </w:r>
      <w:r>
        <w:rPr>
          <w:rFonts w:hint="eastAsia"/>
          <w:highlight w:val="none"/>
          <w:lang w:val="en-US" w:eastAsia="zh-CN"/>
        </w:rPr>
        <w:t>的时间</w:t>
      </w:r>
    </w:p>
    <w:p w14:paraId="6BAC38C9">
      <w:pPr>
        <w:pStyle w:val="233"/>
        <w:numPr>
          <w:ilvl w:val="0"/>
          <w:numId w:val="53"/>
        </w:numPr>
        <w:tabs>
          <w:tab w:val="center" w:pos="4201"/>
          <w:tab w:val="right" w:leader="dot" w:pos="9298"/>
        </w:tabs>
        <w:ind w:firstLine="420"/>
        <w:rPr>
          <w:highlight w:val="none"/>
        </w:rPr>
      </w:pPr>
      <w:r>
        <w:rPr>
          <w:rFonts w:hint="eastAsia"/>
          <w:highlight w:val="none"/>
        </w:rPr>
        <w:t>计算过冲幅度：|(峰值-额定值)/额定值|×100%，输出电压过冲幅度≤±5%额定值，输出电压恢复至稳态±1%精度范围时间≤200μs</w:t>
      </w:r>
    </w:p>
    <w:p w14:paraId="490B5FB2">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rPr>
          <w:highlight w:val="none"/>
        </w:rPr>
      </w:pPr>
      <w:r>
        <w:rPr>
          <w:rFonts w:hint="eastAsia"/>
          <w:highlight w:val="none"/>
        </w:rPr>
        <w:t>负载跃变</w:t>
      </w:r>
    </w:p>
    <w:p w14:paraId="079780CF">
      <w:pPr>
        <w:pStyle w:val="58"/>
        <w:rPr>
          <w:highlight w:val="none"/>
        </w:rPr>
      </w:pPr>
      <w:r>
        <w:rPr>
          <w:rFonts w:hint="eastAsia"/>
          <w:highlight w:val="none"/>
          <w:lang w:val="en-US" w:eastAsia="zh-CN"/>
        </w:rPr>
        <w:t>负载跃变</w:t>
      </w:r>
      <w:r>
        <w:rPr>
          <w:rFonts w:hint="eastAsia"/>
          <w:highlight w:val="none"/>
        </w:rPr>
        <w:t>测试方法如下：</w:t>
      </w:r>
    </w:p>
    <w:p w14:paraId="54630010">
      <w:pPr>
        <w:pStyle w:val="233"/>
        <w:numPr>
          <w:ilvl w:val="0"/>
          <w:numId w:val="54"/>
        </w:numPr>
        <w:tabs>
          <w:tab w:val="center" w:pos="4201"/>
          <w:tab w:val="right" w:leader="dot" w:pos="9298"/>
        </w:tabs>
        <w:ind w:firstLine="420"/>
        <w:rPr>
          <w:highlight w:val="none"/>
        </w:rPr>
      </w:pPr>
      <w:r>
        <w:rPr>
          <w:rFonts w:hint="eastAsia"/>
          <w:highlight w:val="none"/>
        </w:rPr>
        <w:t>连接测试回路：电源管理芯片输入端接可编程直流电源，输出端接额定负载，示波器监测输出电压；</w:t>
      </w:r>
    </w:p>
    <w:p w14:paraId="75063BD4">
      <w:pPr>
        <w:pStyle w:val="233"/>
        <w:numPr>
          <w:ilvl w:val="0"/>
          <w:numId w:val="54"/>
        </w:numPr>
        <w:tabs>
          <w:tab w:val="center" w:pos="4201"/>
          <w:tab w:val="right" w:leader="dot" w:pos="9298"/>
        </w:tabs>
        <w:ind w:firstLine="420"/>
        <w:rPr>
          <w:highlight w:val="none"/>
        </w:rPr>
      </w:pPr>
      <w:r>
        <w:rPr>
          <w:highlight w:val="none"/>
        </w:rPr>
        <w:t>快速将输</w:t>
      </w:r>
      <w:r>
        <w:rPr>
          <w:rFonts w:hint="eastAsia"/>
          <w:highlight w:val="none"/>
        </w:rPr>
        <w:t>出负载</w:t>
      </w:r>
      <w:r>
        <w:rPr>
          <w:highlight w:val="none"/>
        </w:rPr>
        <w:t>从额定值的</w:t>
      </w:r>
      <w:r>
        <w:rPr>
          <w:rFonts w:hint="eastAsia"/>
          <w:highlight w:val="none"/>
        </w:rPr>
        <w:t>25%，50</w:t>
      </w:r>
      <w:r>
        <w:rPr>
          <w:highlight w:val="none"/>
        </w:rPr>
        <w:t>%</w:t>
      </w:r>
      <w:r>
        <w:rPr>
          <w:rFonts w:hint="eastAsia"/>
          <w:highlight w:val="none"/>
        </w:rPr>
        <w:t>，75%</w:t>
      </w:r>
      <w:r>
        <w:rPr>
          <w:highlight w:val="none"/>
        </w:rPr>
        <w:t>切换</w:t>
      </w:r>
      <w:r>
        <w:rPr>
          <w:rFonts w:hint="eastAsia"/>
          <w:highlight w:val="none"/>
          <w:lang w:eastAsia="zh-CN"/>
        </w:rPr>
        <w:t>，</w:t>
      </w:r>
      <w:r>
        <w:rPr>
          <w:rFonts w:hint="eastAsia"/>
          <w:highlight w:val="none"/>
        </w:rPr>
        <w:t>输出电压过冲幅度≤±2%额定值</w:t>
      </w:r>
    </w:p>
    <w:p w14:paraId="0B3221F0">
      <w:pPr>
        <w:pStyle w:val="233"/>
        <w:numPr>
          <w:ilvl w:val="0"/>
          <w:numId w:val="54"/>
        </w:numPr>
        <w:tabs>
          <w:tab w:val="center" w:pos="4201"/>
          <w:tab w:val="right" w:leader="dot" w:pos="9298"/>
        </w:tabs>
        <w:ind w:firstLine="420"/>
        <w:rPr>
          <w:highlight w:val="none"/>
        </w:rPr>
      </w:pPr>
      <w:r>
        <w:rPr>
          <w:highlight w:val="none"/>
        </w:rPr>
        <w:t>用示波器测量输出电压从突变开始至恢复至额定值±</w:t>
      </w:r>
      <w:r>
        <w:rPr>
          <w:rFonts w:hint="eastAsia"/>
          <w:highlight w:val="none"/>
          <w:lang w:val="en-US" w:eastAsia="zh-CN"/>
        </w:rPr>
        <w:t>1</w:t>
      </w:r>
      <w:r>
        <w:rPr>
          <w:highlight w:val="none"/>
        </w:rPr>
        <w:t>%范围内的时间，验证是否≤200μs</w:t>
      </w:r>
    </w:p>
    <w:p w14:paraId="1D4CB9A6">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rPr>
          <w:highlight w:val="none"/>
        </w:rPr>
      </w:pPr>
      <w:r>
        <w:rPr>
          <w:rFonts w:hint="eastAsia"/>
          <w:highlight w:val="none"/>
          <w:lang w:val="en-US" w:eastAsia="zh-CN"/>
        </w:rPr>
        <w:t>转换</w:t>
      </w:r>
      <w:r>
        <w:rPr>
          <w:rFonts w:hint="eastAsia"/>
          <w:highlight w:val="none"/>
        </w:rPr>
        <w:t>效率</w:t>
      </w:r>
    </w:p>
    <w:p w14:paraId="48BA489C">
      <w:pPr>
        <w:pStyle w:val="58"/>
        <w:rPr>
          <w:highlight w:val="none"/>
        </w:rPr>
      </w:pPr>
      <w:r>
        <w:rPr>
          <w:rFonts w:hint="eastAsia"/>
          <w:highlight w:val="none"/>
          <w:lang w:val="en-US" w:eastAsia="zh-CN"/>
        </w:rPr>
        <w:t>转换效率</w:t>
      </w:r>
      <w:r>
        <w:rPr>
          <w:rFonts w:hint="eastAsia"/>
          <w:highlight w:val="none"/>
        </w:rPr>
        <w:t>测试方法如下：</w:t>
      </w:r>
    </w:p>
    <w:p w14:paraId="237AD765">
      <w:pPr>
        <w:pStyle w:val="233"/>
        <w:numPr>
          <w:ilvl w:val="0"/>
          <w:numId w:val="55"/>
        </w:numPr>
        <w:tabs>
          <w:tab w:val="center" w:pos="4201"/>
          <w:tab w:val="right" w:leader="dot" w:pos="9298"/>
        </w:tabs>
        <w:ind w:firstLine="420"/>
        <w:rPr>
          <w:highlight w:val="none"/>
        </w:rPr>
      </w:pPr>
      <w:r>
        <w:rPr>
          <w:rFonts w:hint="eastAsia"/>
          <w:highlight w:val="none"/>
        </w:rPr>
        <w:t>连接测试回路：电源管理芯片输入端接可编程直流电源，输出端接电子负载</w:t>
      </w:r>
      <w:r>
        <w:rPr>
          <w:rFonts w:hint="eastAsia"/>
          <w:highlight w:val="none"/>
          <w:lang w:eastAsia="zh-CN"/>
        </w:rPr>
        <w:t>。</w:t>
      </w:r>
    </w:p>
    <w:p w14:paraId="3AA5F91C">
      <w:pPr>
        <w:pStyle w:val="233"/>
        <w:numPr>
          <w:ilvl w:val="0"/>
          <w:numId w:val="55"/>
        </w:numPr>
        <w:tabs>
          <w:tab w:val="center" w:pos="4201"/>
          <w:tab w:val="right" w:leader="dot" w:pos="9298"/>
        </w:tabs>
        <w:ind w:firstLine="420"/>
        <w:rPr>
          <w:highlight w:val="none"/>
        </w:rPr>
      </w:pPr>
      <w:r>
        <w:rPr>
          <w:highlight w:val="none"/>
        </w:rPr>
        <w:t>设定输入电压为额定值，将负载调至100%额定值，读取输入功率Pin和输出功率Pout；</w:t>
      </w:r>
    </w:p>
    <w:p w14:paraId="581A2FE5">
      <w:pPr>
        <w:pStyle w:val="233"/>
        <w:tabs>
          <w:tab w:val="center" w:pos="4201"/>
          <w:tab w:val="right" w:leader="dot" w:pos="9298"/>
        </w:tabs>
        <w:ind w:firstLine="420"/>
        <w:rPr>
          <w:highlight w:val="none"/>
        </w:rPr>
      </w:pPr>
      <w:r>
        <w:rPr>
          <w:highlight w:val="none"/>
        </w:rPr>
        <w:t>计算满载效率：(Pout/Pin)×100%，</w:t>
      </w:r>
      <w:r>
        <w:rPr>
          <w:rFonts w:hint="eastAsia"/>
          <w:highlight w:val="none"/>
        </w:rPr>
        <w:t>额定满载时</w:t>
      </w:r>
      <w:r>
        <w:rPr>
          <w:rFonts w:hint="eastAsia"/>
          <w:highlight w:val="none"/>
          <w:lang w:val="en-US" w:eastAsia="zh-CN"/>
        </w:rPr>
        <w:t>转换</w:t>
      </w:r>
      <w:r>
        <w:rPr>
          <w:rFonts w:hint="eastAsia"/>
          <w:highlight w:val="none"/>
        </w:rPr>
        <w:t>效率≥92%；多路输出的PMIC额定满载时</w:t>
      </w:r>
      <w:r>
        <w:rPr>
          <w:rFonts w:hint="eastAsia"/>
          <w:highlight w:val="none"/>
          <w:lang w:val="en-US" w:eastAsia="zh-CN"/>
        </w:rPr>
        <w:t>转换</w:t>
      </w:r>
      <w:r>
        <w:rPr>
          <w:rFonts w:hint="eastAsia"/>
          <w:highlight w:val="none"/>
        </w:rPr>
        <w:t>效率≥</w:t>
      </w:r>
      <w:r>
        <w:rPr>
          <w:rFonts w:hint="eastAsia"/>
          <w:highlight w:val="none"/>
          <w:lang w:val="en-US" w:eastAsia="zh-CN"/>
        </w:rPr>
        <w:t>8</w:t>
      </w:r>
      <w:r>
        <w:rPr>
          <w:rFonts w:hint="eastAsia"/>
          <w:highlight w:val="none"/>
        </w:rPr>
        <w:t xml:space="preserve">0% </w:t>
      </w:r>
    </w:p>
    <w:p w14:paraId="47DEBEEF">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rPr>
          <w:highlight w:val="none"/>
        </w:rPr>
      </w:pPr>
      <w:r>
        <w:rPr>
          <w:rFonts w:hint="eastAsia"/>
          <w:highlight w:val="none"/>
        </w:rPr>
        <w:t>稳流精度</w:t>
      </w:r>
    </w:p>
    <w:p w14:paraId="013FEC03">
      <w:pPr>
        <w:pStyle w:val="58"/>
        <w:rPr>
          <w:highlight w:val="none"/>
        </w:rPr>
      </w:pPr>
      <w:r>
        <w:rPr>
          <w:rFonts w:hint="eastAsia"/>
          <w:highlight w:val="none"/>
          <w:lang w:val="en-US" w:eastAsia="zh-CN"/>
        </w:rPr>
        <w:t>稳流精度</w:t>
      </w:r>
      <w:r>
        <w:rPr>
          <w:rFonts w:hint="eastAsia"/>
          <w:highlight w:val="none"/>
        </w:rPr>
        <w:t>测试方法如下：</w:t>
      </w:r>
    </w:p>
    <w:p w14:paraId="474FACEB">
      <w:pPr>
        <w:pStyle w:val="233"/>
        <w:numPr>
          <w:ilvl w:val="0"/>
          <w:numId w:val="56"/>
        </w:numPr>
        <w:tabs>
          <w:tab w:val="center" w:pos="4201"/>
          <w:tab w:val="right" w:leader="dot" w:pos="9298"/>
        </w:tabs>
        <w:ind w:firstLine="420"/>
        <w:rPr>
          <w:highlight w:val="none"/>
        </w:rPr>
      </w:pPr>
      <w:r>
        <w:rPr>
          <w:highlight w:val="none"/>
        </w:rPr>
        <w:t>连接测试回路：芯片电源输入端接可编程直流电源，输出端接电子负载，高精度电流表串联在输出回路；</w:t>
      </w:r>
    </w:p>
    <w:p w14:paraId="56A981E5">
      <w:pPr>
        <w:pStyle w:val="233"/>
        <w:numPr>
          <w:ilvl w:val="0"/>
          <w:numId w:val="56"/>
        </w:numPr>
        <w:tabs>
          <w:tab w:val="center" w:pos="4201"/>
          <w:tab w:val="right" w:leader="dot" w:pos="9298"/>
        </w:tabs>
        <w:ind w:firstLine="420"/>
        <w:rPr>
          <w:highlight w:val="none"/>
        </w:rPr>
      </w:pPr>
      <w:r>
        <w:rPr>
          <w:highlight w:val="none"/>
        </w:rPr>
        <w:t>设定输入电压为额定值，使芯片工作在恒流模式，将输出电流设定在额定值，调整输出电压在允许范围内变化，同时调整输入电压在额定值变化，测量输出电流的</w:t>
      </w:r>
      <w:r>
        <w:rPr>
          <w:rFonts w:hint="eastAsia"/>
          <w:highlight w:val="none"/>
          <w:lang w:val="en-US" w:eastAsia="zh-CN"/>
        </w:rPr>
        <w:t>实际值</w:t>
      </w:r>
      <w:r>
        <w:rPr>
          <w:highlight w:val="none"/>
        </w:rPr>
        <w:t>Iₘ；</w:t>
      </w:r>
    </w:p>
    <w:p w14:paraId="3FE915D1">
      <w:pPr>
        <w:pStyle w:val="233"/>
        <w:numPr>
          <w:ilvl w:val="0"/>
          <w:numId w:val="56"/>
        </w:numPr>
        <w:tabs>
          <w:tab w:val="center" w:pos="4201"/>
          <w:tab w:val="right" w:leader="dot" w:pos="9298"/>
        </w:tabs>
        <w:ind w:firstLine="420"/>
        <w:rPr>
          <w:highlight w:val="none"/>
        </w:rPr>
      </w:pPr>
      <w:r>
        <w:rPr>
          <w:highlight w:val="none"/>
        </w:rPr>
        <w:t>计算稳流精度：|(Iₘ - Iₙ)/Iₙ|×100%，验证</w:t>
      </w:r>
      <w:r>
        <w:rPr>
          <w:rFonts w:hint="eastAsia" w:ascii="宋体" w:hAnsi="宋体"/>
          <w:kern w:val="0"/>
          <w:szCs w:val="20"/>
          <w:highlight w:val="none"/>
        </w:rPr>
        <w:t>输出电流精度≤±1%</w:t>
      </w:r>
      <w:r>
        <w:rPr>
          <w:highlight w:val="none"/>
        </w:rPr>
        <w:t>（Iₙ为</w:t>
      </w:r>
      <w:r>
        <w:rPr>
          <w:rFonts w:hint="eastAsia"/>
          <w:highlight w:val="none"/>
          <w:lang w:val="en-US" w:eastAsia="zh-CN"/>
        </w:rPr>
        <w:t>额定</w:t>
      </w:r>
      <w:r>
        <w:rPr>
          <w:highlight w:val="none"/>
        </w:rPr>
        <w:t>电流值）；</w:t>
      </w:r>
    </w:p>
    <w:p w14:paraId="774DDF09">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rPr>
          <w:highlight w:val="none"/>
        </w:rPr>
      </w:pPr>
      <w:r>
        <w:rPr>
          <w:rFonts w:hint="eastAsia"/>
          <w:highlight w:val="none"/>
        </w:rPr>
        <w:t>稳压精度</w:t>
      </w:r>
    </w:p>
    <w:p w14:paraId="6AB4C269">
      <w:pPr>
        <w:pStyle w:val="58"/>
        <w:rPr>
          <w:highlight w:val="none"/>
        </w:rPr>
      </w:pPr>
      <w:r>
        <w:rPr>
          <w:rFonts w:hint="eastAsia"/>
          <w:highlight w:val="none"/>
          <w:lang w:val="en-US" w:eastAsia="zh-CN"/>
        </w:rPr>
        <w:t>稳压精度</w:t>
      </w:r>
      <w:r>
        <w:rPr>
          <w:rFonts w:hint="eastAsia"/>
          <w:highlight w:val="none"/>
        </w:rPr>
        <w:t>测试方法如下：</w:t>
      </w:r>
    </w:p>
    <w:p w14:paraId="01724925">
      <w:pPr>
        <w:pStyle w:val="233"/>
        <w:numPr>
          <w:ilvl w:val="0"/>
          <w:numId w:val="57"/>
        </w:numPr>
        <w:tabs>
          <w:tab w:val="center" w:pos="4201"/>
          <w:tab w:val="right" w:leader="dot" w:pos="9298"/>
        </w:tabs>
        <w:ind w:firstLine="420"/>
        <w:rPr>
          <w:highlight w:val="none"/>
        </w:rPr>
      </w:pPr>
      <w:r>
        <w:rPr>
          <w:rFonts w:hint="eastAsia"/>
          <w:highlight w:val="none"/>
        </w:rPr>
        <w:t>连接测试回路：芯片电源输入端接可编程直流电源，输出端接电子负载，高精度电压表并联在输出端；</w:t>
      </w:r>
    </w:p>
    <w:p w14:paraId="186CC113">
      <w:pPr>
        <w:pStyle w:val="233"/>
        <w:numPr>
          <w:ilvl w:val="0"/>
          <w:numId w:val="57"/>
        </w:numPr>
        <w:tabs>
          <w:tab w:val="center" w:pos="4201"/>
          <w:tab w:val="right" w:leader="dot" w:pos="9298"/>
        </w:tabs>
        <w:ind w:firstLine="420"/>
        <w:rPr>
          <w:highlight w:val="none"/>
        </w:rPr>
      </w:pPr>
      <w:r>
        <w:rPr>
          <w:rFonts w:hint="eastAsia"/>
          <w:highlight w:val="none"/>
        </w:rPr>
        <w:t>设定输入电压为额定值，使芯片工作在恒压模式，将输出电压设定</w:t>
      </w:r>
      <w:r>
        <w:rPr>
          <w:rFonts w:hint="eastAsia"/>
          <w:highlight w:val="none"/>
          <w:lang w:val="en-US" w:eastAsia="zh-CN"/>
        </w:rPr>
        <w:t>额定值</w:t>
      </w:r>
      <w:r>
        <w:rPr>
          <w:rFonts w:hint="eastAsia"/>
          <w:highlight w:val="none"/>
        </w:rPr>
        <w:t>，调整负载电流</w:t>
      </w:r>
      <w:r>
        <w:rPr>
          <w:rFonts w:hint="eastAsia"/>
          <w:highlight w:val="none"/>
          <w:lang w:val="en-US" w:eastAsia="zh-CN"/>
        </w:rPr>
        <w:t>0~100%</w:t>
      </w:r>
      <w:r>
        <w:rPr>
          <w:rFonts w:hint="eastAsia"/>
          <w:highlight w:val="none"/>
        </w:rPr>
        <w:t>范围内变化，同时调整输入电压在</w:t>
      </w:r>
      <w:r>
        <w:rPr>
          <w:rFonts w:hint="eastAsia"/>
          <w:highlight w:val="none"/>
          <w:lang w:val="en-US" w:eastAsia="zh-CN"/>
        </w:rPr>
        <w:t>4~60V范围变化</w:t>
      </w:r>
      <w:r>
        <w:rPr>
          <w:rFonts w:hint="eastAsia"/>
          <w:highlight w:val="none"/>
        </w:rPr>
        <w:t>，测量输出电压的</w:t>
      </w:r>
      <w:r>
        <w:rPr>
          <w:rFonts w:hint="eastAsia"/>
          <w:highlight w:val="none"/>
          <w:lang w:val="en-US" w:eastAsia="zh-CN"/>
        </w:rPr>
        <w:t>实际值</w:t>
      </w:r>
      <w:r>
        <w:rPr>
          <w:rFonts w:hint="eastAsia"/>
          <w:highlight w:val="none"/>
        </w:rPr>
        <w:t>Uₘ；</w:t>
      </w:r>
    </w:p>
    <w:p w14:paraId="1F37A4F6">
      <w:pPr>
        <w:pStyle w:val="233"/>
        <w:numPr>
          <w:ilvl w:val="0"/>
          <w:numId w:val="57"/>
        </w:numPr>
        <w:tabs>
          <w:tab w:val="center" w:pos="4201"/>
          <w:tab w:val="right" w:leader="dot" w:pos="9298"/>
        </w:tabs>
        <w:ind w:firstLine="420"/>
        <w:rPr>
          <w:highlight w:val="none"/>
        </w:rPr>
      </w:pPr>
      <w:r>
        <w:rPr>
          <w:rFonts w:hint="eastAsia"/>
          <w:highlight w:val="none"/>
        </w:rPr>
        <w:t>计算电压精度：|(Uₘ - Uₙ)/Uₙ|×100%，验证</w:t>
      </w:r>
      <w:r>
        <w:rPr>
          <w:rFonts w:hint="eastAsia"/>
          <w:highlight w:val="none"/>
          <w:lang w:val="en-US" w:eastAsia="zh-CN"/>
        </w:rPr>
        <w:t>实际输出电压与额定输出电压最大偏差≤±1%</w:t>
      </w:r>
      <w:r>
        <w:rPr>
          <w:rFonts w:hint="eastAsia"/>
          <w:highlight w:val="none"/>
        </w:rPr>
        <w:t>（Uₙ为</w:t>
      </w:r>
      <w:r>
        <w:rPr>
          <w:rFonts w:hint="eastAsia"/>
          <w:highlight w:val="none"/>
          <w:lang w:val="en-US" w:eastAsia="zh-CN"/>
        </w:rPr>
        <w:t>额定</w:t>
      </w:r>
      <w:r>
        <w:rPr>
          <w:rFonts w:hint="eastAsia"/>
          <w:highlight w:val="none"/>
        </w:rPr>
        <w:t xml:space="preserve">电压值）； </w:t>
      </w:r>
    </w:p>
    <w:p w14:paraId="4C72FBA2">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rPr>
          <w:highlight w:val="none"/>
        </w:rPr>
      </w:pPr>
      <w:r>
        <w:rPr>
          <w:rFonts w:hint="eastAsia" w:ascii="宋体" w:hAnsi="宋体" w:cs="宋体"/>
          <w:kern w:val="0"/>
          <w:szCs w:val="20"/>
          <w:highlight w:val="none"/>
          <w:lang w:val="en-US" w:eastAsia="zh-CN"/>
        </w:rPr>
        <w:t>纹波峰峰值</w:t>
      </w:r>
    </w:p>
    <w:p w14:paraId="21CE31EF">
      <w:pPr>
        <w:pStyle w:val="58"/>
        <w:rPr>
          <w:highlight w:val="none"/>
        </w:rPr>
      </w:pPr>
      <w:r>
        <w:rPr>
          <w:rFonts w:hint="eastAsia"/>
          <w:highlight w:val="none"/>
          <w:lang w:val="en-US" w:eastAsia="zh-CN"/>
        </w:rPr>
        <w:t>纹波峰峰值</w:t>
      </w:r>
      <w:r>
        <w:rPr>
          <w:rFonts w:hint="eastAsia"/>
          <w:highlight w:val="none"/>
        </w:rPr>
        <w:t>测试方法如下：</w:t>
      </w:r>
    </w:p>
    <w:p w14:paraId="722C54BF">
      <w:pPr>
        <w:pStyle w:val="233"/>
        <w:numPr>
          <w:ilvl w:val="0"/>
          <w:numId w:val="58"/>
        </w:numPr>
        <w:tabs>
          <w:tab w:val="center" w:pos="4201"/>
          <w:tab w:val="right" w:leader="dot" w:pos="9298"/>
        </w:tabs>
        <w:ind w:firstLine="420"/>
        <w:rPr>
          <w:highlight w:val="none"/>
        </w:rPr>
      </w:pPr>
      <w:r>
        <w:rPr>
          <w:rFonts w:hint="eastAsia"/>
          <w:highlight w:val="none"/>
        </w:rPr>
        <w:t>连接测试回路：芯片电源输入端接额定电压直流电源，输出端接满载负载，示波器（带宽设置为20MHz）并联在输出端；</w:t>
      </w:r>
    </w:p>
    <w:p w14:paraId="05821417">
      <w:pPr>
        <w:pStyle w:val="233"/>
        <w:numPr>
          <w:ilvl w:val="0"/>
          <w:numId w:val="58"/>
        </w:numPr>
        <w:tabs>
          <w:tab w:val="center" w:pos="4201"/>
          <w:tab w:val="right" w:leader="dot" w:pos="9298"/>
        </w:tabs>
        <w:ind w:firstLine="420"/>
        <w:rPr>
          <w:rFonts w:hint="eastAsia" w:ascii="宋体" w:hAnsi="宋体" w:eastAsia="宋体" w:cs="宋体"/>
          <w:kern w:val="0"/>
          <w:szCs w:val="20"/>
          <w:highlight w:val="none"/>
        </w:rPr>
      </w:pPr>
      <w:r>
        <w:rPr>
          <w:rFonts w:hint="eastAsia"/>
          <w:highlight w:val="none"/>
        </w:rPr>
        <w:t>将芯片设置为</w:t>
      </w:r>
      <w:r>
        <w:rPr>
          <w:rFonts w:hint="eastAsia"/>
          <w:highlight w:val="none"/>
          <w:lang w:val="en-US" w:eastAsia="zh-CN"/>
        </w:rPr>
        <w:t>额定</w:t>
      </w:r>
      <w:r>
        <w:rPr>
          <w:rFonts w:hint="eastAsia"/>
          <w:highlight w:val="none"/>
        </w:rPr>
        <w:t>输出，待输出稳定后，用示波器测量输出电压的纹波峰峰值V</w:t>
      </w:r>
      <w:r>
        <w:rPr>
          <w:rFonts w:hint="eastAsia" w:ascii="宋体" w:hAnsi="宋体" w:eastAsia="宋体" w:cs="宋体"/>
          <w:highlight w:val="none"/>
          <w:vertAlign w:val="subscript"/>
        </w:rPr>
        <w:t>P</w:t>
      </w:r>
      <w:r>
        <w:rPr>
          <w:rFonts w:hint="eastAsia" w:ascii="宋体" w:hAnsi="宋体" w:eastAsia="宋体" w:cs="宋体"/>
          <w:highlight w:val="none"/>
          <w:vertAlign w:val="subscript"/>
          <w:lang w:val="en-US" w:eastAsia="zh-CN"/>
        </w:rPr>
        <w:t>P</w:t>
      </w:r>
      <w:r>
        <w:rPr>
          <w:rFonts w:hint="eastAsia"/>
          <w:highlight w:val="none"/>
        </w:rPr>
        <w:t>；</w:t>
      </w:r>
    </w:p>
    <w:p w14:paraId="0356F54D">
      <w:pPr>
        <w:pStyle w:val="233"/>
        <w:numPr>
          <w:ilvl w:val="0"/>
          <w:numId w:val="58"/>
        </w:numPr>
        <w:tabs>
          <w:tab w:val="center" w:pos="4201"/>
          <w:tab w:val="right" w:leader="dot" w:pos="9298"/>
        </w:tabs>
        <w:ind w:firstLine="420"/>
        <w:rPr>
          <w:highlight w:val="none"/>
        </w:rPr>
      </w:pPr>
      <w:r>
        <w:rPr>
          <w:rFonts w:hint="eastAsia" w:ascii="宋体" w:hAnsi="宋体" w:eastAsia="宋体" w:cs="宋体"/>
          <w:kern w:val="0"/>
          <w:szCs w:val="20"/>
          <w:highlight w:val="none"/>
        </w:rPr>
        <w:t>输出</w:t>
      </w:r>
      <w:r>
        <w:rPr>
          <w:rFonts w:hint="eastAsia" w:ascii="宋体" w:hAnsi="宋体" w:cs="宋体"/>
          <w:kern w:val="0"/>
          <w:szCs w:val="20"/>
          <w:highlight w:val="none"/>
          <w:lang w:val="en-US" w:eastAsia="zh-CN"/>
        </w:rPr>
        <w:t>纹波峰峰值</w:t>
      </w:r>
      <w:r>
        <w:rPr>
          <w:rFonts w:hint="eastAsia" w:hAnsi="宋体" w:cs="宋体"/>
          <w:kern w:val="0"/>
          <w:szCs w:val="20"/>
          <w:highlight w:val="none"/>
          <w:lang w:val="en-US" w:eastAsia="zh-CN"/>
        </w:rPr>
        <w:t>是否</w:t>
      </w:r>
      <w:r>
        <w:rPr>
          <w:rFonts w:hint="eastAsia" w:ascii="宋体" w:hAnsi="宋体" w:eastAsia="宋体" w:cs="宋体"/>
          <w:kern w:val="0"/>
          <w:szCs w:val="20"/>
          <w:highlight w:val="none"/>
        </w:rPr>
        <w:t>≤</w:t>
      </w:r>
      <w:r>
        <w:rPr>
          <w:rFonts w:hint="eastAsia" w:ascii="宋体" w:hAnsi="宋体" w:cs="宋体"/>
          <w:kern w:val="0"/>
          <w:szCs w:val="20"/>
          <w:highlight w:val="none"/>
          <w:lang w:val="en-US" w:eastAsia="zh-CN"/>
        </w:rPr>
        <w:t>额定电压的</w:t>
      </w:r>
      <w:r>
        <w:rPr>
          <w:rFonts w:hint="eastAsia" w:ascii="宋体" w:hAnsi="宋体" w:eastAsia="宋体" w:cs="宋体"/>
          <w:kern w:val="0"/>
          <w:szCs w:val="20"/>
          <w:highlight w:val="none"/>
        </w:rPr>
        <w:t>1%</w:t>
      </w:r>
    </w:p>
    <w:p w14:paraId="124086B7">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rPr>
          <w:highlight w:val="none"/>
        </w:rPr>
      </w:pPr>
      <w:r>
        <w:rPr>
          <w:rFonts w:hint="eastAsia"/>
          <w:highlight w:val="none"/>
        </w:rPr>
        <w:t>工作频率</w:t>
      </w:r>
    </w:p>
    <w:p w14:paraId="171CBAC4">
      <w:pPr>
        <w:pStyle w:val="58"/>
        <w:rPr>
          <w:highlight w:val="none"/>
        </w:rPr>
      </w:pPr>
      <w:r>
        <w:rPr>
          <w:rFonts w:hint="eastAsia"/>
          <w:highlight w:val="none"/>
          <w:lang w:val="en-US" w:eastAsia="zh-CN"/>
        </w:rPr>
        <w:t>工作频率</w:t>
      </w:r>
      <w:r>
        <w:rPr>
          <w:rFonts w:hint="eastAsia"/>
          <w:highlight w:val="none"/>
        </w:rPr>
        <w:t>测试方法如下：</w:t>
      </w:r>
    </w:p>
    <w:p w14:paraId="58B2F417">
      <w:pPr>
        <w:pStyle w:val="233"/>
        <w:numPr>
          <w:ilvl w:val="0"/>
          <w:numId w:val="59"/>
        </w:numPr>
        <w:tabs>
          <w:tab w:val="center" w:pos="4201"/>
          <w:tab w:val="right" w:leader="dot" w:pos="9298"/>
        </w:tabs>
        <w:ind w:firstLine="420"/>
        <w:rPr>
          <w:highlight w:val="none"/>
        </w:rPr>
      </w:pPr>
      <w:r>
        <w:rPr>
          <w:rFonts w:hint="eastAsia"/>
          <w:highlight w:val="none"/>
        </w:rPr>
        <w:t>直流电源输出接入被测电源芯片供电引脚，给芯片提供额定工作电压</w:t>
      </w:r>
    </w:p>
    <w:p w14:paraId="6CB739B5">
      <w:pPr>
        <w:pStyle w:val="233"/>
        <w:numPr>
          <w:ilvl w:val="0"/>
          <w:numId w:val="59"/>
        </w:numPr>
        <w:tabs>
          <w:tab w:val="center" w:pos="4201"/>
          <w:tab w:val="right" w:leader="dot" w:pos="9298"/>
        </w:tabs>
        <w:ind w:firstLine="420"/>
        <w:rPr>
          <w:highlight w:val="none"/>
        </w:rPr>
      </w:pPr>
      <w:r>
        <w:rPr>
          <w:rFonts w:hint="eastAsia"/>
          <w:highlight w:val="none"/>
          <w:lang w:val="en-US" w:eastAsia="zh-CN"/>
        </w:rPr>
        <w:t>调</w:t>
      </w:r>
      <w:r>
        <w:rPr>
          <w:rFonts w:hint="eastAsia"/>
          <w:highlight w:val="none"/>
          <w:lang w:val="en-US" w:eastAsia="zh-CN"/>
        </w:rPr>
        <w:t>整</w:t>
      </w:r>
      <w:r>
        <w:rPr>
          <w:rFonts w:hint="eastAsia" w:ascii="宋体" w:hAnsi="宋体" w:eastAsia="宋体" w:cs="宋体"/>
          <w:sz w:val="21"/>
          <w:highlight w:val="none"/>
        </w:rPr>
        <w:t>工作频率为50KHZ-</w:t>
      </w:r>
      <w:r>
        <w:rPr>
          <w:rFonts w:hint="eastAsia" w:ascii="宋体" w:hAnsi="宋体" w:eastAsia="宋体" w:cs="宋体"/>
          <w:sz w:val="21"/>
          <w:highlight w:val="none"/>
          <w:lang w:val="en-US" w:eastAsia="zh-CN"/>
        </w:rPr>
        <w:t>2.2</w:t>
      </w:r>
      <w:r>
        <w:rPr>
          <w:rFonts w:hint="eastAsia" w:ascii="宋体" w:hAnsi="宋体" w:eastAsia="宋体" w:cs="宋体"/>
          <w:sz w:val="21"/>
          <w:highlight w:val="none"/>
        </w:rPr>
        <w:t>MHZ</w:t>
      </w:r>
      <w:r>
        <w:rPr>
          <w:rFonts w:hint="eastAsia" w:hAnsi="宋体" w:cs="宋体"/>
          <w:sz w:val="21"/>
          <w:highlight w:val="none"/>
          <w:lang w:val="en-US" w:eastAsia="zh-CN"/>
        </w:rPr>
        <w:t>范围</w:t>
      </w:r>
      <w:r>
        <w:rPr>
          <w:rFonts w:hint="eastAsia" w:hAnsi="宋体" w:cs="宋体"/>
          <w:sz w:val="21"/>
          <w:highlight w:val="none"/>
          <w:lang w:eastAsia="zh-CN"/>
        </w:rPr>
        <w:t>，</w:t>
      </w:r>
      <w:r>
        <w:rPr>
          <w:rFonts w:hint="eastAsia" w:hAnsi="宋体" w:cs="宋体"/>
          <w:sz w:val="21"/>
          <w:highlight w:val="none"/>
          <w:lang w:val="en-US" w:eastAsia="zh-CN"/>
        </w:rPr>
        <w:t>记录输出稳定的工作频率值</w:t>
      </w:r>
    </w:p>
    <w:p w14:paraId="08EB1E7F">
      <w:pPr>
        <w:pStyle w:val="107"/>
        <w:spacing w:before="120" w:after="120"/>
        <w:rPr>
          <w:highlight w:val="none"/>
        </w:rPr>
      </w:pPr>
      <w:bookmarkStart w:id="72" w:name="_Toc1660"/>
      <w:bookmarkStart w:id="73" w:name="_Toc11299"/>
      <w:r>
        <w:rPr>
          <w:rFonts w:hint="eastAsia"/>
          <w:highlight w:val="none"/>
        </w:rPr>
        <w:t>可靠性试验</w:t>
      </w:r>
      <w:bookmarkEnd w:id="72"/>
      <w:bookmarkEnd w:id="73"/>
    </w:p>
    <w:p w14:paraId="3EFDA882">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rPr>
          <w:highlight w:val="none"/>
        </w:rPr>
      </w:pPr>
      <w:r>
        <w:rPr>
          <w:rFonts w:hint="eastAsia"/>
          <w:highlight w:val="none"/>
        </w:rPr>
        <w:t>试验环境条件</w:t>
      </w:r>
    </w:p>
    <w:p w14:paraId="243649D0">
      <w:pPr>
        <w:pStyle w:val="233"/>
        <w:tabs>
          <w:tab w:val="center" w:pos="4201"/>
          <w:tab w:val="right" w:leader="dot" w:pos="9298"/>
        </w:tabs>
        <w:ind w:firstLine="420"/>
        <w:rPr>
          <w:rFonts w:cs="宋体"/>
          <w:szCs w:val="21"/>
          <w:highlight w:val="none"/>
        </w:rPr>
      </w:pPr>
      <w:r>
        <w:rPr>
          <w:rFonts w:hint="eastAsia" w:cs="宋体"/>
          <w:szCs w:val="21"/>
          <w:highlight w:val="none"/>
        </w:rPr>
        <w:t>常温试验环境温度为23 ℃±5 ℃，湿度为30%RH</w:t>
      </w:r>
      <w:r>
        <w:rPr>
          <w:rFonts w:ascii="Times New Roman"/>
          <w:szCs w:val="21"/>
          <w:highlight w:val="none"/>
        </w:rPr>
        <w:t>~</w:t>
      </w:r>
      <w:r>
        <w:rPr>
          <w:rFonts w:hint="eastAsia" w:cs="宋体"/>
          <w:szCs w:val="21"/>
          <w:highlight w:val="none"/>
        </w:rPr>
        <w:t>60%RH。工作温度根据整车安装位置分级执行。</w:t>
      </w:r>
    </w:p>
    <w:p w14:paraId="51BA6815">
      <w:pPr>
        <w:pStyle w:val="233"/>
        <w:tabs>
          <w:tab w:val="center" w:pos="4201"/>
          <w:tab w:val="right" w:leader="dot" w:pos="9298"/>
        </w:tabs>
        <w:ind w:firstLine="420"/>
        <w:rPr>
          <w:rFonts w:cs="宋体"/>
          <w:szCs w:val="21"/>
          <w:highlight w:val="none"/>
        </w:rPr>
      </w:pPr>
      <w:r>
        <w:rPr>
          <w:rFonts w:hint="eastAsia" w:cs="宋体"/>
          <w:szCs w:val="21"/>
          <w:highlight w:val="none"/>
        </w:rPr>
        <w:t>工作电压应在产品规格书范围内，且偏差不应超过±1%。</w:t>
      </w:r>
    </w:p>
    <w:p w14:paraId="3558D0D2">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rPr>
          <w:highlight w:val="none"/>
        </w:rPr>
      </w:pPr>
      <w:r>
        <w:rPr>
          <w:rFonts w:hint="eastAsia"/>
          <w:highlight w:val="none"/>
        </w:rPr>
        <w:t>加速环境应力试验</w:t>
      </w:r>
    </w:p>
    <w:p w14:paraId="2B4FEAD2">
      <w:pPr>
        <w:widowControl/>
        <w:wordWrap w:val="0"/>
        <w:overflowPunct w:val="0"/>
        <w:autoSpaceDE w:val="0"/>
        <w:autoSpaceDN w:val="0"/>
        <w:spacing w:before="120" w:beforeLines="50" w:after="120" w:afterLines="50" w:line="240" w:lineRule="auto"/>
        <w:textAlignment w:val="baseline"/>
        <w:outlineLvl w:val="3"/>
        <w:rPr>
          <w:rFonts w:ascii="黑体" w:hAnsi="Times New Roman" w:eastAsia="黑体"/>
          <w:kern w:val="21"/>
          <w:highlight w:val="none"/>
        </w:rPr>
      </w:pPr>
      <w:r>
        <w:rPr>
          <w:rFonts w:hint="eastAsia" w:ascii="黑体" w:hAnsi="Times New Roman" w:eastAsia="黑体"/>
          <w:kern w:val="21"/>
          <w:highlight w:val="none"/>
        </w:rPr>
        <w:t>6.3.2.1  预处理</w:t>
      </w:r>
    </w:p>
    <w:p w14:paraId="33F04EA9">
      <w:pPr>
        <w:autoSpaceDE w:val="0"/>
        <w:autoSpaceDN w:val="0"/>
        <w:spacing w:line="240" w:lineRule="auto"/>
        <w:ind w:firstLine="420" w:firstLineChars="200"/>
        <w:rPr>
          <w:rFonts w:hint="eastAsia" w:ascii="宋体" w:hAnsi="宋体" w:cs="宋体"/>
          <w:highlight w:val="none"/>
          <w:lang w:bidi="ar"/>
        </w:rPr>
      </w:pPr>
      <w:r>
        <w:rPr>
          <w:rFonts w:hint="eastAsia" w:ascii="宋体" w:hAnsi="宋体" w:cs="宋体"/>
          <w:highlight w:val="none"/>
          <w:lang w:bidi="ar"/>
        </w:rPr>
        <w:t>本试验适用于非密封表面贴装纯电动客车用电源管理芯片。对于非密封表面贴装纯电动客车用电源管理芯片，应在恒定温湿度偏压应力/高加速温湿度应力、高压蒸煮/无偏压高加速温湿度应力、温度循环和功率温度循环应力测试之前进行预处理试验。</w:t>
      </w:r>
    </w:p>
    <w:p w14:paraId="2506711A">
      <w:pPr>
        <w:spacing w:line="240" w:lineRule="auto"/>
        <w:ind w:firstLine="420" w:firstLineChars="200"/>
        <w:jc w:val="left"/>
        <w:rPr>
          <w:rFonts w:hint="eastAsia" w:ascii="宋体" w:hAnsi="宋体"/>
          <w:highlight w:val="none"/>
        </w:rPr>
      </w:pPr>
      <w:r>
        <w:rPr>
          <w:highlight w:val="none"/>
        </w:rPr>
        <w:t>使用</w:t>
      </w:r>
      <w:r>
        <w:rPr>
          <w:rFonts w:ascii="宋体" w:hAnsi="宋体"/>
          <w:highlight w:val="none"/>
        </w:rPr>
        <w:t>3个不连续批次</w:t>
      </w:r>
      <w:r>
        <w:rPr>
          <w:rFonts w:hint="eastAsia" w:ascii="宋体" w:hAnsi="宋体"/>
          <w:highlight w:val="none"/>
        </w:rPr>
        <w:t>（同时满足不连续的晶圆批次、不连续的封装批次，无法满足时由供需双方协商确定）</w:t>
      </w:r>
      <w:r>
        <w:rPr>
          <w:rFonts w:ascii="宋体" w:hAnsi="宋体"/>
          <w:highlight w:val="none"/>
        </w:rPr>
        <w:t>的</w:t>
      </w:r>
      <w:r>
        <w:rPr>
          <w:rFonts w:hint="eastAsia" w:ascii="宋体" w:hAnsi="宋体"/>
          <w:highlight w:val="none"/>
        </w:rPr>
        <w:t>测试</w:t>
      </w:r>
      <w:r>
        <w:rPr>
          <w:rFonts w:ascii="宋体" w:hAnsi="宋体"/>
          <w:highlight w:val="none"/>
        </w:rPr>
        <w:t>样品，</w:t>
      </w:r>
      <w:r>
        <w:rPr>
          <w:rFonts w:hint="eastAsia" w:ascii="宋体" w:hAnsi="宋体"/>
          <w:highlight w:val="none"/>
        </w:rPr>
        <w:t>试验样品数量不应少于需要进行预处理试验项目样品数量的总和</w:t>
      </w:r>
      <w:r>
        <w:rPr>
          <w:rFonts w:ascii="宋体" w:hAnsi="宋体"/>
          <w:highlight w:val="none"/>
        </w:rPr>
        <w:t>，按照下列步骤进行试验：</w:t>
      </w:r>
    </w:p>
    <w:p w14:paraId="032DC5C5">
      <w:pPr>
        <w:numPr>
          <w:ilvl w:val="0"/>
          <w:numId w:val="60"/>
        </w:numPr>
        <w:tabs>
          <w:tab w:val="left" w:pos="839"/>
          <w:tab w:val="left" w:pos="851"/>
        </w:tabs>
        <w:spacing w:line="240" w:lineRule="auto"/>
        <w:rPr>
          <w:rFonts w:hint="eastAsia" w:ascii="宋体" w:hAnsi="宋体"/>
          <w:highlight w:val="none"/>
        </w:rPr>
      </w:pPr>
      <w:r>
        <w:rPr>
          <w:rFonts w:hint="eastAsia" w:ascii="宋体" w:hAnsi="宋体"/>
          <w:highlight w:val="none"/>
        </w:rPr>
        <w:t>按照6.3.6.1的方法在室温下进行功能/</w:t>
      </w:r>
      <w:r>
        <w:rPr>
          <w:rFonts w:hint="eastAsia" w:ascii="宋体" w:hAnsi="Times New Roman"/>
          <w:highlight w:val="none"/>
        </w:rPr>
        <w:t>电气参数</w:t>
      </w:r>
      <w:r>
        <w:rPr>
          <w:rFonts w:hint="eastAsia" w:ascii="宋体" w:hAnsi="宋体"/>
          <w:highlight w:val="none"/>
        </w:rPr>
        <w:t>检查</w:t>
      </w:r>
      <w:r>
        <w:rPr>
          <w:rFonts w:ascii="宋体" w:hAnsi="宋体"/>
          <w:highlight w:val="none"/>
        </w:rPr>
        <w:t>，替换不合格样品；</w:t>
      </w:r>
    </w:p>
    <w:p w14:paraId="0E08C972">
      <w:pPr>
        <w:numPr>
          <w:ilvl w:val="0"/>
          <w:numId w:val="60"/>
        </w:numPr>
        <w:tabs>
          <w:tab w:val="left" w:pos="839"/>
          <w:tab w:val="left" w:pos="851"/>
        </w:tabs>
        <w:spacing w:line="240" w:lineRule="auto"/>
        <w:rPr>
          <w:rFonts w:hint="eastAsia" w:ascii="宋体" w:hAnsi="宋体"/>
          <w:highlight w:val="none"/>
        </w:rPr>
      </w:pPr>
      <w:r>
        <w:rPr>
          <w:rFonts w:hint="eastAsia" w:ascii="宋体" w:hAnsi="宋体"/>
          <w:highlight w:val="none"/>
        </w:rPr>
        <w:t>在不低于40倍光学放大倍率下进行外部目视检查，替换不合格样品；</w:t>
      </w:r>
    </w:p>
    <w:p w14:paraId="0224DAB5">
      <w:pPr>
        <w:numPr>
          <w:ilvl w:val="0"/>
          <w:numId w:val="60"/>
        </w:numPr>
        <w:tabs>
          <w:tab w:val="left" w:pos="839"/>
          <w:tab w:val="left" w:pos="851"/>
        </w:tabs>
        <w:spacing w:line="240" w:lineRule="auto"/>
        <w:rPr>
          <w:rFonts w:hint="eastAsia" w:ascii="宋体" w:hAnsi="宋体"/>
          <w:highlight w:val="none"/>
        </w:rPr>
      </w:pPr>
      <w:r>
        <w:rPr>
          <w:rFonts w:hint="eastAsia" w:ascii="宋体" w:hAnsi="宋体"/>
          <w:highlight w:val="none"/>
        </w:rPr>
        <w:t>每个批次选取3颗样品进行超声波扫描分层试验；</w:t>
      </w:r>
    </w:p>
    <w:p w14:paraId="5AE71663">
      <w:pPr>
        <w:numPr>
          <w:ilvl w:val="0"/>
          <w:numId w:val="60"/>
        </w:numPr>
        <w:tabs>
          <w:tab w:val="left" w:pos="839"/>
          <w:tab w:val="left" w:pos="851"/>
        </w:tabs>
        <w:spacing w:line="240" w:lineRule="auto"/>
        <w:rPr>
          <w:rFonts w:hint="eastAsia" w:ascii="宋体" w:hAnsi="宋体"/>
          <w:highlight w:val="none"/>
        </w:rPr>
      </w:pPr>
      <w:r>
        <w:rPr>
          <w:rFonts w:hint="eastAsia" w:ascii="宋体" w:hAnsi="宋体"/>
          <w:highlight w:val="none"/>
        </w:rPr>
        <w:t xml:space="preserve">按照6.3.2.7的方法以不高于-40 ℃的最低温度和不低于60 ℃的最高温度进行5次温度循环（可选步骤）；        </w:t>
      </w:r>
    </w:p>
    <w:p w14:paraId="6E52BC7D">
      <w:pPr>
        <w:numPr>
          <w:ilvl w:val="0"/>
          <w:numId w:val="60"/>
        </w:numPr>
        <w:tabs>
          <w:tab w:val="left" w:pos="839"/>
          <w:tab w:val="left" w:pos="851"/>
        </w:tabs>
        <w:spacing w:line="240" w:lineRule="auto"/>
        <w:ind w:left="839" w:hanging="420"/>
        <w:rPr>
          <w:rFonts w:hint="eastAsia" w:ascii="宋体" w:hAnsi="宋体"/>
          <w:highlight w:val="none"/>
        </w:rPr>
      </w:pPr>
      <w:r>
        <w:rPr>
          <w:rFonts w:hint="eastAsia" w:ascii="宋体" w:hAnsi="宋体"/>
          <w:highlight w:val="none"/>
        </w:rPr>
        <w:t>在</w:t>
      </w:r>
      <w:r>
        <w:rPr>
          <w:rFonts w:hint="eastAsia" w:ascii="宋体" w:hAnsi="宋体"/>
          <w:position w:val="-10"/>
          <w:highlight w:val="none"/>
        </w:rPr>
        <w:object>
          <v:shape id="_x0000_i1025" o:spt="75" type="#_x0000_t75" style="height:17.2pt;width:26pt;" o:ole="t" filled="f" o:preferrelative="t" stroked="f" coordsize="21600,21600">
            <v:path/>
            <v:fill on="f" focussize="0,0"/>
            <v:stroke on="f" joinstyle="miter"/>
            <v:imagedata r:id="rId23" o:title=""/>
            <o:lock v:ext="edit" aspectratio="t"/>
            <w10:wrap type="none"/>
            <w10:anchorlock/>
          </v:shape>
          <o:OLEObject Type="Embed" ProgID="Equation.KSEE3" ShapeID="_x0000_i1025" DrawAspect="Content" ObjectID="_1468075725" r:id="rId22">
            <o:LockedField>false</o:LockedField>
          </o:OLEObject>
        </w:object>
      </w:r>
      <w:r>
        <w:rPr>
          <w:rFonts w:hint="eastAsia" w:ascii="宋体" w:hAnsi="宋体"/>
          <w:highlight w:val="none"/>
        </w:rPr>
        <w:t xml:space="preserve"> ℃条件下保持24 h；</w:t>
      </w:r>
    </w:p>
    <w:p w14:paraId="77160729">
      <w:pPr>
        <w:autoSpaceDE w:val="0"/>
        <w:autoSpaceDN w:val="0"/>
        <w:spacing w:line="240" w:lineRule="auto"/>
        <w:ind w:left="839" w:hanging="420"/>
        <w:rPr>
          <w:rFonts w:ascii="宋体" w:hAnsi="Times New Roman"/>
          <w:sz w:val="18"/>
          <w:szCs w:val="18"/>
          <w:highlight w:val="none"/>
        </w:rPr>
      </w:pPr>
      <w:r>
        <w:rPr>
          <w:rFonts w:hint="eastAsia" w:ascii="黑体" w:hAnsi="Times New Roman" w:eastAsia="黑体"/>
          <w:sz w:val="18"/>
          <w:szCs w:val="18"/>
          <w:highlight w:val="none"/>
        </w:rPr>
        <w:t>注：</w:t>
      </w:r>
      <w:r>
        <w:rPr>
          <w:rFonts w:hint="eastAsia" w:ascii="宋体" w:hAnsi="Times New Roman"/>
          <w:sz w:val="18"/>
          <w:szCs w:val="18"/>
          <w:highlight w:val="none"/>
        </w:rPr>
        <w:t>可根据电源管理芯片特性视情况调整试验时间和温度，以确保去除所有水分。</w:t>
      </w:r>
    </w:p>
    <w:p w14:paraId="231DA48F">
      <w:pPr>
        <w:numPr>
          <w:ilvl w:val="0"/>
          <w:numId w:val="13"/>
        </w:numPr>
        <w:spacing w:line="240" w:lineRule="auto"/>
        <w:rPr>
          <w:rFonts w:ascii="宋体" w:hAnsi="Times New Roman"/>
          <w:highlight w:val="none"/>
        </w:rPr>
      </w:pPr>
      <w:r>
        <w:rPr>
          <w:rFonts w:ascii="宋体" w:hAnsi="Times New Roman"/>
          <w:highlight w:val="none"/>
        </w:rPr>
        <w:t>在步骤e）完成后2</w:t>
      </w:r>
      <w:r>
        <w:rPr>
          <w:rFonts w:hint="eastAsia" w:ascii="宋体" w:hAnsi="Times New Roman"/>
          <w:highlight w:val="none"/>
        </w:rPr>
        <w:t xml:space="preserve"> </w:t>
      </w:r>
      <w:r>
        <w:rPr>
          <w:rFonts w:ascii="宋体" w:hAnsi="Times New Roman"/>
          <w:highlight w:val="none"/>
        </w:rPr>
        <w:t>h内，按照表</w:t>
      </w:r>
      <w:r>
        <w:rPr>
          <w:rFonts w:hint="eastAsia" w:ascii="宋体" w:hAnsi="Times New Roman"/>
          <w:highlight w:val="none"/>
        </w:rPr>
        <w:t>15</w:t>
      </w:r>
      <w:r>
        <w:rPr>
          <w:rFonts w:ascii="宋体" w:hAnsi="Times New Roman"/>
          <w:highlight w:val="none"/>
        </w:rPr>
        <w:t>的湿度敏感性等级选取相应的条件进行试验</w:t>
      </w:r>
      <w:r>
        <w:rPr>
          <w:rFonts w:hint="eastAsia" w:ascii="宋体" w:hAnsi="Times New Roman"/>
          <w:highlight w:val="none"/>
        </w:rPr>
        <w:t>；</w:t>
      </w:r>
    </w:p>
    <w:p w14:paraId="433ED4BF">
      <w:pPr>
        <w:numPr>
          <w:ilvl w:val="0"/>
          <w:numId w:val="13"/>
        </w:numPr>
        <w:spacing w:line="240" w:lineRule="auto"/>
        <w:rPr>
          <w:rFonts w:ascii="宋体" w:hAnsi="Times New Roman"/>
          <w:highlight w:val="none"/>
        </w:rPr>
      </w:pPr>
      <w:r>
        <w:rPr>
          <w:rFonts w:ascii="宋体" w:hAnsi="Times New Roman"/>
          <w:highlight w:val="none"/>
        </w:rPr>
        <w:t>在步骤f）完成后15min～4</w:t>
      </w:r>
      <w:r>
        <w:rPr>
          <w:rFonts w:hint="eastAsia" w:ascii="宋体" w:hAnsi="Times New Roman"/>
          <w:highlight w:val="none"/>
        </w:rPr>
        <w:t xml:space="preserve"> </w:t>
      </w:r>
      <w:r>
        <w:rPr>
          <w:rFonts w:ascii="宋体" w:hAnsi="Times New Roman"/>
          <w:highlight w:val="none"/>
        </w:rPr>
        <w:t>h的时间内，按照</w:t>
      </w:r>
      <w:r>
        <w:rPr>
          <w:rFonts w:hint="eastAsia" w:ascii="宋体" w:hAnsi="Times New Roman"/>
          <w:highlight w:val="none"/>
        </w:rPr>
        <w:t>表16和表17</w:t>
      </w:r>
      <w:r>
        <w:rPr>
          <w:rFonts w:ascii="宋体" w:hAnsi="Times New Roman"/>
          <w:highlight w:val="none"/>
        </w:rPr>
        <w:t>的试验条件，完成3次</w:t>
      </w:r>
      <w:r>
        <w:rPr>
          <w:rFonts w:hint="eastAsia" w:ascii="宋体" w:hAnsi="Times New Roman"/>
          <w:highlight w:val="none"/>
        </w:rPr>
        <w:t>再流焊试验</w:t>
      </w:r>
      <w:r>
        <w:rPr>
          <w:rFonts w:ascii="宋体" w:hAnsi="Times New Roman"/>
          <w:highlight w:val="none"/>
        </w:rPr>
        <w:t>，每次循环间隔时应将样品冷却至室温，间隔时间为5min～60min</w:t>
      </w:r>
      <w:r>
        <w:rPr>
          <w:rFonts w:hint="eastAsia" w:ascii="宋体" w:hAnsi="Times New Roman"/>
          <w:highlight w:val="none"/>
        </w:rPr>
        <w:t>；</w:t>
      </w:r>
    </w:p>
    <w:p w14:paraId="5C747236">
      <w:pPr>
        <w:numPr>
          <w:ilvl w:val="0"/>
          <w:numId w:val="13"/>
        </w:numPr>
        <w:spacing w:line="240" w:lineRule="auto"/>
        <w:rPr>
          <w:rFonts w:ascii="宋体" w:hAnsi="Times New Roman"/>
          <w:highlight w:val="none"/>
        </w:rPr>
      </w:pPr>
      <w:r>
        <w:rPr>
          <w:rFonts w:hint="eastAsia" w:ascii="宋体" w:hAnsi="Times New Roman"/>
          <w:highlight w:val="none"/>
        </w:rPr>
        <w:t>在不低于40倍光学放大倍率下进行外部目视检查；</w:t>
      </w:r>
    </w:p>
    <w:p w14:paraId="7A4E5EC0">
      <w:pPr>
        <w:numPr>
          <w:ilvl w:val="0"/>
          <w:numId w:val="13"/>
        </w:numPr>
        <w:spacing w:line="240" w:lineRule="auto"/>
        <w:rPr>
          <w:rFonts w:ascii="宋体" w:hAnsi="Times New Roman"/>
          <w:highlight w:val="none"/>
        </w:rPr>
      </w:pPr>
      <w:r>
        <w:rPr>
          <w:rFonts w:hint="eastAsia" w:ascii="宋体" w:hAnsi="Times New Roman"/>
          <w:highlight w:val="none"/>
        </w:rPr>
        <w:t>按照</w:t>
      </w:r>
      <w:r>
        <w:rPr>
          <w:rFonts w:hint="eastAsia" w:ascii="宋体" w:hAnsi="宋体"/>
          <w:highlight w:val="none"/>
        </w:rPr>
        <w:t>6.3.6.1的方法</w:t>
      </w:r>
      <w:r>
        <w:rPr>
          <w:rFonts w:hint="eastAsia" w:ascii="宋体" w:hAnsi="Times New Roman"/>
          <w:highlight w:val="none"/>
        </w:rPr>
        <w:t>在室温下进行功能/电气参数检查；</w:t>
      </w:r>
    </w:p>
    <w:p w14:paraId="2B95E37D">
      <w:pPr>
        <w:numPr>
          <w:ilvl w:val="0"/>
          <w:numId w:val="13"/>
        </w:numPr>
        <w:spacing w:line="240" w:lineRule="auto"/>
        <w:rPr>
          <w:rFonts w:ascii="宋体" w:hAnsi="Times New Roman"/>
          <w:highlight w:val="none"/>
        </w:rPr>
      </w:pPr>
      <w:r>
        <w:rPr>
          <w:rFonts w:hint="eastAsia" w:ascii="宋体" w:hAnsi="Times New Roman"/>
          <w:highlight w:val="none"/>
        </w:rPr>
        <w:t>每个批次选取3颗样品进行超声波扫描分层试验</w:t>
      </w:r>
      <w:r>
        <w:rPr>
          <w:rFonts w:ascii="宋体" w:hAnsi="Times New Roman"/>
          <w:highlight w:val="none"/>
        </w:rPr>
        <w:t>。</w:t>
      </w:r>
    </w:p>
    <w:p w14:paraId="3044F014">
      <w:pPr>
        <w:snapToGrid w:val="0"/>
        <w:spacing w:before="120" w:beforeLines="50" w:after="120" w:afterLines="50" w:line="240" w:lineRule="auto"/>
        <w:ind w:firstLine="210" w:firstLineChars="100"/>
        <w:jc w:val="center"/>
        <w:textAlignment w:val="baseline"/>
        <w:rPr>
          <w:rFonts w:ascii="黑体" w:hAnsi="Times New Roman" w:eastAsia="黑体"/>
          <w:kern w:val="21"/>
          <w:highlight w:val="none"/>
        </w:rPr>
      </w:pPr>
      <w:r>
        <w:rPr>
          <w:rFonts w:hint="eastAsia" w:ascii="黑体" w:hAnsi="Times New Roman" w:eastAsia="黑体"/>
          <w:kern w:val="21"/>
          <w:highlight w:val="none"/>
        </w:rPr>
        <w:t>表 15  湿度敏感性等级</w:t>
      </w:r>
    </w:p>
    <w:tbl>
      <w:tblPr>
        <w:tblStyle w:val="28"/>
        <w:tblW w:w="4877"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1482"/>
        <w:gridCol w:w="1955"/>
        <w:gridCol w:w="7"/>
        <w:gridCol w:w="1871"/>
        <w:gridCol w:w="1822"/>
        <w:gridCol w:w="7"/>
        <w:gridCol w:w="2191"/>
      </w:tblGrid>
      <w:tr w14:paraId="3C64BC3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794" w:type="pct"/>
            <w:vMerge w:val="restart"/>
            <w:tcBorders>
              <w:tl2br w:val="nil"/>
              <w:tr2bl w:val="nil"/>
            </w:tcBorders>
            <w:vAlign w:val="center"/>
          </w:tcPr>
          <w:p w14:paraId="5FBAF58C">
            <w:pPr>
              <w:spacing w:line="240" w:lineRule="atLeast"/>
              <w:jc w:val="center"/>
              <w:textAlignment w:val="top"/>
              <w:rPr>
                <w:rFonts w:ascii="Times New Roman" w:hAnsi="Times New Roman"/>
                <w:sz w:val="18"/>
                <w:szCs w:val="18"/>
                <w:highlight w:val="none"/>
              </w:rPr>
            </w:pPr>
            <w:r>
              <w:rPr>
                <w:rFonts w:ascii="Times New Roman" w:hAnsi="Times New Roman"/>
                <w:sz w:val="18"/>
                <w:szCs w:val="18"/>
                <w:highlight w:val="none"/>
                <w:lang w:bidi="ar"/>
              </w:rPr>
              <w:t>湿度敏感等级</w:t>
            </w:r>
          </w:p>
        </w:tc>
        <w:tc>
          <w:tcPr>
            <w:tcW w:w="2052" w:type="pct"/>
            <w:gridSpan w:val="3"/>
            <w:tcBorders>
              <w:tl2br w:val="nil"/>
              <w:tr2bl w:val="nil"/>
            </w:tcBorders>
            <w:vAlign w:val="center"/>
          </w:tcPr>
          <w:p w14:paraId="226AE43D">
            <w:pPr>
              <w:spacing w:line="240" w:lineRule="atLeast"/>
              <w:jc w:val="center"/>
              <w:textAlignment w:val="top"/>
              <w:rPr>
                <w:rFonts w:ascii="Times New Roman" w:hAnsi="Times New Roman"/>
                <w:sz w:val="18"/>
                <w:szCs w:val="18"/>
                <w:highlight w:val="none"/>
              </w:rPr>
            </w:pPr>
            <w:r>
              <w:rPr>
                <w:rFonts w:ascii="Times New Roman" w:hAnsi="Times New Roman"/>
                <w:sz w:val="18"/>
                <w:szCs w:val="18"/>
                <w:highlight w:val="none"/>
                <w:lang w:bidi="ar"/>
              </w:rPr>
              <w:t>车间暴露条件</w:t>
            </w:r>
          </w:p>
        </w:tc>
        <w:tc>
          <w:tcPr>
            <w:tcW w:w="2153" w:type="pct"/>
            <w:gridSpan w:val="3"/>
            <w:tcBorders>
              <w:tl2br w:val="nil"/>
              <w:tr2bl w:val="nil"/>
            </w:tcBorders>
            <w:vAlign w:val="center"/>
          </w:tcPr>
          <w:p w14:paraId="79C2AC9B">
            <w:pPr>
              <w:spacing w:line="240" w:lineRule="atLeast"/>
              <w:jc w:val="center"/>
              <w:textAlignment w:val="top"/>
              <w:rPr>
                <w:rFonts w:ascii="Times New Roman" w:hAnsi="Times New Roman"/>
                <w:sz w:val="18"/>
                <w:szCs w:val="18"/>
                <w:highlight w:val="none"/>
              </w:rPr>
            </w:pPr>
            <w:r>
              <w:rPr>
                <w:rFonts w:ascii="Times New Roman" w:hAnsi="Times New Roman"/>
                <w:sz w:val="18"/>
                <w:szCs w:val="18"/>
                <w:highlight w:val="none"/>
                <w:lang w:bidi="ar"/>
              </w:rPr>
              <w:t>试验条件</w:t>
            </w:r>
          </w:p>
        </w:tc>
      </w:tr>
      <w:tr w14:paraId="752A3A1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4" w:hRule="atLeast"/>
          <w:jc w:val="center"/>
        </w:trPr>
        <w:tc>
          <w:tcPr>
            <w:tcW w:w="794" w:type="pct"/>
            <w:vMerge w:val="continue"/>
            <w:tcBorders>
              <w:tl2br w:val="nil"/>
              <w:tr2bl w:val="nil"/>
            </w:tcBorders>
            <w:vAlign w:val="center"/>
          </w:tcPr>
          <w:p w14:paraId="7F950781">
            <w:pPr>
              <w:spacing w:line="240" w:lineRule="atLeast"/>
              <w:jc w:val="center"/>
              <w:textAlignment w:val="top"/>
              <w:rPr>
                <w:rFonts w:ascii="Times New Roman" w:hAnsi="Times New Roman"/>
                <w:sz w:val="18"/>
                <w:szCs w:val="18"/>
                <w:highlight w:val="none"/>
              </w:rPr>
            </w:pPr>
          </w:p>
        </w:tc>
        <w:tc>
          <w:tcPr>
            <w:tcW w:w="1051" w:type="pct"/>
            <w:gridSpan w:val="2"/>
            <w:tcBorders>
              <w:tl2br w:val="nil"/>
              <w:tr2bl w:val="nil"/>
            </w:tcBorders>
            <w:vAlign w:val="center"/>
          </w:tcPr>
          <w:p w14:paraId="134DE04B">
            <w:pPr>
              <w:spacing w:line="240" w:lineRule="atLeast"/>
              <w:jc w:val="center"/>
              <w:textAlignment w:val="top"/>
              <w:rPr>
                <w:rFonts w:ascii="Times New Roman" w:hAnsi="Times New Roman"/>
                <w:sz w:val="18"/>
                <w:szCs w:val="18"/>
                <w:highlight w:val="none"/>
              </w:rPr>
            </w:pPr>
            <w:r>
              <w:rPr>
                <w:rFonts w:ascii="Times New Roman" w:hAnsi="Times New Roman"/>
                <w:sz w:val="18"/>
                <w:szCs w:val="18"/>
                <w:highlight w:val="none"/>
                <w:lang w:bidi="ar"/>
              </w:rPr>
              <w:t>时间</w:t>
            </w:r>
          </w:p>
        </w:tc>
        <w:tc>
          <w:tcPr>
            <w:tcW w:w="1001" w:type="pct"/>
            <w:tcBorders>
              <w:tl2br w:val="nil"/>
              <w:tr2bl w:val="nil"/>
            </w:tcBorders>
            <w:vAlign w:val="center"/>
          </w:tcPr>
          <w:p w14:paraId="2DA25D9C">
            <w:pPr>
              <w:spacing w:line="240" w:lineRule="atLeast"/>
              <w:jc w:val="center"/>
              <w:textAlignment w:val="top"/>
              <w:rPr>
                <w:rFonts w:ascii="Times New Roman" w:hAnsi="Times New Roman"/>
                <w:sz w:val="18"/>
                <w:szCs w:val="18"/>
                <w:highlight w:val="none"/>
              </w:rPr>
            </w:pPr>
            <w:r>
              <w:rPr>
                <w:rFonts w:ascii="Times New Roman" w:hAnsi="Times New Roman"/>
                <w:sz w:val="18"/>
                <w:szCs w:val="18"/>
                <w:highlight w:val="none"/>
                <w:lang w:bidi="ar"/>
              </w:rPr>
              <w:t>实际条件</w:t>
            </w:r>
          </w:p>
        </w:tc>
        <w:tc>
          <w:tcPr>
            <w:tcW w:w="980" w:type="pct"/>
            <w:gridSpan w:val="2"/>
            <w:tcBorders>
              <w:tl2br w:val="nil"/>
              <w:tr2bl w:val="nil"/>
            </w:tcBorders>
            <w:vAlign w:val="center"/>
          </w:tcPr>
          <w:p w14:paraId="48EE04A2">
            <w:pPr>
              <w:widowControl/>
              <w:adjustRightInd/>
              <w:spacing w:line="240" w:lineRule="auto"/>
              <w:jc w:val="center"/>
              <w:textAlignment w:val="top"/>
              <w:rPr>
                <w:sz w:val="32"/>
                <w:highlight w:val="none"/>
              </w:rPr>
            </w:pPr>
            <w:r>
              <w:rPr>
                <w:rFonts w:hint="eastAsia"/>
                <w:sz w:val="18"/>
                <w:szCs w:val="18"/>
                <w:highlight w:val="none"/>
              </w:rPr>
              <w:t xml:space="preserve">时间 </w:t>
            </w:r>
            <w:r>
              <w:rPr>
                <w:rFonts w:hint="eastAsia" w:ascii="宋体" w:hAnsi="宋体" w:cs="宋体"/>
                <w:color w:val="000000"/>
                <w:sz w:val="18"/>
                <w:szCs w:val="18"/>
                <w:highlight w:val="none"/>
                <w:lang w:bidi="ar"/>
              </w:rPr>
              <w:t>h</w:t>
            </w:r>
          </w:p>
        </w:tc>
        <w:tc>
          <w:tcPr>
            <w:tcW w:w="1173" w:type="pct"/>
            <w:tcBorders>
              <w:tl2br w:val="nil"/>
              <w:tr2bl w:val="nil"/>
            </w:tcBorders>
            <w:vAlign w:val="center"/>
          </w:tcPr>
          <w:p w14:paraId="6E34A852">
            <w:pPr>
              <w:spacing w:line="240" w:lineRule="atLeast"/>
              <w:jc w:val="center"/>
              <w:textAlignment w:val="top"/>
              <w:rPr>
                <w:rFonts w:ascii="Times New Roman" w:hAnsi="Times New Roman"/>
                <w:sz w:val="18"/>
                <w:szCs w:val="18"/>
                <w:highlight w:val="none"/>
              </w:rPr>
            </w:pPr>
            <w:r>
              <w:rPr>
                <w:rFonts w:ascii="Times New Roman" w:hAnsi="Times New Roman"/>
                <w:sz w:val="18"/>
                <w:szCs w:val="18"/>
                <w:highlight w:val="none"/>
                <w:lang w:bidi="ar"/>
              </w:rPr>
              <w:t>试验条件</w:t>
            </w:r>
          </w:p>
        </w:tc>
      </w:tr>
      <w:tr w14:paraId="2B9B205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03" w:hRule="atLeast"/>
          <w:jc w:val="center"/>
        </w:trPr>
        <w:tc>
          <w:tcPr>
            <w:tcW w:w="794" w:type="pct"/>
            <w:tcBorders>
              <w:tl2br w:val="nil"/>
              <w:tr2bl w:val="nil"/>
            </w:tcBorders>
            <w:vAlign w:val="center"/>
          </w:tcPr>
          <w:p w14:paraId="70035833">
            <w:pPr>
              <w:spacing w:line="240" w:lineRule="atLeast"/>
              <w:jc w:val="center"/>
              <w:textAlignment w:val="top"/>
              <w:rPr>
                <w:rFonts w:hint="eastAsia" w:ascii="宋体" w:hAnsi="宋体" w:cs="宋体"/>
                <w:sz w:val="18"/>
                <w:szCs w:val="18"/>
                <w:highlight w:val="none"/>
              </w:rPr>
            </w:pPr>
            <w:r>
              <w:rPr>
                <w:rFonts w:hint="eastAsia" w:ascii="宋体" w:hAnsi="宋体" w:cs="宋体"/>
                <w:sz w:val="18"/>
                <w:szCs w:val="18"/>
                <w:highlight w:val="none"/>
                <w:lang w:bidi="ar"/>
              </w:rPr>
              <w:t>1</w:t>
            </w:r>
          </w:p>
        </w:tc>
        <w:tc>
          <w:tcPr>
            <w:tcW w:w="1051" w:type="pct"/>
            <w:gridSpan w:val="2"/>
            <w:tcBorders>
              <w:tl2br w:val="nil"/>
              <w:tr2bl w:val="nil"/>
            </w:tcBorders>
            <w:vAlign w:val="center"/>
          </w:tcPr>
          <w:p w14:paraId="4B5B8042">
            <w:pPr>
              <w:spacing w:line="240" w:lineRule="atLeast"/>
              <w:jc w:val="center"/>
              <w:textAlignment w:val="top"/>
              <w:rPr>
                <w:rFonts w:hint="eastAsia" w:ascii="宋体" w:hAnsi="宋体" w:cs="宋体"/>
                <w:sz w:val="18"/>
                <w:szCs w:val="18"/>
                <w:highlight w:val="none"/>
              </w:rPr>
            </w:pPr>
            <w:r>
              <w:rPr>
                <w:rFonts w:hint="eastAsia" w:ascii="宋体" w:hAnsi="宋体" w:cs="宋体"/>
                <w:sz w:val="18"/>
                <w:szCs w:val="18"/>
                <w:highlight w:val="none"/>
              </w:rPr>
              <w:t>不受限</w:t>
            </w:r>
          </w:p>
        </w:tc>
        <w:tc>
          <w:tcPr>
            <w:tcW w:w="1001" w:type="pct"/>
            <w:tcBorders>
              <w:tl2br w:val="nil"/>
              <w:tr2bl w:val="nil"/>
            </w:tcBorders>
            <w:vAlign w:val="center"/>
          </w:tcPr>
          <w:p w14:paraId="105434D4">
            <w:pPr>
              <w:spacing w:line="240" w:lineRule="atLeast"/>
              <w:jc w:val="center"/>
              <w:textAlignment w:val="top"/>
              <w:rPr>
                <w:rFonts w:hint="eastAsia" w:ascii="宋体" w:hAnsi="宋体" w:cs="宋体"/>
                <w:sz w:val="18"/>
                <w:szCs w:val="18"/>
                <w:highlight w:val="none"/>
              </w:rPr>
            </w:pPr>
            <w:r>
              <w:rPr>
                <w:rFonts w:hint="eastAsia" w:ascii="宋体" w:hAnsi="宋体" w:cs="宋体"/>
                <w:sz w:val="18"/>
                <w:szCs w:val="18"/>
                <w:highlight w:val="none"/>
                <w:lang w:bidi="ar"/>
              </w:rPr>
              <w:t>≤30 ℃/85%RH</w:t>
            </w:r>
          </w:p>
        </w:tc>
        <w:tc>
          <w:tcPr>
            <w:tcW w:w="980" w:type="pct"/>
            <w:gridSpan w:val="2"/>
            <w:tcBorders>
              <w:tl2br w:val="nil"/>
              <w:tr2bl w:val="nil"/>
            </w:tcBorders>
            <w:vAlign w:val="center"/>
          </w:tcPr>
          <w:p w14:paraId="097B5C1F">
            <w:pPr>
              <w:adjustRightInd/>
              <w:spacing w:line="240" w:lineRule="auto"/>
              <w:jc w:val="center"/>
              <w:textAlignment w:val="top"/>
              <w:rPr>
                <w:rFonts w:hint="eastAsia" w:ascii="宋体" w:hAnsi="宋体" w:cs="宋体"/>
                <w:sz w:val="18"/>
                <w:szCs w:val="18"/>
                <w:highlight w:val="none"/>
              </w:rPr>
            </w:pPr>
            <w:r>
              <w:rPr>
                <w:rFonts w:hint="eastAsia" w:ascii="宋体" w:hAnsi="宋体" w:cs="宋体"/>
                <w:position w:val="-10"/>
                <w:sz w:val="18"/>
                <w:szCs w:val="18"/>
                <w:highlight w:val="none"/>
              </w:rPr>
              <w:object>
                <v:shape id="_x0000_i1026" o:spt="75" type="#_x0000_t75" style="height:14.4pt;width:22pt;" o:ole="t" filled="f" o:preferrelative="t" stroked="f" coordsize="21600,21600">
                  <v:path/>
                  <v:fill on="f" focussize="0,0"/>
                  <v:stroke on="f" joinstyle="miter"/>
                  <v:imagedata r:id="rId25" o:title=""/>
                  <o:lock v:ext="edit" aspectratio="t"/>
                  <w10:wrap type="none"/>
                  <w10:anchorlock/>
                </v:shape>
                <o:OLEObject Type="Embed" ProgID="Equation.KSEE3" ShapeID="_x0000_i1026" DrawAspect="Content" ObjectID="_1468075726" r:id="rId24">
                  <o:LockedField>false</o:LockedField>
                </o:OLEObject>
              </w:object>
            </w:r>
          </w:p>
        </w:tc>
        <w:tc>
          <w:tcPr>
            <w:tcW w:w="1173" w:type="pct"/>
            <w:tcBorders>
              <w:tl2br w:val="nil"/>
              <w:tr2bl w:val="nil"/>
            </w:tcBorders>
            <w:vAlign w:val="center"/>
          </w:tcPr>
          <w:p w14:paraId="5C89C017">
            <w:pPr>
              <w:spacing w:line="240" w:lineRule="atLeast"/>
              <w:jc w:val="center"/>
              <w:textAlignment w:val="top"/>
              <w:rPr>
                <w:rFonts w:hint="eastAsia" w:ascii="宋体" w:hAnsi="宋体" w:cs="宋体"/>
                <w:sz w:val="18"/>
                <w:szCs w:val="18"/>
                <w:highlight w:val="none"/>
              </w:rPr>
            </w:pPr>
            <w:r>
              <w:rPr>
                <w:rFonts w:hint="eastAsia" w:ascii="宋体" w:hAnsi="宋体" w:cs="宋体"/>
                <w:sz w:val="18"/>
                <w:szCs w:val="18"/>
                <w:highlight w:val="none"/>
                <w:lang w:bidi="ar"/>
              </w:rPr>
              <w:t>85 ℃/85%RH</w:t>
            </w:r>
          </w:p>
        </w:tc>
      </w:tr>
      <w:tr w14:paraId="5F86CCF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93" w:hRule="atLeast"/>
          <w:jc w:val="center"/>
        </w:trPr>
        <w:tc>
          <w:tcPr>
            <w:tcW w:w="794" w:type="pct"/>
            <w:tcBorders>
              <w:tl2br w:val="nil"/>
              <w:tr2bl w:val="nil"/>
            </w:tcBorders>
            <w:vAlign w:val="center"/>
          </w:tcPr>
          <w:p w14:paraId="7934E90B">
            <w:pPr>
              <w:spacing w:line="240" w:lineRule="atLeast"/>
              <w:jc w:val="center"/>
              <w:textAlignment w:val="top"/>
              <w:rPr>
                <w:rFonts w:hint="eastAsia" w:ascii="宋体" w:hAnsi="宋体" w:cs="宋体"/>
                <w:sz w:val="18"/>
                <w:szCs w:val="18"/>
                <w:highlight w:val="none"/>
              </w:rPr>
            </w:pPr>
            <w:r>
              <w:rPr>
                <w:rFonts w:hint="eastAsia" w:ascii="宋体" w:hAnsi="宋体" w:cs="宋体"/>
                <w:sz w:val="18"/>
                <w:szCs w:val="18"/>
                <w:highlight w:val="none"/>
                <w:lang w:bidi="ar"/>
              </w:rPr>
              <w:t>2</w:t>
            </w:r>
          </w:p>
        </w:tc>
        <w:tc>
          <w:tcPr>
            <w:tcW w:w="1051" w:type="pct"/>
            <w:gridSpan w:val="2"/>
            <w:tcBorders>
              <w:tl2br w:val="nil"/>
              <w:tr2bl w:val="nil"/>
            </w:tcBorders>
            <w:vAlign w:val="center"/>
          </w:tcPr>
          <w:p w14:paraId="7DDD4EB7">
            <w:pPr>
              <w:spacing w:line="240" w:lineRule="atLeast"/>
              <w:jc w:val="center"/>
              <w:textAlignment w:val="top"/>
              <w:rPr>
                <w:rFonts w:hint="eastAsia" w:ascii="宋体" w:hAnsi="宋体" w:cs="宋体"/>
                <w:sz w:val="18"/>
                <w:szCs w:val="18"/>
                <w:highlight w:val="none"/>
                <w:lang w:bidi="ar"/>
              </w:rPr>
            </w:pPr>
            <w:r>
              <w:rPr>
                <w:rFonts w:hint="eastAsia" w:ascii="宋体" w:hAnsi="宋体" w:cs="宋体"/>
                <w:sz w:val="18"/>
                <w:szCs w:val="18"/>
                <w:highlight w:val="none"/>
                <w:lang w:bidi="ar"/>
              </w:rPr>
              <w:t>一年</w:t>
            </w:r>
          </w:p>
        </w:tc>
        <w:tc>
          <w:tcPr>
            <w:tcW w:w="1001" w:type="pct"/>
            <w:tcBorders>
              <w:tl2br w:val="nil"/>
              <w:tr2bl w:val="nil"/>
            </w:tcBorders>
            <w:vAlign w:val="center"/>
          </w:tcPr>
          <w:p w14:paraId="2E21CF46">
            <w:pPr>
              <w:spacing w:line="240" w:lineRule="atLeast"/>
              <w:jc w:val="center"/>
              <w:textAlignment w:val="top"/>
              <w:rPr>
                <w:rFonts w:hint="eastAsia" w:ascii="宋体" w:hAnsi="宋体" w:cs="宋体"/>
                <w:sz w:val="18"/>
                <w:szCs w:val="18"/>
                <w:highlight w:val="none"/>
              </w:rPr>
            </w:pPr>
            <w:r>
              <w:rPr>
                <w:rFonts w:hint="eastAsia" w:ascii="宋体" w:hAnsi="宋体" w:cs="宋体"/>
                <w:sz w:val="18"/>
                <w:szCs w:val="18"/>
                <w:highlight w:val="none"/>
                <w:lang w:bidi="ar"/>
              </w:rPr>
              <w:t>≤30 ℃/60%RH</w:t>
            </w:r>
          </w:p>
        </w:tc>
        <w:tc>
          <w:tcPr>
            <w:tcW w:w="980" w:type="pct"/>
            <w:gridSpan w:val="2"/>
            <w:tcBorders>
              <w:tl2br w:val="nil"/>
              <w:tr2bl w:val="nil"/>
            </w:tcBorders>
            <w:vAlign w:val="center"/>
          </w:tcPr>
          <w:p w14:paraId="62196F98">
            <w:pPr>
              <w:spacing w:line="240" w:lineRule="atLeast"/>
              <w:jc w:val="center"/>
              <w:textAlignment w:val="top"/>
              <w:rPr>
                <w:rFonts w:hint="eastAsia" w:ascii="宋体" w:hAnsi="宋体" w:cs="宋体"/>
                <w:sz w:val="18"/>
                <w:szCs w:val="18"/>
                <w:highlight w:val="none"/>
              </w:rPr>
            </w:pPr>
            <w:r>
              <w:rPr>
                <w:rFonts w:hint="eastAsia" w:ascii="宋体" w:hAnsi="宋体" w:cs="宋体"/>
                <w:position w:val="-10"/>
                <w:sz w:val="18"/>
                <w:szCs w:val="18"/>
                <w:highlight w:val="none"/>
              </w:rPr>
              <w:object>
                <v:shape id="_x0000_i1027" o:spt="75" type="#_x0000_t75" style="height:14.4pt;width:22pt;" o:ole="t" filled="f" o:preferrelative="t" stroked="f" coordsize="21600,21600">
                  <v:path/>
                  <v:fill on="f" focussize="0,0"/>
                  <v:stroke on="f" joinstyle="miter"/>
                  <v:imagedata r:id="rId25" o:title=""/>
                  <o:lock v:ext="edit" aspectratio="t"/>
                  <w10:wrap type="none"/>
                  <w10:anchorlock/>
                </v:shape>
                <o:OLEObject Type="Embed" ProgID="Equation.KSEE3" ShapeID="_x0000_i1027" DrawAspect="Content" ObjectID="_1468075727" r:id="rId26">
                  <o:LockedField>false</o:LockedField>
                </o:OLEObject>
              </w:object>
            </w:r>
          </w:p>
        </w:tc>
        <w:tc>
          <w:tcPr>
            <w:tcW w:w="1173" w:type="pct"/>
            <w:tcBorders>
              <w:tl2br w:val="nil"/>
              <w:tr2bl w:val="nil"/>
            </w:tcBorders>
            <w:vAlign w:val="center"/>
          </w:tcPr>
          <w:p w14:paraId="04DAF8C8">
            <w:pPr>
              <w:spacing w:line="240" w:lineRule="atLeast"/>
              <w:jc w:val="center"/>
              <w:textAlignment w:val="top"/>
              <w:rPr>
                <w:rFonts w:hint="eastAsia" w:ascii="宋体" w:hAnsi="宋体" w:cs="宋体"/>
                <w:sz w:val="18"/>
                <w:szCs w:val="18"/>
                <w:highlight w:val="none"/>
              </w:rPr>
            </w:pPr>
            <w:r>
              <w:rPr>
                <w:rFonts w:hint="eastAsia" w:ascii="宋体" w:hAnsi="宋体" w:cs="宋体"/>
                <w:sz w:val="18"/>
                <w:szCs w:val="18"/>
                <w:highlight w:val="none"/>
                <w:lang w:bidi="ar"/>
              </w:rPr>
              <w:t>85 ℃/60%RH</w:t>
            </w:r>
          </w:p>
        </w:tc>
      </w:tr>
      <w:tr w14:paraId="389261C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3" w:hRule="atLeast"/>
          <w:jc w:val="center"/>
        </w:trPr>
        <w:tc>
          <w:tcPr>
            <w:tcW w:w="794" w:type="pct"/>
            <w:tcBorders>
              <w:tl2br w:val="nil"/>
              <w:tr2bl w:val="nil"/>
            </w:tcBorders>
            <w:vAlign w:val="center"/>
          </w:tcPr>
          <w:p w14:paraId="51724EC3">
            <w:pPr>
              <w:spacing w:line="240" w:lineRule="atLeast"/>
              <w:jc w:val="center"/>
              <w:textAlignment w:val="top"/>
              <w:rPr>
                <w:rFonts w:hint="eastAsia" w:ascii="宋体" w:hAnsi="宋体" w:cs="宋体"/>
                <w:sz w:val="18"/>
                <w:szCs w:val="18"/>
                <w:highlight w:val="none"/>
              </w:rPr>
            </w:pPr>
            <w:r>
              <w:rPr>
                <w:rFonts w:hint="eastAsia" w:ascii="宋体" w:hAnsi="宋体" w:cs="宋体"/>
                <w:sz w:val="18"/>
                <w:szCs w:val="18"/>
                <w:highlight w:val="none"/>
                <w:lang w:bidi="ar"/>
              </w:rPr>
              <w:t>2a</w:t>
            </w:r>
          </w:p>
        </w:tc>
        <w:tc>
          <w:tcPr>
            <w:tcW w:w="1051" w:type="pct"/>
            <w:gridSpan w:val="2"/>
            <w:tcBorders>
              <w:tl2br w:val="nil"/>
              <w:tr2bl w:val="nil"/>
            </w:tcBorders>
            <w:vAlign w:val="center"/>
          </w:tcPr>
          <w:p w14:paraId="294474AB">
            <w:pPr>
              <w:spacing w:line="240" w:lineRule="atLeast"/>
              <w:jc w:val="center"/>
              <w:textAlignment w:val="top"/>
              <w:rPr>
                <w:rFonts w:hint="eastAsia" w:ascii="宋体" w:hAnsi="宋体" w:cs="宋体"/>
                <w:sz w:val="18"/>
                <w:szCs w:val="18"/>
                <w:highlight w:val="none"/>
                <w:lang w:bidi="ar"/>
              </w:rPr>
            </w:pPr>
            <w:r>
              <w:rPr>
                <w:rFonts w:hint="eastAsia" w:ascii="宋体" w:hAnsi="宋体" w:cs="宋体"/>
                <w:sz w:val="18"/>
                <w:szCs w:val="18"/>
                <w:highlight w:val="none"/>
                <w:lang w:bidi="ar"/>
              </w:rPr>
              <w:t>四周</w:t>
            </w:r>
          </w:p>
        </w:tc>
        <w:tc>
          <w:tcPr>
            <w:tcW w:w="1001" w:type="pct"/>
            <w:tcBorders>
              <w:tl2br w:val="nil"/>
              <w:tr2bl w:val="nil"/>
            </w:tcBorders>
            <w:vAlign w:val="center"/>
          </w:tcPr>
          <w:p w14:paraId="423C9831">
            <w:pPr>
              <w:spacing w:line="240" w:lineRule="atLeast"/>
              <w:jc w:val="center"/>
              <w:textAlignment w:val="top"/>
              <w:rPr>
                <w:rFonts w:hint="eastAsia" w:ascii="宋体" w:hAnsi="宋体" w:cs="宋体"/>
                <w:sz w:val="18"/>
                <w:szCs w:val="18"/>
                <w:highlight w:val="none"/>
              </w:rPr>
            </w:pPr>
            <w:r>
              <w:rPr>
                <w:rFonts w:hint="eastAsia" w:ascii="宋体" w:hAnsi="宋体" w:cs="宋体"/>
                <w:sz w:val="18"/>
                <w:szCs w:val="18"/>
                <w:highlight w:val="none"/>
                <w:lang w:bidi="ar"/>
              </w:rPr>
              <w:t>≤30 ℃/60%RH</w:t>
            </w:r>
          </w:p>
        </w:tc>
        <w:tc>
          <w:tcPr>
            <w:tcW w:w="980" w:type="pct"/>
            <w:gridSpan w:val="2"/>
            <w:tcBorders>
              <w:tl2br w:val="nil"/>
              <w:tr2bl w:val="nil"/>
            </w:tcBorders>
            <w:vAlign w:val="center"/>
          </w:tcPr>
          <w:p w14:paraId="29A76200">
            <w:pPr>
              <w:spacing w:line="240" w:lineRule="atLeast"/>
              <w:jc w:val="center"/>
              <w:textAlignment w:val="top"/>
              <w:rPr>
                <w:rFonts w:hint="eastAsia" w:ascii="宋体" w:hAnsi="宋体" w:cs="宋体"/>
                <w:sz w:val="18"/>
                <w:szCs w:val="18"/>
                <w:highlight w:val="none"/>
              </w:rPr>
            </w:pPr>
            <w:r>
              <w:rPr>
                <w:rFonts w:hint="eastAsia" w:ascii="宋体" w:hAnsi="宋体" w:cs="宋体"/>
                <w:position w:val="-10"/>
                <w:sz w:val="18"/>
                <w:szCs w:val="18"/>
                <w:highlight w:val="none"/>
              </w:rPr>
              <w:object>
                <v:shape id="_x0000_i1028" o:spt="75" type="#_x0000_t75" style="height:13.6pt;width:21.6pt;" o:ole="t" filled="f" o:preferrelative="t" stroked="f" coordsize="21600,21600">
                  <v:path/>
                  <v:fill on="f" focussize="0,0"/>
                  <v:stroke on="f" joinstyle="miter"/>
                  <v:imagedata r:id="rId28" o:title=""/>
                  <o:lock v:ext="edit" aspectratio="t"/>
                  <w10:wrap type="none"/>
                  <w10:anchorlock/>
                </v:shape>
                <o:OLEObject Type="Embed" ProgID="Equation.KSEE3" ShapeID="_x0000_i1028" DrawAspect="Content" ObjectID="_1468075728" r:id="rId27">
                  <o:LockedField>false</o:LockedField>
                </o:OLEObject>
              </w:object>
            </w:r>
          </w:p>
        </w:tc>
        <w:tc>
          <w:tcPr>
            <w:tcW w:w="1173" w:type="pct"/>
            <w:tcBorders>
              <w:tl2br w:val="nil"/>
              <w:tr2bl w:val="nil"/>
            </w:tcBorders>
            <w:vAlign w:val="center"/>
          </w:tcPr>
          <w:p w14:paraId="15675772">
            <w:pPr>
              <w:spacing w:line="240" w:lineRule="atLeast"/>
              <w:jc w:val="center"/>
              <w:textAlignment w:val="top"/>
              <w:rPr>
                <w:rFonts w:hint="eastAsia" w:ascii="宋体" w:hAnsi="宋体" w:cs="宋体"/>
                <w:sz w:val="18"/>
                <w:szCs w:val="18"/>
                <w:highlight w:val="none"/>
              </w:rPr>
            </w:pPr>
            <w:r>
              <w:rPr>
                <w:rFonts w:hint="eastAsia" w:ascii="宋体" w:hAnsi="宋体" w:cs="宋体"/>
                <w:sz w:val="18"/>
                <w:szCs w:val="18"/>
                <w:highlight w:val="none"/>
                <w:lang w:bidi="ar"/>
              </w:rPr>
              <w:t>30 ℃/60%RH</w:t>
            </w:r>
          </w:p>
        </w:tc>
      </w:tr>
      <w:tr w14:paraId="4279E50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3" w:hRule="atLeast"/>
          <w:jc w:val="center"/>
        </w:trPr>
        <w:tc>
          <w:tcPr>
            <w:tcW w:w="794" w:type="pct"/>
            <w:vMerge w:val="restart"/>
            <w:tcBorders>
              <w:tl2br w:val="nil"/>
              <w:tr2bl w:val="nil"/>
            </w:tcBorders>
            <w:vAlign w:val="center"/>
          </w:tcPr>
          <w:p w14:paraId="62BE771F">
            <w:pPr>
              <w:spacing w:line="240" w:lineRule="atLeast"/>
              <w:jc w:val="center"/>
              <w:textAlignment w:val="top"/>
              <w:rPr>
                <w:rFonts w:hint="eastAsia" w:ascii="宋体" w:hAnsi="宋体" w:cs="宋体"/>
                <w:sz w:val="18"/>
                <w:szCs w:val="18"/>
                <w:highlight w:val="none"/>
              </w:rPr>
            </w:pPr>
            <w:r>
              <w:rPr>
                <w:rFonts w:hint="eastAsia" w:ascii="宋体" w:hAnsi="宋体" w:cs="宋体"/>
                <w:sz w:val="18"/>
                <w:szCs w:val="18"/>
                <w:highlight w:val="none"/>
                <w:lang w:bidi="ar"/>
              </w:rPr>
              <w:t>2a</w:t>
            </w:r>
          </w:p>
        </w:tc>
        <w:tc>
          <w:tcPr>
            <w:tcW w:w="1050" w:type="pct"/>
            <w:gridSpan w:val="2"/>
            <w:vMerge w:val="restart"/>
            <w:tcBorders>
              <w:tl2br w:val="nil"/>
              <w:tr2bl w:val="nil"/>
            </w:tcBorders>
            <w:vAlign w:val="center"/>
          </w:tcPr>
          <w:p w14:paraId="3FECB9F4">
            <w:pPr>
              <w:spacing w:line="240" w:lineRule="atLeast"/>
              <w:jc w:val="center"/>
              <w:textAlignment w:val="top"/>
              <w:rPr>
                <w:rFonts w:hint="eastAsia" w:ascii="宋体" w:hAnsi="宋体" w:cs="宋体"/>
                <w:sz w:val="18"/>
                <w:szCs w:val="18"/>
                <w:highlight w:val="none"/>
                <w:lang w:bidi="ar"/>
              </w:rPr>
            </w:pPr>
            <w:r>
              <w:rPr>
                <w:rFonts w:hint="eastAsia" w:ascii="宋体" w:hAnsi="宋体" w:cs="宋体"/>
                <w:sz w:val="18"/>
                <w:szCs w:val="18"/>
                <w:highlight w:val="none"/>
                <w:lang w:bidi="ar"/>
              </w:rPr>
              <w:t>四周</w:t>
            </w:r>
          </w:p>
        </w:tc>
        <w:tc>
          <w:tcPr>
            <w:tcW w:w="1002" w:type="pct"/>
            <w:vMerge w:val="restart"/>
            <w:tcBorders>
              <w:tl2br w:val="nil"/>
              <w:tr2bl w:val="nil"/>
            </w:tcBorders>
            <w:vAlign w:val="center"/>
          </w:tcPr>
          <w:p w14:paraId="77A6895F">
            <w:pPr>
              <w:spacing w:line="240" w:lineRule="atLeast"/>
              <w:jc w:val="center"/>
              <w:textAlignment w:val="top"/>
              <w:rPr>
                <w:rFonts w:hint="eastAsia" w:ascii="宋体" w:hAnsi="宋体" w:cs="宋体"/>
                <w:sz w:val="18"/>
                <w:szCs w:val="18"/>
                <w:highlight w:val="none"/>
              </w:rPr>
            </w:pPr>
            <w:r>
              <w:rPr>
                <w:rFonts w:hint="eastAsia" w:ascii="宋体" w:hAnsi="宋体" w:cs="宋体"/>
                <w:sz w:val="18"/>
                <w:szCs w:val="18"/>
                <w:highlight w:val="none"/>
                <w:lang w:bidi="ar"/>
              </w:rPr>
              <w:t>≤30 ℃/60%RH</w:t>
            </w:r>
          </w:p>
        </w:tc>
        <w:tc>
          <w:tcPr>
            <w:tcW w:w="979" w:type="pct"/>
            <w:gridSpan w:val="2"/>
            <w:tcBorders>
              <w:tl2br w:val="nil"/>
              <w:tr2bl w:val="nil"/>
            </w:tcBorders>
            <w:vAlign w:val="center"/>
          </w:tcPr>
          <w:p w14:paraId="4AF10982">
            <w:pPr>
              <w:spacing w:line="240" w:lineRule="atLeast"/>
              <w:jc w:val="center"/>
              <w:textAlignment w:val="top"/>
              <w:rPr>
                <w:rFonts w:hint="eastAsia" w:ascii="宋体" w:hAnsi="宋体" w:cs="宋体"/>
                <w:sz w:val="18"/>
                <w:szCs w:val="18"/>
                <w:highlight w:val="none"/>
              </w:rPr>
            </w:pPr>
            <w:r>
              <w:rPr>
                <w:rFonts w:hint="eastAsia" w:ascii="宋体" w:hAnsi="宋体" w:cs="宋体"/>
                <w:position w:val="-10"/>
                <w:sz w:val="18"/>
                <w:szCs w:val="18"/>
                <w:highlight w:val="none"/>
              </w:rPr>
              <w:object>
                <v:shape id="_x0000_i1029" o:spt="75" type="#_x0000_t75" style="height:14pt;width:24.8pt;" o:ole="t" filled="f" o:preferrelative="t" stroked="f" coordsize="21600,21600">
                  <v:path/>
                  <v:fill on="f" focussize="0,0"/>
                  <v:stroke on="f" joinstyle="miter"/>
                  <v:imagedata r:id="rId30" o:title=""/>
                  <o:lock v:ext="edit" aspectratio="t"/>
                  <w10:wrap type="none"/>
                  <w10:anchorlock/>
                </v:shape>
                <o:OLEObject Type="Embed" ProgID="Equation.KSEE3" ShapeID="_x0000_i1029" DrawAspect="Content" ObjectID="_1468075729" r:id="rId29">
                  <o:LockedField>false</o:LockedField>
                </o:OLEObject>
              </w:object>
            </w:r>
          </w:p>
        </w:tc>
        <w:tc>
          <w:tcPr>
            <w:tcW w:w="1174" w:type="pct"/>
            <w:tcBorders>
              <w:tl2br w:val="nil"/>
              <w:tr2bl w:val="nil"/>
            </w:tcBorders>
            <w:vAlign w:val="center"/>
          </w:tcPr>
          <w:p w14:paraId="1C068DC8">
            <w:pPr>
              <w:spacing w:line="240" w:lineRule="atLeast"/>
              <w:jc w:val="center"/>
              <w:textAlignment w:val="top"/>
              <w:rPr>
                <w:rFonts w:hint="eastAsia" w:ascii="宋体" w:hAnsi="宋体" w:cs="宋体"/>
                <w:sz w:val="18"/>
                <w:szCs w:val="18"/>
                <w:highlight w:val="none"/>
              </w:rPr>
            </w:pPr>
            <w:r>
              <w:rPr>
                <w:rFonts w:hint="eastAsia" w:ascii="宋体" w:hAnsi="宋体" w:cs="宋体"/>
                <w:sz w:val="18"/>
                <w:szCs w:val="18"/>
                <w:highlight w:val="none"/>
                <w:lang w:bidi="ar"/>
              </w:rPr>
              <w:t>60 ℃/60%RH</w:t>
            </w:r>
            <w:r>
              <w:rPr>
                <w:rFonts w:hint="eastAsia" w:ascii="宋体" w:hAnsi="宋体" w:cs="宋体"/>
                <w:sz w:val="18"/>
                <w:szCs w:val="18"/>
                <w:highlight w:val="none"/>
                <w:vertAlign w:val="superscript"/>
                <w:lang w:bidi="ar"/>
              </w:rPr>
              <w:t>a</w:t>
            </w:r>
          </w:p>
        </w:tc>
      </w:tr>
      <w:tr w14:paraId="5B7B486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3" w:hRule="atLeast"/>
          <w:jc w:val="center"/>
        </w:trPr>
        <w:tc>
          <w:tcPr>
            <w:tcW w:w="794" w:type="pct"/>
            <w:vMerge w:val="continue"/>
            <w:tcBorders>
              <w:tl2br w:val="nil"/>
              <w:tr2bl w:val="nil"/>
            </w:tcBorders>
            <w:vAlign w:val="center"/>
          </w:tcPr>
          <w:p w14:paraId="59553B27">
            <w:pPr>
              <w:spacing w:line="240" w:lineRule="atLeast"/>
              <w:jc w:val="center"/>
              <w:textAlignment w:val="top"/>
              <w:rPr>
                <w:rFonts w:hint="eastAsia" w:ascii="宋体" w:hAnsi="宋体" w:cs="宋体"/>
                <w:sz w:val="18"/>
                <w:szCs w:val="18"/>
                <w:highlight w:val="none"/>
                <w:lang w:bidi="ar"/>
              </w:rPr>
            </w:pPr>
          </w:p>
        </w:tc>
        <w:tc>
          <w:tcPr>
            <w:tcW w:w="1050" w:type="pct"/>
            <w:gridSpan w:val="2"/>
            <w:vMerge w:val="continue"/>
            <w:tcBorders>
              <w:tl2br w:val="nil"/>
              <w:tr2bl w:val="nil"/>
            </w:tcBorders>
            <w:vAlign w:val="center"/>
          </w:tcPr>
          <w:p w14:paraId="35CB24AE">
            <w:pPr>
              <w:spacing w:line="240" w:lineRule="atLeast"/>
              <w:jc w:val="center"/>
              <w:textAlignment w:val="top"/>
              <w:rPr>
                <w:rFonts w:hint="eastAsia" w:ascii="宋体" w:hAnsi="宋体" w:cs="宋体"/>
                <w:sz w:val="18"/>
                <w:szCs w:val="18"/>
                <w:highlight w:val="none"/>
                <w:lang w:bidi="ar"/>
              </w:rPr>
            </w:pPr>
          </w:p>
        </w:tc>
        <w:tc>
          <w:tcPr>
            <w:tcW w:w="1002" w:type="pct"/>
            <w:vMerge w:val="continue"/>
            <w:tcBorders>
              <w:tl2br w:val="nil"/>
              <w:tr2bl w:val="nil"/>
            </w:tcBorders>
            <w:vAlign w:val="center"/>
          </w:tcPr>
          <w:p w14:paraId="4D4AF510">
            <w:pPr>
              <w:spacing w:line="240" w:lineRule="atLeast"/>
              <w:jc w:val="center"/>
              <w:textAlignment w:val="top"/>
              <w:rPr>
                <w:rFonts w:hint="eastAsia" w:ascii="宋体" w:hAnsi="宋体" w:cs="宋体"/>
                <w:sz w:val="18"/>
                <w:szCs w:val="18"/>
                <w:highlight w:val="none"/>
                <w:lang w:bidi="ar"/>
              </w:rPr>
            </w:pPr>
          </w:p>
        </w:tc>
        <w:tc>
          <w:tcPr>
            <w:tcW w:w="979" w:type="pct"/>
            <w:gridSpan w:val="2"/>
            <w:tcBorders>
              <w:tl2br w:val="nil"/>
              <w:tr2bl w:val="nil"/>
            </w:tcBorders>
            <w:vAlign w:val="center"/>
          </w:tcPr>
          <w:p w14:paraId="4FA83616">
            <w:pPr>
              <w:spacing w:line="240" w:lineRule="atLeast"/>
              <w:jc w:val="center"/>
              <w:textAlignment w:val="top"/>
              <w:rPr>
                <w:rFonts w:hint="eastAsia" w:ascii="宋体" w:hAnsi="宋体" w:cs="宋体"/>
                <w:sz w:val="18"/>
                <w:szCs w:val="18"/>
                <w:highlight w:val="none"/>
                <w:vertAlign w:val="superscript"/>
                <w:lang w:bidi="ar"/>
              </w:rPr>
            </w:pPr>
            <w:r>
              <w:rPr>
                <w:rFonts w:hint="eastAsia" w:ascii="宋体" w:hAnsi="宋体" w:cs="宋体"/>
                <w:position w:val="-10"/>
                <w:sz w:val="18"/>
                <w:szCs w:val="18"/>
                <w:highlight w:val="none"/>
              </w:rPr>
              <w:object>
                <v:shape id="_x0000_i1030" o:spt="75" type="#_x0000_t75" style="height:14pt;width:24pt;" o:ole="t" filled="f" o:preferrelative="t" stroked="f" coordsize="21600,21600">
                  <v:path/>
                  <v:fill on="f" focussize="0,0"/>
                  <v:stroke on="f" joinstyle="miter"/>
                  <v:imagedata r:id="rId32" o:title=""/>
                  <o:lock v:ext="edit" aspectratio="t"/>
                  <w10:wrap type="none"/>
                  <w10:anchorlock/>
                </v:shape>
                <o:OLEObject Type="Embed" ProgID="Equation.KSEE3" ShapeID="_x0000_i1030" DrawAspect="Content" ObjectID="_1468075730" r:id="rId31">
                  <o:LockedField>false</o:LockedField>
                </o:OLEObject>
              </w:object>
            </w:r>
          </w:p>
        </w:tc>
        <w:tc>
          <w:tcPr>
            <w:tcW w:w="1174" w:type="pct"/>
            <w:tcBorders>
              <w:tl2br w:val="nil"/>
              <w:tr2bl w:val="nil"/>
            </w:tcBorders>
            <w:vAlign w:val="center"/>
          </w:tcPr>
          <w:p w14:paraId="032FCA94">
            <w:pPr>
              <w:spacing w:line="240" w:lineRule="atLeast"/>
              <w:jc w:val="center"/>
              <w:textAlignment w:val="top"/>
              <w:rPr>
                <w:rFonts w:hint="eastAsia" w:ascii="宋体" w:hAnsi="宋体" w:cs="宋体"/>
                <w:sz w:val="18"/>
                <w:szCs w:val="18"/>
                <w:highlight w:val="none"/>
                <w:vertAlign w:val="superscript"/>
                <w:lang w:bidi="ar"/>
              </w:rPr>
            </w:pPr>
            <w:r>
              <w:rPr>
                <w:rFonts w:hint="eastAsia" w:ascii="宋体" w:hAnsi="宋体" w:cs="宋体"/>
                <w:sz w:val="18"/>
                <w:szCs w:val="18"/>
                <w:highlight w:val="none"/>
                <w:lang w:bidi="ar"/>
              </w:rPr>
              <w:t>60 ℃/60%RH</w:t>
            </w:r>
            <w:r>
              <w:rPr>
                <w:rFonts w:hint="eastAsia" w:ascii="宋体" w:hAnsi="宋体" w:cs="宋体"/>
                <w:sz w:val="18"/>
                <w:szCs w:val="18"/>
                <w:highlight w:val="none"/>
                <w:vertAlign w:val="superscript"/>
                <w:lang w:bidi="ar"/>
              </w:rPr>
              <w:t>b</w:t>
            </w:r>
          </w:p>
        </w:tc>
      </w:tr>
      <w:tr w14:paraId="382F0A3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23" w:hRule="atLeast"/>
          <w:jc w:val="center"/>
        </w:trPr>
        <w:tc>
          <w:tcPr>
            <w:tcW w:w="794" w:type="pct"/>
            <w:vMerge w:val="restart"/>
            <w:tcBorders>
              <w:tl2br w:val="nil"/>
              <w:tr2bl w:val="nil"/>
            </w:tcBorders>
            <w:vAlign w:val="center"/>
          </w:tcPr>
          <w:p w14:paraId="2395CA47">
            <w:pPr>
              <w:spacing w:line="240" w:lineRule="atLeast"/>
              <w:jc w:val="center"/>
              <w:textAlignment w:val="top"/>
              <w:rPr>
                <w:rFonts w:hint="eastAsia" w:ascii="宋体" w:hAnsi="宋体" w:cs="宋体"/>
                <w:sz w:val="18"/>
                <w:szCs w:val="18"/>
                <w:highlight w:val="none"/>
              </w:rPr>
            </w:pPr>
            <w:r>
              <w:rPr>
                <w:rFonts w:hint="eastAsia" w:ascii="宋体" w:hAnsi="宋体" w:cs="宋体"/>
                <w:sz w:val="18"/>
                <w:szCs w:val="18"/>
                <w:highlight w:val="none"/>
                <w:lang w:bidi="ar"/>
              </w:rPr>
              <w:t>3</w:t>
            </w:r>
          </w:p>
        </w:tc>
        <w:tc>
          <w:tcPr>
            <w:tcW w:w="1050" w:type="pct"/>
            <w:gridSpan w:val="2"/>
            <w:vMerge w:val="restart"/>
            <w:tcBorders>
              <w:tl2br w:val="nil"/>
              <w:tr2bl w:val="nil"/>
            </w:tcBorders>
            <w:vAlign w:val="center"/>
          </w:tcPr>
          <w:p w14:paraId="447DC003">
            <w:pPr>
              <w:spacing w:line="240" w:lineRule="atLeast"/>
              <w:jc w:val="center"/>
              <w:textAlignment w:val="top"/>
              <w:rPr>
                <w:rFonts w:hint="eastAsia" w:ascii="宋体" w:hAnsi="宋体" w:cs="宋体"/>
                <w:sz w:val="18"/>
                <w:szCs w:val="18"/>
                <w:highlight w:val="none"/>
                <w:lang w:bidi="ar"/>
              </w:rPr>
            </w:pPr>
            <w:r>
              <w:rPr>
                <w:rFonts w:hint="eastAsia" w:ascii="宋体" w:hAnsi="宋体" w:cs="宋体"/>
                <w:sz w:val="18"/>
                <w:szCs w:val="18"/>
                <w:highlight w:val="none"/>
                <w:lang w:bidi="ar"/>
              </w:rPr>
              <w:t>168 h</w:t>
            </w:r>
          </w:p>
        </w:tc>
        <w:tc>
          <w:tcPr>
            <w:tcW w:w="1002" w:type="pct"/>
            <w:vMerge w:val="restart"/>
            <w:tcBorders>
              <w:tl2br w:val="nil"/>
              <w:tr2bl w:val="nil"/>
            </w:tcBorders>
            <w:vAlign w:val="center"/>
          </w:tcPr>
          <w:p w14:paraId="273C121A">
            <w:pPr>
              <w:spacing w:line="240" w:lineRule="atLeast"/>
              <w:jc w:val="center"/>
              <w:textAlignment w:val="top"/>
              <w:rPr>
                <w:rFonts w:hint="eastAsia" w:ascii="宋体" w:hAnsi="宋体" w:cs="宋体"/>
                <w:sz w:val="18"/>
                <w:szCs w:val="18"/>
                <w:highlight w:val="none"/>
              </w:rPr>
            </w:pPr>
            <w:r>
              <w:rPr>
                <w:rFonts w:hint="eastAsia" w:ascii="宋体" w:hAnsi="宋体" w:cs="宋体"/>
                <w:sz w:val="18"/>
                <w:szCs w:val="18"/>
                <w:highlight w:val="none"/>
                <w:lang w:bidi="ar"/>
              </w:rPr>
              <w:t>≤30 ℃/≤60%RH</w:t>
            </w:r>
          </w:p>
        </w:tc>
        <w:tc>
          <w:tcPr>
            <w:tcW w:w="979" w:type="pct"/>
            <w:gridSpan w:val="2"/>
            <w:tcBorders>
              <w:tl2br w:val="nil"/>
              <w:tr2bl w:val="nil"/>
            </w:tcBorders>
            <w:vAlign w:val="center"/>
          </w:tcPr>
          <w:p w14:paraId="468F2F36">
            <w:pPr>
              <w:spacing w:line="240" w:lineRule="atLeast"/>
              <w:jc w:val="center"/>
              <w:textAlignment w:val="top"/>
              <w:rPr>
                <w:rFonts w:hint="eastAsia" w:ascii="宋体" w:hAnsi="宋体" w:cs="宋体"/>
                <w:sz w:val="18"/>
                <w:szCs w:val="18"/>
                <w:highlight w:val="none"/>
              </w:rPr>
            </w:pPr>
            <w:r>
              <w:rPr>
                <w:rFonts w:hint="eastAsia" w:ascii="宋体" w:hAnsi="宋体" w:cs="宋体"/>
                <w:position w:val="-10"/>
                <w:sz w:val="18"/>
                <w:szCs w:val="18"/>
                <w:highlight w:val="none"/>
              </w:rPr>
              <w:object>
                <v:shape id="_x0000_i1031" o:spt="75" type="#_x0000_t75" style="height:15.6pt;width:23.6pt;" o:ole="t" filled="f" o:preferrelative="t" stroked="f" coordsize="21600,21600">
                  <v:path/>
                  <v:fill on="f" focussize="0,0"/>
                  <v:stroke on="f" joinstyle="miter"/>
                  <v:imagedata r:id="rId34" o:title=""/>
                  <o:lock v:ext="edit" aspectratio="t"/>
                  <w10:wrap type="none"/>
                  <w10:anchorlock/>
                </v:shape>
                <o:OLEObject Type="Embed" ProgID="Equation.KSEE3" ShapeID="_x0000_i1031" DrawAspect="Content" ObjectID="_1468075731" r:id="rId33">
                  <o:LockedField>false</o:LockedField>
                </o:OLEObject>
              </w:object>
            </w:r>
          </w:p>
        </w:tc>
        <w:tc>
          <w:tcPr>
            <w:tcW w:w="1174" w:type="pct"/>
            <w:tcBorders>
              <w:tl2br w:val="nil"/>
              <w:tr2bl w:val="nil"/>
            </w:tcBorders>
            <w:vAlign w:val="center"/>
          </w:tcPr>
          <w:p w14:paraId="7E12F431">
            <w:pPr>
              <w:spacing w:line="240" w:lineRule="atLeast"/>
              <w:jc w:val="center"/>
              <w:textAlignment w:val="top"/>
              <w:rPr>
                <w:rFonts w:hint="eastAsia" w:ascii="宋体" w:hAnsi="宋体" w:cs="宋体"/>
                <w:sz w:val="18"/>
                <w:szCs w:val="18"/>
                <w:highlight w:val="none"/>
              </w:rPr>
            </w:pPr>
            <w:r>
              <w:rPr>
                <w:rFonts w:hint="eastAsia" w:ascii="宋体" w:hAnsi="宋体" w:cs="宋体"/>
                <w:sz w:val="18"/>
                <w:szCs w:val="18"/>
                <w:highlight w:val="none"/>
                <w:lang w:bidi="ar"/>
              </w:rPr>
              <w:t>30 ℃/60%RH</w:t>
            </w:r>
          </w:p>
        </w:tc>
      </w:tr>
      <w:tr w14:paraId="2F7C54A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3" w:hRule="atLeast"/>
          <w:jc w:val="center"/>
        </w:trPr>
        <w:tc>
          <w:tcPr>
            <w:tcW w:w="794" w:type="pct"/>
            <w:vMerge w:val="continue"/>
            <w:tcBorders>
              <w:tl2br w:val="nil"/>
              <w:tr2bl w:val="nil"/>
            </w:tcBorders>
            <w:vAlign w:val="center"/>
          </w:tcPr>
          <w:p w14:paraId="7FA8AB89">
            <w:pPr>
              <w:spacing w:line="240" w:lineRule="atLeast"/>
              <w:jc w:val="center"/>
              <w:textAlignment w:val="top"/>
              <w:rPr>
                <w:rFonts w:hint="eastAsia" w:ascii="宋体" w:hAnsi="宋体" w:cs="宋体"/>
                <w:sz w:val="18"/>
                <w:szCs w:val="18"/>
                <w:highlight w:val="none"/>
                <w:lang w:bidi="ar"/>
              </w:rPr>
            </w:pPr>
          </w:p>
        </w:tc>
        <w:tc>
          <w:tcPr>
            <w:tcW w:w="1050" w:type="pct"/>
            <w:gridSpan w:val="2"/>
            <w:vMerge w:val="continue"/>
            <w:tcBorders>
              <w:tl2br w:val="nil"/>
              <w:tr2bl w:val="nil"/>
            </w:tcBorders>
            <w:vAlign w:val="center"/>
          </w:tcPr>
          <w:p w14:paraId="04C99DC2">
            <w:pPr>
              <w:spacing w:line="240" w:lineRule="atLeast"/>
              <w:jc w:val="center"/>
              <w:textAlignment w:val="top"/>
              <w:rPr>
                <w:rFonts w:hint="eastAsia" w:ascii="宋体" w:hAnsi="宋体" w:cs="宋体"/>
                <w:sz w:val="18"/>
                <w:szCs w:val="18"/>
                <w:highlight w:val="none"/>
                <w:lang w:bidi="ar"/>
              </w:rPr>
            </w:pPr>
          </w:p>
        </w:tc>
        <w:tc>
          <w:tcPr>
            <w:tcW w:w="1002" w:type="pct"/>
            <w:vMerge w:val="continue"/>
            <w:tcBorders>
              <w:tl2br w:val="nil"/>
              <w:tr2bl w:val="nil"/>
            </w:tcBorders>
            <w:vAlign w:val="center"/>
          </w:tcPr>
          <w:p w14:paraId="45B5E009">
            <w:pPr>
              <w:spacing w:line="240" w:lineRule="atLeast"/>
              <w:jc w:val="center"/>
              <w:textAlignment w:val="top"/>
              <w:rPr>
                <w:rFonts w:hint="eastAsia" w:ascii="宋体" w:hAnsi="宋体" w:cs="宋体"/>
                <w:sz w:val="18"/>
                <w:szCs w:val="18"/>
                <w:highlight w:val="none"/>
                <w:lang w:bidi="ar"/>
              </w:rPr>
            </w:pPr>
          </w:p>
        </w:tc>
        <w:tc>
          <w:tcPr>
            <w:tcW w:w="979" w:type="pct"/>
            <w:gridSpan w:val="2"/>
            <w:tcBorders>
              <w:tl2br w:val="nil"/>
              <w:tr2bl w:val="nil"/>
            </w:tcBorders>
            <w:vAlign w:val="center"/>
          </w:tcPr>
          <w:p w14:paraId="6D609AD3">
            <w:pPr>
              <w:spacing w:line="240" w:lineRule="atLeast"/>
              <w:jc w:val="center"/>
              <w:textAlignment w:val="top"/>
              <w:rPr>
                <w:rFonts w:hint="eastAsia" w:ascii="宋体" w:hAnsi="宋体" w:cs="宋体"/>
                <w:sz w:val="18"/>
                <w:szCs w:val="18"/>
                <w:highlight w:val="none"/>
              </w:rPr>
            </w:pPr>
            <w:r>
              <w:rPr>
                <w:rFonts w:hint="eastAsia" w:ascii="宋体" w:hAnsi="宋体" w:cs="宋体"/>
                <w:position w:val="-10"/>
                <w:sz w:val="18"/>
                <w:szCs w:val="18"/>
                <w:highlight w:val="none"/>
              </w:rPr>
              <w:object>
                <v:shape id="_x0000_i1032" o:spt="75" type="#_x0000_t75" style="height:14pt;width:21.6pt;" o:ole="t" filled="f" o:preferrelative="t" stroked="f" coordsize="21600,21600">
                  <v:path/>
                  <v:fill on="f" focussize="0,0"/>
                  <v:stroke on="f" joinstyle="miter"/>
                  <v:imagedata r:id="rId36" o:title=""/>
                  <o:lock v:ext="edit" aspectratio="t"/>
                  <w10:wrap type="none"/>
                  <w10:anchorlock/>
                </v:shape>
                <o:OLEObject Type="Embed" ProgID="Equation.KSEE3" ShapeID="_x0000_i1032" DrawAspect="Content" ObjectID="_1468075732" r:id="rId35">
                  <o:LockedField>false</o:LockedField>
                </o:OLEObject>
              </w:object>
            </w:r>
          </w:p>
        </w:tc>
        <w:tc>
          <w:tcPr>
            <w:tcW w:w="1174" w:type="pct"/>
            <w:tcBorders>
              <w:tl2br w:val="nil"/>
              <w:tr2bl w:val="nil"/>
            </w:tcBorders>
            <w:vAlign w:val="center"/>
          </w:tcPr>
          <w:p w14:paraId="2E207D86">
            <w:pPr>
              <w:spacing w:line="240" w:lineRule="atLeast"/>
              <w:jc w:val="center"/>
              <w:textAlignment w:val="top"/>
              <w:rPr>
                <w:rFonts w:hint="eastAsia" w:ascii="宋体" w:hAnsi="宋体" w:cs="宋体"/>
                <w:sz w:val="18"/>
                <w:szCs w:val="18"/>
                <w:highlight w:val="none"/>
                <w:lang w:bidi="ar"/>
              </w:rPr>
            </w:pPr>
            <w:r>
              <w:rPr>
                <w:rFonts w:hint="eastAsia" w:ascii="宋体" w:hAnsi="宋体" w:cs="宋体"/>
                <w:sz w:val="18"/>
                <w:szCs w:val="18"/>
                <w:highlight w:val="none"/>
                <w:lang w:bidi="ar"/>
              </w:rPr>
              <w:t>60 ℃/60%RH</w:t>
            </w:r>
            <w:r>
              <w:rPr>
                <w:rFonts w:hint="eastAsia" w:ascii="宋体" w:hAnsi="宋体" w:cs="宋体"/>
                <w:sz w:val="18"/>
                <w:szCs w:val="18"/>
                <w:highlight w:val="none"/>
                <w:vertAlign w:val="superscript"/>
                <w:lang w:bidi="ar"/>
              </w:rPr>
              <w:t>a</w:t>
            </w:r>
          </w:p>
        </w:tc>
      </w:tr>
      <w:tr w14:paraId="61A4F22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794" w:type="pct"/>
            <w:vMerge w:val="continue"/>
            <w:tcBorders>
              <w:tl2br w:val="nil"/>
              <w:tr2bl w:val="nil"/>
            </w:tcBorders>
            <w:vAlign w:val="center"/>
          </w:tcPr>
          <w:p w14:paraId="4FC91FE7">
            <w:pPr>
              <w:spacing w:line="240" w:lineRule="atLeast"/>
              <w:jc w:val="center"/>
              <w:textAlignment w:val="top"/>
              <w:rPr>
                <w:rFonts w:hint="eastAsia" w:ascii="宋体" w:hAnsi="宋体" w:cs="宋体"/>
                <w:sz w:val="18"/>
                <w:szCs w:val="18"/>
                <w:highlight w:val="none"/>
                <w:lang w:bidi="ar"/>
              </w:rPr>
            </w:pPr>
          </w:p>
        </w:tc>
        <w:tc>
          <w:tcPr>
            <w:tcW w:w="1050" w:type="pct"/>
            <w:gridSpan w:val="2"/>
            <w:vMerge w:val="continue"/>
            <w:tcBorders>
              <w:tl2br w:val="nil"/>
              <w:tr2bl w:val="nil"/>
            </w:tcBorders>
            <w:vAlign w:val="center"/>
          </w:tcPr>
          <w:p w14:paraId="71D9BD74">
            <w:pPr>
              <w:spacing w:line="240" w:lineRule="atLeast"/>
              <w:jc w:val="center"/>
              <w:textAlignment w:val="top"/>
              <w:rPr>
                <w:rFonts w:hint="eastAsia" w:ascii="宋体" w:hAnsi="宋体" w:cs="宋体"/>
                <w:sz w:val="18"/>
                <w:szCs w:val="18"/>
                <w:highlight w:val="none"/>
                <w:lang w:bidi="ar"/>
              </w:rPr>
            </w:pPr>
          </w:p>
        </w:tc>
        <w:tc>
          <w:tcPr>
            <w:tcW w:w="1002" w:type="pct"/>
            <w:vMerge w:val="continue"/>
            <w:tcBorders>
              <w:tl2br w:val="nil"/>
              <w:tr2bl w:val="nil"/>
            </w:tcBorders>
            <w:vAlign w:val="center"/>
          </w:tcPr>
          <w:p w14:paraId="4945F17E">
            <w:pPr>
              <w:spacing w:line="240" w:lineRule="atLeast"/>
              <w:jc w:val="center"/>
              <w:textAlignment w:val="top"/>
              <w:rPr>
                <w:rFonts w:hint="eastAsia" w:ascii="宋体" w:hAnsi="宋体" w:cs="宋体"/>
                <w:sz w:val="18"/>
                <w:szCs w:val="18"/>
                <w:highlight w:val="none"/>
                <w:lang w:bidi="ar"/>
              </w:rPr>
            </w:pPr>
          </w:p>
        </w:tc>
        <w:tc>
          <w:tcPr>
            <w:tcW w:w="979" w:type="pct"/>
            <w:gridSpan w:val="2"/>
            <w:tcBorders>
              <w:tl2br w:val="nil"/>
              <w:tr2bl w:val="nil"/>
            </w:tcBorders>
            <w:vAlign w:val="center"/>
          </w:tcPr>
          <w:p w14:paraId="1B4E4D69">
            <w:pPr>
              <w:spacing w:line="240" w:lineRule="atLeast"/>
              <w:jc w:val="center"/>
              <w:textAlignment w:val="top"/>
              <w:rPr>
                <w:rFonts w:hint="eastAsia" w:ascii="宋体" w:hAnsi="宋体" w:cs="宋体"/>
                <w:sz w:val="18"/>
                <w:szCs w:val="18"/>
                <w:highlight w:val="none"/>
              </w:rPr>
            </w:pPr>
            <w:r>
              <w:rPr>
                <w:rFonts w:hint="eastAsia" w:ascii="宋体" w:hAnsi="宋体" w:cs="宋体"/>
                <w:position w:val="-10"/>
                <w:sz w:val="18"/>
                <w:szCs w:val="18"/>
                <w:highlight w:val="none"/>
              </w:rPr>
              <w:object>
                <v:shape id="_x0000_i1033" o:spt="75" type="#_x0000_t75" style="height:14pt;width:21.2pt;" o:ole="t" filled="f" o:preferrelative="t" stroked="f" coordsize="21600,21600">
                  <v:path/>
                  <v:fill on="f" focussize="0,0"/>
                  <v:stroke on="f" joinstyle="miter"/>
                  <v:imagedata r:id="rId38" o:title=""/>
                  <o:lock v:ext="edit" aspectratio="t"/>
                  <w10:wrap type="none"/>
                  <w10:anchorlock/>
                </v:shape>
                <o:OLEObject Type="Embed" ProgID="Equation.KSEE3" ShapeID="_x0000_i1033" DrawAspect="Content" ObjectID="_1468075733" r:id="rId37">
                  <o:LockedField>false</o:LockedField>
                </o:OLEObject>
              </w:object>
            </w:r>
          </w:p>
        </w:tc>
        <w:tc>
          <w:tcPr>
            <w:tcW w:w="1174" w:type="pct"/>
            <w:tcBorders>
              <w:tl2br w:val="nil"/>
              <w:tr2bl w:val="nil"/>
            </w:tcBorders>
            <w:vAlign w:val="center"/>
          </w:tcPr>
          <w:p w14:paraId="25FC786F">
            <w:pPr>
              <w:spacing w:line="240" w:lineRule="atLeast"/>
              <w:jc w:val="center"/>
              <w:textAlignment w:val="top"/>
              <w:rPr>
                <w:rFonts w:hint="eastAsia" w:ascii="宋体" w:hAnsi="宋体" w:cs="宋体"/>
                <w:sz w:val="18"/>
                <w:szCs w:val="18"/>
                <w:highlight w:val="none"/>
                <w:lang w:bidi="ar"/>
              </w:rPr>
            </w:pPr>
            <w:r>
              <w:rPr>
                <w:rFonts w:hint="eastAsia" w:ascii="宋体" w:hAnsi="宋体" w:cs="宋体"/>
                <w:sz w:val="18"/>
                <w:szCs w:val="18"/>
                <w:highlight w:val="none"/>
                <w:lang w:bidi="ar"/>
              </w:rPr>
              <w:t>60 ℃/60%RH</w:t>
            </w:r>
            <w:r>
              <w:rPr>
                <w:rFonts w:hint="eastAsia" w:ascii="宋体" w:hAnsi="宋体" w:cs="宋体"/>
                <w:sz w:val="18"/>
                <w:szCs w:val="18"/>
                <w:highlight w:val="none"/>
                <w:vertAlign w:val="superscript"/>
                <w:lang w:bidi="ar"/>
              </w:rPr>
              <w:t>b</w:t>
            </w:r>
          </w:p>
        </w:tc>
      </w:tr>
      <w:tr w14:paraId="005C3A1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3" w:hRule="atLeast"/>
          <w:jc w:val="center"/>
        </w:trPr>
        <w:tc>
          <w:tcPr>
            <w:tcW w:w="794" w:type="pct"/>
            <w:vMerge w:val="restart"/>
            <w:tcBorders>
              <w:tl2br w:val="nil"/>
              <w:tr2bl w:val="nil"/>
            </w:tcBorders>
            <w:vAlign w:val="center"/>
          </w:tcPr>
          <w:p w14:paraId="0FEA5BA6">
            <w:pPr>
              <w:spacing w:line="240" w:lineRule="atLeast"/>
              <w:jc w:val="center"/>
              <w:textAlignment w:val="top"/>
              <w:rPr>
                <w:rFonts w:hint="eastAsia" w:ascii="宋体" w:hAnsi="宋体" w:cs="宋体"/>
                <w:sz w:val="18"/>
                <w:szCs w:val="18"/>
                <w:highlight w:val="none"/>
                <w:lang w:bidi="ar"/>
              </w:rPr>
            </w:pPr>
            <w:r>
              <w:rPr>
                <w:rFonts w:hint="eastAsia" w:ascii="宋体" w:hAnsi="宋体" w:cs="宋体"/>
                <w:sz w:val="18"/>
                <w:szCs w:val="18"/>
                <w:highlight w:val="none"/>
                <w:lang w:bidi="ar"/>
              </w:rPr>
              <w:t>4</w:t>
            </w:r>
          </w:p>
        </w:tc>
        <w:tc>
          <w:tcPr>
            <w:tcW w:w="1047" w:type="pct"/>
            <w:vMerge w:val="restart"/>
            <w:tcBorders>
              <w:tl2br w:val="nil"/>
              <w:tr2bl w:val="nil"/>
            </w:tcBorders>
            <w:vAlign w:val="center"/>
          </w:tcPr>
          <w:p w14:paraId="2CCA997E">
            <w:pPr>
              <w:spacing w:line="240" w:lineRule="atLeast"/>
              <w:jc w:val="center"/>
              <w:textAlignment w:val="top"/>
              <w:rPr>
                <w:rFonts w:hint="eastAsia" w:ascii="宋体" w:hAnsi="宋体" w:cs="宋体"/>
                <w:sz w:val="18"/>
                <w:szCs w:val="18"/>
                <w:highlight w:val="none"/>
                <w:lang w:bidi="ar"/>
              </w:rPr>
            </w:pPr>
            <w:r>
              <w:rPr>
                <w:rFonts w:hint="eastAsia" w:ascii="宋体" w:hAnsi="宋体" w:cs="宋体"/>
                <w:sz w:val="18"/>
                <w:szCs w:val="18"/>
                <w:highlight w:val="none"/>
                <w:lang w:bidi="ar"/>
              </w:rPr>
              <w:t>72 h</w:t>
            </w:r>
          </w:p>
        </w:tc>
        <w:tc>
          <w:tcPr>
            <w:tcW w:w="1005" w:type="pct"/>
            <w:gridSpan w:val="2"/>
            <w:vMerge w:val="restart"/>
            <w:tcBorders>
              <w:tl2br w:val="nil"/>
              <w:tr2bl w:val="nil"/>
            </w:tcBorders>
            <w:vAlign w:val="center"/>
          </w:tcPr>
          <w:p w14:paraId="736F345D">
            <w:pPr>
              <w:spacing w:line="240" w:lineRule="atLeast"/>
              <w:jc w:val="center"/>
              <w:textAlignment w:val="top"/>
              <w:rPr>
                <w:rFonts w:hint="eastAsia" w:ascii="宋体" w:hAnsi="宋体" w:cs="宋体"/>
                <w:sz w:val="18"/>
                <w:szCs w:val="18"/>
                <w:highlight w:val="none"/>
                <w:lang w:bidi="ar"/>
              </w:rPr>
            </w:pPr>
            <w:r>
              <w:rPr>
                <w:rFonts w:hint="eastAsia" w:ascii="宋体" w:hAnsi="宋体" w:cs="宋体"/>
                <w:sz w:val="18"/>
                <w:szCs w:val="18"/>
                <w:highlight w:val="none"/>
                <w:lang w:bidi="ar"/>
              </w:rPr>
              <w:t>≤30 ℃/≤60%RH</w:t>
            </w:r>
          </w:p>
        </w:tc>
        <w:tc>
          <w:tcPr>
            <w:tcW w:w="976" w:type="pct"/>
            <w:tcBorders>
              <w:tl2br w:val="nil"/>
              <w:tr2bl w:val="nil"/>
            </w:tcBorders>
            <w:vAlign w:val="center"/>
          </w:tcPr>
          <w:p w14:paraId="0C38B977">
            <w:pPr>
              <w:spacing w:line="240" w:lineRule="atLeast"/>
              <w:jc w:val="center"/>
              <w:textAlignment w:val="top"/>
              <w:rPr>
                <w:rFonts w:hint="eastAsia" w:ascii="宋体" w:hAnsi="宋体" w:cs="宋体"/>
                <w:sz w:val="18"/>
                <w:szCs w:val="18"/>
                <w:highlight w:val="none"/>
              </w:rPr>
            </w:pPr>
            <w:r>
              <w:rPr>
                <w:rFonts w:hint="eastAsia" w:ascii="宋体" w:hAnsi="宋体" w:cs="宋体"/>
                <w:position w:val="-10"/>
                <w:sz w:val="18"/>
                <w:szCs w:val="18"/>
                <w:highlight w:val="none"/>
              </w:rPr>
              <w:object>
                <v:shape id="_x0000_i1034" o:spt="75" type="#_x0000_t75" style="height:14pt;width:18.4pt;" o:ole="t" filled="f" o:preferrelative="t" stroked="f" coordsize="21600,21600">
                  <v:path/>
                  <v:fill on="f" focussize="0,0"/>
                  <v:stroke on="f" joinstyle="miter"/>
                  <v:imagedata r:id="rId40" o:title=""/>
                  <o:lock v:ext="edit" aspectratio="t"/>
                  <w10:wrap type="none"/>
                  <w10:anchorlock/>
                </v:shape>
                <o:OLEObject Type="Embed" ProgID="Equation.KSEE3" ShapeID="_x0000_i1034" DrawAspect="Content" ObjectID="_1468075734" r:id="rId39">
                  <o:LockedField>false</o:LockedField>
                </o:OLEObject>
              </w:object>
            </w:r>
          </w:p>
        </w:tc>
        <w:tc>
          <w:tcPr>
            <w:tcW w:w="1176" w:type="pct"/>
            <w:gridSpan w:val="2"/>
            <w:tcBorders>
              <w:tl2br w:val="nil"/>
              <w:tr2bl w:val="nil"/>
            </w:tcBorders>
            <w:vAlign w:val="center"/>
          </w:tcPr>
          <w:p w14:paraId="772FD06F">
            <w:pPr>
              <w:spacing w:line="240" w:lineRule="atLeast"/>
              <w:jc w:val="center"/>
              <w:textAlignment w:val="top"/>
              <w:rPr>
                <w:rFonts w:hint="eastAsia" w:ascii="宋体" w:hAnsi="宋体" w:cs="宋体"/>
                <w:sz w:val="18"/>
                <w:szCs w:val="18"/>
                <w:highlight w:val="none"/>
                <w:lang w:bidi="ar"/>
              </w:rPr>
            </w:pPr>
            <w:r>
              <w:rPr>
                <w:rFonts w:hint="eastAsia" w:ascii="宋体" w:hAnsi="宋体" w:cs="宋体"/>
                <w:sz w:val="18"/>
                <w:szCs w:val="18"/>
                <w:highlight w:val="none"/>
                <w:lang w:bidi="ar"/>
              </w:rPr>
              <w:t>30 ℃/60%RH</w:t>
            </w:r>
          </w:p>
        </w:tc>
      </w:tr>
      <w:tr w14:paraId="7A709DF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3" w:hRule="atLeast"/>
          <w:jc w:val="center"/>
        </w:trPr>
        <w:tc>
          <w:tcPr>
            <w:tcW w:w="794" w:type="pct"/>
            <w:vMerge w:val="continue"/>
            <w:tcBorders>
              <w:tl2br w:val="nil"/>
              <w:tr2bl w:val="nil"/>
            </w:tcBorders>
            <w:vAlign w:val="center"/>
          </w:tcPr>
          <w:p w14:paraId="6D2D89A7">
            <w:pPr>
              <w:spacing w:line="240" w:lineRule="atLeast"/>
              <w:jc w:val="center"/>
              <w:textAlignment w:val="top"/>
              <w:rPr>
                <w:rFonts w:hint="eastAsia" w:ascii="宋体" w:hAnsi="宋体" w:cs="宋体"/>
                <w:sz w:val="18"/>
                <w:szCs w:val="18"/>
                <w:highlight w:val="none"/>
                <w:lang w:bidi="ar"/>
              </w:rPr>
            </w:pPr>
          </w:p>
        </w:tc>
        <w:tc>
          <w:tcPr>
            <w:tcW w:w="1047" w:type="pct"/>
            <w:vMerge w:val="continue"/>
            <w:tcBorders>
              <w:tl2br w:val="nil"/>
              <w:tr2bl w:val="nil"/>
            </w:tcBorders>
            <w:vAlign w:val="center"/>
          </w:tcPr>
          <w:p w14:paraId="0706AAD5">
            <w:pPr>
              <w:spacing w:line="240" w:lineRule="atLeast"/>
              <w:jc w:val="center"/>
              <w:textAlignment w:val="top"/>
              <w:rPr>
                <w:rFonts w:hint="eastAsia" w:ascii="宋体" w:hAnsi="宋体" w:cs="宋体"/>
                <w:sz w:val="18"/>
                <w:szCs w:val="18"/>
                <w:highlight w:val="none"/>
                <w:lang w:bidi="ar"/>
              </w:rPr>
            </w:pPr>
          </w:p>
        </w:tc>
        <w:tc>
          <w:tcPr>
            <w:tcW w:w="1005" w:type="pct"/>
            <w:gridSpan w:val="2"/>
            <w:vMerge w:val="continue"/>
            <w:tcBorders>
              <w:tl2br w:val="nil"/>
              <w:tr2bl w:val="nil"/>
            </w:tcBorders>
            <w:vAlign w:val="center"/>
          </w:tcPr>
          <w:p w14:paraId="25D4631B">
            <w:pPr>
              <w:spacing w:line="240" w:lineRule="atLeast"/>
              <w:jc w:val="center"/>
              <w:textAlignment w:val="top"/>
              <w:rPr>
                <w:rFonts w:hint="eastAsia" w:ascii="宋体" w:hAnsi="宋体" w:cs="宋体"/>
                <w:sz w:val="18"/>
                <w:szCs w:val="18"/>
                <w:highlight w:val="none"/>
                <w:lang w:bidi="ar"/>
              </w:rPr>
            </w:pPr>
          </w:p>
        </w:tc>
        <w:tc>
          <w:tcPr>
            <w:tcW w:w="976" w:type="pct"/>
            <w:tcBorders>
              <w:tl2br w:val="nil"/>
              <w:tr2bl w:val="nil"/>
            </w:tcBorders>
            <w:vAlign w:val="center"/>
          </w:tcPr>
          <w:p w14:paraId="5FEABF59">
            <w:pPr>
              <w:spacing w:line="240" w:lineRule="atLeast"/>
              <w:jc w:val="center"/>
              <w:textAlignment w:val="top"/>
              <w:rPr>
                <w:rFonts w:hint="eastAsia" w:ascii="宋体" w:hAnsi="宋体" w:cs="宋体"/>
                <w:sz w:val="18"/>
                <w:szCs w:val="18"/>
                <w:highlight w:val="none"/>
              </w:rPr>
            </w:pPr>
            <w:r>
              <w:rPr>
                <w:rFonts w:hint="eastAsia" w:ascii="宋体" w:hAnsi="宋体" w:cs="宋体"/>
                <w:position w:val="-10"/>
                <w:sz w:val="18"/>
                <w:szCs w:val="18"/>
                <w:highlight w:val="none"/>
              </w:rPr>
              <w:object>
                <v:shape id="_x0000_i1035" o:spt="75" type="#_x0000_t75" style="height:14pt;width:26pt;" o:ole="t" filled="f" o:preferrelative="t" stroked="f" coordsize="21600,21600">
                  <v:path/>
                  <v:fill on="f" focussize="0,0"/>
                  <v:stroke on="f" joinstyle="miter"/>
                  <v:imagedata r:id="rId42" o:title=""/>
                  <o:lock v:ext="edit" aspectratio="t"/>
                  <w10:wrap type="none"/>
                  <w10:anchorlock/>
                </v:shape>
                <o:OLEObject Type="Embed" ProgID="Equation.KSEE3" ShapeID="_x0000_i1035" DrawAspect="Content" ObjectID="_1468075735" r:id="rId41">
                  <o:LockedField>false</o:LockedField>
                </o:OLEObject>
              </w:object>
            </w:r>
          </w:p>
        </w:tc>
        <w:tc>
          <w:tcPr>
            <w:tcW w:w="1176" w:type="pct"/>
            <w:gridSpan w:val="2"/>
            <w:tcBorders>
              <w:tl2br w:val="nil"/>
              <w:tr2bl w:val="nil"/>
            </w:tcBorders>
            <w:vAlign w:val="center"/>
          </w:tcPr>
          <w:p w14:paraId="4BBBB08B">
            <w:pPr>
              <w:spacing w:line="240" w:lineRule="atLeast"/>
              <w:jc w:val="center"/>
              <w:textAlignment w:val="top"/>
              <w:rPr>
                <w:rFonts w:hint="eastAsia" w:ascii="宋体" w:hAnsi="宋体" w:cs="宋体"/>
                <w:sz w:val="18"/>
                <w:szCs w:val="18"/>
                <w:highlight w:val="none"/>
                <w:lang w:bidi="ar"/>
              </w:rPr>
            </w:pPr>
            <w:r>
              <w:rPr>
                <w:rFonts w:hint="eastAsia" w:ascii="宋体" w:hAnsi="宋体" w:cs="宋体"/>
                <w:sz w:val="18"/>
                <w:szCs w:val="18"/>
                <w:highlight w:val="none"/>
                <w:lang w:bidi="ar"/>
              </w:rPr>
              <w:t>60 ℃/60%RH</w:t>
            </w:r>
            <w:r>
              <w:rPr>
                <w:rFonts w:hint="eastAsia" w:ascii="宋体" w:hAnsi="宋体" w:cs="宋体"/>
                <w:sz w:val="18"/>
                <w:szCs w:val="18"/>
                <w:highlight w:val="none"/>
                <w:vertAlign w:val="superscript"/>
                <w:lang w:bidi="ar"/>
              </w:rPr>
              <w:t>a</w:t>
            </w:r>
          </w:p>
        </w:tc>
      </w:tr>
      <w:tr w14:paraId="0B5F753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93" w:hRule="atLeast"/>
          <w:jc w:val="center"/>
        </w:trPr>
        <w:tc>
          <w:tcPr>
            <w:tcW w:w="794" w:type="pct"/>
            <w:vMerge w:val="continue"/>
            <w:tcBorders>
              <w:tl2br w:val="nil"/>
              <w:tr2bl w:val="nil"/>
            </w:tcBorders>
            <w:vAlign w:val="center"/>
          </w:tcPr>
          <w:p w14:paraId="4D68BB8F">
            <w:pPr>
              <w:spacing w:line="240" w:lineRule="atLeast"/>
              <w:jc w:val="center"/>
              <w:textAlignment w:val="top"/>
              <w:rPr>
                <w:rFonts w:hint="eastAsia" w:ascii="宋体" w:hAnsi="宋体" w:cs="宋体"/>
                <w:sz w:val="18"/>
                <w:szCs w:val="18"/>
                <w:highlight w:val="none"/>
                <w:lang w:bidi="ar"/>
              </w:rPr>
            </w:pPr>
          </w:p>
        </w:tc>
        <w:tc>
          <w:tcPr>
            <w:tcW w:w="1047" w:type="pct"/>
            <w:vMerge w:val="continue"/>
            <w:tcBorders>
              <w:tl2br w:val="nil"/>
              <w:tr2bl w:val="nil"/>
            </w:tcBorders>
            <w:vAlign w:val="center"/>
          </w:tcPr>
          <w:p w14:paraId="45F04B05">
            <w:pPr>
              <w:spacing w:line="240" w:lineRule="atLeast"/>
              <w:jc w:val="center"/>
              <w:textAlignment w:val="top"/>
              <w:rPr>
                <w:rFonts w:hint="eastAsia" w:ascii="宋体" w:hAnsi="宋体" w:cs="宋体"/>
                <w:sz w:val="18"/>
                <w:szCs w:val="18"/>
                <w:highlight w:val="none"/>
                <w:lang w:bidi="ar"/>
              </w:rPr>
            </w:pPr>
          </w:p>
        </w:tc>
        <w:tc>
          <w:tcPr>
            <w:tcW w:w="1005" w:type="pct"/>
            <w:gridSpan w:val="2"/>
            <w:vMerge w:val="continue"/>
            <w:tcBorders>
              <w:tl2br w:val="nil"/>
              <w:tr2bl w:val="nil"/>
            </w:tcBorders>
            <w:vAlign w:val="center"/>
          </w:tcPr>
          <w:p w14:paraId="2E7AD223">
            <w:pPr>
              <w:spacing w:line="240" w:lineRule="atLeast"/>
              <w:jc w:val="center"/>
              <w:textAlignment w:val="top"/>
              <w:rPr>
                <w:rFonts w:hint="eastAsia" w:ascii="宋体" w:hAnsi="宋体" w:cs="宋体"/>
                <w:sz w:val="18"/>
                <w:szCs w:val="18"/>
                <w:highlight w:val="none"/>
                <w:lang w:bidi="ar"/>
              </w:rPr>
            </w:pPr>
          </w:p>
        </w:tc>
        <w:tc>
          <w:tcPr>
            <w:tcW w:w="976" w:type="pct"/>
            <w:tcBorders>
              <w:tl2br w:val="nil"/>
              <w:tr2bl w:val="nil"/>
            </w:tcBorders>
            <w:vAlign w:val="center"/>
          </w:tcPr>
          <w:p w14:paraId="38DC61F5">
            <w:pPr>
              <w:spacing w:line="240" w:lineRule="atLeast"/>
              <w:jc w:val="center"/>
              <w:textAlignment w:val="top"/>
              <w:rPr>
                <w:rFonts w:hint="eastAsia" w:ascii="宋体" w:hAnsi="宋体" w:cs="宋体"/>
                <w:sz w:val="18"/>
                <w:szCs w:val="18"/>
                <w:highlight w:val="none"/>
                <w:vertAlign w:val="superscript"/>
                <w:lang w:bidi="ar"/>
              </w:rPr>
            </w:pPr>
            <w:r>
              <w:rPr>
                <w:rFonts w:hint="eastAsia" w:ascii="宋体" w:hAnsi="宋体" w:cs="宋体"/>
                <w:position w:val="-10"/>
                <w:sz w:val="18"/>
                <w:szCs w:val="18"/>
                <w:highlight w:val="none"/>
              </w:rPr>
              <w:object>
                <v:shape id="_x0000_i1036" o:spt="75" type="#_x0000_t75" style="height:14pt;width:26pt;" o:ole="t" filled="f" o:preferrelative="t" stroked="f" coordsize="21600,21600">
                  <v:path/>
                  <v:fill on="f" focussize="0,0"/>
                  <v:stroke on="f" joinstyle="miter"/>
                  <v:imagedata r:id="rId44" o:title=""/>
                  <o:lock v:ext="edit" aspectratio="t"/>
                  <w10:wrap type="none"/>
                  <w10:anchorlock/>
                </v:shape>
                <o:OLEObject Type="Embed" ProgID="Equation.KSEE3" ShapeID="_x0000_i1036" DrawAspect="Content" ObjectID="_1468075736" r:id="rId43">
                  <o:LockedField>false</o:LockedField>
                </o:OLEObject>
              </w:object>
            </w:r>
          </w:p>
        </w:tc>
        <w:tc>
          <w:tcPr>
            <w:tcW w:w="1176" w:type="pct"/>
            <w:gridSpan w:val="2"/>
            <w:tcBorders>
              <w:tl2br w:val="nil"/>
              <w:tr2bl w:val="nil"/>
            </w:tcBorders>
            <w:vAlign w:val="center"/>
          </w:tcPr>
          <w:p w14:paraId="79A6B44A">
            <w:pPr>
              <w:spacing w:line="240" w:lineRule="atLeast"/>
              <w:jc w:val="center"/>
              <w:textAlignment w:val="top"/>
              <w:rPr>
                <w:rFonts w:hint="eastAsia" w:ascii="宋体" w:hAnsi="宋体" w:cs="宋体"/>
                <w:sz w:val="18"/>
                <w:szCs w:val="18"/>
                <w:highlight w:val="none"/>
                <w:lang w:bidi="ar"/>
              </w:rPr>
            </w:pPr>
            <w:r>
              <w:rPr>
                <w:rFonts w:hint="eastAsia" w:ascii="宋体" w:hAnsi="宋体" w:cs="宋体"/>
                <w:sz w:val="18"/>
                <w:szCs w:val="18"/>
                <w:highlight w:val="none"/>
                <w:lang w:bidi="ar"/>
              </w:rPr>
              <w:t>60 ℃/60%RH</w:t>
            </w:r>
            <w:r>
              <w:rPr>
                <w:rFonts w:hint="eastAsia" w:ascii="宋体" w:hAnsi="宋体" w:cs="宋体"/>
                <w:sz w:val="18"/>
                <w:szCs w:val="18"/>
                <w:highlight w:val="none"/>
                <w:vertAlign w:val="superscript"/>
                <w:lang w:bidi="ar"/>
              </w:rPr>
              <w:t>b</w:t>
            </w:r>
          </w:p>
        </w:tc>
      </w:tr>
      <w:tr w14:paraId="0F5BCD1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5000" w:type="pct"/>
            <w:gridSpan w:val="7"/>
            <w:tcBorders>
              <w:tl2br w:val="nil"/>
              <w:tr2bl w:val="nil"/>
            </w:tcBorders>
            <w:vAlign w:val="center"/>
          </w:tcPr>
          <w:p w14:paraId="682196D3">
            <w:pPr>
              <w:numPr>
                <w:ilvl w:val="0"/>
                <w:numId w:val="12"/>
              </w:numPr>
              <w:spacing w:line="240" w:lineRule="auto"/>
              <w:jc w:val="left"/>
              <w:textAlignment w:val="top"/>
              <w:rPr>
                <w:rFonts w:hint="eastAsia" w:ascii="宋体" w:hAnsi="宋体" w:cs="宋体"/>
                <w:sz w:val="18"/>
                <w:highlight w:val="none"/>
                <w:lang w:bidi="ar"/>
              </w:rPr>
            </w:pPr>
            <w:r>
              <w:rPr>
                <w:rFonts w:hint="eastAsia" w:ascii="宋体" w:hAnsi="宋体" w:cs="宋体"/>
                <w:sz w:val="18"/>
                <w:highlight w:val="none"/>
                <w:lang w:bidi="ar"/>
              </w:rPr>
              <w:t>塑封材料水汽扩散活化能为</w:t>
            </w:r>
            <w:r>
              <w:rPr>
                <w:rFonts w:hint="eastAsia" w:ascii="宋体" w:hAnsi="宋体" w:cs="宋体"/>
                <w:sz w:val="18"/>
                <w:szCs w:val="18"/>
                <w:highlight w:val="none"/>
                <w:lang w:bidi="ar"/>
              </w:rPr>
              <w:t>0.40 eV～0.48 eV时</w:t>
            </w:r>
            <w:r>
              <w:rPr>
                <w:rFonts w:hint="eastAsia" w:ascii="宋体" w:hAnsi="宋体" w:cs="宋体"/>
                <w:sz w:val="18"/>
                <w:highlight w:val="none"/>
                <w:lang w:bidi="ar"/>
              </w:rPr>
              <w:t>也可使用该方法进行试验。</w:t>
            </w:r>
          </w:p>
          <w:p w14:paraId="6BA40B8B">
            <w:pPr>
              <w:spacing w:line="240" w:lineRule="atLeast"/>
              <w:ind w:left="420"/>
              <w:textAlignment w:val="top"/>
              <w:rPr>
                <w:rFonts w:ascii="Times New Roman" w:hAnsi="Times New Roman"/>
                <w:sz w:val="18"/>
                <w:szCs w:val="18"/>
                <w:highlight w:val="none"/>
                <w:lang w:bidi="ar"/>
              </w:rPr>
            </w:pPr>
            <w:r>
              <w:rPr>
                <w:rFonts w:hint="eastAsia" w:ascii="宋体" w:hAnsi="宋体" w:cs="宋体"/>
                <w:sz w:val="18"/>
                <w:szCs w:val="18"/>
                <w:highlight w:val="none"/>
                <w:vertAlign w:val="superscript"/>
                <w:lang w:bidi="ar"/>
              </w:rPr>
              <w:t xml:space="preserve">b  </w:t>
            </w:r>
            <w:r>
              <w:rPr>
                <w:rFonts w:ascii="Times New Roman" w:hAnsi="Times New Roman"/>
                <w:sz w:val="18"/>
                <w:szCs w:val="18"/>
                <w:highlight w:val="none"/>
                <w:lang w:bidi="ar"/>
              </w:rPr>
              <w:t>塑封材料水汽扩散活化能为</w:t>
            </w:r>
            <w:r>
              <w:rPr>
                <w:rFonts w:hint="eastAsia" w:ascii="宋体" w:hAnsi="宋体" w:cs="宋体"/>
                <w:sz w:val="18"/>
                <w:szCs w:val="18"/>
                <w:highlight w:val="none"/>
                <w:lang w:bidi="ar"/>
              </w:rPr>
              <w:t>0.30 eV～0.39 eV时也</w:t>
            </w:r>
            <w:r>
              <w:rPr>
                <w:rFonts w:ascii="Times New Roman" w:hAnsi="Times New Roman"/>
                <w:sz w:val="18"/>
                <w:szCs w:val="18"/>
                <w:highlight w:val="none"/>
                <w:lang w:bidi="ar"/>
              </w:rPr>
              <w:t>可使用该方法进行试验。</w:t>
            </w:r>
          </w:p>
        </w:tc>
      </w:tr>
    </w:tbl>
    <w:p w14:paraId="4FD85727">
      <w:pPr>
        <w:numPr>
          <w:ilvl w:val="1"/>
          <w:numId w:val="0"/>
        </w:numPr>
        <w:snapToGrid w:val="0"/>
        <w:spacing w:before="120" w:beforeLines="50" w:after="120" w:afterLines="50" w:line="240" w:lineRule="auto"/>
        <w:ind w:firstLine="210" w:firstLineChars="100"/>
        <w:jc w:val="center"/>
        <w:textAlignment w:val="baseline"/>
        <w:rPr>
          <w:rFonts w:ascii="黑体" w:hAnsi="Times New Roman" w:eastAsia="黑体"/>
          <w:kern w:val="21"/>
          <w:highlight w:val="none"/>
        </w:rPr>
      </w:pPr>
      <w:r>
        <w:rPr>
          <w:rFonts w:hint="eastAsia" w:ascii="黑体" w:hAnsi="Times New Roman" w:eastAsia="黑体"/>
          <w:kern w:val="21"/>
          <w:highlight w:val="none"/>
        </w:rPr>
        <w:t>表 16  再流焊试验参数</w:t>
      </w:r>
    </w:p>
    <w:tbl>
      <w:tblPr>
        <w:tblStyle w:val="28"/>
        <w:tblW w:w="5002"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4832"/>
        <w:gridCol w:w="4556"/>
      </w:tblGrid>
      <w:tr w14:paraId="705B709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1" w:hRule="atLeast"/>
          <w:jc w:val="center"/>
        </w:trPr>
        <w:tc>
          <w:tcPr>
            <w:tcW w:w="2573" w:type="pct"/>
            <w:tcBorders>
              <w:tl2br w:val="nil"/>
              <w:tr2bl w:val="nil"/>
            </w:tcBorders>
            <w:vAlign w:val="center"/>
          </w:tcPr>
          <w:p w14:paraId="399464E9">
            <w:pPr>
              <w:spacing w:line="240" w:lineRule="atLeast"/>
              <w:jc w:val="center"/>
              <w:textAlignment w:val="top"/>
              <w:rPr>
                <w:rFonts w:ascii="Times New Roman" w:hAnsi="Times New Roman"/>
                <w:sz w:val="18"/>
                <w:szCs w:val="18"/>
                <w:highlight w:val="none"/>
                <w:lang w:bidi="ar"/>
              </w:rPr>
            </w:pPr>
            <w:r>
              <w:rPr>
                <w:rFonts w:ascii="Times New Roman" w:hAnsi="Times New Roman"/>
                <w:sz w:val="18"/>
                <w:szCs w:val="18"/>
                <w:highlight w:val="none"/>
                <w:lang w:bidi="ar"/>
              </w:rPr>
              <w:t>试验参数</w:t>
            </w:r>
          </w:p>
        </w:tc>
        <w:tc>
          <w:tcPr>
            <w:tcW w:w="2426" w:type="pct"/>
            <w:tcBorders>
              <w:tl2br w:val="nil"/>
              <w:tr2bl w:val="nil"/>
            </w:tcBorders>
            <w:vAlign w:val="center"/>
          </w:tcPr>
          <w:p w14:paraId="0CF00E26">
            <w:pPr>
              <w:spacing w:line="240" w:lineRule="atLeast"/>
              <w:jc w:val="center"/>
              <w:textAlignment w:val="top"/>
              <w:rPr>
                <w:rFonts w:ascii="Times New Roman" w:hAnsi="Times New Roman"/>
                <w:sz w:val="18"/>
                <w:szCs w:val="18"/>
                <w:highlight w:val="none"/>
                <w:lang w:bidi="ar"/>
              </w:rPr>
            </w:pPr>
            <w:r>
              <w:rPr>
                <w:rFonts w:ascii="Times New Roman" w:hAnsi="Times New Roman"/>
                <w:sz w:val="18"/>
                <w:szCs w:val="18"/>
                <w:highlight w:val="none"/>
                <w:lang w:bidi="ar"/>
              </w:rPr>
              <w:t>试验条件</w:t>
            </w:r>
          </w:p>
        </w:tc>
      </w:tr>
      <w:tr w14:paraId="2500F6F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3" w:hRule="atLeast"/>
          <w:jc w:val="center"/>
        </w:trPr>
        <w:tc>
          <w:tcPr>
            <w:tcW w:w="2573" w:type="pct"/>
            <w:tcBorders>
              <w:tl2br w:val="nil"/>
              <w:tr2bl w:val="nil"/>
            </w:tcBorders>
            <w:vAlign w:val="center"/>
          </w:tcPr>
          <w:p w14:paraId="7EFA3D51">
            <w:pPr>
              <w:spacing w:line="240" w:lineRule="atLeast"/>
              <w:jc w:val="center"/>
              <w:textAlignment w:val="top"/>
              <w:rPr>
                <w:rFonts w:hint="eastAsia" w:ascii="宋体" w:hAnsi="宋体" w:cs="宋体"/>
                <w:sz w:val="18"/>
                <w:szCs w:val="18"/>
                <w:highlight w:val="none"/>
              </w:rPr>
            </w:pPr>
            <w:r>
              <w:rPr>
                <w:rFonts w:hint="eastAsia" w:ascii="宋体" w:hAnsi="宋体" w:cs="宋体"/>
                <w:sz w:val="18"/>
                <w:szCs w:val="18"/>
                <w:highlight w:val="none"/>
                <w:lang w:bidi="ar"/>
              </w:rPr>
              <w:t>预热最低温度（</w:t>
            </w:r>
            <w:r>
              <w:rPr>
                <w:rFonts w:hint="eastAsia" w:ascii="宋体" w:hAnsi="宋体" w:cs="宋体"/>
                <w:i/>
                <w:iCs/>
                <w:sz w:val="18"/>
                <w:szCs w:val="18"/>
                <w:highlight w:val="none"/>
                <w:lang w:bidi="ar"/>
              </w:rPr>
              <w:t>T</w:t>
            </w:r>
            <w:r>
              <w:rPr>
                <w:rFonts w:hint="eastAsia" w:ascii="宋体" w:hAnsi="宋体" w:cs="宋体"/>
                <w:sz w:val="18"/>
                <w:szCs w:val="18"/>
                <w:highlight w:val="none"/>
                <w:vertAlign w:val="subscript"/>
                <w:lang w:bidi="ar"/>
              </w:rPr>
              <w:t>smin</w:t>
            </w:r>
            <w:r>
              <w:rPr>
                <w:rFonts w:hint="eastAsia" w:ascii="宋体" w:hAnsi="宋体" w:cs="宋体"/>
                <w:sz w:val="18"/>
                <w:szCs w:val="18"/>
                <w:highlight w:val="none"/>
                <w:lang w:bidi="ar"/>
              </w:rPr>
              <w:t>）</w:t>
            </w:r>
          </w:p>
        </w:tc>
        <w:tc>
          <w:tcPr>
            <w:tcW w:w="2426" w:type="pct"/>
            <w:tcBorders>
              <w:tl2br w:val="nil"/>
              <w:tr2bl w:val="nil"/>
            </w:tcBorders>
            <w:vAlign w:val="center"/>
          </w:tcPr>
          <w:p w14:paraId="610F5A1D">
            <w:pPr>
              <w:widowControl/>
              <w:autoSpaceDE w:val="0"/>
              <w:autoSpaceDN w:val="0"/>
              <w:spacing w:line="240" w:lineRule="auto"/>
              <w:jc w:val="center"/>
              <w:rPr>
                <w:rFonts w:hint="eastAsia" w:ascii="宋体" w:hAnsi="宋体" w:cs="宋体"/>
                <w:kern w:val="0"/>
                <w:sz w:val="18"/>
                <w:szCs w:val="18"/>
                <w:highlight w:val="none"/>
              </w:rPr>
            </w:pPr>
            <w:r>
              <w:rPr>
                <w:rFonts w:hint="eastAsia" w:ascii="宋体" w:hAnsi="宋体" w:cs="宋体"/>
                <w:kern w:val="0"/>
                <w:sz w:val="18"/>
                <w:szCs w:val="18"/>
                <w:highlight w:val="none"/>
              </w:rPr>
              <w:t>150 ℃</w:t>
            </w:r>
          </w:p>
        </w:tc>
      </w:tr>
      <w:tr w14:paraId="2EAA63C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6" w:hRule="atLeast"/>
          <w:jc w:val="center"/>
        </w:trPr>
        <w:tc>
          <w:tcPr>
            <w:tcW w:w="2573" w:type="pct"/>
            <w:tcBorders>
              <w:tl2br w:val="nil"/>
              <w:tr2bl w:val="nil"/>
            </w:tcBorders>
            <w:vAlign w:val="center"/>
          </w:tcPr>
          <w:p w14:paraId="310EE87A">
            <w:pPr>
              <w:spacing w:line="240" w:lineRule="atLeast"/>
              <w:jc w:val="center"/>
              <w:textAlignment w:val="top"/>
              <w:rPr>
                <w:rFonts w:hint="eastAsia" w:ascii="宋体" w:hAnsi="宋体" w:cs="宋体"/>
                <w:b/>
                <w:sz w:val="18"/>
                <w:szCs w:val="18"/>
                <w:highlight w:val="none"/>
                <w:lang w:bidi="ar"/>
              </w:rPr>
            </w:pPr>
            <w:r>
              <w:rPr>
                <w:rFonts w:hint="eastAsia" w:ascii="宋体" w:hAnsi="宋体" w:cs="宋体"/>
                <w:sz w:val="18"/>
                <w:szCs w:val="18"/>
                <w:highlight w:val="none"/>
                <w:lang w:bidi="ar"/>
              </w:rPr>
              <w:t>预热最高温度（</w:t>
            </w:r>
            <w:r>
              <w:rPr>
                <w:rFonts w:hint="eastAsia" w:ascii="宋体" w:hAnsi="宋体" w:cs="宋体"/>
                <w:i/>
                <w:iCs/>
                <w:sz w:val="18"/>
                <w:szCs w:val="18"/>
                <w:highlight w:val="none"/>
                <w:lang w:bidi="ar"/>
              </w:rPr>
              <w:t>T</w:t>
            </w:r>
            <w:r>
              <w:rPr>
                <w:rFonts w:hint="eastAsia" w:ascii="宋体" w:hAnsi="宋体" w:cs="宋体"/>
                <w:sz w:val="18"/>
                <w:szCs w:val="18"/>
                <w:highlight w:val="none"/>
                <w:vertAlign w:val="subscript"/>
                <w:lang w:bidi="ar"/>
              </w:rPr>
              <w:t>smax</w:t>
            </w:r>
            <w:r>
              <w:rPr>
                <w:rFonts w:hint="eastAsia" w:ascii="宋体" w:hAnsi="宋体" w:cs="宋体"/>
                <w:sz w:val="18"/>
                <w:szCs w:val="18"/>
                <w:highlight w:val="none"/>
                <w:lang w:bidi="ar"/>
              </w:rPr>
              <w:t>）</w:t>
            </w:r>
          </w:p>
        </w:tc>
        <w:tc>
          <w:tcPr>
            <w:tcW w:w="2426" w:type="pct"/>
            <w:tcBorders>
              <w:tl2br w:val="nil"/>
              <w:tr2bl w:val="nil"/>
            </w:tcBorders>
            <w:vAlign w:val="center"/>
          </w:tcPr>
          <w:p w14:paraId="23F95123">
            <w:pPr>
              <w:widowControl/>
              <w:autoSpaceDE w:val="0"/>
              <w:autoSpaceDN w:val="0"/>
              <w:spacing w:line="240" w:lineRule="auto"/>
              <w:jc w:val="center"/>
              <w:rPr>
                <w:rFonts w:hint="eastAsia" w:ascii="宋体" w:hAnsi="宋体" w:cs="宋体"/>
                <w:kern w:val="0"/>
                <w:sz w:val="18"/>
                <w:szCs w:val="18"/>
                <w:highlight w:val="none"/>
              </w:rPr>
            </w:pPr>
            <w:r>
              <w:rPr>
                <w:rFonts w:hint="eastAsia" w:ascii="宋体" w:hAnsi="宋体" w:cs="宋体"/>
                <w:kern w:val="0"/>
                <w:sz w:val="18"/>
                <w:szCs w:val="18"/>
                <w:highlight w:val="none"/>
              </w:rPr>
              <w:t>200 ℃</w:t>
            </w:r>
          </w:p>
        </w:tc>
      </w:tr>
      <w:tr w14:paraId="64717BE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2" w:hRule="atLeast"/>
          <w:jc w:val="center"/>
        </w:trPr>
        <w:tc>
          <w:tcPr>
            <w:tcW w:w="2573" w:type="pct"/>
            <w:tcBorders>
              <w:tl2br w:val="nil"/>
              <w:tr2bl w:val="nil"/>
            </w:tcBorders>
            <w:vAlign w:val="center"/>
          </w:tcPr>
          <w:p w14:paraId="59C20495">
            <w:pPr>
              <w:spacing w:line="240" w:lineRule="atLeast"/>
              <w:jc w:val="center"/>
              <w:textAlignment w:val="top"/>
              <w:rPr>
                <w:rFonts w:hint="eastAsia" w:ascii="宋体" w:hAnsi="宋体" w:cs="宋体"/>
                <w:b/>
                <w:sz w:val="18"/>
                <w:szCs w:val="18"/>
                <w:highlight w:val="none"/>
                <w:lang w:bidi="ar"/>
              </w:rPr>
            </w:pPr>
            <w:r>
              <w:rPr>
                <w:rFonts w:hint="eastAsia" w:ascii="宋体" w:hAnsi="宋体" w:cs="宋体"/>
                <w:sz w:val="18"/>
                <w:szCs w:val="18"/>
                <w:highlight w:val="none"/>
                <w:lang w:bidi="ar"/>
              </w:rPr>
              <w:t>预热时间（</w:t>
            </w:r>
            <w:r>
              <w:rPr>
                <w:rFonts w:hint="eastAsia" w:ascii="宋体" w:hAnsi="宋体" w:cs="宋体"/>
                <w:i/>
                <w:iCs/>
                <w:sz w:val="18"/>
                <w:szCs w:val="18"/>
                <w:highlight w:val="none"/>
                <w:lang w:bidi="ar"/>
              </w:rPr>
              <w:t>t</w:t>
            </w:r>
            <w:r>
              <w:rPr>
                <w:rFonts w:hint="eastAsia" w:ascii="宋体" w:hAnsi="宋体" w:cs="宋体"/>
                <w:sz w:val="18"/>
                <w:szCs w:val="18"/>
                <w:highlight w:val="none"/>
                <w:vertAlign w:val="subscript"/>
                <w:lang w:bidi="ar"/>
              </w:rPr>
              <w:t>s</w:t>
            </w:r>
            <w:r>
              <w:rPr>
                <w:rFonts w:hint="eastAsia" w:ascii="宋体" w:hAnsi="宋体" w:cs="宋体"/>
                <w:sz w:val="18"/>
                <w:szCs w:val="18"/>
                <w:highlight w:val="none"/>
                <w:lang w:bidi="ar"/>
              </w:rPr>
              <w:t>）</w:t>
            </w:r>
          </w:p>
        </w:tc>
        <w:tc>
          <w:tcPr>
            <w:tcW w:w="2426" w:type="pct"/>
            <w:tcBorders>
              <w:tl2br w:val="nil"/>
              <w:tr2bl w:val="nil"/>
            </w:tcBorders>
            <w:vAlign w:val="center"/>
          </w:tcPr>
          <w:p w14:paraId="0336B2AE">
            <w:pPr>
              <w:widowControl/>
              <w:autoSpaceDE w:val="0"/>
              <w:autoSpaceDN w:val="0"/>
              <w:spacing w:line="240" w:lineRule="auto"/>
              <w:jc w:val="center"/>
              <w:rPr>
                <w:rFonts w:hint="eastAsia" w:ascii="宋体" w:hAnsi="宋体" w:cs="宋体"/>
                <w:kern w:val="0"/>
                <w:sz w:val="18"/>
                <w:szCs w:val="18"/>
                <w:highlight w:val="none"/>
              </w:rPr>
            </w:pPr>
            <w:r>
              <w:rPr>
                <w:rFonts w:hint="eastAsia" w:ascii="宋体" w:hAnsi="宋体" w:cs="宋体"/>
                <w:kern w:val="0"/>
                <w:sz w:val="18"/>
                <w:szCs w:val="18"/>
                <w:highlight w:val="none"/>
              </w:rPr>
              <w:t>60s～120s</w:t>
            </w:r>
          </w:p>
        </w:tc>
      </w:tr>
      <w:tr w14:paraId="7FA765E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6" w:hRule="atLeast"/>
          <w:jc w:val="center"/>
        </w:trPr>
        <w:tc>
          <w:tcPr>
            <w:tcW w:w="2573" w:type="pct"/>
            <w:tcBorders>
              <w:tl2br w:val="nil"/>
              <w:tr2bl w:val="nil"/>
            </w:tcBorders>
            <w:vAlign w:val="center"/>
          </w:tcPr>
          <w:p w14:paraId="70AC0E36">
            <w:pPr>
              <w:spacing w:line="240" w:lineRule="atLeast"/>
              <w:jc w:val="center"/>
              <w:textAlignment w:val="top"/>
              <w:rPr>
                <w:rFonts w:hint="eastAsia" w:ascii="宋体" w:hAnsi="宋体" w:cs="宋体"/>
                <w:sz w:val="18"/>
                <w:szCs w:val="18"/>
                <w:highlight w:val="none"/>
              </w:rPr>
            </w:pPr>
            <w:r>
              <w:rPr>
                <w:rFonts w:hint="eastAsia" w:ascii="宋体" w:hAnsi="宋体" w:cs="宋体"/>
                <w:sz w:val="18"/>
                <w:szCs w:val="18"/>
                <w:highlight w:val="none"/>
                <w:lang w:bidi="ar"/>
              </w:rPr>
              <w:t>升温斜率（</w:t>
            </w:r>
            <w:r>
              <w:rPr>
                <w:rFonts w:hint="eastAsia" w:ascii="宋体" w:hAnsi="宋体" w:cs="宋体"/>
                <w:i/>
                <w:iCs/>
                <w:sz w:val="18"/>
                <w:szCs w:val="18"/>
                <w:highlight w:val="none"/>
                <w:lang w:bidi="ar"/>
              </w:rPr>
              <w:t>T</w:t>
            </w:r>
            <w:r>
              <w:rPr>
                <w:rFonts w:hint="eastAsia" w:ascii="宋体" w:hAnsi="宋体" w:cs="宋体"/>
                <w:sz w:val="18"/>
                <w:szCs w:val="18"/>
                <w:highlight w:val="none"/>
                <w:vertAlign w:val="subscript"/>
                <w:lang w:bidi="ar"/>
              </w:rPr>
              <w:t>L</w:t>
            </w:r>
            <w:r>
              <w:rPr>
                <w:rFonts w:hint="eastAsia" w:ascii="宋体" w:hAnsi="宋体" w:cs="宋体"/>
                <w:sz w:val="18"/>
                <w:szCs w:val="18"/>
                <w:highlight w:val="none"/>
                <w:lang w:bidi="ar"/>
              </w:rPr>
              <w:t>到</w:t>
            </w:r>
            <w:r>
              <w:rPr>
                <w:rFonts w:hint="eastAsia" w:ascii="宋体" w:hAnsi="宋体" w:cs="宋体"/>
                <w:i/>
                <w:iCs/>
                <w:sz w:val="18"/>
                <w:szCs w:val="18"/>
                <w:highlight w:val="none"/>
                <w:lang w:bidi="ar"/>
              </w:rPr>
              <w:t>T</w:t>
            </w:r>
            <w:r>
              <w:rPr>
                <w:rFonts w:hint="eastAsia" w:ascii="宋体" w:hAnsi="宋体" w:cs="宋体"/>
                <w:sz w:val="18"/>
                <w:szCs w:val="18"/>
                <w:highlight w:val="none"/>
                <w:vertAlign w:val="subscript"/>
                <w:lang w:bidi="ar"/>
              </w:rPr>
              <w:t>P</w:t>
            </w:r>
            <w:r>
              <w:rPr>
                <w:rFonts w:hint="eastAsia" w:ascii="宋体" w:hAnsi="宋体" w:cs="宋体"/>
                <w:sz w:val="18"/>
                <w:szCs w:val="18"/>
                <w:highlight w:val="none"/>
                <w:lang w:bidi="ar"/>
              </w:rPr>
              <w:t>）</w:t>
            </w:r>
          </w:p>
        </w:tc>
        <w:tc>
          <w:tcPr>
            <w:tcW w:w="2426" w:type="pct"/>
            <w:tcBorders>
              <w:tl2br w:val="nil"/>
              <w:tr2bl w:val="nil"/>
            </w:tcBorders>
            <w:vAlign w:val="center"/>
          </w:tcPr>
          <w:p w14:paraId="13AA19AB">
            <w:pPr>
              <w:widowControl/>
              <w:autoSpaceDE w:val="0"/>
              <w:autoSpaceDN w:val="0"/>
              <w:spacing w:line="240" w:lineRule="auto"/>
              <w:jc w:val="center"/>
              <w:rPr>
                <w:rFonts w:hint="eastAsia" w:ascii="宋体" w:hAnsi="宋体" w:cs="宋体"/>
                <w:kern w:val="0"/>
                <w:sz w:val="18"/>
                <w:szCs w:val="18"/>
                <w:highlight w:val="none"/>
              </w:rPr>
            </w:pPr>
            <w:r>
              <w:rPr>
                <w:rFonts w:hint="eastAsia" w:ascii="宋体" w:hAnsi="宋体" w:cs="宋体"/>
                <w:kern w:val="0"/>
                <w:sz w:val="18"/>
                <w:szCs w:val="18"/>
                <w:highlight w:val="none"/>
              </w:rPr>
              <w:t>≤3 ℃/s</w:t>
            </w:r>
          </w:p>
        </w:tc>
      </w:tr>
      <w:tr w14:paraId="098F470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6" w:hRule="atLeast"/>
          <w:jc w:val="center"/>
        </w:trPr>
        <w:tc>
          <w:tcPr>
            <w:tcW w:w="2573" w:type="pct"/>
            <w:tcBorders>
              <w:tl2br w:val="nil"/>
              <w:tr2bl w:val="nil"/>
            </w:tcBorders>
            <w:vAlign w:val="center"/>
          </w:tcPr>
          <w:p w14:paraId="53FD0BE9">
            <w:pPr>
              <w:spacing w:line="240" w:lineRule="atLeast"/>
              <w:jc w:val="center"/>
              <w:textAlignment w:val="top"/>
              <w:rPr>
                <w:rFonts w:hint="eastAsia" w:ascii="宋体" w:hAnsi="宋体" w:cs="宋体"/>
                <w:sz w:val="18"/>
                <w:szCs w:val="18"/>
                <w:highlight w:val="none"/>
              </w:rPr>
            </w:pPr>
            <w:r>
              <w:rPr>
                <w:rFonts w:hint="eastAsia" w:ascii="宋体" w:hAnsi="宋体" w:cs="宋体"/>
                <w:sz w:val="18"/>
                <w:szCs w:val="18"/>
                <w:highlight w:val="none"/>
                <w:lang w:bidi="ar"/>
              </w:rPr>
              <w:t>液相温度（</w:t>
            </w:r>
            <w:r>
              <w:rPr>
                <w:rFonts w:hint="eastAsia" w:ascii="宋体" w:hAnsi="宋体" w:cs="宋体"/>
                <w:i/>
                <w:iCs/>
                <w:sz w:val="18"/>
                <w:szCs w:val="18"/>
                <w:highlight w:val="none"/>
                <w:lang w:bidi="ar"/>
              </w:rPr>
              <w:t>T</w:t>
            </w:r>
            <w:r>
              <w:rPr>
                <w:rFonts w:hint="eastAsia" w:ascii="宋体" w:hAnsi="宋体" w:cs="宋体"/>
                <w:sz w:val="18"/>
                <w:szCs w:val="18"/>
                <w:highlight w:val="none"/>
                <w:vertAlign w:val="subscript"/>
                <w:lang w:bidi="ar"/>
              </w:rPr>
              <w:t>L</w:t>
            </w:r>
            <w:r>
              <w:rPr>
                <w:rFonts w:hint="eastAsia" w:ascii="宋体" w:hAnsi="宋体" w:cs="宋体"/>
                <w:sz w:val="18"/>
                <w:szCs w:val="18"/>
                <w:highlight w:val="none"/>
                <w:lang w:bidi="ar"/>
              </w:rPr>
              <w:t>）</w:t>
            </w:r>
          </w:p>
        </w:tc>
        <w:tc>
          <w:tcPr>
            <w:tcW w:w="2426" w:type="pct"/>
            <w:tcBorders>
              <w:tl2br w:val="nil"/>
              <w:tr2bl w:val="nil"/>
            </w:tcBorders>
            <w:vAlign w:val="center"/>
          </w:tcPr>
          <w:p w14:paraId="2DBEBE17">
            <w:pPr>
              <w:spacing w:line="240" w:lineRule="atLeast"/>
              <w:jc w:val="center"/>
              <w:textAlignment w:val="top"/>
              <w:rPr>
                <w:rFonts w:hint="eastAsia" w:ascii="宋体" w:hAnsi="宋体" w:cs="宋体"/>
                <w:sz w:val="18"/>
                <w:szCs w:val="18"/>
                <w:highlight w:val="none"/>
              </w:rPr>
            </w:pPr>
            <w:r>
              <w:rPr>
                <w:rFonts w:hint="eastAsia" w:ascii="宋体" w:hAnsi="宋体" w:cs="宋体"/>
                <w:sz w:val="18"/>
                <w:szCs w:val="18"/>
                <w:highlight w:val="none"/>
                <w:lang w:bidi="ar"/>
              </w:rPr>
              <w:t>217 ℃</w:t>
            </w:r>
          </w:p>
        </w:tc>
      </w:tr>
      <w:tr w14:paraId="29FC385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02" w:hRule="atLeast"/>
          <w:jc w:val="center"/>
        </w:trPr>
        <w:tc>
          <w:tcPr>
            <w:tcW w:w="2573" w:type="pct"/>
            <w:tcBorders>
              <w:tl2br w:val="nil"/>
              <w:tr2bl w:val="nil"/>
            </w:tcBorders>
            <w:vAlign w:val="center"/>
          </w:tcPr>
          <w:p w14:paraId="58A4CD1B">
            <w:pPr>
              <w:spacing w:line="240" w:lineRule="atLeast"/>
              <w:jc w:val="center"/>
              <w:textAlignment w:val="top"/>
              <w:rPr>
                <w:rFonts w:hint="eastAsia" w:ascii="宋体" w:hAnsi="宋体" w:cs="宋体"/>
                <w:sz w:val="18"/>
                <w:szCs w:val="18"/>
                <w:highlight w:val="none"/>
              </w:rPr>
            </w:pPr>
            <w:r>
              <w:rPr>
                <w:rFonts w:hint="eastAsia" w:ascii="宋体" w:hAnsi="宋体" w:cs="宋体"/>
                <w:sz w:val="18"/>
                <w:szCs w:val="18"/>
                <w:highlight w:val="none"/>
                <w:lang w:bidi="ar"/>
              </w:rPr>
              <w:t>封装体峰值温度（</w:t>
            </w:r>
            <w:r>
              <w:rPr>
                <w:rFonts w:hint="eastAsia" w:ascii="宋体" w:hAnsi="宋体" w:cs="宋体"/>
                <w:i/>
                <w:iCs/>
                <w:sz w:val="18"/>
                <w:szCs w:val="18"/>
                <w:highlight w:val="none"/>
                <w:lang w:bidi="ar"/>
              </w:rPr>
              <w:t>T</w:t>
            </w:r>
            <w:r>
              <w:rPr>
                <w:rFonts w:hint="eastAsia" w:ascii="宋体" w:hAnsi="宋体" w:cs="宋体"/>
                <w:sz w:val="18"/>
                <w:szCs w:val="18"/>
                <w:highlight w:val="none"/>
                <w:vertAlign w:val="subscript"/>
                <w:lang w:bidi="ar"/>
              </w:rPr>
              <w:t>P</w:t>
            </w:r>
            <w:r>
              <w:rPr>
                <w:rFonts w:hint="eastAsia" w:ascii="宋体" w:hAnsi="宋体" w:cs="宋体"/>
                <w:sz w:val="18"/>
                <w:szCs w:val="18"/>
                <w:highlight w:val="none"/>
                <w:lang w:bidi="ar"/>
              </w:rPr>
              <w:t>）</w:t>
            </w:r>
          </w:p>
        </w:tc>
        <w:tc>
          <w:tcPr>
            <w:tcW w:w="2426" w:type="pct"/>
            <w:tcBorders>
              <w:tl2br w:val="nil"/>
              <w:tr2bl w:val="nil"/>
            </w:tcBorders>
            <w:vAlign w:val="center"/>
          </w:tcPr>
          <w:p w14:paraId="455D5E6C">
            <w:pPr>
              <w:spacing w:line="240" w:lineRule="atLeast"/>
              <w:jc w:val="center"/>
              <w:textAlignment w:val="top"/>
              <w:rPr>
                <w:rFonts w:hint="eastAsia" w:ascii="宋体" w:hAnsi="宋体" w:cs="宋体"/>
                <w:sz w:val="18"/>
                <w:szCs w:val="18"/>
                <w:highlight w:val="none"/>
              </w:rPr>
            </w:pPr>
            <w:r>
              <w:rPr>
                <w:rFonts w:hint="eastAsia" w:ascii="宋体" w:hAnsi="宋体" w:cs="宋体"/>
                <w:sz w:val="18"/>
                <w:szCs w:val="18"/>
                <w:highlight w:val="none"/>
                <w:lang w:bidi="ar"/>
              </w:rPr>
              <w:t>T</w:t>
            </w:r>
            <w:r>
              <w:rPr>
                <w:rFonts w:hint="eastAsia" w:ascii="宋体" w:hAnsi="宋体" w:cs="宋体"/>
                <w:sz w:val="18"/>
                <w:szCs w:val="18"/>
                <w:highlight w:val="none"/>
                <w:vertAlign w:val="subscript"/>
                <w:lang w:bidi="ar"/>
              </w:rPr>
              <w:t>P</w:t>
            </w:r>
            <w:r>
              <w:rPr>
                <w:rFonts w:hint="eastAsia" w:ascii="宋体" w:hAnsi="宋体" w:cs="宋体"/>
                <w:sz w:val="18"/>
                <w:szCs w:val="18"/>
                <w:highlight w:val="none"/>
                <w:lang w:bidi="ar"/>
              </w:rPr>
              <w:t>≥T</w:t>
            </w:r>
            <w:r>
              <w:rPr>
                <w:rFonts w:hint="eastAsia" w:ascii="宋体" w:hAnsi="宋体" w:cs="宋体"/>
                <w:sz w:val="18"/>
                <w:szCs w:val="18"/>
                <w:highlight w:val="none"/>
                <w:vertAlign w:val="subscript"/>
                <w:lang w:bidi="ar"/>
              </w:rPr>
              <w:t>C</w:t>
            </w:r>
            <w:r>
              <w:rPr>
                <w:rFonts w:hint="eastAsia" w:ascii="宋体" w:hAnsi="宋体" w:cs="宋体"/>
                <w:sz w:val="18"/>
                <w:szCs w:val="18"/>
                <w:highlight w:val="none"/>
                <w:lang w:bidi="ar"/>
              </w:rPr>
              <w:t>（见表21）</w:t>
            </w:r>
          </w:p>
        </w:tc>
      </w:tr>
      <w:tr w14:paraId="7680D81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6" w:hRule="atLeast"/>
          <w:jc w:val="center"/>
        </w:trPr>
        <w:tc>
          <w:tcPr>
            <w:tcW w:w="2573" w:type="pct"/>
            <w:tcBorders>
              <w:tl2br w:val="nil"/>
              <w:tr2bl w:val="nil"/>
            </w:tcBorders>
            <w:vAlign w:val="center"/>
          </w:tcPr>
          <w:p w14:paraId="4C0B2D8A">
            <w:pPr>
              <w:spacing w:line="240" w:lineRule="atLeast"/>
              <w:jc w:val="center"/>
              <w:textAlignment w:val="top"/>
              <w:rPr>
                <w:rFonts w:hint="eastAsia" w:ascii="宋体" w:hAnsi="宋体" w:cs="宋体"/>
                <w:sz w:val="18"/>
                <w:szCs w:val="18"/>
                <w:highlight w:val="none"/>
                <w:lang w:bidi="ar"/>
              </w:rPr>
            </w:pPr>
            <w:r>
              <w:rPr>
                <w:rFonts w:hint="eastAsia" w:ascii="宋体" w:hAnsi="宋体" w:cs="宋体"/>
                <w:i/>
                <w:iCs/>
                <w:sz w:val="18"/>
                <w:szCs w:val="18"/>
                <w:highlight w:val="none"/>
                <w:lang w:bidi="ar"/>
              </w:rPr>
              <w:t>T</w:t>
            </w:r>
            <w:r>
              <w:rPr>
                <w:rFonts w:hint="eastAsia" w:ascii="宋体" w:hAnsi="宋体" w:cs="宋体"/>
                <w:sz w:val="18"/>
                <w:szCs w:val="18"/>
                <w:highlight w:val="none"/>
                <w:vertAlign w:val="subscript"/>
                <w:lang w:bidi="ar"/>
              </w:rPr>
              <w:t>L</w:t>
            </w:r>
            <w:r>
              <w:rPr>
                <w:rFonts w:hint="eastAsia" w:ascii="宋体" w:hAnsi="宋体" w:cs="宋体"/>
                <w:sz w:val="18"/>
                <w:szCs w:val="18"/>
                <w:highlight w:val="none"/>
                <w:lang w:bidi="ar"/>
              </w:rPr>
              <w:t>以上的保持时间（</w:t>
            </w:r>
            <w:r>
              <w:rPr>
                <w:rFonts w:hint="eastAsia" w:ascii="宋体" w:hAnsi="宋体" w:cs="宋体"/>
                <w:i/>
                <w:iCs/>
                <w:sz w:val="18"/>
                <w:szCs w:val="18"/>
                <w:highlight w:val="none"/>
                <w:lang w:bidi="ar"/>
              </w:rPr>
              <w:t>t</w:t>
            </w:r>
            <w:r>
              <w:rPr>
                <w:rFonts w:hint="eastAsia" w:ascii="宋体" w:hAnsi="宋体" w:cs="宋体"/>
                <w:sz w:val="18"/>
                <w:szCs w:val="18"/>
                <w:highlight w:val="none"/>
                <w:vertAlign w:val="subscript"/>
                <w:lang w:bidi="ar"/>
              </w:rPr>
              <w:t>p</w:t>
            </w:r>
            <w:r>
              <w:rPr>
                <w:rFonts w:hint="eastAsia" w:ascii="宋体" w:hAnsi="宋体" w:cs="宋体"/>
                <w:sz w:val="18"/>
                <w:szCs w:val="18"/>
                <w:highlight w:val="none"/>
                <w:lang w:bidi="ar"/>
              </w:rPr>
              <w:t>）</w:t>
            </w:r>
          </w:p>
        </w:tc>
        <w:tc>
          <w:tcPr>
            <w:tcW w:w="2426" w:type="pct"/>
            <w:tcBorders>
              <w:tl2br w:val="nil"/>
              <w:tr2bl w:val="nil"/>
            </w:tcBorders>
            <w:vAlign w:val="center"/>
          </w:tcPr>
          <w:p w14:paraId="63DED43B">
            <w:pPr>
              <w:spacing w:line="240" w:lineRule="atLeast"/>
              <w:jc w:val="center"/>
              <w:textAlignment w:val="top"/>
              <w:rPr>
                <w:rFonts w:hint="eastAsia" w:ascii="宋体" w:hAnsi="宋体" w:cs="宋体"/>
                <w:sz w:val="18"/>
                <w:szCs w:val="18"/>
                <w:highlight w:val="none"/>
                <w:lang w:bidi="ar"/>
              </w:rPr>
            </w:pPr>
            <w:r>
              <w:rPr>
                <w:rFonts w:hint="eastAsia" w:ascii="宋体" w:hAnsi="宋体" w:cs="宋体"/>
                <w:sz w:val="18"/>
                <w:szCs w:val="18"/>
                <w:highlight w:val="none"/>
                <w:lang w:bidi="ar"/>
              </w:rPr>
              <w:t>60s</w:t>
            </w:r>
            <w:r>
              <w:rPr>
                <w:rFonts w:hint="eastAsia" w:ascii="宋体" w:hAnsi="宋体" w:cs="宋体"/>
                <w:sz w:val="18"/>
                <w:szCs w:val="18"/>
                <w:highlight w:val="none"/>
              </w:rPr>
              <w:t>～</w:t>
            </w:r>
            <w:r>
              <w:rPr>
                <w:rFonts w:hint="eastAsia" w:ascii="宋体" w:hAnsi="宋体" w:cs="宋体"/>
                <w:sz w:val="18"/>
                <w:szCs w:val="18"/>
                <w:highlight w:val="none"/>
                <w:lang w:bidi="ar"/>
              </w:rPr>
              <w:t>150s</w:t>
            </w:r>
          </w:p>
        </w:tc>
      </w:tr>
      <w:tr w14:paraId="62A2041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6" w:hRule="atLeast"/>
          <w:jc w:val="center"/>
        </w:trPr>
        <w:tc>
          <w:tcPr>
            <w:tcW w:w="2573" w:type="pct"/>
            <w:tcBorders>
              <w:tl2br w:val="nil"/>
              <w:tr2bl w:val="nil"/>
            </w:tcBorders>
            <w:vAlign w:val="center"/>
          </w:tcPr>
          <w:p w14:paraId="47EFB3F7">
            <w:pPr>
              <w:spacing w:line="240" w:lineRule="atLeast"/>
              <w:jc w:val="center"/>
              <w:textAlignment w:val="top"/>
              <w:rPr>
                <w:rFonts w:hint="eastAsia" w:ascii="宋体" w:hAnsi="宋体" w:cs="宋体"/>
                <w:sz w:val="18"/>
                <w:szCs w:val="18"/>
                <w:highlight w:val="none"/>
              </w:rPr>
            </w:pPr>
            <w:r>
              <w:rPr>
                <w:rFonts w:hint="eastAsia" w:ascii="宋体" w:hAnsi="宋体" w:cs="宋体"/>
                <w:sz w:val="18"/>
                <w:szCs w:val="18"/>
                <w:highlight w:val="none"/>
                <w:lang w:bidi="ar"/>
              </w:rPr>
              <w:t>在指定分类温度（T</w:t>
            </w:r>
            <w:r>
              <w:rPr>
                <w:rFonts w:hint="eastAsia" w:ascii="宋体" w:hAnsi="宋体" w:cs="宋体"/>
                <w:sz w:val="18"/>
                <w:szCs w:val="18"/>
                <w:highlight w:val="none"/>
                <w:vertAlign w:val="subscript"/>
                <w:lang w:bidi="ar"/>
              </w:rPr>
              <w:t>C</w:t>
            </w:r>
            <w:r>
              <w:rPr>
                <w:rFonts w:hint="eastAsia" w:ascii="宋体" w:hAnsi="宋体" w:cs="宋体"/>
                <w:sz w:val="18"/>
                <w:szCs w:val="18"/>
                <w:highlight w:val="none"/>
                <w:lang w:bidi="ar"/>
              </w:rPr>
              <w:t>）5 ℃以内的保持时间（</w:t>
            </w:r>
            <w:r>
              <w:rPr>
                <w:rFonts w:hint="eastAsia" w:ascii="宋体" w:hAnsi="宋体" w:cs="宋体"/>
                <w:i/>
                <w:iCs/>
                <w:sz w:val="18"/>
                <w:szCs w:val="18"/>
                <w:highlight w:val="none"/>
                <w:lang w:bidi="ar"/>
              </w:rPr>
              <w:t>t</w:t>
            </w:r>
            <w:r>
              <w:rPr>
                <w:rFonts w:hint="eastAsia" w:ascii="宋体" w:hAnsi="宋体" w:cs="宋体"/>
                <w:sz w:val="18"/>
                <w:szCs w:val="18"/>
                <w:highlight w:val="none"/>
                <w:vertAlign w:val="subscript"/>
                <w:lang w:bidi="ar"/>
              </w:rPr>
              <w:t>p</w:t>
            </w:r>
            <w:r>
              <w:rPr>
                <w:rFonts w:hint="eastAsia" w:ascii="宋体" w:hAnsi="宋体" w:cs="宋体"/>
                <w:sz w:val="18"/>
                <w:szCs w:val="18"/>
                <w:highlight w:val="none"/>
                <w:lang w:bidi="ar"/>
              </w:rPr>
              <w:t>）</w:t>
            </w:r>
          </w:p>
        </w:tc>
        <w:tc>
          <w:tcPr>
            <w:tcW w:w="2426" w:type="pct"/>
            <w:tcBorders>
              <w:tl2br w:val="nil"/>
              <w:tr2bl w:val="nil"/>
            </w:tcBorders>
            <w:vAlign w:val="center"/>
          </w:tcPr>
          <w:p w14:paraId="51D7E611">
            <w:pPr>
              <w:spacing w:line="240" w:lineRule="atLeast"/>
              <w:jc w:val="center"/>
              <w:textAlignment w:val="top"/>
              <w:rPr>
                <w:rFonts w:hint="eastAsia" w:ascii="宋体" w:hAnsi="宋体" w:cs="宋体"/>
                <w:sz w:val="18"/>
                <w:szCs w:val="18"/>
                <w:highlight w:val="none"/>
              </w:rPr>
            </w:pPr>
            <w:r>
              <w:rPr>
                <w:rFonts w:hint="eastAsia" w:ascii="宋体" w:hAnsi="宋体" w:cs="宋体"/>
                <w:sz w:val="18"/>
                <w:szCs w:val="18"/>
                <w:highlight w:val="none"/>
                <w:lang w:bidi="ar"/>
              </w:rPr>
              <w:t>≥30s</w:t>
            </w:r>
          </w:p>
        </w:tc>
      </w:tr>
      <w:tr w14:paraId="5E5D7B4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6" w:hRule="atLeast"/>
          <w:jc w:val="center"/>
        </w:trPr>
        <w:tc>
          <w:tcPr>
            <w:tcW w:w="2573" w:type="pct"/>
            <w:tcBorders>
              <w:tl2br w:val="nil"/>
              <w:tr2bl w:val="nil"/>
            </w:tcBorders>
            <w:vAlign w:val="center"/>
          </w:tcPr>
          <w:p w14:paraId="7C851351">
            <w:pPr>
              <w:spacing w:line="240" w:lineRule="atLeast"/>
              <w:jc w:val="center"/>
              <w:textAlignment w:val="top"/>
              <w:rPr>
                <w:rFonts w:hint="eastAsia" w:ascii="宋体" w:hAnsi="宋体" w:cs="宋体"/>
                <w:sz w:val="18"/>
                <w:szCs w:val="18"/>
                <w:highlight w:val="none"/>
              </w:rPr>
            </w:pPr>
            <w:r>
              <w:rPr>
                <w:rFonts w:hint="eastAsia" w:ascii="宋体" w:hAnsi="宋体" w:cs="宋体"/>
                <w:sz w:val="18"/>
                <w:szCs w:val="18"/>
                <w:highlight w:val="none"/>
                <w:lang w:bidi="ar"/>
              </w:rPr>
              <w:t>降温斜率（</w:t>
            </w:r>
            <w:r>
              <w:rPr>
                <w:rFonts w:hint="eastAsia" w:ascii="宋体" w:hAnsi="宋体" w:cs="宋体"/>
                <w:i/>
                <w:iCs/>
                <w:sz w:val="18"/>
                <w:szCs w:val="18"/>
                <w:highlight w:val="none"/>
                <w:lang w:bidi="ar"/>
              </w:rPr>
              <w:t>T</w:t>
            </w:r>
            <w:r>
              <w:rPr>
                <w:rFonts w:hint="eastAsia" w:ascii="宋体" w:hAnsi="宋体" w:cs="宋体"/>
                <w:sz w:val="18"/>
                <w:szCs w:val="18"/>
                <w:highlight w:val="none"/>
                <w:vertAlign w:val="subscript"/>
                <w:lang w:bidi="ar"/>
              </w:rPr>
              <w:t>P</w:t>
            </w:r>
            <w:r>
              <w:rPr>
                <w:rFonts w:hint="eastAsia" w:ascii="宋体" w:hAnsi="宋体" w:cs="宋体"/>
                <w:sz w:val="18"/>
                <w:szCs w:val="18"/>
                <w:highlight w:val="none"/>
                <w:lang w:bidi="ar"/>
              </w:rPr>
              <w:t>到</w:t>
            </w:r>
            <w:r>
              <w:rPr>
                <w:rFonts w:hint="eastAsia" w:ascii="宋体" w:hAnsi="宋体" w:cs="宋体"/>
                <w:i/>
                <w:iCs/>
                <w:sz w:val="18"/>
                <w:szCs w:val="18"/>
                <w:highlight w:val="none"/>
                <w:lang w:bidi="ar"/>
              </w:rPr>
              <w:t>T</w:t>
            </w:r>
            <w:r>
              <w:rPr>
                <w:rFonts w:hint="eastAsia" w:ascii="宋体" w:hAnsi="宋体" w:cs="宋体"/>
                <w:sz w:val="18"/>
                <w:szCs w:val="18"/>
                <w:highlight w:val="none"/>
                <w:vertAlign w:val="subscript"/>
                <w:lang w:bidi="ar"/>
              </w:rPr>
              <w:t>L</w:t>
            </w:r>
            <w:r>
              <w:rPr>
                <w:rFonts w:hint="eastAsia" w:ascii="宋体" w:hAnsi="宋体" w:cs="宋体"/>
                <w:sz w:val="18"/>
                <w:szCs w:val="18"/>
                <w:highlight w:val="none"/>
                <w:lang w:bidi="ar"/>
              </w:rPr>
              <w:t>）</w:t>
            </w:r>
          </w:p>
        </w:tc>
        <w:tc>
          <w:tcPr>
            <w:tcW w:w="2426" w:type="pct"/>
            <w:tcBorders>
              <w:tl2br w:val="nil"/>
              <w:tr2bl w:val="nil"/>
            </w:tcBorders>
            <w:vAlign w:val="center"/>
          </w:tcPr>
          <w:p w14:paraId="18430683">
            <w:pPr>
              <w:spacing w:line="240" w:lineRule="atLeast"/>
              <w:jc w:val="center"/>
              <w:textAlignment w:val="top"/>
              <w:rPr>
                <w:rFonts w:hint="eastAsia" w:ascii="宋体" w:hAnsi="宋体" w:cs="宋体"/>
                <w:sz w:val="18"/>
                <w:szCs w:val="18"/>
                <w:highlight w:val="none"/>
              </w:rPr>
            </w:pPr>
            <w:r>
              <w:rPr>
                <w:rFonts w:hint="eastAsia" w:ascii="宋体" w:hAnsi="宋体" w:cs="宋体"/>
                <w:sz w:val="18"/>
                <w:szCs w:val="18"/>
                <w:highlight w:val="none"/>
                <w:lang w:bidi="ar"/>
              </w:rPr>
              <w:t>≤6 ℃/s</w:t>
            </w:r>
          </w:p>
        </w:tc>
      </w:tr>
      <w:tr w14:paraId="38687DD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3" w:hRule="atLeast"/>
          <w:jc w:val="center"/>
        </w:trPr>
        <w:tc>
          <w:tcPr>
            <w:tcW w:w="2573" w:type="pct"/>
            <w:tcBorders>
              <w:tl2br w:val="nil"/>
              <w:tr2bl w:val="nil"/>
            </w:tcBorders>
            <w:vAlign w:val="center"/>
          </w:tcPr>
          <w:p w14:paraId="434F024C">
            <w:pPr>
              <w:spacing w:line="240" w:lineRule="atLeast"/>
              <w:jc w:val="center"/>
              <w:textAlignment w:val="top"/>
              <w:rPr>
                <w:rFonts w:hint="eastAsia" w:ascii="宋体" w:hAnsi="宋体" w:cs="宋体"/>
                <w:sz w:val="18"/>
                <w:szCs w:val="18"/>
                <w:highlight w:val="none"/>
              </w:rPr>
            </w:pPr>
            <w:r>
              <w:rPr>
                <w:rFonts w:hint="eastAsia" w:ascii="宋体" w:hAnsi="宋体" w:cs="宋体"/>
                <w:sz w:val="18"/>
                <w:szCs w:val="18"/>
                <w:highlight w:val="none"/>
                <w:lang w:bidi="ar"/>
              </w:rPr>
              <w:t>25 ℃到峰值温度的时间</w:t>
            </w:r>
          </w:p>
        </w:tc>
        <w:tc>
          <w:tcPr>
            <w:tcW w:w="2426" w:type="pct"/>
            <w:tcBorders>
              <w:tl2br w:val="nil"/>
              <w:tr2bl w:val="nil"/>
            </w:tcBorders>
            <w:vAlign w:val="center"/>
          </w:tcPr>
          <w:p w14:paraId="4917FD98">
            <w:pPr>
              <w:spacing w:line="240" w:lineRule="atLeast"/>
              <w:jc w:val="center"/>
              <w:textAlignment w:val="top"/>
              <w:rPr>
                <w:rFonts w:hint="eastAsia" w:ascii="宋体" w:hAnsi="宋体" w:cs="宋体"/>
                <w:sz w:val="18"/>
                <w:szCs w:val="18"/>
                <w:highlight w:val="none"/>
              </w:rPr>
            </w:pPr>
            <w:r>
              <w:rPr>
                <w:rFonts w:hint="eastAsia" w:ascii="宋体" w:hAnsi="宋体" w:cs="宋体"/>
                <w:sz w:val="18"/>
                <w:szCs w:val="18"/>
                <w:highlight w:val="none"/>
                <w:lang w:bidi="ar"/>
              </w:rPr>
              <w:t>≤8min</w:t>
            </w:r>
          </w:p>
        </w:tc>
      </w:tr>
    </w:tbl>
    <w:p w14:paraId="1BB0A834">
      <w:pPr>
        <w:snapToGrid w:val="0"/>
        <w:spacing w:before="120" w:beforeLines="50" w:after="120" w:afterLines="50" w:line="240" w:lineRule="auto"/>
        <w:jc w:val="center"/>
        <w:textAlignment w:val="baseline"/>
        <w:rPr>
          <w:rFonts w:ascii="黑体" w:hAnsi="Times New Roman" w:eastAsia="黑体"/>
          <w:kern w:val="21"/>
          <w:highlight w:val="none"/>
        </w:rPr>
      </w:pPr>
      <w:r>
        <w:rPr>
          <w:rFonts w:hint="eastAsia" w:ascii="黑体" w:hAnsi="Times New Roman" w:eastAsia="黑体"/>
          <w:kern w:val="21"/>
          <w:highlight w:val="none"/>
        </w:rPr>
        <w:t xml:space="preserve">表 17  </w:t>
      </w:r>
      <w:r>
        <w:rPr>
          <w:rFonts w:ascii="黑体" w:hAnsi="Times New Roman" w:eastAsia="黑体"/>
          <w:kern w:val="21"/>
          <w:highlight w:val="none"/>
        </w:rPr>
        <w:t>封装温度分类</w:t>
      </w:r>
    </w:p>
    <w:tbl>
      <w:tblPr>
        <w:tblStyle w:val="28"/>
        <w:tblW w:w="5006"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2294"/>
        <w:gridCol w:w="1853"/>
        <w:gridCol w:w="3076"/>
        <w:gridCol w:w="2172"/>
      </w:tblGrid>
      <w:tr w14:paraId="362FEC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91" w:hRule="atLeast"/>
          <w:jc w:val="center"/>
        </w:trPr>
        <w:tc>
          <w:tcPr>
            <w:tcW w:w="1221" w:type="pct"/>
            <w:vMerge w:val="restart"/>
            <w:tcBorders>
              <w:tl2br w:val="nil"/>
              <w:tr2bl w:val="nil"/>
            </w:tcBorders>
            <w:vAlign w:val="center"/>
          </w:tcPr>
          <w:p w14:paraId="63319979">
            <w:pPr>
              <w:spacing w:line="240" w:lineRule="auto"/>
              <w:jc w:val="center"/>
              <w:textAlignment w:val="top"/>
              <w:rPr>
                <w:rFonts w:hint="eastAsia" w:ascii="宋体" w:hAnsi="宋体" w:cs="宋体"/>
                <w:sz w:val="18"/>
                <w:szCs w:val="18"/>
                <w:highlight w:val="none"/>
                <w:lang w:bidi="ar"/>
              </w:rPr>
            </w:pPr>
            <w:r>
              <w:rPr>
                <w:rFonts w:hint="eastAsia" w:ascii="宋体" w:hAnsi="宋体" w:cs="宋体"/>
                <w:sz w:val="18"/>
                <w:szCs w:val="18"/>
                <w:highlight w:val="none"/>
                <w:lang w:bidi="ar"/>
              </w:rPr>
              <w:t>封装厚度</w:t>
            </w:r>
          </w:p>
        </w:tc>
        <w:tc>
          <w:tcPr>
            <w:tcW w:w="3778" w:type="pct"/>
            <w:gridSpan w:val="3"/>
            <w:tcBorders>
              <w:tl2br w:val="nil"/>
              <w:tr2bl w:val="nil"/>
            </w:tcBorders>
            <w:vAlign w:val="center"/>
          </w:tcPr>
          <w:p w14:paraId="00D994D9">
            <w:pPr>
              <w:spacing w:line="240" w:lineRule="auto"/>
              <w:jc w:val="center"/>
              <w:textAlignment w:val="top"/>
              <w:rPr>
                <w:rFonts w:hint="eastAsia" w:ascii="宋体" w:hAnsi="宋体" w:cs="宋体"/>
                <w:sz w:val="18"/>
                <w:szCs w:val="18"/>
                <w:highlight w:val="none"/>
                <w:lang w:bidi="ar"/>
              </w:rPr>
            </w:pPr>
            <w:r>
              <w:rPr>
                <w:rFonts w:hint="eastAsia" w:ascii="宋体" w:hAnsi="宋体" w:cs="宋体"/>
                <w:sz w:val="18"/>
                <w:szCs w:val="18"/>
                <w:highlight w:val="none"/>
                <w:lang w:bidi="ar"/>
              </w:rPr>
              <w:t>封装分类温度/T</w:t>
            </w:r>
            <w:r>
              <w:rPr>
                <w:rFonts w:hint="eastAsia" w:ascii="宋体" w:hAnsi="宋体" w:cs="宋体"/>
                <w:sz w:val="18"/>
                <w:szCs w:val="18"/>
                <w:highlight w:val="none"/>
                <w:vertAlign w:val="subscript"/>
                <w:lang w:bidi="ar"/>
              </w:rPr>
              <w:t>C</w:t>
            </w:r>
          </w:p>
        </w:tc>
      </w:tr>
      <w:tr w14:paraId="3FB623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3" w:hRule="atLeast"/>
          <w:jc w:val="center"/>
        </w:trPr>
        <w:tc>
          <w:tcPr>
            <w:tcW w:w="1221" w:type="pct"/>
            <w:vMerge w:val="continue"/>
            <w:tcBorders>
              <w:tl2br w:val="nil"/>
              <w:tr2bl w:val="nil"/>
            </w:tcBorders>
            <w:vAlign w:val="center"/>
          </w:tcPr>
          <w:p w14:paraId="679C2F24">
            <w:pPr>
              <w:spacing w:line="240" w:lineRule="auto"/>
              <w:jc w:val="center"/>
              <w:textAlignment w:val="top"/>
              <w:rPr>
                <w:rFonts w:hint="eastAsia" w:ascii="宋体" w:hAnsi="宋体" w:cs="宋体"/>
                <w:sz w:val="18"/>
                <w:szCs w:val="18"/>
                <w:highlight w:val="none"/>
                <w:lang w:bidi="ar"/>
              </w:rPr>
            </w:pPr>
          </w:p>
        </w:tc>
        <w:tc>
          <w:tcPr>
            <w:tcW w:w="986" w:type="pct"/>
            <w:tcBorders>
              <w:tl2br w:val="nil"/>
              <w:tr2bl w:val="nil"/>
            </w:tcBorders>
            <w:vAlign w:val="center"/>
          </w:tcPr>
          <w:p w14:paraId="6DC965FF">
            <w:pPr>
              <w:spacing w:line="240" w:lineRule="auto"/>
              <w:jc w:val="center"/>
              <w:textAlignment w:val="top"/>
              <w:rPr>
                <w:rFonts w:hint="eastAsia" w:ascii="宋体" w:hAnsi="宋体" w:cs="宋体"/>
                <w:sz w:val="18"/>
                <w:szCs w:val="18"/>
                <w:highlight w:val="none"/>
                <w:lang w:bidi="ar"/>
              </w:rPr>
            </w:pPr>
            <w:r>
              <w:rPr>
                <w:rFonts w:hint="eastAsia" w:ascii="宋体" w:hAnsi="宋体" w:cs="宋体"/>
                <w:sz w:val="18"/>
                <w:szCs w:val="18"/>
                <w:highlight w:val="none"/>
                <w:lang w:bidi="ar"/>
              </w:rPr>
              <w:t>V＜350 mm</w:t>
            </w:r>
            <w:r>
              <w:rPr>
                <w:rFonts w:hint="eastAsia" w:ascii="宋体" w:hAnsi="宋体" w:cs="宋体"/>
                <w:sz w:val="18"/>
                <w:szCs w:val="18"/>
                <w:highlight w:val="none"/>
                <w:vertAlign w:val="superscript"/>
                <w:lang w:bidi="ar"/>
              </w:rPr>
              <w:t>3</w:t>
            </w:r>
          </w:p>
        </w:tc>
        <w:tc>
          <w:tcPr>
            <w:tcW w:w="1637" w:type="pct"/>
            <w:tcBorders>
              <w:tl2br w:val="nil"/>
              <w:tr2bl w:val="nil"/>
            </w:tcBorders>
            <w:vAlign w:val="center"/>
          </w:tcPr>
          <w:p w14:paraId="625AD362">
            <w:pPr>
              <w:spacing w:line="240" w:lineRule="auto"/>
              <w:jc w:val="center"/>
              <w:textAlignment w:val="top"/>
              <w:rPr>
                <w:rFonts w:hint="eastAsia" w:ascii="宋体" w:hAnsi="宋体" w:cs="宋体"/>
                <w:sz w:val="18"/>
                <w:szCs w:val="18"/>
                <w:highlight w:val="none"/>
                <w:lang w:bidi="ar"/>
              </w:rPr>
            </w:pPr>
            <w:r>
              <w:rPr>
                <w:rFonts w:hint="eastAsia" w:ascii="宋体" w:hAnsi="宋体" w:cs="宋体"/>
                <w:sz w:val="18"/>
                <w:szCs w:val="18"/>
                <w:highlight w:val="none"/>
                <w:lang w:bidi="ar"/>
              </w:rPr>
              <w:t>350 mm</w:t>
            </w:r>
            <w:r>
              <w:rPr>
                <w:rFonts w:hint="eastAsia" w:ascii="宋体" w:hAnsi="宋体" w:cs="宋体"/>
                <w:sz w:val="18"/>
                <w:szCs w:val="18"/>
                <w:highlight w:val="none"/>
                <w:vertAlign w:val="superscript"/>
                <w:lang w:bidi="ar"/>
              </w:rPr>
              <w:t>3</w:t>
            </w:r>
            <w:r>
              <w:rPr>
                <w:rFonts w:hint="eastAsia" w:ascii="宋体" w:hAnsi="宋体" w:cs="宋体"/>
                <w:sz w:val="18"/>
                <w:szCs w:val="18"/>
                <w:highlight w:val="none"/>
                <w:lang w:bidi="ar"/>
              </w:rPr>
              <w:t>≤V≤2000 mm</w:t>
            </w:r>
            <w:r>
              <w:rPr>
                <w:rFonts w:hint="eastAsia" w:ascii="宋体" w:hAnsi="宋体" w:cs="宋体"/>
                <w:sz w:val="18"/>
                <w:szCs w:val="18"/>
                <w:highlight w:val="none"/>
                <w:vertAlign w:val="superscript"/>
                <w:lang w:bidi="ar"/>
              </w:rPr>
              <w:t>3</w:t>
            </w:r>
          </w:p>
        </w:tc>
        <w:tc>
          <w:tcPr>
            <w:tcW w:w="1154" w:type="pct"/>
            <w:tcBorders>
              <w:tl2br w:val="nil"/>
              <w:tr2bl w:val="nil"/>
            </w:tcBorders>
            <w:vAlign w:val="center"/>
          </w:tcPr>
          <w:p w14:paraId="516C383B">
            <w:pPr>
              <w:spacing w:line="240" w:lineRule="auto"/>
              <w:jc w:val="center"/>
              <w:textAlignment w:val="top"/>
              <w:rPr>
                <w:rFonts w:hint="eastAsia" w:ascii="宋体" w:hAnsi="宋体" w:cs="宋体"/>
                <w:sz w:val="18"/>
                <w:szCs w:val="18"/>
                <w:highlight w:val="none"/>
                <w:lang w:bidi="ar"/>
              </w:rPr>
            </w:pPr>
            <w:r>
              <w:rPr>
                <w:rFonts w:hint="eastAsia" w:ascii="宋体" w:hAnsi="宋体" w:cs="宋体"/>
                <w:sz w:val="18"/>
                <w:szCs w:val="18"/>
                <w:highlight w:val="none"/>
                <w:lang w:bidi="ar"/>
              </w:rPr>
              <w:t>V＞2000 mm</w:t>
            </w:r>
            <w:r>
              <w:rPr>
                <w:rFonts w:hint="eastAsia" w:ascii="宋体" w:hAnsi="宋体" w:cs="宋体"/>
                <w:sz w:val="18"/>
                <w:szCs w:val="18"/>
                <w:highlight w:val="none"/>
                <w:vertAlign w:val="superscript"/>
                <w:lang w:bidi="ar"/>
              </w:rPr>
              <w:t>3</w:t>
            </w:r>
          </w:p>
        </w:tc>
      </w:tr>
      <w:tr w14:paraId="3DE2BA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17" w:hRule="atLeast"/>
          <w:jc w:val="center"/>
        </w:trPr>
        <w:tc>
          <w:tcPr>
            <w:tcW w:w="1221" w:type="pct"/>
            <w:tcBorders>
              <w:tl2br w:val="nil"/>
              <w:tr2bl w:val="nil"/>
            </w:tcBorders>
            <w:vAlign w:val="center"/>
          </w:tcPr>
          <w:p w14:paraId="4974073A">
            <w:pPr>
              <w:spacing w:line="240" w:lineRule="auto"/>
              <w:jc w:val="center"/>
              <w:textAlignment w:val="top"/>
              <w:rPr>
                <w:rFonts w:hint="eastAsia" w:ascii="宋体" w:hAnsi="宋体" w:cs="宋体"/>
                <w:sz w:val="18"/>
                <w:szCs w:val="18"/>
                <w:highlight w:val="none"/>
                <w:lang w:bidi="ar"/>
              </w:rPr>
            </w:pPr>
            <w:r>
              <w:rPr>
                <w:rFonts w:hint="eastAsia" w:ascii="宋体" w:hAnsi="宋体" w:cs="宋体"/>
                <w:sz w:val="18"/>
                <w:szCs w:val="18"/>
                <w:highlight w:val="none"/>
                <w:lang w:bidi="ar"/>
              </w:rPr>
              <w:t>＜1.6 mm</w:t>
            </w:r>
          </w:p>
        </w:tc>
        <w:tc>
          <w:tcPr>
            <w:tcW w:w="986" w:type="pct"/>
            <w:tcBorders>
              <w:tl2br w:val="nil"/>
              <w:tr2bl w:val="nil"/>
            </w:tcBorders>
            <w:noWrap/>
            <w:vAlign w:val="center"/>
          </w:tcPr>
          <w:p w14:paraId="03460AE6">
            <w:pPr>
              <w:spacing w:line="240" w:lineRule="auto"/>
              <w:jc w:val="center"/>
              <w:textAlignment w:val="top"/>
              <w:rPr>
                <w:rFonts w:hint="eastAsia" w:ascii="宋体" w:hAnsi="宋体" w:cs="宋体"/>
                <w:sz w:val="18"/>
                <w:szCs w:val="18"/>
                <w:highlight w:val="none"/>
                <w:lang w:bidi="ar"/>
              </w:rPr>
            </w:pPr>
            <w:r>
              <w:rPr>
                <w:rFonts w:hint="eastAsia" w:ascii="宋体" w:hAnsi="宋体" w:cs="宋体"/>
                <w:sz w:val="18"/>
                <w:szCs w:val="18"/>
                <w:highlight w:val="none"/>
                <w:lang w:bidi="ar"/>
              </w:rPr>
              <w:t>260 ℃</w:t>
            </w:r>
          </w:p>
        </w:tc>
        <w:tc>
          <w:tcPr>
            <w:tcW w:w="1637" w:type="pct"/>
            <w:tcBorders>
              <w:tl2br w:val="nil"/>
              <w:tr2bl w:val="nil"/>
            </w:tcBorders>
            <w:noWrap/>
            <w:vAlign w:val="center"/>
          </w:tcPr>
          <w:p w14:paraId="311CD054">
            <w:pPr>
              <w:spacing w:line="240" w:lineRule="auto"/>
              <w:jc w:val="center"/>
              <w:textAlignment w:val="top"/>
              <w:rPr>
                <w:rFonts w:hint="eastAsia" w:ascii="宋体" w:hAnsi="宋体" w:cs="宋体"/>
                <w:sz w:val="18"/>
                <w:szCs w:val="18"/>
                <w:highlight w:val="none"/>
                <w:lang w:bidi="ar"/>
              </w:rPr>
            </w:pPr>
            <w:r>
              <w:rPr>
                <w:rFonts w:hint="eastAsia" w:ascii="宋体" w:hAnsi="宋体" w:cs="宋体"/>
                <w:sz w:val="18"/>
                <w:szCs w:val="18"/>
                <w:highlight w:val="none"/>
                <w:lang w:bidi="ar"/>
              </w:rPr>
              <w:t>260 ℃</w:t>
            </w:r>
          </w:p>
        </w:tc>
        <w:tc>
          <w:tcPr>
            <w:tcW w:w="1154" w:type="pct"/>
            <w:tcBorders>
              <w:tl2br w:val="nil"/>
              <w:tr2bl w:val="nil"/>
            </w:tcBorders>
            <w:noWrap/>
            <w:vAlign w:val="center"/>
          </w:tcPr>
          <w:p w14:paraId="3970F7E4">
            <w:pPr>
              <w:spacing w:line="240" w:lineRule="auto"/>
              <w:jc w:val="center"/>
              <w:textAlignment w:val="top"/>
              <w:rPr>
                <w:rFonts w:hint="eastAsia" w:ascii="宋体" w:hAnsi="宋体" w:cs="宋体"/>
                <w:sz w:val="18"/>
                <w:szCs w:val="18"/>
                <w:highlight w:val="none"/>
                <w:lang w:bidi="ar"/>
              </w:rPr>
            </w:pPr>
            <w:r>
              <w:rPr>
                <w:rFonts w:hint="eastAsia" w:ascii="宋体" w:hAnsi="宋体" w:cs="宋体"/>
                <w:sz w:val="18"/>
                <w:szCs w:val="18"/>
                <w:highlight w:val="none"/>
                <w:lang w:bidi="ar"/>
              </w:rPr>
              <w:t>260 ℃</w:t>
            </w:r>
          </w:p>
        </w:tc>
      </w:tr>
      <w:tr w14:paraId="49E66B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46" w:hRule="atLeast"/>
          <w:jc w:val="center"/>
        </w:trPr>
        <w:tc>
          <w:tcPr>
            <w:tcW w:w="1221" w:type="pct"/>
            <w:tcBorders>
              <w:tl2br w:val="nil"/>
              <w:tr2bl w:val="nil"/>
            </w:tcBorders>
            <w:vAlign w:val="center"/>
          </w:tcPr>
          <w:p w14:paraId="3E13BDFA">
            <w:pPr>
              <w:spacing w:line="240" w:lineRule="auto"/>
              <w:jc w:val="center"/>
              <w:textAlignment w:val="top"/>
              <w:rPr>
                <w:rFonts w:hint="eastAsia" w:ascii="宋体" w:hAnsi="宋体" w:cs="宋体"/>
                <w:sz w:val="18"/>
                <w:szCs w:val="18"/>
                <w:highlight w:val="none"/>
                <w:lang w:bidi="ar"/>
              </w:rPr>
            </w:pPr>
            <w:r>
              <w:rPr>
                <w:rFonts w:hint="eastAsia" w:ascii="宋体" w:hAnsi="宋体" w:cs="宋体"/>
                <w:sz w:val="18"/>
                <w:szCs w:val="18"/>
                <w:highlight w:val="none"/>
                <w:lang w:bidi="ar"/>
              </w:rPr>
              <w:t>1.6 mm～2.5 mm</w:t>
            </w:r>
          </w:p>
        </w:tc>
        <w:tc>
          <w:tcPr>
            <w:tcW w:w="986" w:type="pct"/>
            <w:tcBorders>
              <w:tl2br w:val="nil"/>
              <w:tr2bl w:val="nil"/>
            </w:tcBorders>
            <w:noWrap/>
            <w:vAlign w:val="center"/>
          </w:tcPr>
          <w:p w14:paraId="166BEAE7">
            <w:pPr>
              <w:spacing w:line="240" w:lineRule="auto"/>
              <w:jc w:val="center"/>
              <w:textAlignment w:val="top"/>
              <w:rPr>
                <w:rFonts w:hint="eastAsia" w:ascii="宋体" w:hAnsi="宋体" w:cs="宋体"/>
                <w:sz w:val="18"/>
                <w:szCs w:val="18"/>
                <w:highlight w:val="none"/>
                <w:lang w:bidi="ar"/>
              </w:rPr>
            </w:pPr>
            <w:r>
              <w:rPr>
                <w:rFonts w:hint="eastAsia" w:ascii="宋体" w:hAnsi="宋体" w:cs="宋体"/>
                <w:sz w:val="18"/>
                <w:szCs w:val="18"/>
                <w:highlight w:val="none"/>
                <w:lang w:bidi="ar"/>
              </w:rPr>
              <w:t>260 ℃</w:t>
            </w:r>
          </w:p>
        </w:tc>
        <w:tc>
          <w:tcPr>
            <w:tcW w:w="1637" w:type="pct"/>
            <w:tcBorders>
              <w:tl2br w:val="nil"/>
              <w:tr2bl w:val="nil"/>
            </w:tcBorders>
            <w:noWrap/>
            <w:vAlign w:val="center"/>
          </w:tcPr>
          <w:p w14:paraId="451F538B">
            <w:pPr>
              <w:spacing w:line="240" w:lineRule="auto"/>
              <w:jc w:val="center"/>
              <w:textAlignment w:val="top"/>
              <w:rPr>
                <w:rFonts w:hint="eastAsia" w:ascii="宋体" w:hAnsi="宋体" w:cs="宋体"/>
                <w:sz w:val="18"/>
                <w:szCs w:val="18"/>
                <w:highlight w:val="none"/>
                <w:lang w:bidi="ar"/>
              </w:rPr>
            </w:pPr>
            <w:r>
              <w:rPr>
                <w:rFonts w:hint="eastAsia" w:ascii="宋体" w:hAnsi="宋体" w:cs="宋体"/>
                <w:sz w:val="18"/>
                <w:szCs w:val="18"/>
                <w:highlight w:val="none"/>
                <w:lang w:bidi="ar"/>
              </w:rPr>
              <w:t>250 ℃</w:t>
            </w:r>
          </w:p>
        </w:tc>
        <w:tc>
          <w:tcPr>
            <w:tcW w:w="1154" w:type="pct"/>
            <w:tcBorders>
              <w:tl2br w:val="nil"/>
              <w:tr2bl w:val="nil"/>
            </w:tcBorders>
            <w:noWrap/>
            <w:vAlign w:val="center"/>
          </w:tcPr>
          <w:p w14:paraId="5DD4DB1A">
            <w:pPr>
              <w:spacing w:line="240" w:lineRule="auto"/>
              <w:jc w:val="center"/>
              <w:textAlignment w:val="top"/>
              <w:rPr>
                <w:rFonts w:hint="eastAsia" w:ascii="宋体" w:hAnsi="宋体" w:cs="宋体"/>
                <w:sz w:val="18"/>
                <w:szCs w:val="18"/>
                <w:highlight w:val="none"/>
                <w:lang w:bidi="ar"/>
              </w:rPr>
            </w:pPr>
            <w:r>
              <w:rPr>
                <w:rFonts w:hint="eastAsia" w:ascii="宋体" w:hAnsi="宋体" w:cs="宋体"/>
                <w:sz w:val="18"/>
                <w:szCs w:val="18"/>
                <w:highlight w:val="none"/>
                <w:lang w:bidi="ar"/>
              </w:rPr>
              <w:t>245 ℃</w:t>
            </w:r>
          </w:p>
        </w:tc>
      </w:tr>
      <w:tr w14:paraId="25DD89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17" w:hRule="atLeast"/>
          <w:jc w:val="center"/>
        </w:trPr>
        <w:tc>
          <w:tcPr>
            <w:tcW w:w="1220" w:type="pct"/>
            <w:tcBorders>
              <w:tl2br w:val="nil"/>
              <w:tr2bl w:val="nil"/>
            </w:tcBorders>
            <w:vAlign w:val="center"/>
          </w:tcPr>
          <w:p w14:paraId="27C864FB">
            <w:pPr>
              <w:spacing w:line="240" w:lineRule="auto"/>
              <w:jc w:val="center"/>
              <w:textAlignment w:val="top"/>
              <w:rPr>
                <w:rFonts w:hint="eastAsia" w:ascii="宋体" w:hAnsi="宋体" w:cs="宋体"/>
                <w:sz w:val="18"/>
                <w:szCs w:val="18"/>
                <w:highlight w:val="none"/>
                <w:lang w:bidi="ar"/>
              </w:rPr>
            </w:pPr>
            <w:r>
              <w:rPr>
                <w:rFonts w:hint="eastAsia" w:ascii="宋体" w:hAnsi="宋体" w:cs="宋体"/>
                <w:sz w:val="18"/>
                <w:szCs w:val="18"/>
                <w:highlight w:val="none"/>
                <w:lang w:bidi="ar"/>
              </w:rPr>
              <w:t>＞2.5 mm</w:t>
            </w:r>
          </w:p>
        </w:tc>
        <w:tc>
          <w:tcPr>
            <w:tcW w:w="986" w:type="pct"/>
            <w:tcBorders>
              <w:tl2br w:val="nil"/>
              <w:tr2bl w:val="nil"/>
            </w:tcBorders>
            <w:noWrap/>
            <w:vAlign w:val="center"/>
          </w:tcPr>
          <w:p w14:paraId="4DD6B5E4">
            <w:pPr>
              <w:spacing w:line="240" w:lineRule="auto"/>
              <w:jc w:val="center"/>
              <w:textAlignment w:val="top"/>
              <w:rPr>
                <w:rFonts w:hint="eastAsia" w:ascii="宋体" w:hAnsi="宋体" w:cs="宋体"/>
                <w:sz w:val="18"/>
                <w:szCs w:val="18"/>
                <w:highlight w:val="none"/>
                <w:lang w:bidi="ar"/>
              </w:rPr>
            </w:pPr>
            <w:r>
              <w:rPr>
                <w:rFonts w:hint="eastAsia" w:ascii="宋体" w:hAnsi="宋体" w:cs="宋体"/>
                <w:sz w:val="18"/>
                <w:szCs w:val="18"/>
                <w:highlight w:val="none"/>
                <w:lang w:bidi="ar"/>
              </w:rPr>
              <w:t>250 ℃</w:t>
            </w:r>
          </w:p>
        </w:tc>
        <w:tc>
          <w:tcPr>
            <w:tcW w:w="1637" w:type="pct"/>
            <w:tcBorders>
              <w:tl2br w:val="nil"/>
              <w:tr2bl w:val="nil"/>
            </w:tcBorders>
            <w:noWrap/>
            <w:vAlign w:val="center"/>
          </w:tcPr>
          <w:p w14:paraId="410CDB52">
            <w:pPr>
              <w:spacing w:line="240" w:lineRule="auto"/>
              <w:jc w:val="center"/>
              <w:textAlignment w:val="top"/>
              <w:rPr>
                <w:rFonts w:hint="eastAsia" w:ascii="宋体" w:hAnsi="宋体" w:cs="宋体"/>
                <w:sz w:val="18"/>
                <w:szCs w:val="18"/>
                <w:highlight w:val="none"/>
                <w:lang w:bidi="ar"/>
              </w:rPr>
            </w:pPr>
            <w:r>
              <w:rPr>
                <w:rFonts w:hint="eastAsia" w:ascii="宋体" w:hAnsi="宋体" w:cs="宋体"/>
                <w:sz w:val="18"/>
                <w:szCs w:val="18"/>
                <w:highlight w:val="none"/>
                <w:lang w:bidi="ar"/>
              </w:rPr>
              <w:t>245 ℃</w:t>
            </w:r>
          </w:p>
        </w:tc>
        <w:tc>
          <w:tcPr>
            <w:tcW w:w="1155" w:type="pct"/>
            <w:tcBorders>
              <w:tl2br w:val="nil"/>
              <w:tr2bl w:val="nil"/>
            </w:tcBorders>
            <w:noWrap/>
            <w:vAlign w:val="center"/>
          </w:tcPr>
          <w:p w14:paraId="2546BD6B">
            <w:pPr>
              <w:spacing w:line="240" w:lineRule="auto"/>
              <w:jc w:val="center"/>
              <w:textAlignment w:val="top"/>
              <w:rPr>
                <w:rFonts w:hint="eastAsia" w:ascii="宋体" w:hAnsi="宋体" w:cs="宋体"/>
                <w:sz w:val="18"/>
                <w:szCs w:val="18"/>
                <w:highlight w:val="none"/>
                <w:lang w:bidi="ar"/>
              </w:rPr>
            </w:pPr>
            <w:r>
              <w:rPr>
                <w:rFonts w:hint="eastAsia" w:ascii="宋体" w:hAnsi="宋体" w:cs="宋体"/>
                <w:sz w:val="18"/>
                <w:szCs w:val="18"/>
                <w:highlight w:val="none"/>
                <w:lang w:bidi="ar"/>
              </w:rPr>
              <w:t>245 ℃</w:t>
            </w:r>
          </w:p>
        </w:tc>
      </w:tr>
      <w:tr w14:paraId="6DBC9D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0" w:hRule="atLeast"/>
          <w:jc w:val="center"/>
        </w:trPr>
        <w:tc>
          <w:tcPr>
            <w:tcW w:w="5000" w:type="pct"/>
            <w:gridSpan w:val="4"/>
            <w:tcBorders>
              <w:tl2br w:val="nil"/>
              <w:tr2bl w:val="nil"/>
            </w:tcBorders>
            <w:vAlign w:val="center"/>
          </w:tcPr>
          <w:p w14:paraId="3EF23A8A">
            <w:pPr>
              <w:autoSpaceDE w:val="0"/>
              <w:autoSpaceDN w:val="0"/>
              <w:ind w:left="737" w:hanging="374"/>
              <w:rPr>
                <w:rFonts w:hint="eastAsia" w:ascii="宋体" w:hAnsi="宋体" w:cs="宋体"/>
                <w:sz w:val="18"/>
                <w:szCs w:val="18"/>
                <w:highlight w:val="none"/>
                <w:lang w:bidi="ar"/>
              </w:rPr>
            </w:pPr>
            <w:r>
              <w:rPr>
                <w:rFonts w:hint="eastAsia" w:ascii="黑体" w:hAnsi="黑体" w:eastAsia="黑体" w:cs="黑体"/>
                <w:sz w:val="18"/>
                <w:szCs w:val="18"/>
                <w:highlight w:val="none"/>
                <w:lang w:bidi="ar"/>
              </w:rPr>
              <w:t>注</w:t>
            </w:r>
            <w:r>
              <w:rPr>
                <w:rFonts w:hint="eastAsia" w:ascii="宋体" w:hAnsi="宋体" w:cs="宋体"/>
                <w:sz w:val="18"/>
                <w:szCs w:val="18"/>
                <w:highlight w:val="none"/>
                <w:lang w:bidi="ar"/>
              </w:rPr>
              <w:t>：V表示体积，体积包括封装体的外部尺寸,不包括外部端子和/或非一体式散热片。</w:t>
            </w:r>
          </w:p>
        </w:tc>
      </w:tr>
    </w:tbl>
    <w:p w14:paraId="78041046">
      <w:pPr>
        <w:widowControl/>
        <w:numPr>
          <w:ilvl w:val="2"/>
          <w:numId w:val="0"/>
        </w:numPr>
        <w:wordWrap w:val="0"/>
        <w:overflowPunct w:val="0"/>
        <w:autoSpaceDE w:val="0"/>
        <w:autoSpaceDN w:val="0"/>
        <w:spacing w:before="120" w:beforeLines="50" w:after="120" w:afterLines="50" w:line="240" w:lineRule="auto"/>
        <w:textAlignment w:val="baseline"/>
        <w:outlineLvl w:val="3"/>
        <w:rPr>
          <w:rFonts w:ascii="黑体" w:hAnsi="Times New Roman" w:eastAsia="黑体"/>
          <w:kern w:val="21"/>
          <w:highlight w:val="none"/>
        </w:rPr>
      </w:pPr>
      <w:bookmarkStart w:id="74" w:name="_Hlk174626218"/>
      <w:r>
        <w:rPr>
          <w:rFonts w:hint="eastAsia" w:ascii="黑体" w:hAnsi="Times New Roman" w:eastAsia="黑体"/>
          <w:kern w:val="21"/>
          <w:highlight w:val="none"/>
        </w:rPr>
        <w:t>6.3.2.2  稳态温湿度偏置寿命试验</w:t>
      </w:r>
      <w:bookmarkEnd w:id="74"/>
    </w:p>
    <w:p w14:paraId="4EF132A8">
      <w:pPr>
        <w:autoSpaceDE w:val="0"/>
        <w:autoSpaceDN w:val="0"/>
        <w:spacing w:line="240" w:lineRule="auto"/>
        <w:ind w:firstLine="420" w:firstLineChars="200"/>
        <w:rPr>
          <w:rFonts w:hint="eastAsia" w:ascii="宋体" w:hAnsi="宋体" w:cs="宋体"/>
          <w:highlight w:val="none"/>
        </w:rPr>
      </w:pPr>
      <w:r>
        <w:rPr>
          <w:rFonts w:hint="eastAsia" w:ascii="宋体" w:hAnsi="Times New Roman"/>
          <w:highlight w:val="none"/>
        </w:rPr>
        <w:t>对于表面贴装器件，试验前应先按照6.3.2.1进行预处理试验。</w:t>
      </w:r>
      <w:r>
        <w:rPr>
          <w:rFonts w:hint="eastAsia" w:ascii="宋体" w:hAnsi="宋体" w:cs="宋体"/>
          <w:highlight w:val="none"/>
        </w:rPr>
        <w:t>按照表18的条件进行试验</w:t>
      </w:r>
      <w:r>
        <w:rPr>
          <w:rFonts w:hint="eastAsia" w:ascii="宋体" w:hAnsi="Times New Roman"/>
          <w:highlight w:val="none"/>
        </w:rPr>
        <w:t>，按照G</w:t>
      </w:r>
      <w:r>
        <w:rPr>
          <w:rFonts w:ascii="宋体" w:hAnsi="Times New Roman"/>
          <w:highlight w:val="none"/>
        </w:rPr>
        <w:t>B/T 4937.4</w:t>
      </w:r>
      <w:r>
        <w:rPr>
          <w:rFonts w:hint="eastAsia" w:ascii="宋体" w:hAnsi="Times New Roman"/>
          <w:highlight w:val="none"/>
        </w:rPr>
        <w:t>—2</w:t>
      </w:r>
      <w:r>
        <w:rPr>
          <w:rFonts w:ascii="宋体" w:hAnsi="Times New Roman"/>
          <w:highlight w:val="none"/>
        </w:rPr>
        <w:t>012</w:t>
      </w:r>
      <w:r>
        <w:rPr>
          <w:rFonts w:hint="eastAsia" w:ascii="宋体" w:hAnsi="Times New Roman"/>
          <w:highlight w:val="none"/>
        </w:rPr>
        <w:t>中4</w:t>
      </w:r>
      <w:r>
        <w:rPr>
          <w:rFonts w:ascii="宋体" w:hAnsi="Times New Roman"/>
          <w:highlight w:val="none"/>
        </w:rPr>
        <w:t>.2</w:t>
      </w:r>
      <w:r>
        <w:rPr>
          <w:rFonts w:hint="eastAsia" w:ascii="宋体" w:hAnsi="Times New Roman"/>
          <w:highlight w:val="none"/>
        </w:rPr>
        <w:t>的偏置准则施加偏压。使用3个不连续批次的样品，每批次样品数量不应少于7</w:t>
      </w:r>
      <w:r>
        <w:rPr>
          <w:rFonts w:ascii="宋体" w:hAnsi="Times New Roman"/>
          <w:highlight w:val="none"/>
        </w:rPr>
        <w:t>7</w:t>
      </w:r>
      <w:r>
        <w:rPr>
          <w:rFonts w:hint="eastAsia" w:ascii="宋体" w:hAnsi="Times New Roman"/>
          <w:highlight w:val="none"/>
        </w:rPr>
        <w:t>片</w:t>
      </w:r>
      <w:r>
        <w:rPr>
          <w:rFonts w:hint="eastAsia" w:ascii="宋体" w:hAnsi="宋体" w:cs="宋体"/>
          <w:highlight w:val="none"/>
        </w:rPr>
        <w:t>。应在3 h内达到稳定温度和相对湿度。</w:t>
      </w:r>
    </w:p>
    <w:p w14:paraId="16314029">
      <w:pPr>
        <w:numPr>
          <w:ilvl w:val="1"/>
          <w:numId w:val="0"/>
        </w:numPr>
        <w:snapToGrid w:val="0"/>
        <w:spacing w:before="120" w:beforeLines="50" w:after="120" w:afterLines="50" w:line="240" w:lineRule="auto"/>
        <w:jc w:val="center"/>
        <w:textAlignment w:val="baseline"/>
        <w:rPr>
          <w:rFonts w:ascii="黑体" w:hAnsi="Times New Roman" w:eastAsia="黑体"/>
          <w:kern w:val="21"/>
          <w:highlight w:val="none"/>
        </w:rPr>
      </w:pPr>
      <w:r>
        <w:rPr>
          <w:rFonts w:hint="eastAsia" w:ascii="黑体" w:hAnsi="Times New Roman" w:eastAsia="黑体"/>
          <w:kern w:val="21"/>
          <w:highlight w:val="none"/>
        </w:rPr>
        <w:t>表 18  稳态温湿度偏置寿命试验条件</w:t>
      </w:r>
    </w:p>
    <w:tbl>
      <w:tblPr>
        <w:tblStyle w:val="28"/>
        <w:tblW w:w="935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2336"/>
        <w:gridCol w:w="2339"/>
        <w:gridCol w:w="2339"/>
        <w:gridCol w:w="2340"/>
      </w:tblGrid>
      <w:tr w14:paraId="0BC7FE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05" w:hRule="atLeast"/>
          <w:jc w:val="center"/>
        </w:trPr>
        <w:tc>
          <w:tcPr>
            <w:tcW w:w="1249" w:type="pct"/>
            <w:tcBorders>
              <w:tl2br w:val="nil"/>
              <w:tr2bl w:val="nil"/>
            </w:tcBorders>
            <w:vAlign w:val="center"/>
          </w:tcPr>
          <w:p w14:paraId="7A77124C">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温度</w:t>
            </w:r>
          </w:p>
          <w:p w14:paraId="4505F0A9">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w:t>
            </w:r>
          </w:p>
        </w:tc>
        <w:tc>
          <w:tcPr>
            <w:tcW w:w="1250" w:type="pct"/>
            <w:tcBorders>
              <w:tl2br w:val="nil"/>
              <w:tr2bl w:val="nil"/>
            </w:tcBorders>
            <w:vAlign w:val="center"/>
          </w:tcPr>
          <w:p w14:paraId="0FEE5166">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湿度</w:t>
            </w:r>
          </w:p>
          <w:p w14:paraId="44B56CE7">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%RH</w:t>
            </w:r>
          </w:p>
        </w:tc>
        <w:tc>
          <w:tcPr>
            <w:tcW w:w="1250" w:type="pct"/>
            <w:tcBorders>
              <w:tl2br w:val="nil"/>
              <w:tr2bl w:val="nil"/>
            </w:tcBorders>
            <w:vAlign w:val="center"/>
          </w:tcPr>
          <w:p w14:paraId="7F1FB241">
            <w:pPr>
              <w:autoSpaceDE w:val="0"/>
              <w:autoSpaceDN w:val="0"/>
              <w:jc w:val="center"/>
              <w:rPr>
                <w:rFonts w:hint="eastAsia" w:ascii="宋体" w:hAnsi="宋体" w:cs="宋体"/>
                <w:sz w:val="18"/>
                <w:szCs w:val="18"/>
                <w:highlight w:val="none"/>
                <w:vertAlign w:val="superscript"/>
              </w:rPr>
            </w:pPr>
            <w:r>
              <w:rPr>
                <w:rFonts w:hint="eastAsia" w:ascii="宋体" w:hAnsi="宋体" w:cs="宋体"/>
                <w:sz w:val="18"/>
                <w:szCs w:val="18"/>
                <w:highlight w:val="none"/>
              </w:rPr>
              <w:t>气压</w:t>
            </w:r>
            <w:r>
              <w:rPr>
                <w:rFonts w:hint="eastAsia" w:ascii="宋体" w:hAnsi="宋体" w:cs="宋体"/>
                <w:sz w:val="18"/>
                <w:szCs w:val="18"/>
                <w:highlight w:val="none"/>
                <w:vertAlign w:val="superscript"/>
              </w:rPr>
              <w:t>a</w:t>
            </w:r>
          </w:p>
          <w:p w14:paraId="7E066DBB">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kPa</w:t>
            </w:r>
          </w:p>
        </w:tc>
        <w:tc>
          <w:tcPr>
            <w:tcW w:w="1250" w:type="pct"/>
            <w:tcBorders>
              <w:tl2br w:val="nil"/>
              <w:tr2bl w:val="nil"/>
            </w:tcBorders>
            <w:vAlign w:val="center"/>
          </w:tcPr>
          <w:p w14:paraId="57ACA488">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时间</w:t>
            </w:r>
          </w:p>
          <w:p w14:paraId="1530CA27">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h</w:t>
            </w:r>
          </w:p>
        </w:tc>
      </w:tr>
      <w:tr w14:paraId="14326A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1" w:hRule="atLeast"/>
          <w:jc w:val="center"/>
        </w:trPr>
        <w:tc>
          <w:tcPr>
            <w:tcW w:w="1249" w:type="pct"/>
            <w:tcBorders>
              <w:tl2br w:val="nil"/>
              <w:tr2bl w:val="nil"/>
            </w:tcBorders>
            <w:vAlign w:val="center"/>
          </w:tcPr>
          <w:p w14:paraId="1275A7C7">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85±2</w:t>
            </w:r>
          </w:p>
        </w:tc>
        <w:tc>
          <w:tcPr>
            <w:tcW w:w="1250" w:type="pct"/>
            <w:tcBorders>
              <w:tl2br w:val="nil"/>
              <w:tr2bl w:val="nil"/>
            </w:tcBorders>
            <w:vAlign w:val="center"/>
          </w:tcPr>
          <w:p w14:paraId="46B2320B">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85±5</w:t>
            </w:r>
          </w:p>
        </w:tc>
        <w:tc>
          <w:tcPr>
            <w:tcW w:w="1250" w:type="pct"/>
            <w:tcBorders>
              <w:tl2br w:val="nil"/>
              <w:tr2bl w:val="nil"/>
            </w:tcBorders>
            <w:vAlign w:val="center"/>
          </w:tcPr>
          <w:p w14:paraId="3D36A50A">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49.1</w:t>
            </w:r>
          </w:p>
        </w:tc>
        <w:tc>
          <w:tcPr>
            <w:tcW w:w="1250" w:type="pct"/>
            <w:tcBorders>
              <w:tl2br w:val="nil"/>
              <w:tr2bl w:val="nil"/>
            </w:tcBorders>
            <w:vAlign w:val="center"/>
          </w:tcPr>
          <w:p w14:paraId="746650B0">
            <w:pPr>
              <w:autoSpaceDE w:val="0"/>
              <w:autoSpaceDN w:val="0"/>
              <w:jc w:val="center"/>
              <w:rPr>
                <w:rFonts w:hint="eastAsia" w:ascii="宋体" w:hAnsi="宋体" w:cs="宋体"/>
                <w:sz w:val="18"/>
                <w:szCs w:val="18"/>
                <w:highlight w:val="none"/>
              </w:rPr>
            </w:pPr>
            <w:r>
              <w:rPr>
                <w:rFonts w:hint="eastAsia" w:ascii="宋体" w:hAnsi="宋体" w:cs="宋体"/>
                <w:position w:val="-10"/>
                <w:sz w:val="18"/>
                <w:szCs w:val="18"/>
                <w:highlight w:val="none"/>
              </w:rPr>
              <w:object>
                <v:shape id="_x0000_i1037" o:spt="75" type="#_x0000_t75" style="height:16pt;width:35.6pt;" o:ole="t" filled="f" o:preferrelative="t" stroked="f" coordsize="21600,21600">
                  <v:path/>
                  <v:fill on="f" focussize="0,0"/>
                  <v:stroke on="f" joinstyle="miter"/>
                  <v:imagedata r:id="rId46" o:title=""/>
                  <o:lock v:ext="edit" aspectratio="t"/>
                  <w10:wrap type="none"/>
                  <w10:anchorlock/>
                </v:shape>
                <o:OLEObject Type="Embed" ProgID="Equation.KSEE3" ShapeID="_x0000_i1037" DrawAspect="Content" ObjectID="_1468075737" r:id="rId45">
                  <o:LockedField>false</o:LockedField>
                </o:OLEObject>
              </w:object>
            </w:r>
          </w:p>
        </w:tc>
      </w:tr>
      <w:tr w14:paraId="25D718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50" w:hRule="atLeast"/>
          <w:jc w:val="center"/>
        </w:trPr>
        <w:tc>
          <w:tcPr>
            <w:tcW w:w="5000" w:type="pct"/>
            <w:gridSpan w:val="4"/>
            <w:tcBorders>
              <w:tl2br w:val="nil"/>
              <w:tr2bl w:val="nil"/>
            </w:tcBorders>
            <w:vAlign w:val="center"/>
          </w:tcPr>
          <w:p w14:paraId="6D3BAFE0">
            <w:pPr>
              <w:autoSpaceDE w:val="0"/>
              <w:autoSpaceDN w:val="0"/>
              <w:ind w:firstLine="360" w:firstLineChars="200"/>
              <w:jc w:val="left"/>
              <w:rPr>
                <w:rFonts w:hint="eastAsia" w:ascii="宋体" w:hAnsi="宋体" w:cs="宋体"/>
                <w:sz w:val="18"/>
                <w:szCs w:val="18"/>
                <w:highlight w:val="none"/>
              </w:rPr>
            </w:pPr>
            <w:r>
              <w:rPr>
                <w:rFonts w:hint="eastAsia" w:ascii="宋体" w:hAnsi="宋体" w:cs="宋体"/>
                <w:sz w:val="18"/>
                <w:szCs w:val="18"/>
                <w:highlight w:val="none"/>
                <w:vertAlign w:val="superscript"/>
              </w:rPr>
              <w:t xml:space="preserve">a </w:t>
            </w:r>
            <w:r>
              <w:rPr>
                <w:rFonts w:hint="eastAsia" w:ascii="宋体" w:hAnsi="宋体" w:cs="宋体"/>
                <w:sz w:val="18"/>
                <w:szCs w:val="18"/>
                <w:highlight w:val="none"/>
              </w:rPr>
              <w:t>气压为参考试验条件。</w:t>
            </w:r>
          </w:p>
        </w:tc>
      </w:tr>
    </w:tbl>
    <w:p w14:paraId="47DA0800">
      <w:pPr>
        <w:spacing w:before="120" w:beforeLines="50" w:line="240" w:lineRule="auto"/>
        <w:ind w:firstLine="420" w:firstLineChars="200"/>
        <w:rPr>
          <w:rFonts w:ascii="宋体" w:hAnsi="Times New Roman"/>
          <w:highlight w:val="none"/>
        </w:rPr>
      </w:pPr>
      <w:r>
        <w:rPr>
          <w:rFonts w:hint="eastAsia" w:ascii="宋体" w:hAnsi="Times New Roman"/>
          <w:highlight w:val="none"/>
        </w:rPr>
        <w:t>试验前后进行外观检查，按照6.3.6.1的方法依次在室温和表5规定的最高工作温度下进行功能/电气参数检查。功能检查应在试验结束后48 h内完成。应力条件应连续施加，但中期测量期间可中断。允许试验过程中在室温下对样品进行功能/电气参数检查，中断时间不宜超过96 h。可通过将样品放置在密封的防潮袋中（非真空包装、无氮气保护且不使用干燥剂）降低样品的潮气释放速率。当样品放置于密封袋中时，可在144 h内进行功能/电气参数检查，中断时间可以延长至288 h。</w:t>
      </w:r>
    </w:p>
    <w:p w14:paraId="1271C477">
      <w:pPr>
        <w:widowControl/>
        <w:numPr>
          <w:ilvl w:val="2"/>
          <w:numId w:val="0"/>
        </w:numPr>
        <w:wordWrap w:val="0"/>
        <w:overflowPunct w:val="0"/>
        <w:autoSpaceDE w:val="0"/>
        <w:autoSpaceDN w:val="0"/>
        <w:spacing w:before="120" w:beforeLines="50" w:after="120" w:afterLines="50" w:line="240" w:lineRule="auto"/>
        <w:textAlignment w:val="baseline"/>
        <w:outlineLvl w:val="3"/>
        <w:rPr>
          <w:rFonts w:ascii="黑体" w:hAnsi="Times New Roman" w:eastAsia="黑体"/>
          <w:kern w:val="21"/>
          <w:highlight w:val="none"/>
        </w:rPr>
      </w:pPr>
      <w:bookmarkStart w:id="75" w:name="_Hlk174626234"/>
      <w:r>
        <w:rPr>
          <w:rFonts w:hint="eastAsia" w:ascii="黑体" w:hAnsi="Times New Roman" w:eastAsia="黑体"/>
          <w:kern w:val="21"/>
          <w:highlight w:val="none"/>
        </w:rPr>
        <w:t>6.3.2.3  强加速稳态湿热试验</w:t>
      </w:r>
      <w:bookmarkEnd w:id="75"/>
    </w:p>
    <w:p w14:paraId="318AC241">
      <w:pPr>
        <w:autoSpaceDE w:val="0"/>
        <w:autoSpaceDN w:val="0"/>
        <w:spacing w:line="240" w:lineRule="auto"/>
        <w:ind w:firstLine="420" w:firstLineChars="200"/>
        <w:rPr>
          <w:rFonts w:hint="eastAsia" w:ascii="宋体" w:hAnsi="宋体" w:cs="宋体"/>
          <w:highlight w:val="none"/>
        </w:rPr>
      </w:pPr>
      <w:r>
        <w:rPr>
          <w:rFonts w:hint="eastAsia" w:ascii="宋体" w:hAnsi="Times New Roman"/>
          <w:highlight w:val="none"/>
        </w:rPr>
        <w:t>对于表面贴装器件，试验前应先按照6.3.2.1进行预处理试验。按照G</w:t>
      </w:r>
      <w:r>
        <w:rPr>
          <w:rFonts w:ascii="宋体" w:hAnsi="Times New Roman"/>
          <w:highlight w:val="none"/>
        </w:rPr>
        <w:t>B/T 4937.4</w:t>
      </w:r>
      <w:r>
        <w:rPr>
          <w:rFonts w:hint="eastAsia" w:ascii="宋体" w:hAnsi="Times New Roman"/>
          <w:highlight w:val="none"/>
        </w:rPr>
        <w:t>的方法进行试验。</w:t>
      </w:r>
    </w:p>
    <w:p w14:paraId="334AF3DB">
      <w:pPr>
        <w:autoSpaceDE w:val="0"/>
        <w:autoSpaceDN w:val="0"/>
        <w:spacing w:line="240" w:lineRule="auto"/>
        <w:ind w:firstLine="420" w:firstLineChars="200"/>
        <w:rPr>
          <w:rFonts w:ascii="宋体" w:hAnsi="Times New Roman"/>
          <w:highlight w:val="none"/>
        </w:rPr>
      </w:pPr>
      <w:r>
        <w:rPr>
          <w:rFonts w:hint="eastAsia" w:ascii="宋体" w:hAnsi="Times New Roman"/>
          <w:highlight w:val="none"/>
        </w:rPr>
        <w:t>试验前后进行外观检查，按照6.3.6.1的方法依次在室温和表5规定的最高工作温度下进行功能/电气参数检查。功能检查应在样品恢复室温后48 h内完成。应力条件应连续施加，但中期测量期间可中断。允许试验过程中在室温下对样品进行功能/电气参数检查，中断时间不宜超过96 h。可通过将样品放置在密封的防潮袋中（非真空包装、无氮气保护且不使用干燥剂）降低样品的潮气释放速率。当样品放置于密封袋中时，可在144 h内完成功能检查，中断时间可以延长至288 h。</w:t>
      </w:r>
    </w:p>
    <w:p w14:paraId="5D79F3E5">
      <w:pPr>
        <w:widowControl/>
        <w:numPr>
          <w:ilvl w:val="2"/>
          <w:numId w:val="0"/>
        </w:numPr>
        <w:wordWrap w:val="0"/>
        <w:overflowPunct w:val="0"/>
        <w:autoSpaceDE w:val="0"/>
        <w:autoSpaceDN w:val="0"/>
        <w:spacing w:before="120" w:beforeLines="50" w:after="120" w:afterLines="50" w:line="240" w:lineRule="auto"/>
        <w:textAlignment w:val="baseline"/>
        <w:outlineLvl w:val="3"/>
        <w:rPr>
          <w:rFonts w:ascii="黑体" w:hAnsi="Times New Roman" w:eastAsia="黑体"/>
          <w:kern w:val="21"/>
          <w:highlight w:val="none"/>
        </w:rPr>
      </w:pPr>
      <w:r>
        <w:rPr>
          <w:rFonts w:hint="eastAsia" w:ascii="黑体" w:hAnsi="Times New Roman" w:eastAsia="黑体"/>
          <w:kern w:val="21"/>
          <w:highlight w:val="none"/>
        </w:rPr>
        <w:t>6.3.2.4  高压蒸煮试验</w:t>
      </w:r>
    </w:p>
    <w:p w14:paraId="2A8E8224">
      <w:pPr>
        <w:spacing w:line="240" w:lineRule="auto"/>
        <w:ind w:firstLine="420"/>
        <w:rPr>
          <w:highlight w:val="none"/>
        </w:rPr>
      </w:pPr>
      <w:r>
        <w:rPr>
          <w:rFonts w:hint="eastAsia" w:ascii="宋体" w:hAnsi="宋体" w:cs="宋体"/>
          <w:spacing w:val="-3"/>
          <w:highlight w:val="none"/>
        </w:rPr>
        <w:t>对于表面贴装器件，试验前应先按照</w:t>
      </w:r>
      <w:r>
        <w:rPr>
          <w:rFonts w:hint="eastAsia" w:ascii="宋体" w:hAnsi="宋体" w:cs="宋体"/>
          <w:highlight w:val="none"/>
        </w:rPr>
        <w:t>6.3.2.1</w:t>
      </w:r>
      <w:r>
        <w:rPr>
          <w:rFonts w:hint="eastAsia" w:ascii="宋体" w:hAnsi="宋体" w:cs="宋体"/>
          <w:spacing w:val="-3"/>
          <w:highlight w:val="none"/>
        </w:rPr>
        <w:t>进行预处理试验。从表</w:t>
      </w:r>
      <w:r>
        <w:rPr>
          <w:rFonts w:hint="eastAsia" w:ascii="宋体" w:hAnsi="宋体" w:cs="宋体"/>
          <w:highlight w:val="none"/>
        </w:rPr>
        <w:t>19</w:t>
      </w:r>
      <w:r>
        <w:rPr>
          <w:rFonts w:hint="eastAsia" w:ascii="宋体" w:hAnsi="宋体" w:cs="宋体"/>
          <w:spacing w:val="-3"/>
          <w:highlight w:val="none"/>
        </w:rPr>
        <w:t>中选择合适的条件进行试验， 使用3个不连续批次的样品，每批次样品数量不应少于</w:t>
      </w:r>
      <w:r>
        <w:rPr>
          <w:rFonts w:hint="eastAsia" w:ascii="宋体" w:hAnsi="宋体" w:cs="宋体"/>
          <w:highlight w:val="none"/>
        </w:rPr>
        <w:t>77</w:t>
      </w:r>
      <w:r>
        <w:rPr>
          <w:rFonts w:hint="eastAsia" w:ascii="宋体" w:hAnsi="宋体" w:cs="宋体"/>
          <w:spacing w:val="-3"/>
          <w:highlight w:val="none"/>
        </w:rPr>
        <w:t>片。应在</w:t>
      </w:r>
      <w:r>
        <w:rPr>
          <w:rFonts w:hint="eastAsia" w:ascii="宋体" w:hAnsi="宋体" w:cs="宋体"/>
          <w:highlight w:val="none"/>
        </w:rPr>
        <w:t>3 h</w:t>
      </w:r>
      <w:r>
        <w:rPr>
          <w:rFonts w:hint="eastAsia" w:ascii="宋体" w:hAnsi="宋体" w:cs="宋体"/>
          <w:spacing w:val="-3"/>
          <w:highlight w:val="none"/>
        </w:rPr>
        <w:t>内达到稳定温度和相对湿度。对于塑料封装的样品，试验温度不应高于有效玻璃化转变温度。</w:t>
      </w:r>
      <w:r>
        <w:rPr>
          <w:spacing w:val="-3"/>
          <w:highlight w:val="none"/>
        </w:rPr>
        <w:t xml:space="preserve"> </w:t>
      </w:r>
    </w:p>
    <w:p w14:paraId="382372C6">
      <w:pPr>
        <w:numPr>
          <w:ilvl w:val="1"/>
          <w:numId w:val="0"/>
        </w:numPr>
        <w:snapToGrid w:val="0"/>
        <w:spacing w:before="120" w:beforeLines="50" w:after="120" w:afterLines="50" w:line="240" w:lineRule="auto"/>
        <w:jc w:val="center"/>
        <w:textAlignment w:val="baseline"/>
        <w:rPr>
          <w:rFonts w:ascii="黑体" w:hAnsi="Times New Roman" w:eastAsia="黑体"/>
          <w:kern w:val="21"/>
          <w:highlight w:val="none"/>
        </w:rPr>
      </w:pPr>
      <w:r>
        <w:rPr>
          <w:rFonts w:hint="eastAsia" w:ascii="黑体" w:hAnsi="Times New Roman" w:eastAsia="黑体"/>
          <w:kern w:val="21"/>
          <w:highlight w:val="none"/>
        </w:rPr>
        <w:t>表 19  高压蒸煮试验条件</w:t>
      </w:r>
    </w:p>
    <w:tbl>
      <w:tblPr>
        <w:tblStyle w:val="28"/>
        <w:tblW w:w="0" w:type="auto"/>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2333"/>
        <w:gridCol w:w="2332"/>
        <w:gridCol w:w="2335"/>
        <w:gridCol w:w="2333"/>
      </w:tblGrid>
      <w:tr w14:paraId="602D688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20" w:hRule="atLeast"/>
          <w:jc w:val="center"/>
        </w:trPr>
        <w:tc>
          <w:tcPr>
            <w:tcW w:w="2333" w:type="dxa"/>
            <w:tcBorders>
              <w:tl2br w:val="nil"/>
              <w:tr2bl w:val="nil"/>
            </w:tcBorders>
            <w:vAlign w:val="center"/>
          </w:tcPr>
          <w:p w14:paraId="42F6EBA6">
            <w:pPr>
              <w:spacing w:line="240" w:lineRule="auto"/>
              <w:jc w:val="center"/>
              <w:rPr>
                <w:rFonts w:hint="eastAsia" w:ascii="宋体" w:hAnsi="宋体" w:cs="宋体"/>
                <w:sz w:val="18"/>
                <w:szCs w:val="18"/>
                <w:highlight w:val="none"/>
                <w:lang w:eastAsia="en-US"/>
              </w:rPr>
            </w:pPr>
            <w:r>
              <w:rPr>
                <w:rFonts w:hint="eastAsia" w:ascii="宋体" w:hAnsi="宋体" w:cs="宋体"/>
                <w:sz w:val="18"/>
                <w:szCs w:val="18"/>
                <w:highlight w:val="none"/>
                <w:lang w:eastAsia="en-US"/>
              </w:rPr>
              <w:t>温度</w:t>
            </w:r>
          </w:p>
          <w:p w14:paraId="15BB115B">
            <w:pPr>
              <w:spacing w:line="240" w:lineRule="auto"/>
              <w:jc w:val="center"/>
              <w:rPr>
                <w:rFonts w:hint="eastAsia" w:ascii="宋体" w:hAnsi="宋体" w:cs="宋体"/>
                <w:sz w:val="18"/>
                <w:szCs w:val="18"/>
                <w:highlight w:val="none"/>
                <w:lang w:eastAsia="en-US"/>
              </w:rPr>
            </w:pPr>
            <w:r>
              <w:rPr>
                <w:rFonts w:hint="eastAsia" w:ascii="宋体" w:hAnsi="宋体" w:cs="宋体"/>
                <w:sz w:val="18"/>
                <w:szCs w:val="18"/>
                <w:highlight w:val="none"/>
                <w:lang w:eastAsia="en-US"/>
              </w:rPr>
              <w:t>℃</w:t>
            </w:r>
          </w:p>
        </w:tc>
        <w:tc>
          <w:tcPr>
            <w:tcW w:w="2332" w:type="dxa"/>
            <w:tcBorders>
              <w:tl2br w:val="nil"/>
              <w:tr2bl w:val="nil"/>
            </w:tcBorders>
            <w:vAlign w:val="center"/>
          </w:tcPr>
          <w:p w14:paraId="44957F90">
            <w:pPr>
              <w:spacing w:line="240" w:lineRule="auto"/>
              <w:jc w:val="center"/>
              <w:rPr>
                <w:rFonts w:hint="eastAsia" w:ascii="宋体" w:hAnsi="宋体" w:cs="宋体"/>
                <w:sz w:val="18"/>
                <w:szCs w:val="18"/>
                <w:highlight w:val="none"/>
                <w:lang w:eastAsia="en-US"/>
              </w:rPr>
            </w:pPr>
            <w:r>
              <w:rPr>
                <w:rFonts w:hint="eastAsia" w:ascii="宋体" w:hAnsi="宋体" w:cs="宋体"/>
                <w:sz w:val="18"/>
                <w:szCs w:val="18"/>
                <w:highlight w:val="none"/>
                <w:lang w:eastAsia="en-US"/>
              </w:rPr>
              <w:t>相对湿度</w:t>
            </w:r>
          </w:p>
          <w:p w14:paraId="364B974C">
            <w:pPr>
              <w:spacing w:line="240" w:lineRule="auto"/>
              <w:jc w:val="center"/>
              <w:rPr>
                <w:rFonts w:hint="eastAsia" w:ascii="宋体" w:hAnsi="宋体" w:cs="宋体"/>
                <w:sz w:val="18"/>
                <w:szCs w:val="18"/>
                <w:highlight w:val="none"/>
                <w:lang w:eastAsia="en-US"/>
              </w:rPr>
            </w:pPr>
            <w:r>
              <w:rPr>
                <w:rFonts w:hint="eastAsia" w:ascii="宋体" w:hAnsi="宋体" w:cs="宋体"/>
                <w:sz w:val="18"/>
                <w:szCs w:val="18"/>
                <w:highlight w:val="none"/>
                <w:lang w:eastAsia="en-US"/>
              </w:rPr>
              <w:t>%RH</w:t>
            </w:r>
          </w:p>
        </w:tc>
        <w:tc>
          <w:tcPr>
            <w:tcW w:w="2335" w:type="dxa"/>
            <w:tcBorders>
              <w:tl2br w:val="nil"/>
              <w:tr2bl w:val="nil"/>
            </w:tcBorders>
            <w:vAlign w:val="center"/>
          </w:tcPr>
          <w:p w14:paraId="0CF80C3D">
            <w:pPr>
              <w:spacing w:line="240" w:lineRule="auto"/>
              <w:jc w:val="center"/>
              <w:rPr>
                <w:rFonts w:hint="eastAsia" w:ascii="宋体" w:hAnsi="宋体" w:cs="宋体"/>
                <w:sz w:val="18"/>
                <w:szCs w:val="18"/>
                <w:highlight w:val="none"/>
                <w:lang w:eastAsia="en-US"/>
              </w:rPr>
            </w:pPr>
            <w:r>
              <w:rPr>
                <w:rFonts w:hint="eastAsia" w:ascii="宋体" w:hAnsi="宋体" w:cs="宋体"/>
                <w:sz w:val="18"/>
                <w:szCs w:val="18"/>
                <w:highlight w:val="none"/>
                <w:lang w:eastAsia="en-US"/>
              </w:rPr>
              <w:t>蒸汽压力</w:t>
            </w:r>
          </w:p>
          <w:p w14:paraId="22FA3A88">
            <w:pPr>
              <w:spacing w:line="240" w:lineRule="auto"/>
              <w:jc w:val="center"/>
              <w:rPr>
                <w:rFonts w:hint="eastAsia" w:ascii="宋体" w:hAnsi="宋体" w:cs="宋体"/>
                <w:sz w:val="18"/>
                <w:szCs w:val="18"/>
                <w:highlight w:val="none"/>
                <w:lang w:eastAsia="en-US"/>
              </w:rPr>
            </w:pPr>
            <w:r>
              <w:rPr>
                <w:rFonts w:hint="eastAsia" w:ascii="宋体" w:hAnsi="宋体" w:cs="宋体"/>
                <w:sz w:val="18"/>
                <w:szCs w:val="18"/>
                <w:highlight w:val="none"/>
                <w:lang w:eastAsia="en-US"/>
              </w:rPr>
              <w:t>kPa</w:t>
            </w:r>
          </w:p>
        </w:tc>
        <w:tc>
          <w:tcPr>
            <w:tcW w:w="2333" w:type="dxa"/>
            <w:tcBorders>
              <w:tl2br w:val="nil"/>
              <w:tr2bl w:val="nil"/>
            </w:tcBorders>
            <w:vAlign w:val="center"/>
          </w:tcPr>
          <w:p w14:paraId="74A439FC">
            <w:pPr>
              <w:spacing w:line="240" w:lineRule="auto"/>
              <w:jc w:val="center"/>
              <w:rPr>
                <w:rFonts w:hint="eastAsia" w:ascii="宋体" w:hAnsi="宋体" w:cs="宋体"/>
                <w:sz w:val="18"/>
                <w:szCs w:val="18"/>
                <w:highlight w:val="none"/>
                <w:lang w:eastAsia="en-US"/>
              </w:rPr>
            </w:pPr>
            <w:r>
              <w:rPr>
                <w:rFonts w:hint="eastAsia" w:ascii="宋体" w:hAnsi="宋体" w:cs="宋体"/>
                <w:sz w:val="18"/>
                <w:szCs w:val="18"/>
                <w:highlight w:val="none"/>
                <w:lang w:eastAsia="en-US"/>
              </w:rPr>
              <w:t>时间</w:t>
            </w:r>
          </w:p>
          <w:p w14:paraId="5B517CCB">
            <w:pPr>
              <w:spacing w:line="240" w:lineRule="auto"/>
              <w:jc w:val="center"/>
              <w:rPr>
                <w:rFonts w:hint="eastAsia" w:ascii="宋体" w:hAnsi="宋体" w:cs="宋体"/>
                <w:sz w:val="18"/>
                <w:szCs w:val="18"/>
                <w:highlight w:val="none"/>
                <w:lang w:eastAsia="en-US"/>
              </w:rPr>
            </w:pPr>
            <w:r>
              <w:rPr>
                <w:rFonts w:hint="eastAsia" w:ascii="宋体" w:hAnsi="宋体" w:cs="宋体"/>
                <w:sz w:val="18"/>
                <w:szCs w:val="18"/>
                <w:highlight w:val="none"/>
                <w:lang w:eastAsia="en-US"/>
              </w:rPr>
              <w:t>h</w:t>
            </w:r>
          </w:p>
        </w:tc>
      </w:tr>
      <w:tr w14:paraId="43705DF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58" w:hRule="atLeast"/>
          <w:jc w:val="center"/>
        </w:trPr>
        <w:tc>
          <w:tcPr>
            <w:tcW w:w="2333" w:type="dxa"/>
            <w:tcBorders>
              <w:tl2br w:val="nil"/>
              <w:tr2bl w:val="nil"/>
            </w:tcBorders>
            <w:vAlign w:val="center"/>
          </w:tcPr>
          <w:p w14:paraId="490F5197">
            <w:pPr>
              <w:adjustRightInd/>
              <w:spacing w:line="240" w:lineRule="auto"/>
              <w:jc w:val="center"/>
              <w:rPr>
                <w:rFonts w:hint="eastAsia" w:ascii="宋体" w:hAnsi="宋体" w:cs="宋体"/>
                <w:sz w:val="18"/>
                <w:szCs w:val="18"/>
                <w:highlight w:val="none"/>
                <w:lang w:eastAsia="en-US"/>
              </w:rPr>
            </w:pPr>
            <w:r>
              <w:rPr>
                <w:rFonts w:hint="eastAsia" w:ascii="宋体" w:hAnsi="宋体" w:cs="宋体"/>
                <w:sz w:val="18"/>
                <w:szCs w:val="18"/>
                <w:highlight w:val="none"/>
                <w:lang w:eastAsia="en-US"/>
              </w:rPr>
              <w:t>121±2</w:t>
            </w:r>
          </w:p>
        </w:tc>
        <w:tc>
          <w:tcPr>
            <w:tcW w:w="2332" w:type="dxa"/>
            <w:tcBorders>
              <w:tl2br w:val="nil"/>
              <w:tr2bl w:val="nil"/>
            </w:tcBorders>
            <w:vAlign w:val="center"/>
          </w:tcPr>
          <w:p w14:paraId="6BB9EC30">
            <w:pPr>
              <w:adjustRightInd/>
              <w:spacing w:line="240" w:lineRule="auto"/>
              <w:jc w:val="center"/>
              <w:rPr>
                <w:rFonts w:hint="eastAsia" w:ascii="宋体" w:hAnsi="宋体" w:cs="宋体"/>
                <w:sz w:val="18"/>
                <w:szCs w:val="18"/>
                <w:highlight w:val="none"/>
                <w:lang w:eastAsia="en-US"/>
              </w:rPr>
            </w:pPr>
            <w:r>
              <w:rPr>
                <w:rFonts w:hint="eastAsia" w:ascii="宋体" w:hAnsi="宋体" w:cs="宋体"/>
                <w:sz w:val="18"/>
                <w:szCs w:val="18"/>
                <w:highlight w:val="none"/>
                <w:lang w:eastAsia="en-US"/>
              </w:rPr>
              <w:t>100</w:t>
            </w:r>
          </w:p>
        </w:tc>
        <w:tc>
          <w:tcPr>
            <w:tcW w:w="2335" w:type="dxa"/>
            <w:tcBorders>
              <w:tl2br w:val="nil"/>
              <w:tr2bl w:val="nil"/>
            </w:tcBorders>
            <w:vAlign w:val="center"/>
          </w:tcPr>
          <w:p w14:paraId="56A6E193">
            <w:pPr>
              <w:adjustRightInd/>
              <w:spacing w:line="240" w:lineRule="auto"/>
              <w:jc w:val="center"/>
              <w:rPr>
                <w:rFonts w:hint="eastAsia" w:ascii="宋体" w:hAnsi="宋体" w:cs="宋体"/>
                <w:sz w:val="18"/>
                <w:szCs w:val="18"/>
                <w:highlight w:val="none"/>
                <w:lang w:eastAsia="en-US"/>
              </w:rPr>
            </w:pPr>
            <w:r>
              <w:rPr>
                <w:rFonts w:hint="eastAsia" w:ascii="宋体" w:hAnsi="宋体" w:cs="宋体"/>
                <w:sz w:val="18"/>
                <w:szCs w:val="18"/>
                <w:highlight w:val="none"/>
                <w:lang w:eastAsia="en-US"/>
              </w:rPr>
              <w:t>103.42</w:t>
            </w:r>
          </w:p>
        </w:tc>
        <w:tc>
          <w:tcPr>
            <w:tcW w:w="2333" w:type="dxa"/>
            <w:tcBorders>
              <w:tl2br w:val="nil"/>
              <w:tr2bl w:val="nil"/>
            </w:tcBorders>
            <w:vAlign w:val="center"/>
          </w:tcPr>
          <w:p w14:paraId="5B28B338">
            <w:pPr>
              <w:adjustRightInd/>
              <w:spacing w:line="240" w:lineRule="auto"/>
              <w:jc w:val="center"/>
              <w:rPr>
                <w:highlight w:val="none"/>
              </w:rPr>
            </w:pPr>
            <w:r>
              <w:rPr>
                <w:rFonts w:hint="eastAsia"/>
                <w:position w:val="-10"/>
                <w:highlight w:val="none"/>
              </w:rPr>
              <w:object>
                <v:shape id="_x0000_i1038" o:spt="75" type="#_x0000_t75" style="height:17.2pt;width:22pt;" o:ole="t" filled="f" o:preferrelative="t" stroked="f" coordsize="21600,21600">
                  <v:path/>
                  <v:fill on="f" focussize="0,0"/>
                  <v:stroke on="f" joinstyle="miter"/>
                  <v:imagedata r:id="rId48" o:title=""/>
                  <o:lock v:ext="edit" aspectratio="t"/>
                  <w10:wrap type="none"/>
                  <w10:anchorlock/>
                </v:shape>
                <o:OLEObject Type="Embed" ProgID="Equation.KSEE3" ShapeID="_x0000_i1038" DrawAspect="Content" ObjectID="_1468075738" r:id="rId47">
                  <o:LockedField>false</o:LockedField>
                </o:OLEObject>
              </w:object>
            </w:r>
          </w:p>
        </w:tc>
      </w:tr>
    </w:tbl>
    <w:p w14:paraId="48D262F0">
      <w:pPr>
        <w:spacing w:before="120" w:beforeLines="50" w:line="240" w:lineRule="auto"/>
        <w:ind w:firstLine="420"/>
        <w:rPr>
          <w:rFonts w:hint="eastAsia" w:ascii="黑体" w:hAnsi="黑体" w:eastAsia="黑体"/>
          <w:kern w:val="21"/>
          <w:szCs w:val="24"/>
          <w:highlight w:val="none"/>
        </w:rPr>
      </w:pPr>
      <w:r>
        <w:rPr>
          <w:rFonts w:hint="eastAsia" w:ascii="宋体" w:hAnsi="宋体" w:cs="宋体"/>
          <w:spacing w:val="-3"/>
          <w:highlight w:val="none"/>
        </w:rPr>
        <w:t>试验前后进行外观检查，按照</w:t>
      </w:r>
      <w:r>
        <w:rPr>
          <w:rFonts w:hint="eastAsia" w:ascii="宋体" w:hAnsi="宋体" w:cs="宋体"/>
          <w:highlight w:val="none"/>
        </w:rPr>
        <w:t>6.3.6.1</w:t>
      </w:r>
      <w:r>
        <w:rPr>
          <w:rFonts w:hint="eastAsia"/>
          <w:highlight w:val="none"/>
        </w:rPr>
        <w:t>的</w:t>
      </w:r>
      <w:r>
        <w:rPr>
          <w:rFonts w:hint="eastAsia" w:ascii="宋体" w:hAnsi="宋体" w:cs="宋体"/>
          <w:spacing w:val="-3"/>
          <w:highlight w:val="none"/>
        </w:rPr>
        <w:t>方法在室温下进行功能/</w:t>
      </w:r>
      <w:r>
        <w:rPr>
          <w:rFonts w:hint="eastAsia"/>
          <w:highlight w:val="none"/>
        </w:rPr>
        <w:t>电气参数</w:t>
      </w:r>
      <w:r>
        <w:rPr>
          <w:rFonts w:hint="eastAsia" w:ascii="宋体" w:hAnsi="宋体" w:cs="宋体"/>
          <w:spacing w:val="-3"/>
          <w:highlight w:val="none"/>
        </w:rPr>
        <w:t>检查。功能检查应在试验结束后2 h至48 h时间内完成。应力条件应连续施加，但中期测量期间可中断。允许在试验过程中对样品进行功能/</w:t>
      </w:r>
      <w:r>
        <w:rPr>
          <w:rFonts w:hint="eastAsia"/>
          <w:highlight w:val="none"/>
        </w:rPr>
        <w:t>电气参数</w:t>
      </w:r>
      <w:r>
        <w:rPr>
          <w:rFonts w:hint="eastAsia" w:ascii="宋体" w:hAnsi="宋体" w:cs="宋体"/>
          <w:spacing w:val="-3"/>
          <w:highlight w:val="none"/>
        </w:rPr>
        <w:t>检查，中断时间不宜超过96 h。可通过将样品放置在密封的防潮袋中（非真空包装、无氮气保护且不使用干燥剂）降低样品的潮气释放速率。当样品放置于密封袋中时，可在144 h内进行功能</w:t>
      </w:r>
      <w:r>
        <w:rPr>
          <w:rFonts w:hint="eastAsia" w:ascii="宋体" w:hAnsi="宋体" w:cs="宋体"/>
          <w:highlight w:val="none"/>
        </w:rPr>
        <w:t>/</w:t>
      </w:r>
      <w:r>
        <w:rPr>
          <w:rFonts w:hint="eastAsia"/>
          <w:highlight w:val="none"/>
        </w:rPr>
        <w:t>电气参数</w:t>
      </w:r>
      <w:r>
        <w:rPr>
          <w:highlight w:val="none"/>
        </w:rPr>
        <w:t>检查，中断时间可以延长至</w:t>
      </w:r>
      <w:r>
        <w:rPr>
          <w:rFonts w:hint="eastAsia" w:ascii="宋体" w:hAnsi="宋体" w:cs="宋体"/>
          <w:highlight w:val="none"/>
        </w:rPr>
        <w:t>288 h</w:t>
      </w:r>
      <w:r>
        <w:rPr>
          <w:highlight w:val="none"/>
        </w:rPr>
        <w:t>。</w:t>
      </w:r>
    </w:p>
    <w:p w14:paraId="4A2A7B96">
      <w:pPr>
        <w:widowControl/>
        <w:numPr>
          <w:ilvl w:val="2"/>
          <w:numId w:val="0"/>
        </w:numPr>
        <w:wordWrap w:val="0"/>
        <w:overflowPunct w:val="0"/>
        <w:autoSpaceDE w:val="0"/>
        <w:autoSpaceDN w:val="0"/>
        <w:spacing w:before="120" w:beforeLines="50" w:after="120" w:afterLines="50" w:line="240" w:lineRule="auto"/>
        <w:textAlignment w:val="baseline"/>
        <w:outlineLvl w:val="3"/>
        <w:rPr>
          <w:rFonts w:ascii="黑体" w:hAnsi="Times New Roman" w:eastAsia="黑体"/>
          <w:kern w:val="21"/>
          <w:highlight w:val="none"/>
        </w:rPr>
      </w:pPr>
      <w:bookmarkStart w:id="76" w:name="_Hlk174626283"/>
      <w:r>
        <w:rPr>
          <w:rFonts w:hint="eastAsia" w:ascii="黑体" w:hAnsi="Times New Roman" w:eastAsia="黑体"/>
          <w:kern w:val="21"/>
          <w:highlight w:val="none"/>
        </w:rPr>
        <w:t>6.3.2.5  加速耐湿无偏置强加速应力试验</w:t>
      </w:r>
      <w:bookmarkEnd w:id="76"/>
    </w:p>
    <w:p w14:paraId="5AD400A2">
      <w:pPr>
        <w:autoSpaceDE w:val="0"/>
        <w:autoSpaceDN w:val="0"/>
        <w:spacing w:line="240" w:lineRule="auto"/>
        <w:ind w:firstLine="420" w:firstLineChars="200"/>
        <w:rPr>
          <w:rFonts w:ascii="宋体" w:hAnsi="Times New Roman"/>
          <w:highlight w:val="none"/>
        </w:rPr>
      </w:pPr>
      <w:r>
        <w:rPr>
          <w:rFonts w:hint="eastAsia" w:ascii="宋体" w:hAnsi="Times New Roman"/>
          <w:highlight w:val="none"/>
        </w:rPr>
        <w:t>对于表面贴装器件，试验前应先按照</w:t>
      </w:r>
      <w:r>
        <w:rPr>
          <w:rFonts w:ascii="宋体" w:hAnsi="宋体" w:cs="宋体"/>
          <w:highlight w:val="none"/>
        </w:rPr>
        <w:t>6.</w:t>
      </w:r>
      <w:r>
        <w:rPr>
          <w:rFonts w:hint="eastAsia" w:ascii="宋体" w:hAnsi="宋体" w:cs="宋体"/>
          <w:highlight w:val="none"/>
        </w:rPr>
        <w:t>3</w:t>
      </w:r>
      <w:r>
        <w:rPr>
          <w:rFonts w:ascii="宋体" w:hAnsi="宋体" w:cs="宋体"/>
          <w:highlight w:val="none"/>
        </w:rPr>
        <w:t>.2.1</w:t>
      </w:r>
      <w:r>
        <w:rPr>
          <w:rFonts w:hint="eastAsia" w:ascii="宋体" w:hAnsi="Times New Roman"/>
          <w:highlight w:val="none"/>
        </w:rPr>
        <w:t>进行预处理</w:t>
      </w:r>
      <w:r>
        <w:rPr>
          <w:rFonts w:ascii="宋体" w:hAnsi="Times New Roman"/>
          <w:highlight w:val="none"/>
        </w:rPr>
        <w:t>试验。</w:t>
      </w:r>
      <w:r>
        <w:rPr>
          <w:rFonts w:hint="eastAsia" w:ascii="宋体" w:hAnsi="Times New Roman"/>
          <w:highlight w:val="none"/>
        </w:rPr>
        <w:t>从表20中选择合适的条件进行试验，使用3个不连续批次的样品，每批次样品数量不应少于7</w:t>
      </w:r>
      <w:r>
        <w:rPr>
          <w:rFonts w:ascii="宋体" w:hAnsi="Times New Roman"/>
          <w:highlight w:val="none"/>
        </w:rPr>
        <w:t>7</w:t>
      </w:r>
      <w:r>
        <w:rPr>
          <w:rFonts w:hint="eastAsia" w:ascii="宋体" w:hAnsi="Times New Roman"/>
          <w:highlight w:val="none"/>
        </w:rPr>
        <w:t>片。应在3 h内达到稳定温度和相对湿度。对于塑料封装的样品，试验温度不应高于有效玻璃化转变温度。</w:t>
      </w:r>
    </w:p>
    <w:p w14:paraId="12292A36">
      <w:pPr>
        <w:numPr>
          <w:ilvl w:val="1"/>
          <w:numId w:val="0"/>
        </w:numPr>
        <w:snapToGrid w:val="0"/>
        <w:spacing w:before="120" w:beforeLines="50" w:after="120" w:afterLines="50" w:line="240" w:lineRule="auto"/>
        <w:jc w:val="center"/>
        <w:textAlignment w:val="baseline"/>
        <w:rPr>
          <w:rFonts w:ascii="黑体" w:hAnsi="Times New Roman" w:eastAsia="黑体"/>
          <w:color w:val="0000FF"/>
          <w:kern w:val="21"/>
          <w:highlight w:val="none"/>
        </w:rPr>
      </w:pPr>
      <w:r>
        <w:rPr>
          <w:rFonts w:hint="eastAsia" w:ascii="黑体" w:hAnsi="Times New Roman" w:eastAsia="黑体"/>
          <w:kern w:val="21"/>
          <w:highlight w:val="none"/>
        </w:rPr>
        <w:t>表 20  加速耐湿无偏置强加速应力试验条件</w:t>
      </w:r>
    </w:p>
    <w:tbl>
      <w:tblPr>
        <w:tblStyle w:val="28"/>
        <w:tblW w:w="9359"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1866"/>
        <w:gridCol w:w="1872"/>
        <w:gridCol w:w="1872"/>
        <w:gridCol w:w="1872"/>
        <w:gridCol w:w="1877"/>
      </w:tblGrid>
      <w:tr w14:paraId="004FD49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6" w:hRule="atLeast"/>
          <w:jc w:val="center"/>
        </w:trPr>
        <w:tc>
          <w:tcPr>
            <w:tcW w:w="997" w:type="pct"/>
            <w:tcBorders>
              <w:tl2br w:val="nil"/>
              <w:tr2bl w:val="nil"/>
            </w:tcBorders>
            <w:vAlign w:val="center"/>
          </w:tcPr>
          <w:p w14:paraId="5045078C">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试验条件</w:t>
            </w:r>
          </w:p>
        </w:tc>
        <w:tc>
          <w:tcPr>
            <w:tcW w:w="1000" w:type="pct"/>
            <w:tcBorders>
              <w:tl2br w:val="nil"/>
              <w:tr2bl w:val="nil"/>
            </w:tcBorders>
            <w:vAlign w:val="center"/>
          </w:tcPr>
          <w:p w14:paraId="033F6CF7">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温度</w:t>
            </w:r>
          </w:p>
          <w:p w14:paraId="3343F0CF">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w:t>
            </w:r>
          </w:p>
        </w:tc>
        <w:tc>
          <w:tcPr>
            <w:tcW w:w="1000" w:type="pct"/>
            <w:tcBorders>
              <w:tl2br w:val="nil"/>
              <w:tr2bl w:val="nil"/>
            </w:tcBorders>
            <w:vAlign w:val="center"/>
          </w:tcPr>
          <w:p w14:paraId="507A0E11">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相对湿度</w:t>
            </w:r>
          </w:p>
          <w:p w14:paraId="757A7CFC">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%RH</w:t>
            </w:r>
          </w:p>
        </w:tc>
        <w:tc>
          <w:tcPr>
            <w:tcW w:w="1000" w:type="pct"/>
            <w:tcBorders>
              <w:tl2br w:val="nil"/>
              <w:tr2bl w:val="nil"/>
            </w:tcBorders>
            <w:vAlign w:val="center"/>
          </w:tcPr>
          <w:p w14:paraId="7719D571">
            <w:pPr>
              <w:autoSpaceDE w:val="0"/>
              <w:autoSpaceDN w:val="0"/>
              <w:jc w:val="center"/>
              <w:rPr>
                <w:rFonts w:hint="eastAsia" w:ascii="宋体" w:hAnsi="宋体" w:cs="宋体"/>
                <w:sz w:val="18"/>
                <w:szCs w:val="18"/>
                <w:highlight w:val="none"/>
                <w:vertAlign w:val="superscript"/>
              </w:rPr>
            </w:pPr>
            <w:r>
              <w:rPr>
                <w:rFonts w:hint="eastAsia" w:ascii="宋体" w:hAnsi="宋体" w:cs="宋体"/>
                <w:sz w:val="18"/>
                <w:szCs w:val="18"/>
                <w:highlight w:val="none"/>
              </w:rPr>
              <w:t>蒸汽压力</w:t>
            </w:r>
            <w:r>
              <w:rPr>
                <w:rFonts w:hint="eastAsia" w:ascii="宋体" w:hAnsi="宋体" w:cs="宋体"/>
                <w:sz w:val="18"/>
                <w:szCs w:val="18"/>
                <w:highlight w:val="none"/>
                <w:vertAlign w:val="superscript"/>
              </w:rPr>
              <w:t>a</w:t>
            </w:r>
          </w:p>
          <w:p w14:paraId="351E40AB">
            <w:pPr>
              <w:autoSpaceDE w:val="0"/>
              <w:autoSpaceDN w:val="0"/>
              <w:jc w:val="center"/>
              <w:rPr>
                <w:rFonts w:hint="eastAsia" w:ascii="宋体" w:hAnsi="宋体" w:cs="宋体"/>
                <w:sz w:val="18"/>
                <w:szCs w:val="18"/>
                <w:highlight w:val="none"/>
              </w:rPr>
            </w:pPr>
            <w:r>
              <w:rPr>
                <w:rFonts w:hint="eastAsia" w:ascii="宋体" w:hAnsi="宋体" w:cs="宋体"/>
                <w:iCs/>
                <w:sz w:val="18"/>
                <w:szCs w:val="18"/>
                <w:highlight w:val="none"/>
                <w:vertAlign w:val="superscript"/>
              </w:rPr>
              <w:t xml:space="preserve"> </w:t>
            </w:r>
            <w:r>
              <w:rPr>
                <w:rFonts w:hint="eastAsia" w:ascii="宋体" w:hAnsi="宋体" w:cs="宋体"/>
                <w:sz w:val="18"/>
                <w:szCs w:val="18"/>
                <w:highlight w:val="none"/>
              </w:rPr>
              <w:t>kPa</w:t>
            </w:r>
          </w:p>
        </w:tc>
        <w:tc>
          <w:tcPr>
            <w:tcW w:w="1002" w:type="pct"/>
            <w:tcBorders>
              <w:tl2br w:val="nil"/>
              <w:tr2bl w:val="nil"/>
            </w:tcBorders>
            <w:vAlign w:val="center"/>
          </w:tcPr>
          <w:p w14:paraId="64A3BA42">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时间</w:t>
            </w:r>
          </w:p>
          <w:p w14:paraId="782D6385">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h</w:t>
            </w:r>
          </w:p>
        </w:tc>
      </w:tr>
      <w:tr w14:paraId="50B3ED1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74" w:hRule="atLeast"/>
          <w:jc w:val="center"/>
        </w:trPr>
        <w:tc>
          <w:tcPr>
            <w:tcW w:w="997" w:type="pct"/>
            <w:tcBorders>
              <w:tl2br w:val="nil"/>
              <w:tr2bl w:val="nil"/>
            </w:tcBorders>
            <w:vAlign w:val="center"/>
          </w:tcPr>
          <w:p w14:paraId="119B4E4B">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1</w:t>
            </w:r>
          </w:p>
        </w:tc>
        <w:tc>
          <w:tcPr>
            <w:tcW w:w="1000" w:type="pct"/>
            <w:tcBorders>
              <w:tl2br w:val="nil"/>
              <w:tr2bl w:val="nil"/>
            </w:tcBorders>
            <w:vAlign w:val="center"/>
          </w:tcPr>
          <w:p w14:paraId="0E1757E3">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130±2</w:t>
            </w:r>
          </w:p>
        </w:tc>
        <w:tc>
          <w:tcPr>
            <w:tcW w:w="1000" w:type="pct"/>
            <w:tcBorders>
              <w:tl2br w:val="nil"/>
              <w:tr2bl w:val="nil"/>
            </w:tcBorders>
            <w:vAlign w:val="center"/>
          </w:tcPr>
          <w:p w14:paraId="309349A2">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85±5</w:t>
            </w:r>
          </w:p>
        </w:tc>
        <w:tc>
          <w:tcPr>
            <w:tcW w:w="1000" w:type="pct"/>
            <w:tcBorders>
              <w:tl2br w:val="nil"/>
              <w:tr2bl w:val="nil"/>
            </w:tcBorders>
            <w:vAlign w:val="center"/>
          </w:tcPr>
          <w:p w14:paraId="1D7C914B">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230</w:t>
            </w:r>
          </w:p>
        </w:tc>
        <w:tc>
          <w:tcPr>
            <w:tcW w:w="1002" w:type="pct"/>
            <w:tcBorders>
              <w:tl2br w:val="nil"/>
              <w:tr2bl w:val="nil"/>
            </w:tcBorders>
            <w:vAlign w:val="center"/>
          </w:tcPr>
          <w:p w14:paraId="4EDEB433">
            <w:pPr>
              <w:autoSpaceDE w:val="0"/>
              <w:autoSpaceDN w:val="0"/>
              <w:jc w:val="center"/>
              <w:rPr>
                <w:rFonts w:hint="eastAsia" w:ascii="宋体" w:hAnsi="宋体" w:cs="宋体"/>
                <w:sz w:val="18"/>
                <w:szCs w:val="18"/>
                <w:highlight w:val="none"/>
              </w:rPr>
            </w:pPr>
            <w:r>
              <w:rPr>
                <w:rFonts w:hint="eastAsia" w:ascii="宋体" w:hAnsi="宋体" w:cs="宋体"/>
                <w:position w:val="-10"/>
                <w:sz w:val="18"/>
                <w:szCs w:val="18"/>
                <w:highlight w:val="none"/>
              </w:rPr>
              <w:object>
                <v:shape id="_x0000_i1039" o:spt="75" type="#_x0000_t75" style="height:14.8pt;width:18.8pt;" o:ole="t" filled="f" o:preferrelative="t" stroked="f" coordsize="21600,21600">
                  <v:path/>
                  <v:fill on="f" focussize="0,0"/>
                  <v:stroke on="f" joinstyle="miter"/>
                  <v:imagedata r:id="rId50" o:title=""/>
                  <o:lock v:ext="edit" aspectratio="t"/>
                  <w10:wrap type="none"/>
                  <w10:anchorlock/>
                </v:shape>
                <o:OLEObject Type="Embed" ProgID="Equation.KSEE3" ShapeID="_x0000_i1039" DrawAspect="Content" ObjectID="_1468075739" r:id="rId49">
                  <o:LockedField>false</o:LockedField>
                </o:OLEObject>
              </w:object>
            </w:r>
          </w:p>
        </w:tc>
      </w:tr>
      <w:tr w14:paraId="78BDD98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7" w:hRule="atLeast"/>
          <w:jc w:val="center"/>
        </w:trPr>
        <w:tc>
          <w:tcPr>
            <w:tcW w:w="997" w:type="pct"/>
            <w:tcBorders>
              <w:tl2br w:val="nil"/>
              <w:tr2bl w:val="nil"/>
            </w:tcBorders>
            <w:vAlign w:val="center"/>
          </w:tcPr>
          <w:p w14:paraId="219B0F54">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2</w:t>
            </w:r>
          </w:p>
        </w:tc>
        <w:tc>
          <w:tcPr>
            <w:tcW w:w="1000" w:type="pct"/>
            <w:tcBorders>
              <w:tl2br w:val="nil"/>
              <w:tr2bl w:val="nil"/>
            </w:tcBorders>
            <w:vAlign w:val="center"/>
          </w:tcPr>
          <w:p w14:paraId="54A7D50B">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110±2</w:t>
            </w:r>
          </w:p>
        </w:tc>
        <w:tc>
          <w:tcPr>
            <w:tcW w:w="1000" w:type="pct"/>
            <w:tcBorders>
              <w:tl2br w:val="nil"/>
              <w:tr2bl w:val="nil"/>
            </w:tcBorders>
            <w:vAlign w:val="center"/>
          </w:tcPr>
          <w:p w14:paraId="45A4E46F">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85±5</w:t>
            </w:r>
          </w:p>
        </w:tc>
        <w:tc>
          <w:tcPr>
            <w:tcW w:w="1000" w:type="pct"/>
            <w:tcBorders>
              <w:tl2br w:val="nil"/>
              <w:tr2bl w:val="nil"/>
            </w:tcBorders>
            <w:vAlign w:val="center"/>
          </w:tcPr>
          <w:p w14:paraId="61DC3D34">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122</w:t>
            </w:r>
          </w:p>
        </w:tc>
        <w:tc>
          <w:tcPr>
            <w:tcW w:w="1002" w:type="pct"/>
            <w:tcBorders>
              <w:tl2br w:val="nil"/>
              <w:tr2bl w:val="nil"/>
            </w:tcBorders>
            <w:vAlign w:val="center"/>
          </w:tcPr>
          <w:p w14:paraId="5924EDA6">
            <w:pPr>
              <w:autoSpaceDE w:val="0"/>
              <w:autoSpaceDN w:val="0"/>
              <w:jc w:val="center"/>
              <w:rPr>
                <w:rFonts w:hint="eastAsia" w:ascii="宋体" w:hAnsi="宋体" w:cs="宋体"/>
                <w:sz w:val="18"/>
                <w:szCs w:val="18"/>
                <w:highlight w:val="none"/>
              </w:rPr>
            </w:pPr>
            <w:r>
              <w:rPr>
                <w:rFonts w:hint="eastAsia" w:ascii="宋体" w:hAnsi="宋体" w:cs="宋体"/>
                <w:position w:val="-10"/>
                <w:sz w:val="18"/>
                <w:szCs w:val="18"/>
                <w:highlight w:val="none"/>
              </w:rPr>
              <w:object>
                <v:shape id="_x0000_i1040" o:spt="75" type="#_x0000_t75" style="height:15.2pt;width:24pt;" o:ole="t" filled="f" o:preferrelative="t" stroked="f" coordsize="21600,21600">
                  <v:path/>
                  <v:fill on="f" focussize="0,0"/>
                  <v:stroke on="f" joinstyle="miter"/>
                  <v:imagedata r:id="rId52" o:title=""/>
                  <o:lock v:ext="edit" aspectratio="t"/>
                  <w10:wrap type="none"/>
                  <w10:anchorlock/>
                </v:shape>
                <o:OLEObject Type="Embed" ProgID="Equation.KSEE3" ShapeID="_x0000_i1040" DrawAspect="Content" ObjectID="_1468075740" r:id="rId51">
                  <o:LockedField>false</o:LockedField>
                </o:OLEObject>
              </w:object>
            </w:r>
          </w:p>
        </w:tc>
      </w:tr>
      <w:tr w14:paraId="26BDCEB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8" w:hRule="atLeast"/>
          <w:jc w:val="center"/>
        </w:trPr>
        <w:tc>
          <w:tcPr>
            <w:tcW w:w="5000" w:type="pct"/>
            <w:gridSpan w:val="5"/>
            <w:tcBorders>
              <w:tl2br w:val="nil"/>
              <w:tr2bl w:val="nil"/>
            </w:tcBorders>
            <w:vAlign w:val="center"/>
          </w:tcPr>
          <w:p w14:paraId="264E591F">
            <w:pPr>
              <w:autoSpaceDE w:val="0"/>
              <w:autoSpaceDN w:val="0"/>
              <w:ind w:firstLine="360" w:firstLineChars="200"/>
              <w:rPr>
                <w:rFonts w:hint="eastAsia" w:ascii="宋体" w:hAnsi="宋体" w:cs="宋体"/>
                <w:sz w:val="18"/>
                <w:szCs w:val="18"/>
                <w:highlight w:val="none"/>
              </w:rPr>
            </w:pPr>
            <w:r>
              <w:rPr>
                <w:rFonts w:hint="eastAsia" w:ascii="宋体" w:hAnsi="宋体" w:cs="宋体"/>
                <w:sz w:val="18"/>
                <w:szCs w:val="18"/>
                <w:highlight w:val="none"/>
                <w:vertAlign w:val="superscript"/>
              </w:rPr>
              <w:t xml:space="preserve">a </w:t>
            </w:r>
            <w:r>
              <w:rPr>
                <w:rFonts w:hint="eastAsia" w:ascii="宋体" w:hAnsi="宋体" w:cs="宋体"/>
                <w:sz w:val="18"/>
                <w:szCs w:val="18"/>
                <w:highlight w:val="none"/>
              </w:rPr>
              <w:t>气压为参考试验条件。</w:t>
            </w:r>
          </w:p>
        </w:tc>
      </w:tr>
    </w:tbl>
    <w:p w14:paraId="5AAFC46D">
      <w:pPr>
        <w:spacing w:before="120" w:beforeLines="50" w:line="240" w:lineRule="auto"/>
        <w:ind w:firstLine="420" w:firstLineChars="200"/>
        <w:rPr>
          <w:rFonts w:hint="eastAsia" w:ascii="宋体" w:hAnsi="宋体"/>
          <w:highlight w:val="none"/>
        </w:rPr>
      </w:pPr>
      <w:r>
        <w:rPr>
          <w:rFonts w:hint="eastAsia" w:ascii="宋体" w:hAnsi="宋体"/>
          <w:highlight w:val="none"/>
        </w:rPr>
        <w:t>试验前后进行外观检查，按照6.3.6.1的方法在室温下进行功能/电气参数检查。功能检查应在试验结束后48 h内完成。应力条件应连续施加，但中期测量期间可中断。允许在试验过程中对样品进行功能/电气参数检查，中断时间不宜超过96 h。可通过将样品放置在密封的防潮袋中（非真空包装、无氮气保护且不使用干燥剂）降低样品的潮气释放速率。当样品放置于密封袋中时，可在144 h内进行功能/电气参数检查，中断时间可以延长至288 h。</w:t>
      </w:r>
    </w:p>
    <w:p w14:paraId="240F7F2A">
      <w:pPr>
        <w:widowControl/>
        <w:numPr>
          <w:ilvl w:val="2"/>
          <w:numId w:val="0"/>
        </w:numPr>
        <w:wordWrap w:val="0"/>
        <w:overflowPunct w:val="0"/>
        <w:autoSpaceDE w:val="0"/>
        <w:autoSpaceDN w:val="0"/>
        <w:spacing w:before="120" w:beforeLines="50" w:after="120" w:afterLines="50" w:line="240" w:lineRule="auto"/>
        <w:textAlignment w:val="baseline"/>
        <w:outlineLvl w:val="3"/>
        <w:rPr>
          <w:rFonts w:ascii="黑体" w:hAnsi="Times New Roman" w:eastAsia="黑体"/>
          <w:kern w:val="21"/>
          <w:highlight w:val="none"/>
        </w:rPr>
      </w:pPr>
      <w:r>
        <w:rPr>
          <w:rFonts w:hint="eastAsia" w:ascii="黑体" w:hAnsi="Times New Roman" w:eastAsia="黑体"/>
          <w:kern w:val="21"/>
          <w:highlight w:val="none"/>
        </w:rPr>
        <w:t>6.3.2.6  温湿度贮存试验</w:t>
      </w:r>
    </w:p>
    <w:p w14:paraId="018E2183">
      <w:pPr>
        <w:numPr>
          <w:ilvl w:val="1"/>
          <w:numId w:val="0"/>
        </w:numPr>
        <w:snapToGrid w:val="0"/>
        <w:spacing w:line="240" w:lineRule="auto"/>
        <w:ind w:firstLine="420" w:firstLineChars="200"/>
        <w:textAlignment w:val="baseline"/>
        <w:rPr>
          <w:rFonts w:hint="eastAsia" w:ascii="宋体" w:hAnsi="宋体" w:cs="宋体"/>
          <w:kern w:val="21"/>
          <w:highlight w:val="none"/>
        </w:rPr>
      </w:pPr>
      <w:r>
        <w:rPr>
          <w:rFonts w:hint="eastAsia" w:ascii="宋体" w:hAnsi="宋体" w:cs="宋体"/>
          <w:kern w:val="21"/>
          <w:highlight w:val="none"/>
        </w:rPr>
        <w:t>对于表面贴装器件，试验前应先按照6.3.2.1进行预处理试验。按照表21的条件进行试验，使用3个不连续批次的样品，每批次样品数量不应少于77片。应在3 h内达到稳定温度和相对湿度。</w:t>
      </w:r>
    </w:p>
    <w:p w14:paraId="44A85B5B">
      <w:pPr>
        <w:numPr>
          <w:ilvl w:val="1"/>
          <w:numId w:val="0"/>
        </w:numPr>
        <w:snapToGrid w:val="0"/>
        <w:spacing w:before="120" w:beforeLines="50" w:after="120" w:afterLines="50" w:line="240" w:lineRule="auto"/>
        <w:jc w:val="center"/>
        <w:textAlignment w:val="baseline"/>
        <w:rPr>
          <w:rFonts w:ascii="黑体" w:hAnsi="Times New Roman" w:eastAsia="黑体"/>
          <w:kern w:val="21"/>
          <w:highlight w:val="none"/>
        </w:rPr>
      </w:pPr>
      <w:r>
        <w:rPr>
          <w:rFonts w:hint="eastAsia" w:ascii="黑体" w:hAnsi="Times New Roman" w:eastAsia="黑体"/>
          <w:kern w:val="21"/>
          <w:highlight w:val="none"/>
        </w:rPr>
        <w:t>表 21  温湿度贮存试验条件</w:t>
      </w:r>
    </w:p>
    <w:tbl>
      <w:tblPr>
        <w:tblStyle w:val="28"/>
        <w:tblW w:w="9359"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3117"/>
        <w:gridCol w:w="3121"/>
        <w:gridCol w:w="3121"/>
      </w:tblGrid>
      <w:tr w14:paraId="5294372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1665" w:type="pct"/>
            <w:tcBorders>
              <w:tl2br w:val="nil"/>
              <w:tr2bl w:val="nil"/>
            </w:tcBorders>
            <w:vAlign w:val="center"/>
          </w:tcPr>
          <w:p w14:paraId="09C597D1">
            <w:pPr>
              <w:autoSpaceDE w:val="0"/>
              <w:autoSpaceDN w:val="0"/>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 xml:space="preserve">温度 </w:t>
            </w:r>
          </w:p>
          <w:p w14:paraId="7C5DDF20">
            <w:pPr>
              <w:autoSpaceDE w:val="0"/>
              <w:autoSpaceDN w:val="0"/>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w:t>
            </w:r>
          </w:p>
        </w:tc>
        <w:tc>
          <w:tcPr>
            <w:tcW w:w="1667" w:type="pct"/>
            <w:tcBorders>
              <w:tl2br w:val="nil"/>
              <w:tr2bl w:val="nil"/>
            </w:tcBorders>
            <w:vAlign w:val="center"/>
          </w:tcPr>
          <w:p w14:paraId="3845C34A">
            <w:pPr>
              <w:autoSpaceDE w:val="0"/>
              <w:autoSpaceDN w:val="0"/>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 xml:space="preserve">湿度 </w:t>
            </w:r>
          </w:p>
          <w:p w14:paraId="6761C0AD">
            <w:pPr>
              <w:autoSpaceDE w:val="0"/>
              <w:autoSpaceDN w:val="0"/>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%RH</w:t>
            </w:r>
          </w:p>
        </w:tc>
        <w:tc>
          <w:tcPr>
            <w:tcW w:w="1667" w:type="pct"/>
            <w:tcBorders>
              <w:tl2br w:val="nil"/>
              <w:tr2bl w:val="nil"/>
            </w:tcBorders>
            <w:vAlign w:val="center"/>
          </w:tcPr>
          <w:p w14:paraId="2C29A209">
            <w:pPr>
              <w:autoSpaceDE w:val="0"/>
              <w:autoSpaceDN w:val="0"/>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 xml:space="preserve">时间 </w:t>
            </w:r>
          </w:p>
          <w:p w14:paraId="543A1068">
            <w:pPr>
              <w:autoSpaceDE w:val="0"/>
              <w:autoSpaceDN w:val="0"/>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h</w:t>
            </w:r>
          </w:p>
        </w:tc>
      </w:tr>
      <w:tr w14:paraId="6F5627C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2" w:hRule="atLeast"/>
          <w:jc w:val="center"/>
        </w:trPr>
        <w:tc>
          <w:tcPr>
            <w:tcW w:w="1665" w:type="pct"/>
            <w:tcBorders>
              <w:tl2br w:val="nil"/>
              <w:tr2bl w:val="nil"/>
            </w:tcBorders>
            <w:vAlign w:val="center"/>
          </w:tcPr>
          <w:p w14:paraId="1B14B70D">
            <w:pPr>
              <w:autoSpaceDE w:val="0"/>
              <w:autoSpaceDN w:val="0"/>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85±2</w:t>
            </w:r>
          </w:p>
        </w:tc>
        <w:tc>
          <w:tcPr>
            <w:tcW w:w="1667" w:type="pct"/>
            <w:tcBorders>
              <w:tl2br w:val="nil"/>
              <w:tr2bl w:val="nil"/>
            </w:tcBorders>
            <w:vAlign w:val="center"/>
          </w:tcPr>
          <w:p w14:paraId="04BF2613">
            <w:pPr>
              <w:autoSpaceDE w:val="0"/>
              <w:autoSpaceDN w:val="0"/>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85±5</w:t>
            </w:r>
          </w:p>
        </w:tc>
        <w:tc>
          <w:tcPr>
            <w:tcW w:w="1667" w:type="pct"/>
            <w:tcBorders>
              <w:tl2br w:val="nil"/>
              <w:tr2bl w:val="nil"/>
            </w:tcBorders>
            <w:vAlign w:val="center"/>
          </w:tcPr>
          <w:p w14:paraId="34244ACB">
            <w:pPr>
              <w:autoSpaceDE w:val="0"/>
              <w:autoSpaceDN w:val="0"/>
              <w:spacing w:line="240" w:lineRule="auto"/>
              <w:jc w:val="center"/>
              <w:rPr>
                <w:rFonts w:hint="eastAsia" w:ascii="宋体" w:hAnsi="宋体" w:cs="宋体"/>
                <w:sz w:val="18"/>
                <w:szCs w:val="18"/>
                <w:highlight w:val="none"/>
              </w:rPr>
            </w:pPr>
            <w:r>
              <w:rPr>
                <w:rFonts w:hint="eastAsia" w:ascii="宋体" w:hAnsi="宋体" w:cs="宋体"/>
                <w:position w:val="-10"/>
                <w:sz w:val="18"/>
                <w:szCs w:val="18"/>
                <w:highlight w:val="none"/>
              </w:rPr>
              <w:object>
                <v:shape id="_x0000_i1041" o:spt="75" type="#_x0000_t75" style="height:15.2pt;width:34pt;" o:ole="t" filled="f" o:preferrelative="t" stroked="f" coordsize="21600,21600">
                  <v:path/>
                  <v:fill on="f" focussize="0,0"/>
                  <v:stroke on="f" joinstyle="miter"/>
                  <v:imagedata r:id="rId54" o:title=""/>
                  <o:lock v:ext="edit" aspectratio="t"/>
                  <w10:wrap type="none"/>
                  <w10:anchorlock/>
                </v:shape>
                <o:OLEObject Type="Embed" ProgID="Equation.KSEE3" ShapeID="_x0000_i1041" DrawAspect="Content" ObjectID="_1468075741" r:id="rId53">
                  <o:LockedField>false</o:LockedField>
                </o:OLEObject>
              </w:object>
            </w:r>
          </w:p>
        </w:tc>
      </w:tr>
    </w:tbl>
    <w:p w14:paraId="574216C6">
      <w:pPr>
        <w:autoSpaceDE w:val="0"/>
        <w:autoSpaceDN w:val="0"/>
        <w:spacing w:line="240" w:lineRule="auto"/>
        <w:ind w:firstLine="315" w:firstLineChars="150"/>
        <w:rPr>
          <w:rFonts w:ascii="宋体" w:hAnsi="Times New Roman"/>
          <w:highlight w:val="none"/>
        </w:rPr>
      </w:pPr>
      <w:r>
        <w:rPr>
          <w:rFonts w:hint="eastAsia" w:ascii="宋体" w:hAnsi="Times New Roman"/>
          <w:highlight w:val="none"/>
        </w:rPr>
        <w:t>试验前后进行外观检查，按照6.3.6.1的方法在室温下进行功能/电气参数检查。功能检查应在试验结束后48 h内完成。应力条件应连续施加，但中期测量期间可中断。允许在试验过程中对样品进行功能/电气参数检查，中断时间不宜超过96 h。可通过将样品放置在密封的防潮袋中（非真空包装、无氮气保护且不使用干燥剂）降低样品的潮气释放速率。当样品放置于密封袋中时，可在144 h内进行功能/电气参数检查，中断时间可以延长至288 h。</w:t>
      </w:r>
    </w:p>
    <w:p w14:paraId="1D709D66">
      <w:pPr>
        <w:widowControl/>
        <w:numPr>
          <w:ilvl w:val="2"/>
          <w:numId w:val="0"/>
        </w:numPr>
        <w:wordWrap w:val="0"/>
        <w:overflowPunct w:val="0"/>
        <w:autoSpaceDE w:val="0"/>
        <w:autoSpaceDN w:val="0"/>
        <w:spacing w:before="120" w:beforeLines="50" w:after="120" w:afterLines="50" w:line="240" w:lineRule="auto"/>
        <w:textAlignment w:val="baseline"/>
        <w:outlineLvl w:val="3"/>
        <w:rPr>
          <w:rFonts w:ascii="黑体" w:hAnsi="Times New Roman" w:eastAsia="黑体"/>
          <w:kern w:val="21"/>
          <w:highlight w:val="none"/>
        </w:rPr>
      </w:pPr>
      <w:r>
        <w:rPr>
          <w:rFonts w:hint="eastAsia" w:ascii="黑体" w:hAnsi="Times New Roman" w:eastAsia="黑体"/>
          <w:kern w:val="21"/>
          <w:highlight w:val="none"/>
        </w:rPr>
        <w:t>6.3.2.7  温度循环试验</w:t>
      </w:r>
    </w:p>
    <w:p w14:paraId="04530203">
      <w:pPr>
        <w:autoSpaceDE w:val="0"/>
        <w:autoSpaceDN w:val="0"/>
        <w:spacing w:line="240" w:lineRule="auto"/>
        <w:ind w:firstLine="420" w:firstLineChars="200"/>
        <w:rPr>
          <w:rFonts w:ascii="宋体" w:hAnsi="Times New Roman"/>
          <w:highlight w:val="none"/>
        </w:rPr>
      </w:pPr>
      <w:r>
        <w:rPr>
          <w:rFonts w:hint="eastAsia" w:ascii="宋体" w:hAnsi="宋体" w:cs="宋体"/>
          <w:highlight w:val="none"/>
        </w:rPr>
        <w:t>对于表面贴装器件，试验前应先按照</w:t>
      </w:r>
      <w:r>
        <w:rPr>
          <w:rFonts w:hint="eastAsia" w:ascii="宋体" w:hAnsi="Times New Roman"/>
          <w:highlight w:val="none"/>
        </w:rPr>
        <w:t>6.3.2.1</w:t>
      </w:r>
      <w:r>
        <w:rPr>
          <w:rFonts w:hint="eastAsia" w:ascii="宋体" w:hAnsi="宋体" w:cs="宋体"/>
          <w:highlight w:val="none"/>
        </w:rPr>
        <w:t>进行预处理</w:t>
      </w:r>
      <w:r>
        <w:rPr>
          <w:rFonts w:ascii="宋体" w:hAnsi="宋体" w:cs="宋体"/>
          <w:highlight w:val="none"/>
        </w:rPr>
        <w:t>试验。</w:t>
      </w:r>
      <w:r>
        <w:rPr>
          <w:rFonts w:hint="eastAsia" w:ascii="宋体" w:hAnsi="Times New Roman"/>
          <w:highlight w:val="none"/>
        </w:rPr>
        <w:t>按照表22的要求进行试验，使用3个不连续批次的样品，每批次样品数量不应少于7</w:t>
      </w:r>
      <w:r>
        <w:rPr>
          <w:rFonts w:ascii="宋体" w:hAnsi="Times New Roman"/>
          <w:highlight w:val="none"/>
        </w:rPr>
        <w:t>7</w:t>
      </w:r>
      <w:r>
        <w:rPr>
          <w:rFonts w:hint="eastAsia" w:ascii="宋体" w:hAnsi="Times New Roman"/>
          <w:highlight w:val="none"/>
        </w:rPr>
        <w:t>片。使用热电偶或其他温度测量装置监控样品的温度和保持时间。允许在试验过程中中断，但中断总次数不应超过总循环数的1</w:t>
      </w:r>
      <w:r>
        <w:rPr>
          <w:rFonts w:ascii="宋体" w:hAnsi="Times New Roman"/>
          <w:highlight w:val="none"/>
        </w:rPr>
        <w:t>0</w:t>
      </w:r>
      <w:r>
        <w:rPr>
          <w:rFonts w:hint="eastAsia" w:ascii="宋体" w:hAnsi="Times New Roman"/>
          <w:highlight w:val="none"/>
        </w:rPr>
        <w:t>%。</w:t>
      </w:r>
    </w:p>
    <w:p w14:paraId="7F80EA27">
      <w:pPr>
        <w:autoSpaceDE w:val="0"/>
        <w:autoSpaceDN w:val="0"/>
        <w:spacing w:line="240" w:lineRule="auto"/>
        <w:ind w:left="839" w:hanging="420"/>
        <w:rPr>
          <w:rFonts w:ascii="宋体" w:hAnsi="Times New Roman"/>
          <w:sz w:val="18"/>
          <w:szCs w:val="18"/>
          <w:highlight w:val="none"/>
        </w:rPr>
      </w:pPr>
      <w:r>
        <w:rPr>
          <w:rFonts w:hint="eastAsia" w:ascii="黑体" w:hAnsi="Times New Roman" w:eastAsia="黑体"/>
          <w:sz w:val="18"/>
          <w:szCs w:val="18"/>
          <w:highlight w:val="none"/>
        </w:rPr>
        <w:t>注：</w:t>
      </w:r>
      <w:r>
        <w:rPr>
          <w:rFonts w:hint="eastAsia" w:ascii="宋体" w:hAnsi="Times New Roman"/>
          <w:sz w:val="18"/>
          <w:szCs w:val="18"/>
          <w:highlight w:val="none"/>
        </w:rPr>
        <w:t>如果使用热电偶测量温度，宜使用导热胶或铝箔胶带，确保温度测量的准确性。</w:t>
      </w:r>
    </w:p>
    <w:p w14:paraId="0FA3DBCC">
      <w:pPr>
        <w:numPr>
          <w:ilvl w:val="1"/>
          <w:numId w:val="0"/>
        </w:numPr>
        <w:snapToGrid w:val="0"/>
        <w:spacing w:before="120" w:beforeLines="50" w:after="120" w:afterLines="50" w:line="240" w:lineRule="auto"/>
        <w:jc w:val="center"/>
        <w:textAlignment w:val="baseline"/>
        <w:rPr>
          <w:rFonts w:ascii="黑体" w:hAnsi="Times New Roman" w:eastAsia="黑体"/>
          <w:kern w:val="21"/>
          <w:highlight w:val="none"/>
        </w:rPr>
      </w:pPr>
      <w:r>
        <w:rPr>
          <w:rFonts w:hint="eastAsia" w:ascii="黑体" w:hAnsi="Times New Roman" w:eastAsia="黑体"/>
          <w:kern w:val="21"/>
          <w:highlight w:val="none"/>
        </w:rPr>
        <w:t>表 22  温度循环试验条件</w:t>
      </w:r>
    </w:p>
    <w:tbl>
      <w:tblPr>
        <w:tblStyle w:val="29"/>
        <w:tblW w:w="9350"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800"/>
        <w:gridCol w:w="1391"/>
        <w:gridCol w:w="1359"/>
        <w:gridCol w:w="2046"/>
        <w:gridCol w:w="1137"/>
        <w:gridCol w:w="1311"/>
        <w:gridCol w:w="1306"/>
      </w:tblGrid>
      <w:tr w14:paraId="5562AA2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75" w:hRule="atLeast"/>
          <w:tblHeader/>
          <w:jc w:val="center"/>
        </w:trPr>
        <w:tc>
          <w:tcPr>
            <w:tcW w:w="428" w:type="pct"/>
            <w:tcBorders>
              <w:tl2br w:val="nil"/>
              <w:tr2bl w:val="nil"/>
            </w:tcBorders>
            <w:vAlign w:val="center"/>
          </w:tcPr>
          <w:p w14:paraId="1C33DDE1">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温度等级</w:t>
            </w:r>
          </w:p>
        </w:tc>
        <w:tc>
          <w:tcPr>
            <w:tcW w:w="744" w:type="pct"/>
            <w:tcBorders>
              <w:tl2br w:val="nil"/>
              <w:tr2bl w:val="nil"/>
            </w:tcBorders>
            <w:vAlign w:val="center"/>
          </w:tcPr>
          <w:p w14:paraId="0CD3C022">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最低温度Ts(min)</w:t>
            </w:r>
          </w:p>
        </w:tc>
        <w:tc>
          <w:tcPr>
            <w:tcW w:w="727" w:type="pct"/>
            <w:tcBorders>
              <w:tl2br w:val="nil"/>
              <w:tr2bl w:val="nil"/>
            </w:tcBorders>
            <w:vAlign w:val="center"/>
          </w:tcPr>
          <w:p w14:paraId="327E7F17">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最高温度Ts(max)</w:t>
            </w:r>
          </w:p>
        </w:tc>
        <w:tc>
          <w:tcPr>
            <w:tcW w:w="1094" w:type="pct"/>
            <w:tcBorders>
              <w:tl2br w:val="nil"/>
              <w:tr2bl w:val="nil"/>
            </w:tcBorders>
            <w:vAlign w:val="center"/>
          </w:tcPr>
          <w:p w14:paraId="39DE6BAC">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最高/低温度下保持时间</w:t>
            </w:r>
          </w:p>
        </w:tc>
        <w:tc>
          <w:tcPr>
            <w:tcW w:w="608" w:type="pct"/>
            <w:tcBorders>
              <w:tl2br w:val="nil"/>
              <w:tr2bl w:val="nil"/>
            </w:tcBorders>
            <w:vAlign w:val="center"/>
          </w:tcPr>
          <w:p w14:paraId="24D588EB">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循环数</w:t>
            </w:r>
          </w:p>
        </w:tc>
        <w:tc>
          <w:tcPr>
            <w:tcW w:w="701" w:type="pct"/>
            <w:tcBorders>
              <w:tl2br w:val="nil"/>
              <w:tr2bl w:val="nil"/>
            </w:tcBorders>
            <w:vAlign w:val="center"/>
          </w:tcPr>
          <w:p w14:paraId="2EF25446">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加严循环数</w:t>
            </w:r>
            <w:r>
              <w:rPr>
                <w:rFonts w:hint="eastAsia" w:ascii="宋体" w:hAnsi="宋体" w:cs="宋体"/>
                <w:sz w:val="18"/>
                <w:szCs w:val="18"/>
                <w:highlight w:val="none"/>
                <w:vertAlign w:val="superscript"/>
              </w:rPr>
              <w:t>b</w:t>
            </w:r>
          </w:p>
        </w:tc>
        <w:tc>
          <w:tcPr>
            <w:tcW w:w="696" w:type="pct"/>
            <w:tcBorders>
              <w:tl2br w:val="nil"/>
              <w:tr2bl w:val="nil"/>
            </w:tcBorders>
            <w:vAlign w:val="center"/>
          </w:tcPr>
          <w:p w14:paraId="2197BE0D">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每小时循环次数</w:t>
            </w:r>
          </w:p>
        </w:tc>
      </w:tr>
      <w:tr w14:paraId="5B52DBF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22" w:hRule="atLeast"/>
          <w:jc w:val="center"/>
        </w:trPr>
        <w:tc>
          <w:tcPr>
            <w:tcW w:w="428" w:type="pct"/>
            <w:tcBorders>
              <w:tl2br w:val="nil"/>
              <w:tr2bl w:val="nil"/>
            </w:tcBorders>
            <w:vAlign w:val="center"/>
          </w:tcPr>
          <w:p w14:paraId="452755B1">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0</w:t>
            </w:r>
          </w:p>
        </w:tc>
        <w:tc>
          <w:tcPr>
            <w:tcW w:w="744" w:type="pct"/>
            <w:tcBorders>
              <w:tl2br w:val="nil"/>
              <w:tr2bl w:val="nil"/>
            </w:tcBorders>
            <w:vAlign w:val="center"/>
          </w:tcPr>
          <w:p w14:paraId="110F3CDF">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-55 ℃</w:t>
            </w:r>
          </w:p>
        </w:tc>
        <w:tc>
          <w:tcPr>
            <w:tcW w:w="727" w:type="pct"/>
            <w:tcBorders>
              <w:tl2br w:val="nil"/>
              <w:tr2bl w:val="nil"/>
            </w:tcBorders>
            <w:vAlign w:val="center"/>
          </w:tcPr>
          <w:p w14:paraId="109EFB20">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150 ℃</w:t>
            </w:r>
          </w:p>
        </w:tc>
        <w:tc>
          <w:tcPr>
            <w:tcW w:w="1094" w:type="pct"/>
            <w:tcBorders>
              <w:tl2br w:val="nil"/>
              <w:tr2bl w:val="nil"/>
            </w:tcBorders>
            <w:vAlign w:val="center"/>
          </w:tcPr>
          <w:p w14:paraId="3E14B25F">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≥1min或≥5min</w:t>
            </w:r>
          </w:p>
        </w:tc>
        <w:tc>
          <w:tcPr>
            <w:tcW w:w="608" w:type="pct"/>
            <w:tcBorders>
              <w:tl2br w:val="nil"/>
              <w:tr2bl w:val="nil"/>
            </w:tcBorders>
            <w:vAlign w:val="center"/>
          </w:tcPr>
          <w:p w14:paraId="3B0BC5BF">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1500</w:t>
            </w:r>
          </w:p>
        </w:tc>
        <w:tc>
          <w:tcPr>
            <w:tcW w:w="701" w:type="pct"/>
            <w:tcBorders>
              <w:tl2br w:val="nil"/>
              <w:tr2bl w:val="nil"/>
            </w:tcBorders>
          </w:tcPr>
          <w:p w14:paraId="4DAE050E">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2250</w:t>
            </w:r>
          </w:p>
        </w:tc>
        <w:tc>
          <w:tcPr>
            <w:tcW w:w="696" w:type="pct"/>
            <w:tcBorders>
              <w:tl2br w:val="nil"/>
              <w:tr2bl w:val="nil"/>
            </w:tcBorders>
            <w:vAlign w:val="center"/>
          </w:tcPr>
          <w:p w14:paraId="2804CDAB">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2</w:t>
            </w:r>
          </w:p>
        </w:tc>
      </w:tr>
      <w:tr w14:paraId="64538D3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22" w:hRule="atLeast"/>
          <w:jc w:val="center"/>
        </w:trPr>
        <w:tc>
          <w:tcPr>
            <w:tcW w:w="428" w:type="pct"/>
            <w:vMerge w:val="restart"/>
            <w:tcBorders>
              <w:tl2br w:val="nil"/>
              <w:tr2bl w:val="nil"/>
            </w:tcBorders>
            <w:vAlign w:val="center"/>
          </w:tcPr>
          <w:p w14:paraId="14CD20BF">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1</w:t>
            </w:r>
            <w:r>
              <w:rPr>
                <w:rFonts w:hint="eastAsia" w:ascii="宋体" w:hAnsi="宋体" w:cs="宋体"/>
                <w:sz w:val="18"/>
                <w:szCs w:val="18"/>
                <w:highlight w:val="none"/>
                <w:vertAlign w:val="superscript"/>
              </w:rPr>
              <w:t>a</w:t>
            </w:r>
          </w:p>
        </w:tc>
        <w:tc>
          <w:tcPr>
            <w:tcW w:w="744" w:type="pct"/>
            <w:tcBorders>
              <w:tl2br w:val="nil"/>
              <w:tr2bl w:val="nil"/>
            </w:tcBorders>
            <w:vAlign w:val="center"/>
          </w:tcPr>
          <w:p w14:paraId="1C6DF197">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-55 ℃</w:t>
            </w:r>
          </w:p>
        </w:tc>
        <w:tc>
          <w:tcPr>
            <w:tcW w:w="727" w:type="pct"/>
            <w:tcBorders>
              <w:tl2br w:val="nil"/>
              <w:tr2bl w:val="nil"/>
            </w:tcBorders>
            <w:vAlign w:val="center"/>
          </w:tcPr>
          <w:p w14:paraId="40D9FC28">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150 ℃</w:t>
            </w:r>
          </w:p>
        </w:tc>
        <w:tc>
          <w:tcPr>
            <w:tcW w:w="1094" w:type="pct"/>
            <w:tcBorders>
              <w:tl2br w:val="nil"/>
              <w:tr2bl w:val="nil"/>
            </w:tcBorders>
            <w:vAlign w:val="center"/>
          </w:tcPr>
          <w:p w14:paraId="05AB5D42">
            <w:pPr>
              <w:adjustRightInd/>
              <w:spacing w:line="240" w:lineRule="auto"/>
              <w:jc w:val="center"/>
              <w:rPr>
                <w:rFonts w:hint="eastAsia" w:ascii="宋体" w:hAnsi="宋体" w:cs="宋体"/>
                <w:kern w:val="0"/>
                <w:sz w:val="18"/>
                <w:szCs w:val="18"/>
                <w:highlight w:val="none"/>
              </w:rPr>
            </w:pPr>
            <w:r>
              <w:rPr>
                <w:rFonts w:hint="eastAsia" w:ascii="宋体" w:hAnsi="宋体" w:cs="宋体"/>
                <w:kern w:val="0"/>
                <w:sz w:val="18"/>
                <w:szCs w:val="18"/>
                <w:highlight w:val="none"/>
              </w:rPr>
              <w:t>≥1min或≥5min</w:t>
            </w:r>
          </w:p>
        </w:tc>
        <w:tc>
          <w:tcPr>
            <w:tcW w:w="608" w:type="pct"/>
            <w:tcBorders>
              <w:tl2br w:val="nil"/>
              <w:tr2bl w:val="nil"/>
            </w:tcBorders>
            <w:vAlign w:val="center"/>
          </w:tcPr>
          <w:p w14:paraId="1A254E79">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1000</w:t>
            </w:r>
          </w:p>
        </w:tc>
        <w:tc>
          <w:tcPr>
            <w:tcW w:w="701" w:type="pct"/>
            <w:tcBorders>
              <w:tl2br w:val="nil"/>
              <w:tr2bl w:val="nil"/>
            </w:tcBorders>
          </w:tcPr>
          <w:p w14:paraId="244032DA">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1500</w:t>
            </w:r>
          </w:p>
        </w:tc>
        <w:tc>
          <w:tcPr>
            <w:tcW w:w="696" w:type="pct"/>
            <w:tcBorders>
              <w:tl2br w:val="nil"/>
              <w:tr2bl w:val="nil"/>
            </w:tcBorders>
            <w:vAlign w:val="center"/>
          </w:tcPr>
          <w:p w14:paraId="4DEBA631">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2</w:t>
            </w:r>
          </w:p>
        </w:tc>
      </w:tr>
      <w:tr w14:paraId="6F05EAA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22" w:hRule="atLeast"/>
          <w:jc w:val="center"/>
        </w:trPr>
        <w:tc>
          <w:tcPr>
            <w:tcW w:w="428" w:type="pct"/>
            <w:vMerge w:val="continue"/>
            <w:tcBorders>
              <w:tl2br w:val="nil"/>
              <w:tr2bl w:val="nil"/>
            </w:tcBorders>
            <w:vAlign w:val="center"/>
          </w:tcPr>
          <w:p w14:paraId="745CD0D7">
            <w:pPr>
              <w:autoSpaceDE w:val="0"/>
              <w:autoSpaceDN w:val="0"/>
              <w:jc w:val="center"/>
              <w:rPr>
                <w:rFonts w:hint="eastAsia" w:ascii="宋体" w:hAnsi="宋体" w:cs="宋体"/>
                <w:sz w:val="18"/>
                <w:szCs w:val="18"/>
                <w:highlight w:val="none"/>
              </w:rPr>
            </w:pPr>
          </w:p>
        </w:tc>
        <w:tc>
          <w:tcPr>
            <w:tcW w:w="744" w:type="pct"/>
            <w:tcBorders>
              <w:tl2br w:val="nil"/>
              <w:tr2bl w:val="nil"/>
            </w:tcBorders>
            <w:vAlign w:val="center"/>
          </w:tcPr>
          <w:p w14:paraId="27C4B6DA">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-65 ℃</w:t>
            </w:r>
          </w:p>
        </w:tc>
        <w:tc>
          <w:tcPr>
            <w:tcW w:w="727" w:type="pct"/>
            <w:tcBorders>
              <w:tl2br w:val="nil"/>
              <w:tr2bl w:val="nil"/>
            </w:tcBorders>
            <w:vAlign w:val="center"/>
          </w:tcPr>
          <w:p w14:paraId="40A78EA7">
            <w:pPr>
              <w:autoSpaceDE w:val="0"/>
              <w:autoSpaceDN w:val="0"/>
              <w:jc w:val="center"/>
              <w:rPr>
                <w:rFonts w:hint="eastAsia" w:ascii="宋体" w:hAnsi="宋体" w:cs="宋体"/>
                <w:b/>
                <w:bCs/>
                <w:sz w:val="18"/>
                <w:szCs w:val="18"/>
                <w:highlight w:val="none"/>
              </w:rPr>
            </w:pPr>
            <w:r>
              <w:rPr>
                <w:rFonts w:hint="eastAsia" w:ascii="宋体" w:hAnsi="宋体" w:cs="宋体"/>
                <w:sz w:val="18"/>
                <w:szCs w:val="18"/>
                <w:highlight w:val="none"/>
              </w:rPr>
              <w:t>150 ℃</w:t>
            </w:r>
          </w:p>
        </w:tc>
        <w:tc>
          <w:tcPr>
            <w:tcW w:w="1094" w:type="pct"/>
            <w:tcBorders>
              <w:tl2br w:val="nil"/>
              <w:tr2bl w:val="nil"/>
            </w:tcBorders>
            <w:vAlign w:val="center"/>
          </w:tcPr>
          <w:p w14:paraId="7718851D">
            <w:pPr>
              <w:adjustRightInd/>
              <w:spacing w:line="240" w:lineRule="auto"/>
              <w:jc w:val="center"/>
              <w:rPr>
                <w:rFonts w:hint="eastAsia" w:ascii="宋体" w:hAnsi="宋体" w:cs="宋体"/>
                <w:kern w:val="0"/>
                <w:sz w:val="18"/>
                <w:szCs w:val="18"/>
                <w:highlight w:val="none"/>
              </w:rPr>
            </w:pPr>
            <w:r>
              <w:rPr>
                <w:rFonts w:hint="eastAsia" w:ascii="宋体" w:hAnsi="宋体" w:cs="宋体"/>
                <w:kern w:val="0"/>
                <w:sz w:val="18"/>
                <w:szCs w:val="18"/>
                <w:highlight w:val="none"/>
              </w:rPr>
              <w:t>≥1min或≥5min</w:t>
            </w:r>
          </w:p>
        </w:tc>
        <w:tc>
          <w:tcPr>
            <w:tcW w:w="608" w:type="pct"/>
            <w:tcBorders>
              <w:tl2br w:val="nil"/>
              <w:tr2bl w:val="nil"/>
            </w:tcBorders>
            <w:vAlign w:val="center"/>
          </w:tcPr>
          <w:p w14:paraId="02B7B1AF">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500</w:t>
            </w:r>
          </w:p>
        </w:tc>
        <w:tc>
          <w:tcPr>
            <w:tcW w:w="701" w:type="pct"/>
            <w:tcBorders>
              <w:tl2br w:val="nil"/>
              <w:tr2bl w:val="nil"/>
            </w:tcBorders>
          </w:tcPr>
          <w:p w14:paraId="5C283BB2">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750</w:t>
            </w:r>
          </w:p>
        </w:tc>
        <w:tc>
          <w:tcPr>
            <w:tcW w:w="696" w:type="pct"/>
            <w:tcBorders>
              <w:tl2br w:val="nil"/>
              <w:tr2bl w:val="nil"/>
            </w:tcBorders>
            <w:vAlign w:val="center"/>
          </w:tcPr>
          <w:p w14:paraId="0E87138E">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2</w:t>
            </w:r>
          </w:p>
        </w:tc>
      </w:tr>
      <w:tr w14:paraId="2BDB6B6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69" w:hRule="atLeast"/>
          <w:jc w:val="center"/>
        </w:trPr>
        <w:tc>
          <w:tcPr>
            <w:tcW w:w="428" w:type="pct"/>
            <w:tcBorders>
              <w:tl2br w:val="nil"/>
              <w:tr2bl w:val="nil"/>
            </w:tcBorders>
            <w:vAlign w:val="center"/>
          </w:tcPr>
          <w:p w14:paraId="5108E29C">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2</w:t>
            </w:r>
          </w:p>
        </w:tc>
        <w:tc>
          <w:tcPr>
            <w:tcW w:w="744" w:type="pct"/>
            <w:tcBorders>
              <w:tl2br w:val="nil"/>
              <w:tr2bl w:val="nil"/>
            </w:tcBorders>
            <w:vAlign w:val="center"/>
          </w:tcPr>
          <w:p w14:paraId="5CEA6CF0">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-55 ℃</w:t>
            </w:r>
          </w:p>
        </w:tc>
        <w:tc>
          <w:tcPr>
            <w:tcW w:w="727" w:type="pct"/>
            <w:tcBorders>
              <w:tl2br w:val="nil"/>
              <w:tr2bl w:val="nil"/>
            </w:tcBorders>
            <w:vAlign w:val="center"/>
          </w:tcPr>
          <w:p w14:paraId="28620D1A">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150 ℃</w:t>
            </w:r>
          </w:p>
        </w:tc>
        <w:tc>
          <w:tcPr>
            <w:tcW w:w="1094" w:type="pct"/>
            <w:tcBorders>
              <w:tl2br w:val="nil"/>
              <w:tr2bl w:val="nil"/>
            </w:tcBorders>
            <w:vAlign w:val="center"/>
          </w:tcPr>
          <w:p w14:paraId="549D7716">
            <w:pPr>
              <w:adjustRightInd/>
              <w:spacing w:line="240" w:lineRule="auto"/>
              <w:jc w:val="center"/>
              <w:rPr>
                <w:rFonts w:hint="eastAsia" w:ascii="宋体" w:hAnsi="宋体" w:cs="宋体"/>
                <w:kern w:val="0"/>
                <w:sz w:val="18"/>
                <w:szCs w:val="18"/>
                <w:highlight w:val="none"/>
              </w:rPr>
            </w:pPr>
            <w:r>
              <w:rPr>
                <w:rFonts w:hint="eastAsia" w:ascii="宋体" w:hAnsi="宋体" w:cs="宋体"/>
                <w:kern w:val="0"/>
                <w:sz w:val="18"/>
                <w:szCs w:val="18"/>
                <w:highlight w:val="none"/>
              </w:rPr>
              <w:t>≥1min或≥5min</w:t>
            </w:r>
          </w:p>
        </w:tc>
        <w:tc>
          <w:tcPr>
            <w:tcW w:w="608" w:type="pct"/>
            <w:tcBorders>
              <w:tl2br w:val="nil"/>
              <w:tr2bl w:val="nil"/>
            </w:tcBorders>
            <w:vAlign w:val="center"/>
          </w:tcPr>
          <w:p w14:paraId="37EE5C43">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1000</w:t>
            </w:r>
          </w:p>
        </w:tc>
        <w:tc>
          <w:tcPr>
            <w:tcW w:w="701" w:type="pct"/>
            <w:tcBorders>
              <w:tl2br w:val="nil"/>
              <w:tr2bl w:val="nil"/>
            </w:tcBorders>
          </w:tcPr>
          <w:p w14:paraId="4E5644F0">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1500</w:t>
            </w:r>
          </w:p>
        </w:tc>
        <w:tc>
          <w:tcPr>
            <w:tcW w:w="696" w:type="pct"/>
            <w:tcBorders>
              <w:tl2br w:val="nil"/>
              <w:tr2bl w:val="nil"/>
            </w:tcBorders>
            <w:vAlign w:val="center"/>
          </w:tcPr>
          <w:p w14:paraId="5E9F99C8">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2～3</w:t>
            </w:r>
          </w:p>
        </w:tc>
      </w:tr>
      <w:tr w14:paraId="715FB0C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428" w:type="pct"/>
            <w:tcBorders>
              <w:tl2br w:val="nil"/>
              <w:tr2bl w:val="nil"/>
            </w:tcBorders>
            <w:vAlign w:val="center"/>
          </w:tcPr>
          <w:p w14:paraId="1BB3BE16">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3</w:t>
            </w:r>
          </w:p>
        </w:tc>
        <w:tc>
          <w:tcPr>
            <w:tcW w:w="744" w:type="pct"/>
            <w:tcBorders>
              <w:tl2br w:val="nil"/>
              <w:tr2bl w:val="nil"/>
            </w:tcBorders>
            <w:vAlign w:val="center"/>
          </w:tcPr>
          <w:p w14:paraId="599014E7">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-55 ℃</w:t>
            </w:r>
          </w:p>
        </w:tc>
        <w:tc>
          <w:tcPr>
            <w:tcW w:w="727" w:type="pct"/>
            <w:tcBorders>
              <w:tl2br w:val="nil"/>
              <w:tr2bl w:val="nil"/>
            </w:tcBorders>
            <w:vAlign w:val="center"/>
          </w:tcPr>
          <w:p w14:paraId="077EC3A1">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150 ℃</w:t>
            </w:r>
          </w:p>
        </w:tc>
        <w:tc>
          <w:tcPr>
            <w:tcW w:w="1094" w:type="pct"/>
            <w:tcBorders>
              <w:tl2br w:val="nil"/>
              <w:tr2bl w:val="nil"/>
            </w:tcBorders>
            <w:vAlign w:val="center"/>
          </w:tcPr>
          <w:p w14:paraId="2523A592">
            <w:pPr>
              <w:adjustRightInd/>
              <w:spacing w:line="240" w:lineRule="auto"/>
              <w:jc w:val="center"/>
              <w:rPr>
                <w:rFonts w:hint="eastAsia" w:ascii="宋体" w:hAnsi="宋体" w:cs="宋体"/>
                <w:kern w:val="0"/>
                <w:sz w:val="18"/>
                <w:szCs w:val="18"/>
                <w:highlight w:val="none"/>
              </w:rPr>
            </w:pPr>
            <w:r>
              <w:rPr>
                <w:rFonts w:hint="eastAsia" w:ascii="宋体" w:hAnsi="宋体" w:cs="宋体"/>
                <w:kern w:val="0"/>
                <w:sz w:val="18"/>
                <w:szCs w:val="18"/>
                <w:highlight w:val="none"/>
              </w:rPr>
              <w:t>≥1min或≥5min</w:t>
            </w:r>
          </w:p>
        </w:tc>
        <w:tc>
          <w:tcPr>
            <w:tcW w:w="608" w:type="pct"/>
            <w:tcBorders>
              <w:tl2br w:val="nil"/>
              <w:tr2bl w:val="nil"/>
            </w:tcBorders>
            <w:vAlign w:val="center"/>
          </w:tcPr>
          <w:p w14:paraId="6393A0B6">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500</w:t>
            </w:r>
          </w:p>
        </w:tc>
        <w:tc>
          <w:tcPr>
            <w:tcW w:w="701" w:type="pct"/>
            <w:tcBorders>
              <w:tl2br w:val="nil"/>
              <w:tr2bl w:val="nil"/>
            </w:tcBorders>
          </w:tcPr>
          <w:p w14:paraId="31895BAE">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750</w:t>
            </w:r>
          </w:p>
        </w:tc>
        <w:tc>
          <w:tcPr>
            <w:tcW w:w="696" w:type="pct"/>
            <w:tcBorders>
              <w:tl2br w:val="nil"/>
              <w:tr2bl w:val="nil"/>
            </w:tcBorders>
            <w:vAlign w:val="center"/>
          </w:tcPr>
          <w:p w14:paraId="7D8EFBD2">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2～3</w:t>
            </w:r>
          </w:p>
        </w:tc>
      </w:tr>
      <w:tr w14:paraId="4400140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41" w:hRule="atLeast"/>
          <w:jc w:val="center"/>
        </w:trPr>
        <w:tc>
          <w:tcPr>
            <w:tcW w:w="5000" w:type="pct"/>
            <w:gridSpan w:val="7"/>
            <w:tcBorders>
              <w:tl2br w:val="nil"/>
              <w:tr2bl w:val="nil"/>
            </w:tcBorders>
            <w:vAlign w:val="center"/>
          </w:tcPr>
          <w:p w14:paraId="7F0DCE7B">
            <w:pPr>
              <w:adjustRightInd/>
              <w:spacing w:line="240" w:lineRule="auto"/>
              <w:ind w:left="420"/>
              <w:jc w:val="left"/>
              <w:textAlignment w:val="top"/>
              <w:rPr>
                <w:rFonts w:hint="eastAsia" w:ascii="宋体" w:hAnsi="宋体" w:cs="宋体"/>
                <w:sz w:val="18"/>
                <w:szCs w:val="18"/>
                <w:highlight w:val="none"/>
              </w:rPr>
            </w:pPr>
            <w:r>
              <w:rPr>
                <w:rFonts w:hint="eastAsia" w:ascii="宋体" w:hAnsi="宋体" w:cs="宋体"/>
                <w:sz w:val="18"/>
                <w:szCs w:val="18"/>
                <w:highlight w:val="none"/>
                <w:vertAlign w:val="superscript"/>
              </w:rPr>
              <w:t xml:space="preserve">a  </w:t>
            </w:r>
            <w:r>
              <w:rPr>
                <w:rFonts w:hint="eastAsia" w:ascii="宋体" w:hAnsi="宋体" w:cs="宋体"/>
                <w:sz w:val="18"/>
                <w:szCs w:val="18"/>
                <w:highlight w:val="none"/>
              </w:rPr>
              <w:t>可任选一个条件进行试验。</w:t>
            </w:r>
          </w:p>
          <w:p w14:paraId="4FB73F31">
            <w:pPr>
              <w:adjustRightInd/>
              <w:spacing w:line="240" w:lineRule="auto"/>
              <w:ind w:left="420"/>
              <w:jc w:val="left"/>
              <w:textAlignment w:val="top"/>
              <w:rPr>
                <w:rFonts w:hint="eastAsia" w:ascii="宋体" w:hAnsi="宋体" w:cs="宋体"/>
                <w:sz w:val="18"/>
                <w:szCs w:val="18"/>
                <w:highlight w:val="none"/>
                <w:vertAlign w:val="superscript"/>
              </w:rPr>
            </w:pPr>
            <w:r>
              <w:rPr>
                <w:rFonts w:hint="eastAsia" w:ascii="宋体" w:hAnsi="宋体" w:cs="宋体"/>
                <w:sz w:val="18"/>
                <w:szCs w:val="18"/>
                <w:highlight w:val="none"/>
                <w:vertAlign w:val="superscript"/>
              </w:rPr>
              <w:t xml:space="preserve">b  </w:t>
            </w:r>
            <w:r>
              <w:rPr>
                <w:rFonts w:hint="eastAsia" w:ascii="宋体" w:hAnsi="宋体" w:cs="宋体"/>
                <w:sz w:val="18"/>
                <w:szCs w:val="18"/>
                <w:highlight w:val="none"/>
              </w:rPr>
              <w:t>针对电动汽车动力电池系统、驱动电机系统。</w:t>
            </w:r>
          </w:p>
        </w:tc>
      </w:tr>
    </w:tbl>
    <w:p w14:paraId="520DAA49">
      <w:pPr>
        <w:autoSpaceDE w:val="0"/>
        <w:autoSpaceDN w:val="0"/>
        <w:spacing w:before="60" w:beforeLines="25" w:line="240" w:lineRule="auto"/>
        <w:ind w:firstLine="420" w:firstLineChars="200"/>
        <w:rPr>
          <w:rFonts w:ascii="宋体" w:hAnsi="Times New Roman"/>
          <w:highlight w:val="none"/>
        </w:rPr>
      </w:pPr>
      <w:r>
        <w:rPr>
          <w:rFonts w:hint="eastAsia" w:ascii="宋体" w:hAnsi="Times New Roman"/>
          <w:highlight w:val="none"/>
        </w:rPr>
        <w:t>试验前后进行外观检查，按照6.3.6.1的方法依次在室温和表5规定的最高工作温度下进行功能/电气参数检查。功能检查应在恢复室温后</w:t>
      </w:r>
      <w:r>
        <w:rPr>
          <w:rFonts w:ascii="宋体" w:hAnsi="Times New Roman"/>
          <w:highlight w:val="none"/>
        </w:rPr>
        <w:t>96</w:t>
      </w:r>
      <w:r>
        <w:rPr>
          <w:rFonts w:hint="eastAsia" w:ascii="宋体" w:hAnsi="Times New Roman"/>
          <w:highlight w:val="none"/>
        </w:rPr>
        <w:t xml:space="preserve"> h内完成。应力条件应连续施加，但中期测量期间可中断。允许在试验过程中对样品进行功能/电气参数检查，中断时间不宜超过96 h。试验后，每批样品随机抽取3颗对晶粒粘接和键合区域进行分层扫描；从一批样品中取出五个样品进行开封，对每个样品的角键（每个角2个键）和每侧一个中间键按照6.3</w:t>
      </w:r>
      <w:r>
        <w:rPr>
          <w:rFonts w:ascii="宋体" w:hAnsi="Times New Roman"/>
          <w:highlight w:val="none"/>
        </w:rPr>
        <w:t>.4.2</w:t>
      </w:r>
      <w:r>
        <w:rPr>
          <w:rFonts w:hint="eastAsia" w:ascii="宋体" w:hAnsi="Times New Roman"/>
          <w:highlight w:val="none"/>
        </w:rPr>
        <w:t>的方法进行键合点拉力试验。</w:t>
      </w:r>
    </w:p>
    <w:p w14:paraId="714A8683">
      <w:pPr>
        <w:widowControl/>
        <w:numPr>
          <w:ilvl w:val="2"/>
          <w:numId w:val="0"/>
        </w:numPr>
        <w:wordWrap w:val="0"/>
        <w:overflowPunct w:val="0"/>
        <w:autoSpaceDE w:val="0"/>
        <w:autoSpaceDN w:val="0"/>
        <w:spacing w:before="120" w:beforeLines="50" w:after="120" w:afterLines="50" w:line="240" w:lineRule="auto"/>
        <w:textAlignment w:val="baseline"/>
        <w:outlineLvl w:val="3"/>
        <w:rPr>
          <w:rFonts w:ascii="黑体" w:hAnsi="Times New Roman" w:eastAsia="黑体"/>
          <w:kern w:val="21"/>
          <w:highlight w:val="none"/>
        </w:rPr>
      </w:pPr>
      <w:r>
        <w:rPr>
          <w:rFonts w:hint="eastAsia" w:ascii="黑体" w:hAnsi="Times New Roman" w:eastAsia="黑体"/>
          <w:kern w:val="21"/>
          <w:highlight w:val="none"/>
        </w:rPr>
        <w:t>6.3.2.8  功率温度循环试验</w:t>
      </w:r>
    </w:p>
    <w:p w14:paraId="5317412E">
      <w:pPr>
        <w:spacing w:line="240" w:lineRule="auto"/>
        <w:ind w:firstLine="420"/>
        <w:jc w:val="left"/>
        <w:rPr>
          <w:rFonts w:hint="eastAsia" w:ascii="宋体" w:hAnsi="宋体" w:cs="宋体"/>
          <w:spacing w:val="-3"/>
          <w:highlight w:val="none"/>
        </w:rPr>
      </w:pPr>
      <w:r>
        <w:rPr>
          <w:rFonts w:hint="eastAsia" w:ascii="宋体" w:hAnsi="宋体" w:cs="宋体"/>
          <w:spacing w:val="-3"/>
          <w:highlight w:val="none"/>
        </w:rPr>
        <w:t>适用于功耗</w:t>
      </w:r>
      <w:r>
        <w:rPr>
          <w:rFonts w:hint="eastAsia" w:ascii="宋体" w:hAnsi="宋体" w:cs="宋体"/>
          <w:highlight w:val="none"/>
        </w:rPr>
        <w:t>P大于等于1 W</w:t>
      </w:r>
      <w:r>
        <w:rPr>
          <w:rFonts w:hint="eastAsia" w:ascii="宋体" w:hAnsi="宋体" w:cs="宋体"/>
          <w:spacing w:val="-3"/>
          <w:highlight w:val="none"/>
        </w:rPr>
        <w:t>且功率上升时间小于</w:t>
      </w:r>
      <w:r>
        <w:rPr>
          <w:rFonts w:hint="eastAsia" w:ascii="宋体" w:hAnsi="宋体" w:cs="宋体"/>
          <w:highlight w:val="none"/>
        </w:rPr>
        <w:t>0.1s</w:t>
      </w:r>
      <w:r>
        <w:rPr>
          <w:rFonts w:hint="eastAsia" w:ascii="宋体" w:hAnsi="宋体" w:cs="宋体"/>
          <w:spacing w:val="-3"/>
          <w:highlight w:val="none"/>
        </w:rPr>
        <w:t>导致结温温升</w:t>
      </w:r>
      <w:r>
        <w:rPr>
          <w:rFonts w:hint="eastAsia" w:ascii="宋体" w:hAnsi="宋体" w:cs="宋体"/>
          <w:highlight w:val="none"/>
        </w:rPr>
        <w:t>ΔT</w:t>
      </w:r>
      <w:r>
        <w:rPr>
          <w:rFonts w:hint="eastAsia" w:ascii="宋体" w:hAnsi="宋体" w:cs="宋体"/>
          <w:highlight w:val="none"/>
          <w:vertAlign w:val="subscript"/>
        </w:rPr>
        <w:t>j</w:t>
      </w:r>
      <w:r>
        <w:rPr>
          <w:rFonts w:hint="eastAsia" w:ascii="宋体" w:hAnsi="宋体" w:cs="宋体"/>
          <w:highlight w:val="none"/>
        </w:rPr>
        <w:t>大于等于40 ℃</w:t>
      </w:r>
      <w:r>
        <w:rPr>
          <w:rFonts w:hint="eastAsia" w:ascii="宋体" w:hAnsi="宋体" w:cs="宋体"/>
          <w:spacing w:val="-3"/>
          <w:highlight w:val="none"/>
        </w:rPr>
        <w:t>的电源管理芯片。对于表面贴装</w:t>
      </w:r>
      <w:r>
        <w:rPr>
          <w:rFonts w:hint="eastAsia" w:ascii="宋体" w:hAnsi="宋体" w:cs="宋体"/>
          <w:spacing w:val="-7"/>
          <w:highlight w:val="none"/>
        </w:rPr>
        <w:t>器件，试验前样品应按照</w:t>
      </w:r>
      <w:r>
        <w:rPr>
          <w:rFonts w:hint="eastAsia" w:ascii="宋体" w:hAnsi="宋体" w:cs="宋体"/>
          <w:highlight w:val="none"/>
        </w:rPr>
        <w:t>6.3.2.1</w:t>
      </w:r>
      <w:r>
        <w:rPr>
          <w:rFonts w:hint="eastAsia" w:ascii="宋体" w:hAnsi="宋体" w:cs="宋体"/>
          <w:spacing w:val="-6"/>
          <w:highlight w:val="none"/>
        </w:rPr>
        <w:t>完成预处理试验。按照表</w:t>
      </w:r>
      <w:r>
        <w:rPr>
          <w:rFonts w:hint="eastAsia" w:ascii="宋体" w:hAnsi="宋体" w:cs="宋体"/>
          <w:highlight w:val="none"/>
        </w:rPr>
        <w:t>23</w:t>
      </w:r>
      <w:r>
        <w:rPr>
          <w:rFonts w:hint="eastAsia" w:ascii="宋体" w:hAnsi="宋体" w:cs="宋体"/>
          <w:spacing w:val="-6"/>
          <w:highlight w:val="none"/>
        </w:rPr>
        <w:t>的要求进行实验，使用</w:t>
      </w:r>
      <w:r>
        <w:rPr>
          <w:rFonts w:hint="eastAsia" w:ascii="宋体" w:hAnsi="宋体" w:cs="宋体"/>
          <w:highlight w:val="none"/>
        </w:rPr>
        <w:t>1</w:t>
      </w:r>
      <w:r>
        <w:rPr>
          <w:rFonts w:hint="eastAsia" w:ascii="宋体" w:hAnsi="宋体" w:cs="宋体"/>
          <w:spacing w:val="-7"/>
          <w:highlight w:val="none"/>
        </w:rPr>
        <w:t>个批次的样品，样</w:t>
      </w:r>
      <w:r>
        <w:rPr>
          <w:rFonts w:hint="eastAsia" w:ascii="宋体" w:hAnsi="宋体" w:cs="宋体"/>
          <w:spacing w:val="-5"/>
          <w:highlight w:val="none"/>
        </w:rPr>
        <w:t>品数量不应少于</w:t>
      </w:r>
      <w:r>
        <w:rPr>
          <w:rFonts w:hint="eastAsia" w:ascii="宋体" w:hAnsi="宋体" w:cs="宋体"/>
          <w:highlight w:val="none"/>
        </w:rPr>
        <w:t>45</w:t>
      </w:r>
      <w:r>
        <w:rPr>
          <w:rFonts w:hint="eastAsia" w:ascii="宋体" w:hAnsi="宋体" w:cs="宋体"/>
          <w:spacing w:val="-8"/>
          <w:highlight w:val="none"/>
        </w:rPr>
        <w:t>片。试验过程中应对电源设置上下电循环</w:t>
      </w:r>
      <w:r>
        <w:rPr>
          <w:rFonts w:hint="eastAsia" w:ascii="宋体" w:hAnsi="宋体" w:cs="宋体"/>
          <w:spacing w:val="-3"/>
          <w:highlight w:val="none"/>
        </w:rPr>
        <w:t>（</w:t>
      </w:r>
      <w:r>
        <w:rPr>
          <w:rFonts w:hint="eastAsia" w:ascii="宋体" w:hAnsi="宋体" w:cs="宋体"/>
          <w:spacing w:val="-4"/>
          <w:highlight w:val="none"/>
        </w:rPr>
        <w:t>如无其他规定，</w:t>
      </w:r>
      <w:r>
        <w:rPr>
          <w:rFonts w:hint="eastAsia" w:ascii="宋体" w:hAnsi="宋体" w:cs="宋体"/>
          <w:spacing w:val="-6"/>
          <w:highlight w:val="none"/>
        </w:rPr>
        <w:t>5 min</w:t>
      </w:r>
      <w:r>
        <w:rPr>
          <w:rFonts w:hint="eastAsia" w:ascii="宋体" w:hAnsi="宋体" w:cs="宋体"/>
          <w:spacing w:val="-4"/>
          <w:highlight w:val="none"/>
        </w:rPr>
        <w:t>上电，</w:t>
      </w:r>
      <w:r>
        <w:rPr>
          <w:rFonts w:hint="eastAsia" w:ascii="宋体" w:hAnsi="宋体" w:cs="宋体"/>
          <w:spacing w:val="-6"/>
          <w:highlight w:val="none"/>
        </w:rPr>
        <w:t>5 min</w:t>
      </w:r>
      <w:r>
        <w:rPr>
          <w:rFonts w:hint="eastAsia" w:ascii="宋体" w:hAnsi="宋体" w:cs="宋体"/>
          <w:spacing w:val="-3"/>
          <w:highlight w:val="none"/>
        </w:rPr>
        <w:t>下电交替循环，其中</w:t>
      </w:r>
      <w:r>
        <w:rPr>
          <w:rFonts w:hint="eastAsia" w:ascii="宋体" w:hAnsi="宋体" w:cs="宋体"/>
          <w:highlight w:val="none"/>
        </w:rPr>
        <w:t>5min</w:t>
      </w:r>
      <w:r>
        <w:rPr>
          <w:rFonts w:hint="eastAsia" w:ascii="宋体" w:hAnsi="宋体" w:cs="宋体"/>
          <w:spacing w:val="-3"/>
          <w:highlight w:val="none"/>
        </w:rPr>
        <w:t>上电时电源管理芯片以典型工作模式运行</w:t>
      </w:r>
      <w:r>
        <w:rPr>
          <w:rFonts w:hint="eastAsia" w:ascii="宋体" w:hAnsi="宋体" w:cs="宋体"/>
          <w:highlight w:val="none"/>
        </w:rPr>
        <w:t>）</w:t>
      </w:r>
      <w:r>
        <w:rPr>
          <w:rFonts w:hint="eastAsia" w:ascii="宋体" w:hAnsi="宋体" w:cs="宋体"/>
          <w:spacing w:val="-3"/>
          <w:highlight w:val="none"/>
        </w:rPr>
        <w:t xml:space="preserve">，试验中应实时监控样品的运行状态。 </w:t>
      </w:r>
    </w:p>
    <w:p w14:paraId="3E2C69A3">
      <w:pPr>
        <w:spacing w:before="120" w:beforeLines="50" w:after="120" w:afterLines="50" w:line="240" w:lineRule="auto"/>
        <w:jc w:val="center"/>
        <w:rPr>
          <w:rFonts w:ascii="黑体" w:hAnsi="Times New Roman" w:eastAsia="黑体"/>
          <w:kern w:val="21"/>
          <w:szCs w:val="20"/>
          <w:highlight w:val="none"/>
        </w:rPr>
      </w:pPr>
      <w:r>
        <w:rPr>
          <w:rFonts w:hint="eastAsia" w:ascii="黑体" w:hAnsi="Times New Roman" w:eastAsia="黑体"/>
          <w:kern w:val="21"/>
          <w:szCs w:val="20"/>
          <w:highlight w:val="none"/>
        </w:rPr>
        <w:t>表 23  功率温度循环条件</w:t>
      </w:r>
    </w:p>
    <w:tbl>
      <w:tblPr>
        <w:tblStyle w:val="28"/>
        <w:tblW w:w="9357"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1575"/>
        <w:gridCol w:w="1436"/>
        <w:gridCol w:w="1578"/>
        <w:gridCol w:w="1649"/>
        <w:gridCol w:w="1558"/>
        <w:gridCol w:w="1561"/>
      </w:tblGrid>
      <w:tr w14:paraId="1ED7308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39" w:hRule="atLeast"/>
          <w:jc w:val="center"/>
        </w:trPr>
        <w:tc>
          <w:tcPr>
            <w:tcW w:w="1575" w:type="dxa"/>
            <w:tcBorders>
              <w:tl2br w:val="nil"/>
              <w:tr2bl w:val="nil"/>
            </w:tcBorders>
            <w:vAlign w:val="center"/>
          </w:tcPr>
          <w:p w14:paraId="48DD6995">
            <w:pPr>
              <w:spacing w:line="240" w:lineRule="auto"/>
              <w:ind w:left="445" w:right="338"/>
              <w:jc w:val="center"/>
              <w:rPr>
                <w:rFonts w:hint="eastAsia" w:ascii="宋体" w:hAnsi="宋体" w:cs="宋体"/>
                <w:sz w:val="18"/>
                <w:szCs w:val="18"/>
                <w:highlight w:val="none"/>
                <w:lang w:eastAsia="en-US"/>
              </w:rPr>
            </w:pPr>
            <w:r>
              <w:rPr>
                <w:rFonts w:hint="eastAsia" w:ascii="宋体" w:hAnsi="宋体" w:cs="宋体"/>
                <w:sz w:val="18"/>
                <w:szCs w:val="18"/>
                <w:highlight w:val="none"/>
                <w:lang w:eastAsia="en-US"/>
              </w:rPr>
              <w:t>温度等级</w:t>
            </w:r>
          </w:p>
        </w:tc>
        <w:tc>
          <w:tcPr>
            <w:tcW w:w="1436" w:type="dxa"/>
            <w:tcBorders>
              <w:tl2br w:val="nil"/>
              <w:tr2bl w:val="nil"/>
            </w:tcBorders>
            <w:vAlign w:val="center"/>
          </w:tcPr>
          <w:p w14:paraId="71284B06">
            <w:pPr>
              <w:spacing w:line="240" w:lineRule="auto"/>
              <w:ind w:left="266" w:right="159"/>
              <w:jc w:val="center"/>
              <w:rPr>
                <w:rFonts w:hint="eastAsia" w:ascii="宋体" w:hAnsi="宋体" w:cs="宋体"/>
                <w:sz w:val="18"/>
                <w:szCs w:val="18"/>
                <w:highlight w:val="none"/>
                <w:lang w:eastAsia="en-US"/>
              </w:rPr>
            </w:pPr>
            <w:r>
              <w:rPr>
                <w:rFonts w:hint="eastAsia" w:ascii="宋体" w:hAnsi="宋体" w:cs="宋体"/>
                <w:sz w:val="18"/>
                <w:szCs w:val="18"/>
                <w:highlight w:val="none"/>
                <w:lang w:eastAsia="en-US"/>
              </w:rPr>
              <w:t>最低温度</w:t>
            </w:r>
          </w:p>
        </w:tc>
        <w:tc>
          <w:tcPr>
            <w:tcW w:w="1578" w:type="dxa"/>
            <w:tcBorders>
              <w:tl2br w:val="nil"/>
              <w:tr2bl w:val="nil"/>
            </w:tcBorders>
            <w:vAlign w:val="center"/>
          </w:tcPr>
          <w:p w14:paraId="31D3137A">
            <w:pPr>
              <w:spacing w:line="240" w:lineRule="auto"/>
              <w:ind w:left="311" w:right="209"/>
              <w:jc w:val="center"/>
              <w:rPr>
                <w:rFonts w:hint="eastAsia" w:ascii="宋体" w:hAnsi="宋体" w:cs="宋体"/>
                <w:sz w:val="18"/>
                <w:szCs w:val="18"/>
                <w:highlight w:val="none"/>
                <w:lang w:eastAsia="en-US"/>
              </w:rPr>
            </w:pPr>
            <w:r>
              <w:rPr>
                <w:rFonts w:hint="eastAsia" w:ascii="宋体" w:hAnsi="宋体" w:cs="宋体"/>
                <w:sz w:val="18"/>
                <w:szCs w:val="18"/>
                <w:highlight w:val="none"/>
                <w:lang w:eastAsia="en-US"/>
              </w:rPr>
              <w:t>最高温度</w:t>
            </w:r>
          </w:p>
        </w:tc>
        <w:tc>
          <w:tcPr>
            <w:tcW w:w="1649" w:type="dxa"/>
            <w:tcBorders>
              <w:tl2br w:val="nil"/>
              <w:tr2bl w:val="nil"/>
            </w:tcBorders>
            <w:vAlign w:val="center"/>
          </w:tcPr>
          <w:p w14:paraId="099EF130">
            <w:pPr>
              <w:spacing w:line="240" w:lineRule="auto"/>
              <w:ind w:left="311" w:right="206"/>
              <w:jc w:val="center"/>
              <w:rPr>
                <w:rFonts w:hint="eastAsia" w:ascii="宋体" w:hAnsi="宋体" w:cs="宋体"/>
                <w:sz w:val="18"/>
                <w:szCs w:val="18"/>
                <w:highlight w:val="none"/>
                <w:lang w:eastAsia="en-US"/>
              </w:rPr>
            </w:pPr>
            <w:r>
              <w:rPr>
                <w:rFonts w:hint="eastAsia" w:ascii="宋体" w:hAnsi="宋体" w:cs="宋体"/>
                <w:sz w:val="18"/>
                <w:szCs w:val="18"/>
                <w:highlight w:val="none"/>
                <w:lang w:eastAsia="en-US"/>
              </w:rPr>
              <w:t>停留时间</w:t>
            </w:r>
          </w:p>
        </w:tc>
        <w:tc>
          <w:tcPr>
            <w:tcW w:w="1558" w:type="dxa"/>
            <w:tcBorders>
              <w:tl2br w:val="nil"/>
              <w:tr2bl w:val="nil"/>
            </w:tcBorders>
            <w:vAlign w:val="center"/>
          </w:tcPr>
          <w:p w14:paraId="319764F4">
            <w:pPr>
              <w:spacing w:line="240" w:lineRule="auto"/>
              <w:ind w:left="265" w:right="163"/>
              <w:jc w:val="center"/>
              <w:rPr>
                <w:rFonts w:hint="eastAsia" w:ascii="宋体" w:hAnsi="宋体" w:cs="宋体"/>
                <w:sz w:val="18"/>
                <w:szCs w:val="18"/>
                <w:highlight w:val="none"/>
                <w:lang w:eastAsia="en-US"/>
              </w:rPr>
            </w:pPr>
            <w:r>
              <w:rPr>
                <w:rFonts w:hint="eastAsia" w:ascii="宋体" w:hAnsi="宋体" w:cs="宋体"/>
                <w:sz w:val="18"/>
                <w:szCs w:val="18"/>
                <w:highlight w:val="none"/>
                <w:lang w:eastAsia="en-US"/>
              </w:rPr>
              <w:t>温度转换时间</w:t>
            </w:r>
          </w:p>
        </w:tc>
        <w:tc>
          <w:tcPr>
            <w:tcW w:w="1561" w:type="dxa"/>
            <w:tcBorders>
              <w:tl2br w:val="nil"/>
              <w:tr2bl w:val="nil"/>
            </w:tcBorders>
            <w:vAlign w:val="center"/>
          </w:tcPr>
          <w:p w14:paraId="1808A60E">
            <w:pPr>
              <w:spacing w:line="240" w:lineRule="auto"/>
              <w:ind w:left="268" w:right="157"/>
              <w:jc w:val="center"/>
              <w:rPr>
                <w:rFonts w:hint="eastAsia" w:ascii="宋体" w:hAnsi="宋体" w:cs="宋体"/>
                <w:sz w:val="18"/>
                <w:szCs w:val="18"/>
                <w:highlight w:val="none"/>
                <w:lang w:eastAsia="en-US"/>
              </w:rPr>
            </w:pPr>
            <w:r>
              <w:rPr>
                <w:rFonts w:hint="eastAsia" w:ascii="宋体" w:hAnsi="宋体" w:cs="宋体"/>
                <w:sz w:val="18"/>
                <w:szCs w:val="18"/>
                <w:highlight w:val="none"/>
                <w:lang w:eastAsia="en-US"/>
              </w:rPr>
              <w:t>温度循环次数</w:t>
            </w:r>
          </w:p>
        </w:tc>
      </w:tr>
      <w:tr w14:paraId="03B8B5B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68" w:hRule="atLeast"/>
          <w:jc w:val="center"/>
        </w:trPr>
        <w:tc>
          <w:tcPr>
            <w:tcW w:w="1575" w:type="dxa"/>
            <w:tcBorders>
              <w:tl2br w:val="nil"/>
              <w:tr2bl w:val="nil"/>
            </w:tcBorders>
            <w:vAlign w:val="center"/>
          </w:tcPr>
          <w:p w14:paraId="406D1218">
            <w:pPr>
              <w:spacing w:line="240" w:lineRule="auto"/>
              <w:ind w:left="445" w:right="338"/>
              <w:jc w:val="center"/>
              <w:rPr>
                <w:rFonts w:hint="eastAsia" w:ascii="宋体" w:hAnsi="宋体" w:cs="宋体"/>
                <w:sz w:val="18"/>
                <w:szCs w:val="18"/>
                <w:highlight w:val="none"/>
                <w:lang w:eastAsia="en-US"/>
              </w:rPr>
            </w:pPr>
            <w:r>
              <w:rPr>
                <w:rFonts w:hint="eastAsia" w:ascii="宋体" w:hAnsi="宋体" w:cs="宋体"/>
                <w:sz w:val="18"/>
                <w:szCs w:val="18"/>
                <w:highlight w:val="none"/>
                <w:lang w:eastAsia="en-US"/>
              </w:rPr>
              <w:t>0</w:t>
            </w:r>
          </w:p>
        </w:tc>
        <w:tc>
          <w:tcPr>
            <w:tcW w:w="1436" w:type="dxa"/>
            <w:tcBorders>
              <w:tl2br w:val="nil"/>
              <w:tr2bl w:val="nil"/>
            </w:tcBorders>
            <w:vAlign w:val="center"/>
          </w:tcPr>
          <w:p w14:paraId="335BE9E7">
            <w:pPr>
              <w:spacing w:line="240" w:lineRule="auto"/>
              <w:ind w:left="265" w:right="157"/>
              <w:jc w:val="center"/>
              <w:rPr>
                <w:rFonts w:hint="eastAsia" w:ascii="宋体" w:hAnsi="宋体" w:cs="宋体"/>
                <w:sz w:val="18"/>
                <w:szCs w:val="18"/>
                <w:highlight w:val="none"/>
                <w:lang w:eastAsia="en-US"/>
              </w:rPr>
            </w:pPr>
            <w:r>
              <w:rPr>
                <w:rFonts w:hint="eastAsia" w:ascii="宋体" w:hAnsi="宋体" w:cs="宋体"/>
                <w:sz w:val="18"/>
                <w:szCs w:val="18"/>
                <w:highlight w:val="none"/>
                <w:lang w:eastAsia="en-US"/>
              </w:rPr>
              <w:t>-40 ℃</w:t>
            </w:r>
          </w:p>
        </w:tc>
        <w:tc>
          <w:tcPr>
            <w:tcW w:w="1578" w:type="dxa"/>
            <w:tcBorders>
              <w:tl2br w:val="nil"/>
              <w:tr2bl w:val="nil"/>
            </w:tcBorders>
            <w:vAlign w:val="center"/>
          </w:tcPr>
          <w:p w14:paraId="68290BD2">
            <w:pPr>
              <w:spacing w:line="240" w:lineRule="auto"/>
              <w:ind w:left="311" w:right="209"/>
              <w:jc w:val="center"/>
              <w:rPr>
                <w:rFonts w:hint="eastAsia" w:ascii="宋体" w:hAnsi="宋体" w:cs="宋体"/>
                <w:sz w:val="18"/>
                <w:szCs w:val="18"/>
                <w:highlight w:val="none"/>
                <w:lang w:eastAsia="en-US"/>
              </w:rPr>
            </w:pPr>
            <w:r>
              <w:rPr>
                <w:rFonts w:hint="eastAsia" w:ascii="宋体" w:hAnsi="宋体" w:cs="宋体"/>
                <w:sz w:val="18"/>
                <w:szCs w:val="18"/>
                <w:highlight w:val="none"/>
                <w:lang w:eastAsia="en-US"/>
              </w:rPr>
              <w:t>150 ℃</w:t>
            </w:r>
          </w:p>
        </w:tc>
        <w:tc>
          <w:tcPr>
            <w:tcW w:w="1649" w:type="dxa"/>
            <w:tcBorders>
              <w:tl2br w:val="nil"/>
              <w:tr2bl w:val="nil"/>
            </w:tcBorders>
            <w:vAlign w:val="center"/>
          </w:tcPr>
          <w:p w14:paraId="09B76D61">
            <w:pPr>
              <w:spacing w:line="240" w:lineRule="auto"/>
              <w:ind w:left="311" w:right="203"/>
              <w:jc w:val="center"/>
              <w:rPr>
                <w:rFonts w:hint="eastAsia" w:ascii="宋体" w:hAnsi="宋体" w:cs="宋体"/>
                <w:sz w:val="18"/>
                <w:szCs w:val="18"/>
                <w:highlight w:val="none"/>
                <w:lang w:eastAsia="en-US"/>
              </w:rPr>
            </w:pPr>
            <w:r>
              <w:rPr>
                <w:rFonts w:hint="eastAsia" w:ascii="宋体" w:hAnsi="宋体" w:cs="宋体"/>
                <w:sz w:val="18"/>
                <w:szCs w:val="18"/>
                <w:highlight w:val="none"/>
                <w:lang w:eastAsia="en-US"/>
              </w:rPr>
              <w:t>≥10min</w:t>
            </w:r>
          </w:p>
        </w:tc>
        <w:tc>
          <w:tcPr>
            <w:tcW w:w="1558" w:type="dxa"/>
            <w:tcBorders>
              <w:tl2br w:val="nil"/>
              <w:tr2bl w:val="nil"/>
            </w:tcBorders>
            <w:vAlign w:val="center"/>
          </w:tcPr>
          <w:p w14:paraId="5CEBDFE7">
            <w:pPr>
              <w:spacing w:line="240" w:lineRule="auto"/>
              <w:ind w:left="265" w:right="160"/>
              <w:jc w:val="center"/>
              <w:rPr>
                <w:rFonts w:hint="eastAsia" w:ascii="宋体" w:hAnsi="宋体" w:cs="宋体"/>
                <w:sz w:val="18"/>
                <w:szCs w:val="18"/>
                <w:highlight w:val="none"/>
                <w:lang w:eastAsia="en-US"/>
              </w:rPr>
            </w:pPr>
            <w:r>
              <w:rPr>
                <w:rFonts w:hint="eastAsia" w:ascii="宋体" w:hAnsi="宋体" w:cs="宋体"/>
                <w:sz w:val="18"/>
                <w:szCs w:val="18"/>
                <w:highlight w:val="none"/>
                <w:lang w:eastAsia="en-US"/>
              </w:rPr>
              <w:t>≤35min</w:t>
            </w:r>
          </w:p>
        </w:tc>
        <w:tc>
          <w:tcPr>
            <w:tcW w:w="1561" w:type="dxa"/>
            <w:tcBorders>
              <w:tl2br w:val="nil"/>
              <w:tr2bl w:val="nil"/>
            </w:tcBorders>
            <w:vAlign w:val="center"/>
          </w:tcPr>
          <w:p w14:paraId="5FF98D90">
            <w:pPr>
              <w:spacing w:line="240" w:lineRule="auto"/>
              <w:ind w:left="268" w:right="157"/>
              <w:jc w:val="center"/>
              <w:rPr>
                <w:rFonts w:hint="eastAsia" w:ascii="宋体" w:hAnsi="宋体" w:cs="宋体"/>
                <w:sz w:val="18"/>
                <w:szCs w:val="18"/>
                <w:highlight w:val="none"/>
                <w:lang w:eastAsia="en-US"/>
              </w:rPr>
            </w:pPr>
            <w:r>
              <w:rPr>
                <w:rFonts w:hint="eastAsia" w:ascii="宋体" w:hAnsi="宋体" w:cs="宋体"/>
                <w:sz w:val="18"/>
                <w:szCs w:val="18"/>
                <w:highlight w:val="none"/>
                <w:lang w:eastAsia="en-US"/>
              </w:rPr>
              <w:t>1000循环</w:t>
            </w:r>
          </w:p>
        </w:tc>
      </w:tr>
      <w:tr w14:paraId="580BF7B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68" w:hRule="atLeast"/>
          <w:jc w:val="center"/>
        </w:trPr>
        <w:tc>
          <w:tcPr>
            <w:tcW w:w="1575" w:type="dxa"/>
            <w:tcBorders>
              <w:tl2br w:val="nil"/>
              <w:tr2bl w:val="nil"/>
            </w:tcBorders>
            <w:vAlign w:val="center"/>
          </w:tcPr>
          <w:p w14:paraId="601EFBC0">
            <w:pPr>
              <w:spacing w:line="240" w:lineRule="auto"/>
              <w:ind w:left="445" w:right="338"/>
              <w:jc w:val="center"/>
              <w:rPr>
                <w:rFonts w:hint="eastAsia" w:ascii="宋体" w:hAnsi="宋体" w:cs="宋体"/>
                <w:sz w:val="18"/>
                <w:szCs w:val="18"/>
                <w:highlight w:val="none"/>
                <w:lang w:eastAsia="en-US"/>
              </w:rPr>
            </w:pPr>
            <w:r>
              <w:rPr>
                <w:rFonts w:hint="eastAsia" w:ascii="宋体" w:hAnsi="宋体" w:cs="宋体"/>
                <w:sz w:val="18"/>
                <w:szCs w:val="18"/>
                <w:highlight w:val="none"/>
                <w:lang w:eastAsia="en-US"/>
              </w:rPr>
              <w:t>1</w:t>
            </w:r>
          </w:p>
        </w:tc>
        <w:tc>
          <w:tcPr>
            <w:tcW w:w="1436" w:type="dxa"/>
            <w:tcBorders>
              <w:tl2br w:val="nil"/>
              <w:tr2bl w:val="nil"/>
            </w:tcBorders>
            <w:vAlign w:val="center"/>
          </w:tcPr>
          <w:p w14:paraId="1FACD449">
            <w:pPr>
              <w:spacing w:line="240" w:lineRule="auto"/>
              <w:ind w:left="265" w:right="157"/>
              <w:jc w:val="center"/>
              <w:rPr>
                <w:rFonts w:hint="eastAsia" w:ascii="宋体" w:hAnsi="宋体" w:cs="宋体"/>
                <w:sz w:val="18"/>
                <w:szCs w:val="18"/>
                <w:highlight w:val="none"/>
                <w:lang w:eastAsia="en-US"/>
              </w:rPr>
            </w:pPr>
            <w:r>
              <w:rPr>
                <w:rFonts w:hint="eastAsia" w:ascii="宋体" w:hAnsi="宋体" w:cs="宋体"/>
                <w:sz w:val="18"/>
                <w:szCs w:val="18"/>
                <w:highlight w:val="none"/>
                <w:lang w:eastAsia="en-US"/>
              </w:rPr>
              <w:t>-40 ℃</w:t>
            </w:r>
          </w:p>
        </w:tc>
        <w:tc>
          <w:tcPr>
            <w:tcW w:w="1578" w:type="dxa"/>
            <w:tcBorders>
              <w:tl2br w:val="nil"/>
              <w:tr2bl w:val="nil"/>
            </w:tcBorders>
            <w:vAlign w:val="center"/>
          </w:tcPr>
          <w:p w14:paraId="4458BEB3">
            <w:pPr>
              <w:spacing w:line="240" w:lineRule="auto"/>
              <w:ind w:left="311" w:right="209"/>
              <w:jc w:val="center"/>
              <w:rPr>
                <w:rFonts w:hint="eastAsia" w:ascii="宋体" w:hAnsi="宋体" w:cs="宋体"/>
                <w:sz w:val="18"/>
                <w:szCs w:val="18"/>
                <w:highlight w:val="none"/>
                <w:lang w:eastAsia="en-US"/>
              </w:rPr>
            </w:pPr>
            <w:r>
              <w:rPr>
                <w:rFonts w:hint="eastAsia" w:ascii="宋体" w:hAnsi="宋体" w:cs="宋体"/>
                <w:sz w:val="18"/>
                <w:szCs w:val="18"/>
                <w:highlight w:val="none"/>
                <w:lang w:eastAsia="en-US"/>
              </w:rPr>
              <w:t>125 ℃</w:t>
            </w:r>
          </w:p>
        </w:tc>
        <w:tc>
          <w:tcPr>
            <w:tcW w:w="1649" w:type="dxa"/>
            <w:tcBorders>
              <w:tl2br w:val="nil"/>
              <w:tr2bl w:val="nil"/>
            </w:tcBorders>
            <w:vAlign w:val="center"/>
          </w:tcPr>
          <w:p w14:paraId="1B98AC20">
            <w:pPr>
              <w:spacing w:line="240" w:lineRule="auto"/>
              <w:ind w:left="311" w:right="203"/>
              <w:jc w:val="center"/>
              <w:rPr>
                <w:rFonts w:hint="eastAsia" w:ascii="宋体" w:hAnsi="宋体" w:cs="宋体"/>
                <w:sz w:val="18"/>
                <w:szCs w:val="18"/>
                <w:highlight w:val="none"/>
                <w:lang w:eastAsia="en-US"/>
              </w:rPr>
            </w:pPr>
            <w:r>
              <w:rPr>
                <w:rFonts w:hint="eastAsia" w:ascii="宋体" w:hAnsi="宋体" w:cs="宋体"/>
                <w:sz w:val="18"/>
                <w:szCs w:val="18"/>
                <w:highlight w:val="none"/>
                <w:lang w:eastAsia="en-US"/>
              </w:rPr>
              <w:t>≥10min</w:t>
            </w:r>
          </w:p>
        </w:tc>
        <w:tc>
          <w:tcPr>
            <w:tcW w:w="1558" w:type="dxa"/>
            <w:tcBorders>
              <w:tl2br w:val="nil"/>
              <w:tr2bl w:val="nil"/>
            </w:tcBorders>
            <w:vAlign w:val="center"/>
          </w:tcPr>
          <w:p w14:paraId="4B100BF6">
            <w:pPr>
              <w:spacing w:line="240" w:lineRule="auto"/>
              <w:ind w:left="265" w:right="160"/>
              <w:jc w:val="center"/>
              <w:rPr>
                <w:rFonts w:hint="eastAsia" w:ascii="宋体" w:hAnsi="宋体" w:cs="宋体"/>
                <w:sz w:val="18"/>
                <w:szCs w:val="18"/>
                <w:highlight w:val="none"/>
                <w:lang w:eastAsia="en-US"/>
              </w:rPr>
            </w:pPr>
            <w:r>
              <w:rPr>
                <w:rFonts w:hint="eastAsia" w:ascii="宋体" w:hAnsi="宋体" w:cs="宋体"/>
                <w:sz w:val="18"/>
                <w:szCs w:val="18"/>
                <w:highlight w:val="none"/>
                <w:lang w:eastAsia="en-US"/>
              </w:rPr>
              <w:t>≤30min</w:t>
            </w:r>
          </w:p>
        </w:tc>
        <w:tc>
          <w:tcPr>
            <w:tcW w:w="1561" w:type="dxa"/>
            <w:tcBorders>
              <w:tl2br w:val="nil"/>
              <w:tr2bl w:val="nil"/>
            </w:tcBorders>
            <w:vAlign w:val="center"/>
          </w:tcPr>
          <w:p w14:paraId="41A7A905">
            <w:pPr>
              <w:spacing w:line="240" w:lineRule="auto"/>
              <w:ind w:left="268" w:right="157"/>
              <w:jc w:val="center"/>
              <w:rPr>
                <w:rFonts w:hint="eastAsia" w:ascii="宋体" w:hAnsi="宋体" w:cs="宋体"/>
                <w:sz w:val="18"/>
                <w:szCs w:val="18"/>
                <w:highlight w:val="none"/>
                <w:lang w:eastAsia="en-US"/>
              </w:rPr>
            </w:pPr>
            <w:r>
              <w:rPr>
                <w:rFonts w:hint="eastAsia" w:ascii="宋体" w:hAnsi="宋体" w:cs="宋体"/>
                <w:sz w:val="18"/>
                <w:szCs w:val="18"/>
                <w:highlight w:val="none"/>
                <w:lang w:eastAsia="en-US"/>
              </w:rPr>
              <w:t>1000循环</w:t>
            </w:r>
          </w:p>
        </w:tc>
      </w:tr>
      <w:tr w14:paraId="1A5CEB1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68" w:hRule="atLeast"/>
          <w:jc w:val="center"/>
        </w:trPr>
        <w:tc>
          <w:tcPr>
            <w:tcW w:w="1575" w:type="dxa"/>
            <w:tcBorders>
              <w:tl2br w:val="nil"/>
              <w:tr2bl w:val="nil"/>
            </w:tcBorders>
            <w:vAlign w:val="center"/>
          </w:tcPr>
          <w:p w14:paraId="5E29F0BB">
            <w:pPr>
              <w:spacing w:line="240" w:lineRule="auto"/>
              <w:ind w:left="445" w:right="338"/>
              <w:jc w:val="center"/>
              <w:rPr>
                <w:rFonts w:hint="eastAsia" w:ascii="宋体" w:hAnsi="宋体" w:cs="宋体"/>
                <w:sz w:val="18"/>
                <w:szCs w:val="18"/>
                <w:highlight w:val="none"/>
                <w:lang w:eastAsia="en-US"/>
              </w:rPr>
            </w:pPr>
            <w:r>
              <w:rPr>
                <w:rFonts w:hint="eastAsia" w:ascii="宋体" w:hAnsi="宋体" w:cs="宋体"/>
                <w:sz w:val="18"/>
                <w:szCs w:val="18"/>
                <w:highlight w:val="none"/>
                <w:lang w:eastAsia="en-US"/>
              </w:rPr>
              <w:t>2</w:t>
            </w:r>
          </w:p>
        </w:tc>
        <w:tc>
          <w:tcPr>
            <w:tcW w:w="1436" w:type="dxa"/>
            <w:tcBorders>
              <w:tl2br w:val="nil"/>
              <w:tr2bl w:val="nil"/>
            </w:tcBorders>
            <w:vAlign w:val="center"/>
          </w:tcPr>
          <w:p w14:paraId="0A050EF4">
            <w:pPr>
              <w:spacing w:line="240" w:lineRule="auto"/>
              <w:ind w:left="265" w:right="157"/>
              <w:jc w:val="center"/>
              <w:rPr>
                <w:rFonts w:hint="eastAsia" w:ascii="宋体" w:hAnsi="宋体" w:cs="宋体"/>
                <w:sz w:val="18"/>
                <w:szCs w:val="18"/>
                <w:highlight w:val="none"/>
                <w:lang w:eastAsia="en-US"/>
              </w:rPr>
            </w:pPr>
            <w:r>
              <w:rPr>
                <w:rFonts w:hint="eastAsia" w:ascii="宋体" w:hAnsi="宋体" w:cs="宋体"/>
                <w:sz w:val="18"/>
                <w:szCs w:val="18"/>
                <w:highlight w:val="none"/>
                <w:lang w:eastAsia="en-US"/>
              </w:rPr>
              <w:t>-40 ℃</w:t>
            </w:r>
          </w:p>
        </w:tc>
        <w:tc>
          <w:tcPr>
            <w:tcW w:w="1578" w:type="dxa"/>
            <w:tcBorders>
              <w:tl2br w:val="nil"/>
              <w:tr2bl w:val="nil"/>
            </w:tcBorders>
            <w:vAlign w:val="center"/>
          </w:tcPr>
          <w:p w14:paraId="7F1B5205">
            <w:pPr>
              <w:spacing w:line="240" w:lineRule="auto"/>
              <w:ind w:left="311" w:right="209"/>
              <w:jc w:val="center"/>
              <w:rPr>
                <w:rFonts w:hint="eastAsia" w:ascii="宋体" w:hAnsi="宋体" w:cs="宋体"/>
                <w:sz w:val="18"/>
                <w:szCs w:val="18"/>
                <w:highlight w:val="none"/>
                <w:lang w:eastAsia="en-US"/>
              </w:rPr>
            </w:pPr>
            <w:r>
              <w:rPr>
                <w:rFonts w:hint="eastAsia" w:ascii="宋体" w:hAnsi="宋体" w:cs="宋体"/>
                <w:sz w:val="18"/>
                <w:szCs w:val="18"/>
                <w:highlight w:val="none"/>
                <w:lang w:eastAsia="en-US"/>
              </w:rPr>
              <w:t>105 ℃</w:t>
            </w:r>
          </w:p>
        </w:tc>
        <w:tc>
          <w:tcPr>
            <w:tcW w:w="1649" w:type="dxa"/>
            <w:tcBorders>
              <w:tl2br w:val="nil"/>
              <w:tr2bl w:val="nil"/>
            </w:tcBorders>
            <w:vAlign w:val="center"/>
          </w:tcPr>
          <w:p w14:paraId="56269089">
            <w:pPr>
              <w:spacing w:line="240" w:lineRule="auto"/>
              <w:ind w:left="311" w:right="203"/>
              <w:jc w:val="center"/>
              <w:rPr>
                <w:rFonts w:hint="eastAsia" w:ascii="宋体" w:hAnsi="宋体" w:cs="宋体"/>
                <w:sz w:val="18"/>
                <w:szCs w:val="18"/>
                <w:highlight w:val="none"/>
                <w:lang w:eastAsia="en-US"/>
              </w:rPr>
            </w:pPr>
            <w:r>
              <w:rPr>
                <w:rFonts w:hint="eastAsia" w:ascii="宋体" w:hAnsi="宋体" w:cs="宋体"/>
                <w:sz w:val="18"/>
                <w:szCs w:val="18"/>
                <w:highlight w:val="none"/>
                <w:lang w:eastAsia="en-US"/>
              </w:rPr>
              <w:t>≥10min</w:t>
            </w:r>
          </w:p>
        </w:tc>
        <w:tc>
          <w:tcPr>
            <w:tcW w:w="1558" w:type="dxa"/>
            <w:tcBorders>
              <w:tl2br w:val="nil"/>
              <w:tr2bl w:val="nil"/>
            </w:tcBorders>
            <w:vAlign w:val="center"/>
          </w:tcPr>
          <w:p w14:paraId="2083C864">
            <w:pPr>
              <w:spacing w:line="240" w:lineRule="auto"/>
              <w:ind w:left="265" w:right="160"/>
              <w:jc w:val="center"/>
              <w:rPr>
                <w:rFonts w:hint="eastAsia" w:ascii="宋体" w:hAnsi="宋体" w:cs="宋体"/>
                <w:sz w:val="18"/>
                <w:szCs w:val="18"/>
                <w:highlight w:val="none"/>
                <w:lang w:eastAsia="en-US"/>
              </w:rPr>
            </w:pPr>
            <w:r>
              <w:rPr>
                <w:rFonts w:hint="eastAsia" w:ascii="宋体" w:hAnsi="宋体" w:cs="宋体"/>
                <w:sz w:val="18"/>
                <w:szCs w:val="18"/>
                <w:highlight w:val="none"/>
                <w:lang w:eastAsia="en-US"/>
              </w:rPr>
              <w:t>≤25min</w:t>
            </w:r>
          </w:p>
        </w:tc>
        <w:tc>
          <w:tcPr>
            <w:tcW w:w="1561" w:type="dxa"/>
            <w:tcBorders>
              <w:tl2br w:val="nil"/>
              <w:tr2bl w:val="nil"/>
            </w:tcBorders>
            <w:vAlign w:val="center"/>
          </w:tcPr>
          <w:p w14:paraId="7AAB5807">
            <w:pPr>
              <w:spacing w:line="240" w:lineRule="auto"/>
              <w:ind w:left="268" w:right="157"/>
              <w:jc w:val="center"/>
              <w:rPr>
                <w:rFonts w:hint="eastAsia" w:ascii="宋体" w:hAnsi="宋体" w:cs="宋体"/>
                <w:sz w:val="18"/>
                <w:szCs w:val="18"/>
                <w:highlight w:val="none"/>
                <w:lang w:eastAsia="en-US"/>
              </w:rPr>
            </w:pPr>
            <w:r>
              <w:rPr>
                <w:rFonts w:hint="eastAsia" w:ascii="宋体" w:hAnsi="宋体" w:cs="宋体"/>
                <w:sz w:val="18"/>
                <w:szCs w:val="18"/>
                <w:highlight w:val="none"/>
                <w:lang w:eastAsia="en-US"/>
              </w:rPr>
              <w:t>1000循环</w:t>
            </w:r>
          </w:p>
        </w:tc>
      </w:tr>
      <w:tr w14:paraId="62AC3E8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02" w:hRule="atLeast"/>
          <w:jc w:val="center"/>
        </w:trPr>
        <w:tc>
          <w:tcPr>
            <w:tcW w:w="1575" w:type="dxa"/>
            <w:tcBorders>
              <w:tl2br w:val="nil"/>
              <w:tr2bl w:val="nil"/>
            </w:tcBorders>
            <w:vAlign w:val="center"/>
          </w:tcPr>
          <w:p w14:paraId="79B4D15C">
            <w:pPr>
              <w:spacing w:line="240" w:lineRule="auto"/>
              <w:ind w:left="445" w:right="338"/>
              <w:jc w:val="center"/>
              <w:rPr>
                <w:rFonts w:hint="eastAsia" w:ascii="宋体" w:hAnsi="宋体" w:cs="宋体"/>
                <w:sz w:val="18"/>
                <w:szCs w:val="18"/>
                <w:highlight w:val="none"/>
                <w:lang w:eastAsia="en-US"/>
              </w:rPr>
            </w:pPr>
            <w:r>
              <w:rPr>
                <w:rFonts w:hint="eastAsia" w:ascii="宋体" w:hAnsi="宋体" w:cs="宋体"/>
                <w:sz w:val="18"/>
                <w:szCs w:val="18"/>
                <w:highlight w:val="none"/>
                <w:lang w:eastAsia="en-US"/>
              </w:rPr>
              <w:t>3</w:t>
            </w:r>
          </w:p>
        </w:tc>
        <w:tc>
          <w:tcPr>
            <w:tcW w:w="1436" w:type="dxa"/>
            <w:tcBorders>
              <w:tl2br w:val="nil"/>
              <w:tr2bl w:val="nil"/>
            </w:tcBorders>
            <w:vAlign w:val="center"/>
          </w:tcPr>
          <w:p w14:paraId="28D0B31B">
            <w:pPr>
              <w:spacing w:line="240" w:lineRule="auto"/>
              <w:ind w:left="265" w:right="157"/>
              <w:jc w:val="center"/>
              <w:rPr>
                <w:rFonts w:hint="eastAsia" w:ascii="宋体" w:hAnsi="宋体" w:cs="宋体"/>
                <w:sz w:val="18"/>
                <w:szCs w:val="18"/>
                <w:highlight w:val="none"/>
                <w:lang w:eastAsia="en-US"/>
              </w:rPr>
            </w:pPr>
            <w:r>
              <w:rPr>
                <w:rFonts w:hint="eastAsia" w:ascii="宋体" w:hAnsi="宋体" w:cs="宋体"/>
                <w:sz w:val="18"/>
                <w:szCs w:val="18"/>
                <w:highlight w:val="none"/>
                <w:lang w:eastAsia="en-US"/>
              </w:rPr>
              <w:t>-40 ℃</w:t>
            </w:r>
          </w:p>
        </w:tc>
        <w:tc>
          <w:tcPr>
            <w:tcW w:w="1578" w:type="dxa"/>
            <w:tcBorders>
              <w:tl2br w:val="nil"/>
              <w:tr2bl w:val="nil"/>
            </w:tcBorders>
            <w:vAlign w:val="center"/>
          </w:tcPr>
          <w:p w14:paraId="6973CFDF">
            <w:pPr>
              <w:spacing w:line="240" w:lineRule="auto"/>
              <w:ind w:left="311" w:right="209"/>
              <w:jc w:val="center"/>
              <w:rPr>
                <w:rFonts w:hint="eastAsia" w:ascii="宋体" w:hAnsi="宋体" w:cs="宋体"/>
                <w:sz w:val="18"/>
                <w:szCs w:val="18"/>
                <w:highlight w:val="none"/>
                <w:lang w:eastAsia="en-US"/>
              </w:rPr>
            </w:pPr>
            <w:r>
              <w:rPr>
                <w:rFonts w:hint="eastAsia" w:ascii="宋体" w:hAnsi="宋体" w:cs="宋体"/>
                <w:sz w:val="18"/>
                <w:szCs w:val="18"/>
                <w:highlight w:val="none"/>
                <w:lang w:eastAsia="en-US"/>
              </w:rPr>
              <w:t>105 ℃</w:t>
            </w:r>
          </w:p>
        </w:tc>
        <w:tc>
          <w:tcPr>
            <w:tcW w:w="1649" w:type="dxa"/>
            <w:tcBorders>
              <w:tl2br w:val="nil"/>
              <w:tr2bl w:val="nil"/>
            </w:tcBorders>
            <w:vAlign w:val="center"/>
          </w:tcPr>
          <w:p w14:paraId="1AFA9FA4">
            <w:pPr>
              <w:spacing w:line="240" w:lineRule="auto"/>
              <w:ind w:left="311" w:right="203"/>
              <w:jc w:val="center"/>
              <w:rPr>
                <w:rFonts w:hint="eastAsia" w:ascii="宋体" w:hAnsi="宋体" w:cs="宋体"/>
                <w:sz w:val="18"/>
                <w:szCs w:val="18"/>
                <w:highlight w:val="none"/>
                <w:lang w:eastAsia="en-US"/>
              </w:rPr>
            </w:pPr>
            <w:r>
              <w:rPr>
                <w:rFonts w:hint="eastAsia" w:ascii="宋体" w:hAnsi="宋体" w:cs="宋体"/>
                <w:sz w:val="18"/>
                <w:szCs w:val="18"/>
                <w:highlight w:val="none"/>
                <w:lang w:eastAsia="en-US"/>
              </w:rPr>
              <w:t>≥10min</w:t>
            </w:r>
          </w:p>
        </w:tc>
        <w:tc>
          <w:tcPr>
            <w:tcW w:w="1558" w:type="dxa"/>
            <w:tcBorders>
              <w:tl2br w:val="nil"/>
              <w:tr2bl w:val="nil"/>
            </w:tcBorders>
            <w:vAlign w:val="center"/>
          </w:tcPr>
          <w:p w14:paraId="1BCB1333">
            <w:pPr>
              <w:spacing w:line="240" w:lineRule="auto"/>
              <w:ind w:left="265" w:right="160"/>
              <w:jc w:val="center"/>
              <w:rPr>
                <w:rFonts w:hint="eastAsia" w:ascii="宋体" w:hAnsi="宋体" w:cs="宋体"/>
                <w:sz w:val="18"/>
                <w:szCs w:val="18"/>
                <w:highlight w:val="none"/>
                <w:lang w:eastAsia="en-US"/>
              </w:rPr>
            </w:pPr>
            <w:r>
              <w:rPr>
                <w:rFonts w:hint="eastAsia" w:ascii="宋体" w:hAnsi="宋体" w:cs="宋体"/>
                <w:sz w:val="18"/>
                <w:szCs w:val="18"/>
                <w:highlight w:val="none"/>
                <w:lang w:eastAsia="en-US"/>
              </w:rPr>
              <w:t>≤25min</w:t>
            </w:r>
          </w:p>
        </w:tc>
        <w:tc>
          <w:tcPr>
            <w:tcW w:w="1561" w:type="dxa"/>
            <w:tcBorders>
              <w:tl2br w:val="nil"/>
              <w:tr2bl w:val="nil"/>
            </w:tcBorders>
            <w:vAlign w:val="center"/>
          </w:tcPr>
          <w:p w14:paraId="58AC3CFB">
            <w:pPr>
              <w:spacing w:line="240" w:lineRule="auto"/>
              <w:ind w:left="268" w:right="157"/>
              <w:jc w:val="center"/>
              <w:rPr>
                <w:rFonts w:hint="eastAsia" w:ascii="宋体" w:hAnsi="宋体" w:cs="宋体"/>
                <w:sz w:val="18"/>
                <w:szCs w:val="18"/>
                <w:highlight w:val="none"/>
                <w:lang w:eastAsia="en-US"/>
              </w:rPr>
            </w:pPr>
            <w:r>
              <w:rPr>
                <w:rFonts w:hint="eastAsia" w:ascii="宋体" w:hAnsi="宋体" w:cs="宋体"/>
                <w:sz w:val="18"/>
                <w:szCs w:val="18"/>
                <w:highlight w:val="none"/>
                <w:lang w:eastAsia="en-US"/>
              </w:rPr>
              <w:t>1000循环</w:t>
            </w:r>
          </w:p>
        </w:tc>
      </w:tr>
    </w:tbl>
    <w:p w14:paraId="04E7969D">
      <w:pPr>
        <w:widowControl/>
        <w:adjustRightInd/>
        <w:spacing w:before="60" w:beforeLines="25" w:after="60" w:afterLines="25" w:line="240" w:lineRule="auto"/>
        <w:ind w:firstLine="420" w:firstLineChars="200"/>
        <w:rPr>
          <w:rFonts w:hint="eastAsia" w:ascii="宋体" w:hAnsi="宋体" w:cs="宋体"/>
          <w:kern w:val="0"/>
          <w:highlight w:val="none"/>
        </w:rPr>
      </w:pPr>
      <w:r>
        <w:rPr>
          <w:rFonts w:hint="eastAsia" w:ascii="宋体" w:hAnsi="宋体" w:cs="宋体"/>
          <w:highlight w:val="none"/>
        </w:rPr>
        <w:t>试验前后进行外观检查，按照</w:t>
      </w:r>
      <w:r>
        <w:rPr>
          <w:rFonts w:hint="eastAsia" w:ascii="宋体" w:hAnsi="宋体" w:cs="宋体"/>
          <w:spacing w:val="-1"/>
          <w:highlight w:val="none"/>
        </w:rPr>
        <w:t>6.3.6.1</w:t>
      </w:r>
      <w:r>
        <w:rPr>
          <w:rFonts w:hint="eastAsia" w:ascii="宋体" w:hAnsi="宋体" w:cs="宋体"/>
          <w:highlight w:val="none"/>
        </w:rPr>
        <w:t>的方法进依次在室温和表5规定的最高工作温度下进行功能/</w:t>
      </w:r>
      <w:r>
        <w:rPr>
          <w:rFonts w:hint="eastAsia"/>
          <w:highlight w:val="none"/>
        </w:rPr>
        <w:t>电气参数</w:t>
      </w:r>
      <w:r>
        <w:rPr>
          <w:rFonts w:hint="eastAsia" w:ascii="宋体" w:hAnsi="宋体" w:cs="宋体"/>
          <w:highlight w:val="none"/>
        </w:rPr>
        <w:t>检查。功能检查应在恢复室温后96 h内完成。应力条件应连续施加，但中期测量期间可中断。允许在试验过程中（如试验的500循环时）对样品进行功能/</w:t>
      </w:r>
      <w:r>
        <w:rPr>
          <w:rFonts w:hint="eastAsia"/>
          <w:highlight w:val="none"/>
        </w:rPr>
        <w:t>电气参数</w:t>
      </w:r>
      <w:r>
        <w:rPr>
          <w:rFonts w:hint="eastAsia" w:ascii="宋体" w:hAnsi="宋体" w:cs="宋体"/>
          <w:highlight w:val="none"/>
        </w:rPr>
        <w:t>检查，中断时间不宜超过96 h。</w:t>
      </w:r>
    </w:p>
    <w:p w14:paraId="4389C925">
      <w:pPr>
        <w:widowControl/>
        <w:numPr>
          <w:ilvl w:val="2"/>
          <w:numId w:val="0"/>
        </w:numPr>
        <w:wordWrap w:val="0"/>
        <w:overflowPunct w:val="0"/>
        <w:autoSpaceDE w:val="0"/>
        <w:autoSpaceDN w:val="0"/>
        <w:spacing w:before="120" w:beforeLines="50" w:after="120" w:afterLines="50" w:line="240" w:lineRule="auto"/>
        <w:textAlignment w:val="baseline"/>
        <w:outlineLvl w:val="3"/>
        <w:rPr>
          <w:rFonts w:ascii="黑体" w:hAnsi="Times New Roman" w:eastAsia="黑体"/>
          <w:kern w:val="21"/>
          <w:highlight w:val="none"/>
        </w:rPr>
      </w:pPr>
      <w:r>
        <w:rPr>
          <w:rFonts w:hint="eastAsia" w:ascii="黑体" w:hAnsi="Times New Roman" w:eastAsia="黑体"/>
          <w:kern w:val="21"/>
          <w:highlight w:val="none"/>
        </w:rPr>
        <w:t>6.3.2.9  高温贮存寿命试验</w:t>
      </w:r>
    </w:p>
    <w:p w14:paraId="17F66E8E">
      <w:pPr>
        <w:autoSpaceDE w:val="0"/>
        <w:autoSpaceDN w:val="0"/>
        <w:spacing w:line="240" w:lineRule="auto"/>
        <w:ind w:firstLine="420" w:firstLineChars="200"/>
        <w:rPr>
          <w:rFonts w:ascii="宋体" w:hAnsi="Times New Roman"/>
          <w:highlight w:val="none"/>
        </w:rPr>
      </w:pPr>
      <w:r>
        <w:rPr>
          <w:rFonts w:hint="eastAsia" w:ascii="宋体" w:hAnsi="Times New Roman"/>
          <w:highlight w:val="none"/>
        </w:rPr>
        <w:t>按照表24的要求进行试验，使用1个批次的样品，样品数量不应少于4</w:t>
      </w:r>
      <w:r>
        <w:rPr>
          <w:rFonts w:ascii="宋体" w:hAnsi="Times New Roman"/>
          <w:highlight w:val="none"/>
        </w:rPr>
        <w:t>5</w:t>
      </w:r>
      <w:r>
        <w:rPr>
          <w:rFonts w:hint="eastAsia" w:ascii="宋体" w:hAnsi="Times New Roman"/>
          <w:highlight w:val="none"/>
        </w:rPr>
        <w:t>片。使用热电偶或其他温度测量装置监控样品的温度。</w:t>
      </w:r>
    </w:p>
    <w:p w14:paraId="63FBF674">
      <w:pPr>
        <w:spacing w:before="120" w:beforeLines="50" w:after="120" w:afterLines="50" w:line="240" w:lineRule="auto"/>
        <w:jc w:val="center"/>
        <w:rPr>
          <w:rFonts w:ascii="黑体" w:hAnsi="Times New Roman" w:eastAsia="黑体"/>
          <w:kern w:val="21"/>
          <w:szCs w:val="20"/>
          <w:highlight w:val="none"/>
        </w:rPr>
      </w:pPr>
      <w:r>
        <w:rPr>
          <w:rFonts w:hint="eastAsia" w:ascii="黑体" w:hAnsi="Times New Roman" w:eastAsia="黑体"/>
          <w:kern w:val="21"/>
          <w:szCs w:val="20"/>
          <w:highlight w:val="none"/>
        </w:rPr>
        <w:t>表 24  高温贮存寿命试验条件</w:t>
      </w:r>
    </w:p>
    <w:tbl>
      <w:tblPr>
        <w:tblStyle w:val="29"/>
        <w:tblW w:w="4951"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108" w:type="dxa"/>
          <w:bottom w:w="0" w:type="dxa"/>
          <w:right w:w="108" w:type="dxa"/>
        </w:tblCellMar>
      </w:tblPr>
      <w:tblGrid>
        <w:gridCol w:w="1788"/>
        <w:gridCol w:w="1792"/>
        <w:gridCol w:w="3486"/>
        <w:gridCol w:w="2410"/>
      </w:tblGrid>
      <w:tr w14:paraId="3844B22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84" w:hRule="atLeast"/>
          <w:jc w:val="center"/>
        </w:trPr>
        <w:tc>
          <w:tcPr>
            <w:tcW w:w="943" w:type="pct"/>
            <w:tcBorders>
              <w:tl2br w:val="nil"/>
              <w:tr2bl w:val="nil"/>
            </w:tcBorders>
            <w:vAlign w:val="center"/>
          </w:tcPr>
          <w:p w14:paraId="542ABB2C">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封装类型</w:t>
            </w:r>
          </w:p>
        </w:tc>
        <w:tc>
          <w:tcPr>
            <w:tcW w:w="945" w:type="pct"/>
            <w:tcBorders>
              <w:tl2br w:val="nil"/>
              <w:tr2bl w:val="nil"/>
            </w:tcBorders>
            <w:vAlign w:val="center"/>
          </w:tcPr>
          <w:p w14:paraId="065B6A91">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温度等级</w:t>
            </w:r>
          </w:p>
        </w:tc>
        <w:tc>
          <w:tcPr>
            <w:tcW w:w="1838" w:type="pct"/>
            <w:tcBorders>
              <w:tl2br w:val="nil"/>
              <w:tr2bl w:val="nil"/>
            </w:tcBorders>
            <w:vAlign w:val="center"/>
          </w:tcPr>
          <w:p w14:paraId="7C13FF82">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环境温度</w:t>
            </w:r>
          </w:p>
        </w:tc>
        <w:tc>
          <w:tcPr>
            <w:tcW w:w="1271" w:type="pct"/>
            <w:tcBorders>
              <w:tl2br w:val="nil"/>
              <w:tr2bl w:val="nil"/>
            </w:tcBorders>
            <w:vAlign w:val="center"/>
          </w:tcPr>
          <w:p w14:paraId="263E1F54">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试验持续时间</w:t>
            </w:r>
          </w:p>
        </w:tc>
      </w:tr>
      <w:tr w14:paraId="6522A5D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59" w:hRule="atLeast"/>
          <w:jc w:val="center"/>
        </w:trPr>
        <w:tc>
          <w:tcPr>
            <w:tcW w:w="943" w:type="pct"/>
            <w:vMerge w:val="restart"/>
            <w:tcBorders>
              <w:tl2br w:val="nil"/>
              <w:tr2bl w:val="nil"/>
            </w:tcBorders>
            <w:vAlign w:val="center"/>
          </w:tcPr>
          <w:p w14:paraId="3E737DCD">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塑料封装</w:t>
            </w:r>
          </w:p>
        </w:tc>
        <w:tc>
          <w:tcPr>
            <w:tcW w:w="945" w:type="pct"/>
            <w:vMerge w:val="restart"/>
            <w:tcBorders>
              <w:tl2br w:val="nil"/>
              <w:tr2bl w:val="nil"/>
            </w:tcBorders>
            <w:vAlign w:val="center"/>
          </w:tcPr>
          <w:p w14:paraId="6FADF012">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0</w:t>
            </w:r>
          </w:p>
        </w:tc>
        <w:tc>
          <w:tcPr>
            <w:tcW w:w="1838" w:type="pct"/>
            <w:tcBorders>
              <w:tl2br w:val="nil"/>
              <w:tr2bl w:val="nil"/>
            </w:tcBorders>
            <w:vAlign w:val="center"/>
          </w:tcPr>
          <w:p w14:paraId="7EDFD121">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+175 ℃</w:t>
            </w:r>
          </w:p>
        </w:tc>
        <w:tc>
          <w:tcPr>
            <w:tcW w:w="1271" w:type="pct"/>
            <w:tcBorders>
              <w:tl2br w:val="nil"/>
              <w:tr2bl w:val="nil"/>
            </w:tcBorders>
            <w:vAlign w:val="center"/>
          </w:tcPr>
          <w:p w14:paraId="6B66E316">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1000 h</w:t>
            </w:r>
          </w:p>
        </w:tc>
      </w:tr>
      <w:tr w14:paraId="6A769A1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59" w:hRule="atLeast"/>
          <w:jc w:val="center"/>
        </w:trPr>
        <w:tc>
          <w:tcPr>
            <w:tcW w:w="943" w:type="pct"/>
            <w:vMerge w:val="continue"/>
            <w:tcBorders>
              <w:tl2br w:val="nil"/>
              <w:tr2bl w:val="nil"/>
            </w:tcBorders>
            <w:vAlign w:val="center"/>
          </w:tcPr>
          <w:p w14:paraId="7D40599A">
            <w:pPr>
              <w:spacing w:line="240" w:lineRule="auto"/>
              <w:jc w:val="center"/>
              <w:rPr>
                <w:rFonts w:hint="eastAsia" w:ascii="宋体" w:hAnsi="宋体" w:cs="宋体"/>
                <w:sz w:val="18"/>
                <w:szCs w:val="18"/>
                <w:highlight w:val="none"/>
              </w:rPr>
            </w:pPr>
          </w:p>
        </w:tc>
        <w:tc>
          <w:tcPr>
            <w:tcW w:w="945" w:type="pct"/>
            <w:vMerge w:val="continue"/>
            <w:tcBorders>
              <w:tl2br w:val="nil"/>
              <w:tr2bl w:val="nil"/>
            </w:tcBorders>
            <w:vAlign w:val="center"/>
          </w:tcPr>
          <w:p w14:paraId="28BA73DD">
            <w:pPr>
              <w:spacing w:line="240" w:lineRule="auto"/>
              <w:jc w:val="center"/>
              <w:rPr>
                <w:rFonts w:hint="eastAsia" w:ascii="宋体" w:hAnsi="宋体" w:cs="宋体"/>
                <w:sz w:val="18"/>
                <w:szCs w:val="18"/>
                <w:highlight w:val="none"/>
              </w:rPr>
            </w:pPr>
          </w:p>
        </w:tc>
        <w:tc>
          <w:tcPr>
            <w:tcW w:w="1838" w:type="pct"/>
            <w:tcBorders>
              <w:tl2br w:val="nil"/>
              <w:tr2bl w:val="nil"/>
            </w:tcBorders>
            <w:vAlign w:val="center"/>
          </w:tcPr>
          <w:p w14:paraId="13FBB623">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+150 ℃</w:t>
            </w:r>
          </w:p>
        </w:tc>
        <w:tc>
          <w:tcPr>
            <w:tcW w:w="1271" w:type="pct"/>
            <w:tcBorders>
              <w:tl2br w:val="nil"/>
              <w:tr2bl w:val="nil"/>
            </w:tcBorders>
            <w:vAlign w:val="center"/>
          </w:tcPr>
          <w:p w14:paraId="3A870FD1">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2000 h</w:t>
            </w:r>
          </w:p>
        </w:tc>
      </w:tr>
      <w:tr w14:paraId="2E38AC4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59" w:hRule="atLeast"/>
          <w:jc w:val="center"/>
        </w:trPr>
        <w:tc>
          <w:tcPr>
            <w:tcW w:w="943" w:type="pct"/>
            <w:vMerge w:val="continue"/>
            <w:tcBorders>
              <w:tl2br w:val="nil"/>
              <w:tr2bl w:val="nil"/>
            </w:tcBorders>
            <w:vAlign w:val="center"/>
          </w:tcPr>
          <w:p w14:paraId="63035EE4">
            <w:pPr>
              <w:spacing w:line="240" w:lineRule="auto"/>
              <w:jc w:val="center"/>
              <w:rPr>
                <w:rFonts w:hint="eastAsia" w:ascii="宋体" w:hAnsi="宋体" w:cs="宋体"/>
                <w:sz w:val="18"/>
                <w:szCs w:val="18"/>
                <w:highlight w:val="none"/>
              </w:rPr>
            </w:pPr>
          </w:p>
        </w:tc>
        <w:tc>
          <w:tcPr>
            <w:tcW w:w="945" w:type="pct"/>
            <w:vMerge w:val="restart"/>
            <w:tcBorders>
              <w:tl2br w:val="nil"/>
              <w:tr2bl w:val="nil"/>
            </w:tcBorders>
            <w:vAlign w:val="center"/>
          </w:tcPr>
          <w:p w14:paraId="135C438C">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1</w:t>
            </w:r>
          </w:p>
        </w:tc>
        <w:tc>
          <w:tcPr>
            <w:tcW w:w="1838" w:type="pct"/>
            <w:tcBorders>
              <w:tl2br w:val="nil"/>
              <w:tr2bl w:val="nil"/>
            </w:tcBorders>
            <w:vAlign w:val="center"/>
          </w:tcPr>
          <w:p w14:paraId="559808DB">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+175 ℃</w:t>
            </w:r>
          </w:p>
        </w:tc>
        <w:tc>
          <w:tcPr>
            <w:tcW w:w="1271" w:type="pct"/>
            <w:tcBorders>
              <w:tl2br w:val="nil"/>
              <w:tr2bl w:val="nil"/>
            </w:tcBorders>
            <w:vAlign w:val="center"/>
          </w:tcPr>
          <w:p w14:paraId="44989FD6">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500 h</w:t>
            </w:r>
          </w:p>
        </w:tc>
      </w:tr>
      <w:tr w14:paraId="01EEE6D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59" w:hRule="atLeast"/>
          <w:jc w:val="center"/>
        </w:trPr>
        <w:tc>
          <w:tcPr>
            <w:tcW w:w="943" w:type="pct"/>
            <w:vMerge w:val="continue"/>
            <w:tcBorders>
              <w:tl2br w:val="nil"/>
              <w:tr2bl w:val="nil"/>
            </w:tcBorders>
            <w:vAlign w:val="center"/>
          </w:tcPr>
          <w:p w14:paraId="4F353FCF">
            <w:pPr>
              <w:spacing w:line="240" w:lineRule="auto"/>
              <w:jc w:val="center"/>
              <w:rPr>
                <w:rFonts w:hint="eastAsia" w:ascii="宋体" w:hAnsi="宋体" w:cs="宋体"/>
                <w:sz w:val="18"/>
                <w:szCs w:val="18"/>
                <w:highlight w:val="none"/>
              </w:rPr>
            </w:pPr>
          </w:p>
        </w:tc>
        <w:tc>
          <w:tcPr>
            <w:tcW w:w="945" w:type="pct"/>
            <w:vMerge w:val="continue"/>
            <w:tcBorders>
              <w:tl2br w:val="nil"/>
              <w:tr2bl w:val="nil"/>
            </w:tcBorders>
            <w:vAlign w:val="center"/>
          </w:tcPr>
          <w:p w14:paraId="48DDCE40">
            <w:pPr>
              <w:spacing w:line="240" w:lineRule="auto"/>
              <w:jc w:val="center"/>
              <w:rPr>
                <w:rFonts w:hint="eastAsia" w:ascii="宋体" w:hAnsi="宋体" w:cs="宋体"/>
                <w:sz w:val="18"/>
                <w:szCs w:val="18"/>
                <w:highlight w:val="none"/>
              </w:rPr>
            </w:pPr>
          </w:p>
        </w:tc>
        <w:tc>
          <w:tcPr>
            <w:tcW w:w="1838" w:type="pct"/>
            <w:tcBorders>
              <w:tl2br w:val="nil"/>
              <w:tr2bl w:val="nil"/>
            </w:tcBorders>
            <w:vAlign w:val="center"/>
          </w:tcPr>
          <w:p w14:paraId="003E563B">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+150 ℃</w:t>
            </w:r>
          </w:p>
        </w:tc>
        <w:tc>
          <w:tcPr>
            <w:tcW w:w="1271" w:type="pct"/>
            <w:tcBorders>
              <w:tl2br w:val="nil"/>
              <w:tr2bl w:val="nil"/>
            </w:tcBorders>
            <w:vAlign w:val="center"/>
          </w:tcPr>
          <w:p w14:paraId="727EB4E7">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1000 h</w:t>
            </w:r>
          </w:p>
        </w:tc>
      </w:tr>
      <w:tr w14:paraId="498DE86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59" w:hRule="atLeast"/>
          <w:jc w:val="center"/>
        </w:trPr>
        <w:tc>
          <w:tcPr>
            <w:tcW w:w="943" w:type="pct"/>
            <w:vMerge w:val="continue"/>
            <w:tcBorders>
              <w:tl2br w:val="nil"/>
              <w:tr2bl w:val="nil"/>
            </w:tcBorders>
            <w:vAlign w:val="center"/>
          </w:tcPr>
          <w:p w14:paraId="451AEE78">
            <w:pPr>
              <w:spacing w:line="240" w:lineRule="auto"/>
              <w:jc w:val="center"/>
              <w:rPr>
                <w:rFonts w:hint="eastAsia" w:ascii="宋体" w:hAnsi="宋体" w:cs="宋体"/>
                <w:sz w:val="18"/>
                <w:szCs w:val="18"/>
                <w:highlight w:val="none"/>
              </w:rPr>
            </w:pPr>
          </w:p>
        </w:tc>
        <w:tc>
          <w:tcPr>
            <w:tcW w:w="945" w:type="pct"/>
            <w:vMerge w:val="restart"/>
            <w:tcBorders>
              <w:tl2br w:val="nil"/>
              <w:tr2bl w:val="nil"/>
            </w:tcBorders>
            <w:vAlign w:val="center"/>
          </w:tcPr>
          <w:p w14:paraId="353B510E">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2和3</w:t>
            </w:r>
          </w:p>
        </w:tc>
        <w:tc>
          <w:tcPr>
            <w:tcW w:w="1838" w:type="pct"/>
            <w:tcBorders>
              <w:tl2br w:val="nil"/>
              <w:tr2bl w:val="nil"/>
            </w:tcBorders>
            <w:vAlign w:val="center"/>
          </w:tcPr>
          <w:p w14:paraId="3FA1604D">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+150 ℃</w:t>
            </w:r>
          </w:p>
        </w:tc>
        <w:tc>
          <w:tcPr>
            <w:tcW w:w="1271" w:type="pct"/>
            <w:tcBorders>
              <w:tl2br w:val="nil"/>
              <w:tr2bl w:val="nil"/>
            </w:tcBorders>
            <w:vAlign w:val="center"/>
          </w:tcPr>
          <w:p w14:paraId="2CF83820">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500 h</w:t>
            </w:r>
          </w:p>
        </w:tc>
      </w:tr>
      <w:tr w14:paraId="41958F7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59" w:hRule="atLeast"/>
          <w:jc w:val="center"/>
        </w:trPr>
        <w:tc>
          <w:tcPr>
            <w:tcW w:w="943" w:type="pct"/>
            <w:vMerge w:val="continue"/>
            <w:tcBorders>
              <w:tl2br w:val="nil"/>
              <w:tr2bl w:val="nil"/>
            </w:tcBorders>
            <w:vAlign w:val="center"/>
          </w:tcPr>
          <w:p w14:paraId="6419D43E">
            <w:pPr>
              <w:spacing w:line="240" w:lineRule="auto"/>
              <w:jc w:val="center"/>
              <w:rPr>
                <w:rFonts w:hint="eastAsia" w:ascii="宋体" w:hAnsi="宋体" w:cs="宋体"/>
                <w:sz w:val="18"/>
                <w:szCs w:val="18"/>
                <w:highlight w:val="none"/>
              </w:rPr>
            </w:pPr>
          </w:p>
        </w:tc>
        <w:tc>
          <w:tcPr>
            <w:tcW w:w="945" w:type="pct"/>
            <w:vMerge w:val="continue"/>
            <w:tcBorders>
              <w:tl2br w:val="nil"/>
              <w:tr2bl w:val="nil"/>
            </w:tcBorders>
            <w:vAlign w:val="center"/>
          </w:tcPr>
          <w:p w14:paraId="4DF02F08">
            <w:pPr>
              <w:spacing w:line="240" w:lineRule="auto"/>
              <w:jc w:val="center"/>
              <w:rPr>
                <w:rFonts w:hint="eastAsia" w:ascii="宋体" w:hAnsi="宋体" w:cs="宋体"/>
                <w:sz w:val="18"/>
                <w:szCs w:val="18"/>
                <w:highlight w:val="none"/>
              </w:rPr>
            </w:pPr>
          </w:p>
        </w:tc>
        <w:tc>
          <w:tcPr>
            <w:tcW w:w="1838" w:type="pct"/>
            <w:tcBorders>
              <w:tl2br w:val="nil"/>
              <w:tr2bl w:val="nil"/>
            </w:tcBorders>
            <w:vAlign w:val="center"/>
          </w:tcPr>
          <w:p w14:paraId="12491DF3">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+125 ℃</w:t>
            </w:r>
          </w:p>
        </w:tc>
        <w:tc>
          <w:tcPr>
            <w:tcW w:w="1271" w:type="pct"/>
            <w:tcBorders>
              <w:tl2br w:val="nil"/>
              <w:tr2bl w:val="nil"/>
            </w:tcBorders>
            <w:vAlign w:val="center"/>
          </w:tcPr>
          <w:p w14:paraId="1A0EB72A">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1000 h</w:t>
            </w:r>
          </w:p>
        </w:tc>
      </w:tr>
      <w:tr w14:paraId="57C382E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59" w:hRule="atLeast"/>
          <w:jc w:val="center"/>
        </w:trPr>
        <w:tc>
          <w:tcPr>
            <w:tcW w:w="943" w:type="pct"/>
            <w:vMerge w:val="restart"/>
            <w:tcBorders>
              <w:tl2br w:val="nil"/>
              <w:tr2bl w:val="nil"/>
            </w:tcBorders>
            <w:vAlign w:val="center"/>
          </w:tcPr>
          <w:p w14:paraId="21AD8D77">
            <w:pPr>
              <w:spacing w:line="240" w:lineRule="auto"/>
              <w:jc w:val="center"/>
              <w:rPr>
                <w:rFonts w:hint="eastAsia" w:ascii="宋体" w:hAnsi="宋体" w:cs="宋体"/>
                <w:sz w:val="18"/>
                <w:szCs w:val="18"/>
                <w:highlight w:val="none"/>
              </w:rPr>
            </w:pPr>
            <w:bookmarkStart w:id="77" w:name="_Hlk132889531"/>
            <w:bookmarkStart w:id="78" w:name="_Hlk132958344"/>
            <w:r>
              <w:rPr>
                <w:rFonts w:hint="eastAsia" w:ascii="宋体" w:hAnsi="宋体" w:cs="宋体"/>
                <w:sz w:val="18"/>
                <w:szCs w:val="18"/>
                <w:highlight w:val="none"/>
              </w:rPr>
              <w:t>陶瓷封装</w:t>
            </w:r>
          </w:p>
        </w:tc>
        <w:tc>
          <w:tcPr>
            <w:tcW w:w="945" w:type="pct"/>
            <w:vMerge w:val="restart"/>
            <w:tcBorders>
              <w:tl2br w:val="nil"/>
              <w:tr2bl w:val="nil"/>
            </w:tcBorders>
            <w:vAlign w:val="center"/>
          </w:tcPr>
          <w:p w14:paraId="1A18E1C7">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0～3</w:t>
            </w:r>
          </w:p>
        </w:tc>
        <w:tc>
          <w:tcPr>
            <w:tcW w:w="1838" w:type="pct"/>
            <w:tcBorders>
              <w:tl2br w:val="nil"/>
              <w:tr2bl w:val="nil"/>
            </w:tcBorders>
            <w:vAlign w:val="center"/>
          </w:tcPr>
          <w:p w14:paraId="479A5713">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+250 ℃</w:t>
            </w:r>
          </w:p>
        </w:tc>
        <w:tc>
          <w:tcPr>
            <w:tcW w:w="1271" w:type="pct"/>
            <w:tcBorders>
              <w:tl2br w:val="nil"/>
              <w:tr2bl w:val="nil"/>
            </w:tcBorders>
            <w:vAlign w:val="center"/>
          </w:tcPr>
          <w:p w14:paraId="070B4E32">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10 h</w:t>
            </w:r>
          </w:p>
        </w:tc>
      </w:tr>
      <w:tr w14:paraId="3CBCF91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91" w:hRule="atLeast"/>
          <w:jc w:val="center"/>
        </w:trPr>
        <w:tc>
          <w:tcPr>
            <w:tcW w:w="943" w:type="pct"/>
            <w:vMerge w:val="continue"/>
            <w:tcBorders>
              <w:tl2br w:val="nil"/>
              <w:tr2bl w:val="nil"/>
            </w:tcBorders>
            <w:vAlign w:val="center"/>
          </w:tcPr>
          <w:p w14:paraId="02825867">
            <w:pPr>
              <w:spacing w:line="240" w:lineRule="auto"/>
              <w:jc w:val="center"/>
              <w:rPr>
                <w:rFonts w:hint="eastAsia" w:ascii="宋体" w:hAnsi="宋体" w:cs="宋体"/>
                <w:sz w:val="18"/>
                <w:szCs w:val="18"/>
                <w:highlight w:val="none"/>
              </w:rPr>
            </w:pPr>
          </w:p>
        </w:tc>
        <w:tc>
          <w:tcPr>
            <w:tcW w:w="945" w:type="pct"/>
            <w:vMerge w:val="continue"/>
            <w:tcBorders>
              <w:tl2br w:val="nil"/>
              <w:tr2bl w:val="nil"/>
            </w:tcBorders>
            <w:vAlign w:val="center"/>
          </w:tcPr>
          <w:p w14:paraId="5D861187">
            <w:pPr>
              <w:spacing w:line="240" w:lineRule="auto"/>
              <w:jc w:val="center"/>
              <w:rPr>
                <w:rFonts w:hint="eastAsia" w:ascii="宋体" w:hAnsi="宋体" w:cs="宋体"/>
                <w:sz w:val="18"/>
                <w:szCs w:val="18"/>
                <w:highlight w:val="none"/>
              </w:rPr>
            </w:pPr>
          </w:p>
        </w:tc>
        <w:tc>
          <w:tcPr>
            <w:tcW w:w="1838" w:type="pct"/>
            <w:tcBorders>
              <w:tl2br w:val="nil"/>
              <w:tr2bl w:val="nil"/>
            </w:tcBorders>
            <w:vAlign w:val="center"/>
          </w:tcPr>
          <w:p w14:paraId="7B5B4507">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+200 ℃</w:t>
            </w:r>
          </w:p>
        </w:tc>
        <w:tc>
          <w:tcPr>
            <w:tcW w:w="1271" w:type="pct"/>
            <w:tcBorders>
              <w:tl2br w:val="nil"/>
              <w:tr2bl w:val="nil"/>
            </w:tcBorders>
            <w:vAlign w:val="center"/>
          </w:tcPr>
          <w:p w14:paraId="77741E57">
            <w:pPr>
              <w:spacing w:line="240" w:lineRule="auto"/>
              <w:jc w:val="center"/>
              <w:rPr>
                <w:rFonts w:hint="eastAsia" w:ascii="宋体" w:hAnsi="宋体" w:cs="宋体"/>
                <w:sz w:val="18"/>
                <w:szCs w:val="18"/>
                <w:highlight w:val="none"/>
              </w:rPr>
            </w:pPr>
            <w:r>
              <w:rPr>
                <w:rFonts w:hint="eastAsia" w:ascii="宋体" w:hAnsi="宋体" w:cs="宋体"/>
                <w:sz w:val="18"/>
                <w:szCs w:val="18"/>
                <w:highlight w:val="none"/>
              </w:rPr>
              <w:t>72 h</w:t>
            </w:r>
          </w:p>
        </w:tc>
      </w:tr>
    </w:tbl>
    <w:p w14:paraId="38AD19E9">
      <w:pPr>
        <w:spacing w:before="84" w:beforeLines="35" w:line="240" w:lineRule="auto"/>
        <w:ind w:firstLine="420" w:firstLineChars="200"/>
        <w:rPr>
          <w:rFonts w:ascii="宋体" w:hAnsi="Times New Roman"/>
          <w:highlight w:val="none"/>
        </w:rPr>
      </w:pPr>
      <w:r>
        <w:rPr>
          <w:rFonts w:hint="eastAsia" w:ascii="宋体" w:hAnsi="Times New Roman"/>
          <w:highlight w:val="none"/>
        </w:rPr>
        <w:t>试验前后进行外观检查，按照6.3.6.1的方法进依次在室温和表5规定的最高工作温度下进行功能/电气参数检查</w:t>
      </w:r>
      <w:bookmarkEnd w:id="77"/>
      <w:r>
        <w:rPr>
          <w:rFonts w:hint="eastAsia" w:ascii="宋体" w:hAnsi="Times New Roman"/>
          <w:highlight w:val="none"/>
        </w:rPr>
        <w:t>，功能检查应在恢复室温后48 h内完成。</w:t>
      </w:r>
      <w:bookmarkEnd w:id="78"/>
      <w:r>
        <w:rPr>
          <w:rFonts w:hint="eastAsia" w:ascii="宋体" w:hAnsi="Times New Roman"/>
          <w:highlight w:val="none"/>
        </w:rPr>
        <w:t>应力条件应连续施加，但中期测量期间可中断。允许在试验过程中对样品进行功能/电气参数检查，中断时间不宜超过1</w:t>
      </w:r>
      <w:r>
        <w:rPr>
          <w:rFonts w:ascii="宋体" w:hAnsi="Times New Roman"/>
          <w:highlight w:val="none"/>
        </w:rPr>
        <w:t>68</w:t>
      </w:r>
      <w:r>
        <w:rPr>
          <w:rFonts w:hint="eastAsia" w:ascii="宋体" w:hAnsi="Times New Roman"/>
          <w:highlight w:val="none"/>
        </w:rPr>
        <w:t xml:space="preserve"> h。超出的中断时间应在继续试验时增加相同的时间进行补偿。对于非易失性存储器，如果其编程擦除耐久性，数据保留和使用寿命试验（</w:t>
      </w:r>
      <w:r>
        <w:rPr>
          <w:rFonts w:ascii="宋体" w:hAnsi="Times New Roman"/>
          <w:highlight w:val="none"/>
        </w:rPr>
        <w:t>EDR</w:t>
      </w:r>
      <w:r>
        <w:rPr>
          <w:rFonts w:hint="eastAsia" w:ascii="宋体" w:hAnsi="Times New Roman"/>
          <w:highlight w:val="none"/>
        </w:rPr>
        <w:t>）试验选择的温度不低于本试验温度，可不进行本试验。</w:t>
      </w:r>
    </w:p>
    <w:p w14:paraId="63C7D3B6">
      <w:pPr>
        <w:numPr>
          <w:ilvl w:val="255"/>
          <w:numId w:val="0"/>
        </w:numPr>
        <w:spacing w:before="120" w:beforeLines="50" w:after="120" w:afterLines="50" w:line="240" w:lineRule="auto"/>
        <w:outlineLvl w:val="2"/>
        <w:rPr>
          <w:rFonts w:hint="eastAsia" w:ascii="黑体" w:hAnsi="黑体" w:eastAsia="黑体" w:cs="黑体"/>
          <w:highlight w:val="none"/>
        </w:rPr>
      </w:pPr>
      <w:r>
        <w:rPr>
          <w:rFonts w:hint="eastAsia" w:ascii="黑体" w:hAnsi="黑体" w:eastAsia="黑体" w:cs="黑体"/>
          <w:highlight w:val="none"/>
        </w:rPr>
        <w:t>6.3.3  加速寿命模拟试验</w:t>
      </w:r>
    </w:p>
    <w:p w14:paraId="0411E5AE">
      <w:pPr>
        <w:widowControl/>
        <w:numPr>
          <w:ilvl w:val="4"/>
          <w:numId w:val="0"/>
        </w:numPr>
        <w:spacing w:before="120" w:beforeLines="50" w:after="120" w:afterLines="50" w:line="240" w:lineRule="auto"/>
        <w:ind w:right="210" w:rightChars="100"/>
        <w:outlineLvl w:val="3"/>
        <w:rPr>
          <w:rFonts w:ascii="黑体" w:hAnsi="Times New Roman" w:eastAsia="黑体"/>
          <w:highlight w:val="none"/>
        </w:rPr>
      </w:pPr>
      <w:r>
        <w:rPr>
          <w:rFonts w:hint="eastAsia" w:ascii="黑体" w:hAnsi="Times New Roman" w:eastAsia="黑体"/>
          <w:highlight w:val="none"/>
        </w:rPr>
        <w:t>6.3.3.1 高温工作寿命试验</w:t>
      </w:r>
    </w:p>
    <w:p w14:paraId="3DA501A7">
      <w:pPr>
        <w:autoSpaceDE w:val="0"/>
        <w:autoSpaceDN w:val="0"/>
        <w:spacing w:line="240" w:lineRule="auto"/>
        <w:ind w:firstLine="420" w:firstLineChars="200"/>
        <w:rPr>
          <w:rFonts w:ascii="宋体" w:hAnsi="Times New Roman"/>
          <w:highlight w:val="none"/>
        </w:rPr>
      </w:pPr>
      <w:bookmarkStart w:id="79" w:name="_Hlk132354300"/>
      <w:r>
        <w:rPr>
          <w:rFonts w:hint="eastAsia" w:ascii="宋体" w:hAnsi="Times New Roman"/>
          <w:highlight w:val="none"/>
        </w:rPr>
        <w:t>按照表25的要求进行试验，使用3个不连续批次的样品,每批次样品数量不应少于7</w:t>
      </w:r>
      <w:r>
        <w:rPr>
          <w:rFonts w:ascii="宋体" w:hAnsi="Times New Roman"/>
          <w:highlight w:val="none"/>
        </w:rPr>
        <w:t>7</w:t>
      </w:r>
      <w:r>
        <w:rPr>
          <w:rFonts w:hint="eastAsia" w:ascii="宋体" w:hAnsi="Times New Roman"/>
          <w:highlight w:val="none"/>
        </w:rPr>
        <w:t>片。使用热电偶或其他温度测量装置监控样品的温度。应力条件应连续施加，但允许在中期测量期间中断，中断总时间不应超过总试验时间的1</w:t>
      </w:r>
      <w:r>
        <w:rPr>
          <w:rFonts w:ascii="宋体" w:hAnsi="Times New Roman"/>
          <w:highlight w:val="none"/>
        </w:rPr>
        <w:t>0</w:t>
      </w:r>
      <w:r>
        <w:rPr>
          <w:rFonts w:hint="eastAsia" w:ascii="宋体" w:hAnsi="Times New Roman"/>
          <w:highlight w:val="none"/>
        </w:rPr>
        <w:t>%。应在样品冷却至55 ℃或更低时切断电压。宜在试验过程中（如试验的1</w:t>
      </w:r>
      <w:r>
        <w:rPr>
          <w:rFonts w:ascii="宋体" w:hAnsi="Times New Roman"/>
          <w:highlight w:val="none"/>
        </w:rPr>
        <w:t>68</w:t>
      </w:r>
      <w:r>
        <w:rPr>
          <w:rFonts w:hint="eastAsia" w:ascii="宋体" w:hAnsi="Times New Roman"/>
          <w:highlight w:val="none"/>
        </w:rPr>
        <w:t xml:space="preserve"> h和5</w:t>
      </w:r>
      <w:r>
        <w:rPr>
          <w:rFonts w:ascii="宋体" w:hAnsi="Times New Roman"/>
          <w:highlight w:val="none"/>
        </w:rPr>
        <w:t>00</w:t>
      </w:r>
      <w:r>
        <w:rPr>
          <w:rFonts w:hint="eastAsia" w:ascii="宋体" w:hAnsi="Times New Roman"/>
          <w:highlight w:val="none"/>
        </w:rPr>
        <w:t xml:space="preserve"> h时）对样品进行功能/电气参数检查。</w:t>
      </w:r>
    </w:p>
    <w:p w14:paraId="7E3D3B68">
      <w:pPr>
        <w:spacing w:before="120" w:beforeLines="50" w:after="120" w:afterLines="50" w:line="240" w:lineRule="auto"/>
        <w:jc w:val="center"/>
        <w:rPr>
          <w:rFonts w:ascii="黑体" w:hAnsi="Times New Roman" w:eastAsia="黑体"/>
          <w:kern w:val="21"/>
          <w:szCs w:val="20"/>
          <w:highlight w:val="none"/>
        </w:rPr>
      </w:pPr>
      <w:r>
        <w:rPr>
          <w:rFonts w:hint="eastAsia" w:ascii="黑体" w:hAnsi="Times New Roman" w:eastAsia="黑体"/>
          <w:kern w:val="21"/>
          <w:szCs w:val="20"/>
          <w:highlight w:val="none"/>
        </w:rPr>
        <w:t>表 25  高温工作寿命试验条件</w:t>
      </w:r>
    </w:p>
    <w:tbl>
      <w:tblPr>
        <w:tblStyle w:val="29"/>
        <w:tblW w:w="5076"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1088"/>
        <w:gridCol w:w="1839"/>
        <w:gridCol w:w="2307"/>
        <w:gridCol w:w="2004"/>
        <w:gridCol w:w="2289"/>
      </w:tblGrid>
      <w:tr w14:paraId="654E545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03" w:hRule="atLeast"/>
          <w:jc w:val="center"/>
        </w:trPr>
        <w:tc>
          <w:tcPr>
            <w:tcW w:w="571" w:type="pct"/>
            <w:tcBorders>
              <w:tl2br w:val="nil"/>
              <w:tr2bl w:val="nil"/>
            </w:tcBorders>
            <w:vAlign w:val="center"/>
          </w:tcPr>
          <w:p w14:paraId="0E1CF986">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温度等级</w:t>
            </w:r>
          </w:p>
        </w:tc>
        <w:tc>
          <w:tcPr>
            <w:tcW w:w="965" w:type="pct"/>
            <w:tcBorders>
              <w:tl2br w:val="nil"/>
              <w:tr2bl w:val="nil"/>
            </w:tcBorders>
            <w:vAlign w:val="center"/>
          </w:tcPr>
          <w:p w14:paraId="089D3D29">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环境温度</w:t>
            </w:r>
            <w:r>
              <w:rPr>
                <w:rFonts w:hint="eastAsia" w:ascii="宋体" w:hAnsi="宋体" w:cs="宋体"/>
                <w:sz w:val="18"/>
                <w:szCs w:val="18"/>
                <w:highlight w:val="none"/>
                <w:vertAlign w:val="superscript"/>
              </w:rPr>
              <w:t>a</w:t>
            </w:r>
          </w:p>
        </w:tc>
        <w:tc>
          <w:tcPr>
            <w:tcW w:w="1211" w:type="pct"/>
            <w:tcBorders>
              <w:tl2br w:val="nil"/>
              <w:tr2bl w:val="nil"/>
            </w:tcBorders>
            <w:vAlign w:val="center"/>
          </w:tcPr>
          <w:p w14:paraId="133FF935">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试验持续时间</w:t>
            </w:r>
            <w:r>
              <w:rPr>
                <w:rFonts w:hint="eastAsia" w:ascii="宋体" w:hAnsi="宋体" w:cs="宋体"/>
                <w:sz w:val="18"/>
                <w:szCs w:val="18"/>
                <w:highlight w:val="none"/>
                <w:vertAlign w:val="superscript"/>
              </w:rPr>
              <w:t>b</w:t>
            </w:r>
          </w:p>
        </w:tc>
        <w:tc>
          <w:tcPr>
            <w:tcW w:w="1052" w:type="pct"/>
            <w:tcBorders>
              <w:tl2br w:val="nil"/>
              <w:tr2bl w:val="nil"/>
            </w:tcBorders>
            <w:vAlign w:val="center"/>
          </w:tcPr>
          <w:p w14:paraId="18481948">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加严试验持续时间</w:t>
            </w:r>
            <w:r>
              <w:rPr>
                <w:rFonts w:hint="eastAsia" w:ascii="宋体" w:hAnsi="宋体" w:cs="宋体"/>
                <w:sz w:val="18"/>
                <w:szCs w:val="18"/>
                <w:highlight w:val="none"/>
                <w:vertAlign w:val="superscript"/>
              </w:rPr>
              <w:t>c</w:t>
            </w:r>
          </w:p>
        </w:tc>
        <w:tc>
          <w:tcPr>
            <w:tcW w:w="1199" w:type="pct"/>
            <w:tcBorders>
              <w:tl2br w:val="nil"/>
              <w:tr2bl w:val="nil"/>
            </w:tcBorders>
            <w:vAlign w:val="center"/>
          </w:tcPr>
          <w:p w14:paraId="20FEAD62">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电压</w:t>
            </w:r>
            <w:r>
              <w:rPr>
                <w:rFonts w:hint="eastAsia" w:ascii="宋体" w:hAnsi="宋体" w:cs="宋体"/>
                <w:sz w:val="18"/>
                <w:szCs w:val="18"/>
                <w:highlight w:val="none"/>
                <w:vertAlign w:val="superscript"/>
              </w:rPr>
              <w:t>d</w:t>
            </w:r>
          </w:p>
        </w:tc>
      </w:tr>
      <w:tr w14:paraId="0DEE583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3" w:hRule="atLeast"/>
          <w:jc w:val="center"/>
        </w:trPr>
        <w:tc>
          <w:tcPr>
            <w:tcW w:w="571" w:type="pct"/>
            <w:tcBorders>
              <w:tl2br w:val="nil"/>
              <w:tr2bl w:val="nil"/>
            </w:tcBorders>
            <w:vAlign w:val="center"/>
          </w:tcPr>
          <w:p w14:paraId="0906F30A">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0</w:t>
            </w:r>
          </w:p>
        </w:tc>
        <w:tc>
          <w:tcPr>
            <w:tcW w:w="965" w:type="pct"/>
            <w:tcBorders>
              <w:tl2br w:val="nil"/>
              <w:tr2bl w:val="nil"/>
            </w:tcBorders>
            <w:vAlign w:val="center"/>
          </w:tcPr>
          <w:p w14:paraId="6AA68126">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150 ℃</w:t>
            </w:r>
          </w:p>
        </w:tc>
        <w:tc>
          <w:tcPr>
            <w:tcW w:w="1211" w:type="pct"/>
            <w:tcBorders>
              <w:tl2br w:val="nil"/>
              <w:tr2bl w:val="nil"/>
            </w:tcBorders>
            <w:vAlign w:val="center"/>
          </w:tcPr>
          <w:p w14:paraId="10B589B1">
            <w:pPr>
              <w:autoSpaceDE w:val="0"/>
              <w:autoSpaceDN w:val="0"/>
              <w:jc w:val="center"/>
              <w:rPr>
                <w:rFonts w:hint="eastAsia" w:ascii="宋体" w:hAnsi="宋体" w:cs="宋体"/>
                <w:color w:val="FF0000"/>
                <w:sz w:val="18"/>
                <w:szCs w:val="18"/>
                <w:highlight w:val="none"/>
              </w:rPr>
            </w:pPr>
            <w:r>
              <w:rPr>
                <w:rFonts w:hint="eastAsia" w:ascii="宋体" w:hAnsi="宋体" w:cs="宋体"/>
                <w:color w:val="FF0000"/>
                <w:sz w:val="18"/>
                <w:szCs w:val="18"/>
                <w:highlight w:val="none"/>
              </w:rPr>
              <w:t>1</w:t>
            </w:r>
            <w:r>
              <w:rPr>
                <w:rFonts w:hint="eastAsia" w:ascii="宋体" w:hAnsi="宋体" w:cs="宋体"/>
                <w:color w:val="FF0000"/>
                <w:sz w:val="18"/>
                <w:szCs w:val="18"/>
                <w:highlight w:val="none"/>
                <w:lang w:val="en-US" w:eastAsia="zh-CN"/>
              </w:rPr>
              <w:t>2</w:t>
            </w:r>
            <w:r>
              <w:rPr>
                <w:rFonts w:hint="eastAsia" w:ascii="宋体" w:hAnsi="宋体" w:cs="宋体"/>
                <w:color w:val="FF0000"/>
                <w:sz w:val="18"/>
                <w:szCs w:val="18"/>
                <w:highlight w:val="none"/>
              </w:rPr>
              <w:t>00 h</w:t>
            </w:r>
          </w:p>
        </w:tc>
        <w:tc>
          <w:tcPr>
            <w:tcW w:w="1052" w:type="pct"/>
            <w:tcBorders>
              <w:tl2br w:val="nil"/>
              <w:tr2bl w:val="nil"/>
            </w:tcBorders>
            <w:vAlign w:val="center"/>
          </w:tcPr>
          <w:p w14:paraId="1F6FFA95">
            <w:pPr>
              <w:autoSpaceDE w:val="0"/>
              <w:autoSpaceDN w:val="0"/>
              <w:jc w:val="center"/>
              <w:rPr>
                <w:rFonts w:hint="eastAsia" w:ascii="宋体" w:hAnsi="宋体" w:cs="宋体"/>
                <w:color w:val="FF0000"/>
                <w:sz w:val="18"/>
                <w:szCs w:val="18"/>
                <w:highlight w:val="none"/>
              </w:rPr>
            </w:pPr>
            <w:r>
              <w:rPr>
                <w:rFonts w:hint="eastAsia" w:ascii="宋体" w:hAnsi="宋体" w:cs="宋体"/>
                <w:color w:val="FF0000"/>
                <w:sz w:val="18"/>
                <w:szCs w:val="18"/>
                <w:highlight w:val="none"/>
              </w:rPr>
              <w:t>1</w:t>
            </w:r>
            <w:r>
              <w:rPr>
                <w:rFonts w:hint="eastAsia" w:ascii="宋体" w:hAnsi="宋体" w:cs="宋体"/>
                <w:color w:val="FF0000"/>
                <w:sz w:val="18"/>
                <w:szCs w:val="18"/>
                <w:highlight w:val="none"/>
                <w:lang w:val="en-US" w:eastAsia="zh-CN"/>
              </w:rPr>
              <w:t>8</w:t>
            </w:r>
            <w:r>
              <w:rPr>
                <w:rFonts w:hint="eastAsia" w:ascii="宋体" w:hAnsi="宋体" w:cs="宋体"/>
                <w:color w:val="FF0000"/>
                <w:sz w:val="18"/>
                <w:szCs w:val="18"/>
                <w:highlight w:val="none"/>
              </w:rPr>
              <w:t>00 h</w:t>
            </w:r>
          </w:p>
        </w:tc>
        <w:tc>
          <w:tcPr>
            <w:tcW w:w="1199" w:type="pct"/>
            <w:tcBorders>
              <w:tl2br w:val="nil"/>
              <w:tr2bl w:val="nil"/>
            </w:tcBorders>
            <w:vAlign w:val="center"/>
          </w:tcPr>
          <w:p w14:paraId="25ECF135">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最大工作电压</w:t>
            </w:r>
          </w:p>
        </w:tc>
      </w:tr>
      <w:tr w14:paraId="0A4EA2E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09" w:hRule="atLeast"/>
          <w:jc w:val="center"/>
        </w:trPr>
        <w:tc>
          <w:tcPr>
            <w:tcW w:w="571" w:type="pct"/>
            <w:tcBorders>
              <w:tl2br w:val="nil"/>
              <w:tr2bl w:val="nil"/>
            </w:tcBorders>
            <w:vAlign w:val="center"/>
          </w:tcPr>
          <w:p w14:paraId="0BBC2223">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1</w:t>
            </w:r>
          </w:p>
        </w:tc>
        <w:tc>
          <w:tcPr>
            <w:tcW w:w="965" w:type="pct"/>
            <w:tcBorders>
              <w:tl2br w:val="nil"/>
              <w:tr2bl w:val="nil"/>
            </w:tcBorders>
            <w:vAlign w:val="center"/>
          </w:tcPr>
          <w:p w14:paraId="4B764380">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125 ℃</w:t>
            </w:r>
          </w:p>
        </w:tc>
        <w:tc>
          <w:tcPr>
            <w:tcW w:w="1211" w:type="pct"/>
            <w:tcBorders>
              <w:tl2br w:val="nil"/>
              <w:tr2bl w:val="nil"/>
            </w:tcBorders>
            <w:vAlign w:val="center"/>
          </w:tcPr>
          <w:p w14:paraId="1308547A">
            <w:pPr>
              <w:autoSpaceDE w:val="0"/>
              <w:autoSpaceDN w:val="0"/>
              <w:jc w:val="center"/>
              <w:rPr>
                <w:rFonts w:hint="eastAsia" w:ascii="宋体" w:hAnsi="宋体" w:cs="宋体"/>
                <w:color w:val="FF0000"/>
                <w:sz w:val="18"/>
                <w:szCs w:val="18"/>
                <w:highlight w:val="none"/>
              </w:rPr>
            </w:pPr>
            <w:r>
              <w:rPr>
                <w:rFonts w:hint="eastAsia" w:ascii="宋体" w:hAnsi="宋体" w:cs="宋体"/>
                <w:color w:val="FF0000"/>
                <w:sz w:val="18"/>
                <w:szCs w:val="18"/>
                <w:highlight w:val="none"/>
              </w:rPr>
              <w:t>1</w:t>
            </w:r>
            <w:r>
              <w:rPr>
                <w:rFonts w:hint="eastAsia" w:ascii="宋体" w:hAnsi="宋体" w:cs="宋体"/>
                <w:color w:val="FF0000"/>
                <w:sz w:val="18"/>
                <w:szCs w:val="18"/>
                <w:highlight w:val="none"/>
                <w:lang w:val="en-US" w:eastAsia="zh-CN"/>
              </w:rPr>
              <w:t>2</w:t>
            </w:r>
            <w:r>
              <w:rPr>
                <w:rFonts w:hint="eastAsia" w:ascii="宋体" w:hAnsi="宋体" w:cs="宋体"/>
                <w:color w:val="FF0000"/>
                <w:sz w:val="18"/>
                <w:szCs w:val="18"/>
                <w:highlight w:val="none"/>
              </w:rPr>
              <w:t>00 h</w:t>
            </w:r>
          </w:p>
        </w:tc>
        <w:tc>
          <w:tcPr>
            <w:tcW w:w="1052" w:type="pct"/>
            <w:tcBorders>
              <w:tl2br w:val="nil"/>
              <w:tr2bl w:val="nil"/>
            </w:tcBorders>
            <w:vAlign w:val="center"/>
          </w:tcPr>
          <w:p w14:paraId="419D9108">
            <w:pPr>
              <w:autoSpaceDE w:val="0"/>
              <w:autoSpaceDN w:val="0"/>
              <w:jc w:val="center"/>
              <w:rPr>
                <w:rFonts w:hint="eastAsia" w:ascii="宋体" w:hAnsi="宋体" w:cs="宋体"/>
                <w:color w:val="FF0000"/>
                <w:sz w:val="18"/>
                <w:szCs w:val="18"/>
                <w:highlight w:val="none"/>
              </w:rPr>
            </w:pPr>
            <w:r>
              <w:rPr>
                <w:rFonts w:hint="eastAsia" w:ascii="宋体" w:hAnsi="宋体" w:cs="宋体"/>
                <w:color w:val="FF0000"/>
                <w:sz w:val="18"/>
                <w:szCs w:val="18"/>
                <w:highlight w:val="none"/>
              </w:rPr>
              <w:t>1</w:t>
            </w:r>
            <w:r>
              <w:rPr>
                <w:rFonts w:hint="eastAsia" w:ascii="宋体" w:hAnsi="宋体" w:cs="宋体"/>
                <w:color w:val="FF0000"/>
                <w:sz w:val="18"/>
                <w:szCs w:val="18"/>
                <w:highlight w:val="none"/>
                <w:lang w:val="en-US" w:eastAsia="zh-CN"/>
              </w:rPr>
              <w:t>8</w:t>
            </w:r>
            <w:r>
              <w:rPr>
                <w:rFonts w:hint="eastAsia" w:ascii="宋体" w:hAnsi="宋体" w:cs="宋体"/>
                <w:color w:val="FF0000"/>
                <w:sz w:val="18"/>
                <w:szCs w:val="18"/>
                <w:highlight w:val="none"/>
              </w:rPr>
              <w:t>00 h</w:t>
            </w:r>
          </w:p>
        </w:tc>
        <w:tc>
          <w:tcPr>
            <w:tcW w:w="1199" w:type="pct"/>
            <w:tcBorders>
              <w:tl2br w:val="nil"/>
              <w:tr2bl w:val="nil"/>
            </w:tcBorders>
            <w:vAlign w:val="center"/>
          </w:tcPr>
          <w:p w14:paraId="54D1A909">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最大工作电压</w:t>
            </w:r>
          </w:p>
        </w:tc>
      </w:tr>
      <w:tr w14:paraId="1B51991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3" w:hRule="atLeast"/>
          <w:jc w:val="center"/>
        </w:trPr>
        <w:tc>
          <w:tcPr>
            <w:tcW w:w="571" w:type="pct"/>
            <w:tcBorders>
              <w:tl2br w:val="nil"/>
              <w:tr2bl w:val="nil"/>
            </w:tcBorders>
            <w:vAlign w:val="center"/>
          </w:tcPr>
          <w:p w14:paraId="05CC293A">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2</w:t>
            </w:r>
          </w:p>
        </w:tc>
        <w:tc>
          <w:tcPr>
            <w:tcW w:w="965" w:type="pct"/>
            <w:tcBorders>
              <w:tl2br w:val="nil"/>
              <w:tr2bl w:val="nil"/>
            </w:tcBorders>
            <w:vAlign w:val="center"/>
          </w:tcPr>
          <w:p w14:paraId="0456371E">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105 ℃</w:t>
            </w:r>
          </w:p>
        </w:tc>
        <w:tc>
          <w:tcPr>
            <w:tcW w:w="1211" w:type="pct"/>
            <w:tcBorders>
              <w:tl2br w:val="nil"/>
              <w:tr2bl w:val="nil"/>
            </w:tcBorders>
            <w:vAlign w:val="center"/>
          </w:tcPr>
          <w:p w14:paraId="7A8D3158">
            <w:pPr>
              <w:autoSpaceDE w:val="0"/>
              <w:autoSpaceDN w:val="0"/>
              <w:jc w:val="center"/>
              <w:rPr>
                <w:rFonts w:hint="eastAsia" w:ascii="宋体" w:hAnsi="宋体" w:cs="宋体"/>
                <w:color w:val="FF0000"/>
                <w:sz w:val="18"/>
                <w:szCs w:val="18"/>
                <w:highlight w:val="none"/>
              </w:rPr>
            </w:pPr>
            <w:r>
              <w:rPr>
                <w:rFonts w:hint="eastAsia" w:ascii="宋体" w:hAnsi="宋体" w:cs="宋体"/>
                <w:color w:val="FF0000"/>
                <w:sz w:val="18"/>
                <w:szCs w:val="18"/>
                <w:highlight w:val="none"/>
              </w:rPr>
              <w:t>1</w:t>
            </w:r>
            <w:r>
              <w:rPr>
                <w:rFonts w:hint="eastAsia" w:ascii="宋体" w:hAnsi="宋体" w:cs="宋体"/>
                <w:color w:val="FF0000"/>
                <w:sz w:val="18"/>
                <w:szCs w:val="18"/>
                <w:highlight w:val="none"/>
                <w:lang w:val="en-US" w:eastAsia="zh-CN"/>
              </w:rPr>
              <w:t>2</w:t>
            </w:r>
            <w:r>
              <w:rPr>
                <w:rFonts w:hint="eastAsia" w:ascii="宋体" w:hAnsi="宋体" w:cs="宋体"/>
                <w:color w:val="FF0000"/>
                <w:sz w:val="18"/>
                <w:szCs w:val="18"/>
                <w:highlight w:val="none"/>
              </w:rPr>
              <w:t>00 h</w:t>
            </w:r>
          </w:p>
        </w:tc>
        <w:tc>
          <w:tcPr>
            <w:tcW w:w="1052" w:type="pct"/>
            <w:tcBorders>
              <w:tl2br w:val="nil"/>
              <w:tr2bl w:val="nil"/>
            </w:tcBorders>
            <w:vAlign w:val="center"/>
          </w:tcPr>
          <w:p w14:paraId="15AAE6B2">
            <w:pPr>
              <w:autoSpaceDE w:val="0"/>
              <w:autoSpaceDN w:val="0"/>
              <w:jc w:val="center"/>
              <w:rPr>
                <w:rFonts w:hint="eastAsia" w:ascii="宋体" w:hAnsi="宋体" w:cs="宋体"/>
                <w:color w:val="FF0000"/>
                <w:sz w:val="18"/>
                <w:szCs w:val="18"/>
                <w:highlight w:val="none"/>
              </w:rPr>
            </w:pPr>
            <w:r>
              <w:rPr>
                <w:rFonts w:hint="eastAsia" w:ascii="宋体" w:hAnsi="宋体" w:cs="宋体"/>
                <w:color w:val="FF0000"/>
                <w:sz w:val="18"/>
                <w:szCs w:val="18"/>
                <w:highlight w:val="none"/>
              </w:rPr>
              <w:t>1</w:t>
            </w:r>
            <w:r>
              <w:rPr>
                <w:rFonts w:hint="eastAsia" w:ascii="宋体" w:hAnsi="宋体" w:cs="宋体"/>
                <w:color w:val="FF0000"/>
                <w:sz w:val="18"/>
                <w:szCs w:val="18"/>
                <w:highlight w:val="none"/>
                <w:lang w:val="en-US" w:eastAsia="zh-CN"/>
              </w:rPr>
              <w:t>8</w:t>
            </w:r>
            <w:r>
              <w:rPr>
                <w:rFonts w:hint="eastAsia" w:ascii="宋体" w:hAnsi="宋体" w:cs="宋体"/>
                <w:color w:val="FF0000"/>
                <w:sz w:val="18"/>
                <w:szCs w:val="18"/>
                <w:highlight w:val="none"/>
              </w:rPr>
              <w:t>00 h</w:t>
            </w:r>
          </w:p>
        </w:tc>
        <w:tc>
          <w:tcPr>
            <w:tcW w:w="1199" w:type="pct"/>
            <w:tcBorders>
              <w:tl2br w:val="nil"/>
              <w:tr2bl w:val="nil"/>
            </w:tcBorders>
            <w:vAlign w:val="center"/>
          </w:tcPr>
          <w:p w14:paraId="5860F987">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最大工作电压</w:t>
            </w:r>
          </w:p>
        </w:tc>
      </w:tr>
      <w:tr w14:paraId="6AB53E6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09" w:hRule="atLeast"/>
          <w:jc w:val="center"/>
        </w:trPr>
        <w:tc>
          <w:tcPr>
            <w:tcW w:w="571" w:type="pct"/>
            <w:tcBorders>
              <w:tl2br w:val="nil"/>
              <w:tr2bl w:val="nil"/>
            </w:tcBorders>
            <w:vAlign w:val="center"/>
          </w:tcPr>
          <w:p w14:paraId="246AFA86">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3</w:t>
            </w:r>
          </w:p>
        </w:tc>
        <w:tc>
          <w:tcPr>
            <w:tcW w:w="965" w:type="pct"/>
            <w:tcBorders>
              <w:tl2br w:val="nil"/>
              <w:tr2bl w:val="nil"/>
            </w:tcBorders>
            <w:vAlign w:val="center"/>
          </w:tcPr>
          <w:p w14:paraId="3719A120">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85 ℃</w:t>
            </w:r>
          </w:p>
        </w:tc>
        <w:tc>
          <w:tcPr>
            <w:tcW w:w="1211" w:type="pct"/>
            <w:tcBorders>
              <w:tl2br w:val="nil"/>
              <w:tr2bl w:val="nil"/>
            </w:tcBorders>
            <w:vAlign w:val="center"/>
          </w:tcPr>
          <w:p w14:paraId="6D47162C">
            <w:pPr>
              <w:autoSpaceDE w:val="0"/>
              <w:autoSpaceDN w:val="0"/>
              <w:jc w:val="center"/>
              <w:rPr>
                <w:rFonts w:hint="eastAsia" w:ascii="宋体" w:hAnsi="宋体" w:cs="宋体"/>
                <w:color w:val="FF0000"/>
                <w:sz w:val="18"/>
                <w:szCs w:val="18"/>
                <w:highlight w:val="none"/>
              </w:rPr>
            </w:pPr>
            <w:r>
              <w:rPr>
                <w:rFonts w:hint="eastAsia" w:ascii="宋体" w:hAnsi="宋体" w:cs="宋体"/>
                <w:color w:val="FF0000"/>
                <w:sz w:val="18"/>
                <w:szCs w:val="18"/>
                <w:highlight w:val="none"/>
              </w:rPr>
              <w:t>1</w:t>
            </w:r>
            <w:r>
              <w:rPr>
                <w:rFonts w:hint="eastAsia" w:ascii="宋体" w:hAnsi="宋体" w:cs="宋体"/>
                <w:color w:val="FF0000"/>
                <w:sz w:val="18"/>
                <w:szCs w:val="18"/>
                <w:highlight w:val="none"/>
                <w:lang w:val="en-US" w:eastAsia="zh-CN"/>
              </w:rPr>
              <w:t>2</w:t>
            </w:r>
            <w:r>
              <w:rPr>
                <w:rFonts w:hint="eastAsia" w:ascii="宋体" w:hAnsi="宋体" w:cs="宋体"/>
                <w:color w:val="FF0000"/>
                <w:sz w:val="18"/>
                <w:szCs w:val="18"/>
                <w:highlight w:val="none"/>
              </w:rPr>
              <w:t>00 h</w:t>
            </w:r>
          </w:p>
        </w:tc>
        <w:tc>
          <w:tcPr>
            <w:tcW w:w="1052" w:type="pct"/>
            <w:tcBorders>
              <w:tl2br w:val="nil"/>
              <w:tr2bl w:val="nil"/>
            </w:tcBorders>
            <w:vAlign w:val="center"/>
          </w:tcPr>
          <w:p w14:paraId="5B2A961C">
            <w:pPr>
              <w:autoSpaceDE w:val="0"/>
              <w:autoSpaceDN w:val="0"/>
              <w:jc w:val="center"/>
              <w:rPr>
                <w:rFonts w:hint="eastAsia" w:ascii="宋体" w:hAnsi="宋体" w:cs="宋体"/>
                <w:color w:val="FF0000"/>
                <w:sz w:val="18"/>
                <w:szCs w:val="18"/>
                <w:highlight w:val="none"/>
              </w:rPr>
            </w:pPr>
            <w:r>
              <w:rPr>
                <w:rFonts w:hint="eastAsia" w:ascii="宋体" w:hAnsi="宋体" w:cs="宋体"/>
                <w:color w:val="FF0000"/>
                <w:sz w:val="18"/>
                <w:szCs w:val="18"/>
                <w:highlight w:val="none"/>
              </w:rPr>
              <w:t>1</w:t>
            </w:r>
            <w:r>
              <w:rPr>
                <w:rFonts w:hint="eastAsia" w:ascii="宋体" w:hAnsi="宋体" w:cs="宋体"/>
                <w:color w:val="FF0000"/>
                <w:sz w:val="18"/>
                <w:szCs w:val="18"/>
                <w:highlight w:val="none"/>
                <w:lang w:val="en-US" w:eastAsia="zh-CN"/>
              </w:rPr>
              <w:t>8</w:t>
            </w:r>
            <w:r>
              <w:rPr>
                <w:rFonts w:hint="eastAsia" w:ascii="宋体" w:hAnsi="宋体" w:cs="宋体"/>
                <w:color w:val="FF0000"/>
                <w:sz w:val="18"/>
                <w:szCs w:val="18"/>
                <w:highlight w:val="none"/>
              </w:rPr>
              <w:t>00 h</w:t>
            </w:r>
          </w:p>
        </w:tc>
        <w:tc>
          <w:tcPr>
            <w:tcW w:w="1199" w:type="pct"/>
            <w:tcBorders>
              <w:tl2br w:val="nil"/>
              <w:tr2bl w:val="nil"/>
            </w:tcBorders>
            <w:vAlign w:val="center"/>
          </w:tcPr>
          <w:p w14:paraId="0BCDA164">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最大工作电压</w:t>
            </w:r>
          </w:p>
        </w:tc>
      </w:tr>
      <w:tr w14:paraId="6BE122B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03" w:hRule="atLeast"/>
          <w:jc w:val="center"/>
        </w:trPr>
        <w:tc>
          <w:tcPr>
            <w:tcW w:w="5000" w:type="pct"/>
            <w:gridSpan w:val="5"/>
            <w:tcBorders>
              <w:tl2br w:val="nil"/>
              <w:tr2bl w:val="nil"/>
            </w:tcBorders>
            <w:vAlign w:val="center"/>
          </w:tcPr>
          <w:p w14:paraId="46282E1E">
            <w:pPr>
              <w:numPr>
                <w:ilvl w:val="0"/>
                <w:numId w:val="61"/>
              </w:numPr>
              <w:tabs>
                <w:tab w:val="left" w:pos="539"/>
              </w:tabs>
              <w:spacing w:line="240" w:lineRule="auto"/>
              <w:textAlignment w:val="top"/>
              <w:rPr>
                <w:rFonts w:hint="eastAsia" w:ascii="宋体" w:hAnsi="宋体" w:cs="宋体"/>
                <w:sz w:val="18"/>
                <w:szCs w:val="18"/>
                <w:highlight w:val="none"/>
              </w:rPr>
            </w:pPr>
            <w:r>
              <w:rPr>
                <w:rFonts w:hint="eastAsia" w:ascii="宋体" w:hAnsi="宋体" w:cs="宋体"/>
                <w:sz w:val="18"/>
                <w:szCs w:val="18"/>
                <w:highlight w:val="none"/>
              </w:rPr>
              <w:t>可使用结温代替环温，结温不应低于电源管理芯片最大工作条件（试验电压、环境温度、时间）下的结温，但应低于绝对最高额定结温。</w:t>
            </w:r>
          </w:p>
          <w:p w14:paraId="0E7E04ED">
            <w:pPr>
              <w:numPr>
                <w:ilvl w:val="0"/>
                <w:numId w:val="61"/>
              </w:numPr>
              <w:tabs>
                <w:tab w:val="left" w:pos="539"/>
              </w:tabs>
              <w:spacing w:line="240" w:lineRule="auto"/>
              <w:textAlignment w:val="top"/>
              <w:rPr>
                <w:rFonts w:hint="eastAsia" w:ascii="宋体" w:hAnsi="宋体" w:cs="宋体"/>
                <w:sz w:val="18"/>
                <w:szCs w:val="18"/>
                <w:highlight w:val="none"/>
              </w:rPr>
            </w:pPr>
            <w:r>
              <w:rPr>
                <w:rFonts w:hint="eastAsia" w:ascii="宋体" w:hAnsi="宋体" w:cs="宋体"/>
                <w:sz w:val="18"/>
                <w:szCs w:val="18"/>
                <w:highlight w:val="none"/>
              </w:rPr>
              <w:t>试验时功能检查时间不应算在试验持续时间内。到达试验条件时开始计算试验持续时间，腔体开始降温时停止计算试验持续时间。</w:t>
            </w:r>
          </w:p>
          <w:p w14:paraId="138FAB47">
            <w:pPr>
              <w:numPr>
                <w:ilvl w:val="0"/>
                <w:numId w:val="61"/>
              </w:numPr>
              <w:tabs>
                <w:tab w:val="left" w:pos="539"/>
              </w:tabs>
              <w:spacing w:line="240" w:lineRule="auto"/>
              <w:textAlignment w:val="top"/>
              <w:rPr>
                <w:rFonts w:hint="eastAsia" w:ascii="宋体" w:hAnsi="宋体" w:cs="宋体"/>
                <w:sz w:val="18"/>
                <w:szCs w:val="18"/>
                <w:highlight w:val="none"/>
              </w:rPr>
            </w:pPr>
            <w:r>
              <w:rPr>
                <w:rFonts w:hint="eastAsia" w:ascii="宋体" w:hAnsi="宋体" w:cs="宋体"/>
                <w:sz w:val="18"/>
                <w:szCs w:val="18"/>
                <w:highlight w:val="none"/>
              </w:rPr>
              <w:t>针对电动汽车动力电池系统、驱动电机系统。</w:t>
            </w:r>
          </w:p>
          <w:p w14:paraId="09AA7898">
            <w:pPr>
              <w:numPr>
                <w:ilvl w:val="0"/>
                <w:numId w:val="61"/>
              </w:numPr>
              <w:tabs>
                <w:tab w:val="left" w:pos="539"/>
              </w:tabs>
              <w:spacing w:line="240" w:lineRule="auto"/>
              <w:textAlignment w:val="top"/>
              <w:rPr>
                <w:rFonts w:hint="eastAsia" w:ascii="宋体" w:hAnsi="宋体" w:cs="宋体"/>
                <w:sz w:val="18"/>
                <w:szCs w:val="18"/>
                <w:highlight w:val="none"/>
              </w:rPr>
            </w:pPr>
            <w:r>
              <w:rPr>
                <w:rFonts w:hint="eastAsia" w:ascii="宋体" w:hAnsi="宋体" w:cs="宋体"/>
                <w:sz w:val="18"/>
                <w:szCs w:val="18"/>
                <w:highlight w:val="none"/>
              </w:rPr>
              <w:t>可使用更高的电压，从电压和温度获得更高的寿命加速度，但该电压不应超过电源管理芯片的绝对最大额定电压。</w:t>
            </w:r>
          </w:p>
        </w:tc>
      </w:tr>
    </w:tbl>
    <w:p w14:paraId="36FE2CA9">
      <w:pPr>
        <w:spacing w:before="72" w:beforeLines="30" w:line="240" w:lineRule="auto"/>
        <w:ind w:firstLine="420" w:firstLineChars="200"/>
        <w:rPr>
          <w:rFonts w:ascii="宋体" w:hAnsi="Times New Roman"/>
          <w:highlight w:val="none"/>
        </w:rPr>
      </w:pPr>
      <w:r>
        <w:rPr>
          <w:rFonts w:hint="eastAsia" w:ascii="宋体" w:hAnsi="Times New Roman"/>
          <w:highlight w:val="none"/>
        </w:rPr>
        <w:t>试验时，样品应处于运行状态，且</w:t>
      </w:r>
      <w:r>
        <w:rPr>
          <w:rFonts w:hint="eastAsia" w:ascii="宋体" w:hAnsi="宋体" w:cs="宋体"/>
          <w:highlight w:val="none"/>
        </w:rPr>
        <w:t>试验中不应发生热关机现象。</w:t>
      </w:r>
      <w:r>
        <w:rPr>
          <w:rFonts w:hint="eastAsia" w:ascii="宋体" w:hAnsi="Times New Roman"/>
          <w:highlight w:val="none"/>
        </w:rPr>
        <w:t>宜通过调整输入参数（例如：电源电压、时钟频率、输入信号等）来控制内部功耗。</w:t>
      </w:r>
    </w:p>
    <w:p w14:paraId="5004293C">
      <w:pPr>
        <w:autoSpaceDE w:val="0"/>
        <w:autoSpaceDN w:val="0"/>
        <w:spacing w:line="240" w:lineRule="auto"/>
        <w:ind w:firstLine="420" w:firstLineChars="200"/>
        <w:rPr>
          <w:rFonts w:ascii="宋体" w:hAnsi="Times New Roman"/>
          <w:highlight w:val="none"/>
        </w:rPr>
      </w:pPr>
      <w:r>
        <w:rPr>
          <w:rFonts w:hint="eastAsia" w:ascii="宋体" w:hAnsi="Times New Roman"/>
          <w:highlight w:val="none"/>
        </w:rPr>
        <w:t>在试验过程中及试验前后对样品进行功能/电气参数检查时，应按照6.3.6.1的方法依次在室温、表5规定的最低工作温度和</w:t>
      </w:r>
      <w:bookmarkStart w:id="80" w:name="_Hlk132889822"/>
      <w:r>
        <w:rPr>
          <w:rFonts w:hint="eastAsia" w:ascii="宋体" w:hAnsi="Times New Roman"/>
          <w:highlight w:val="none"/>
        </w:rPr>
        <w:t>最高工作温度</w:t>
      </w:r>
      <w:bookmarkEnd w:id="80"/>
      <w:r>
        <w:rPr>
          <w:rFonts w:hint="eastAsia" w:ascii="宋体" w:hAnsi="Times New Roman"/>
          <w:highlight w:val="none"/>
        </w:rPr>
        <w:t>条件下测试，或依次在在室温、表5规定的最高工作温度和最低工作温度条件下测试。如果适用，宜对试验后的关键性能和可靠性相关电气参数进行漂移分析。</w:t>
      </w:r>
    </w:p>
    <w:p w14:paraId="4AAEB478">
      <w:pPr>
        <w:autoSpaceDE w:val="0"/>
        <w:autoSpaceDN w:val="0"/>
        <w:spacing w:line="240" w:lineRule="auto"/>
        <w:ind w:firstLine="420" w:firstLineChars="200"/>
        <w:rPr>
          <w:rFonts w:ascii="宋体" w:hAnsi="Times New Roman"/>
          <w:highlight w:val="none"/>
        </w:rPr>
      </w:pPr>
      <w:r>
        <w:rPr>
          <w:rFonts w:hint="eastAsia" w:ascii="宋体" w:hAnsi="Times New Roman"/>
          <w:highlight w:val="none"/>
        </w:rPr>
        <w:t>高压器件（加电电压大于10 V的样品）功能检查的时间不宜超过96 h，其他器件功能检查的时间不宜超过168 h。超出的时间应按照表26的要求进行补偿。</w:t>
      </w:r>
    </w:p>
    <w:p w14:paraId="2B4E38FC">
      <w:pPr>
        <w:spacing w:before="120" w:beforeLines="50" w:after="120" w:afterLines="50" w:line="240" w:lineRule="auto"/>
        <w:jc w:val="center"/>
        <w:rPr>
          <w:rFonts w:ascii="黑体" w:hAnsi="Times New Roman" w:eastAsia="黑体"/>
          <w:kern w:val="21"/>
          <w:szCs w:val="20"/>
          <w:highlight w:val="none"/>
        </w:rPr>
      </w:pPr>
      <w:r>
        <w:rPr>
          <w:rFonts w:hint="eastAsia" w:ascii="黑体" w:hAnsi="Times New Roman" w:eastAsia="黑体"/>
          <w:kern w:val="21"/>
          <w:szCs w:val="20"/>
          <w:highlight w:val="none"/>
        </w:rPr>
        <w:t>表 26  功能检查的时间超过规定时长的补偿方式</w:t>
      </w:r>
    </w:p>
    <w:tbl>
      <w:tblPr>
        <w:tblStyle w:val="241"/>
        <w:tblW w:w="9354"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13" w:type="dxa"/>
          <w:left w:w="0" w:type="dxa"/>
          <w:bottom w:w="0" w:type="dxa"/>
          <w:right w:w="0" w:type="dxa"/>
        </w:tblCellMar>
      </w:tblPr>
      <w:tblGrid>
        <w:gridCol w:w="2184"/>
        <w:gridCol w:w="1554"/>
        <w:gridCol w:w="1479"/>
        <w:gridCol w:w="1417"/>
        <w:gridCol w:w="2720"/>
      </w:tblGrid>
      <w:tr w14:paraId="609BA35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3" w:type="dxa"/>
            <w:left w:w="0" w:type="dxa"/>
            <w:bottom w:w="0" w:type="dxa"/>
            <w:right w:w="0" w:type="dxa"/>
          </w:tblCellMar>
        </w:tblPrEx>
        <w:trPr>
          <w:trHeight w:val="380" w:hRule="atLeast"/>
          <w:jc w:val="center"/>
        </w:trPr>
        <w:tc>
          <w:tcPr>
            <w:tcW w:w="1167" w:type="pct"/>
            <w:tcBorders>
              <w:tl2br w:val="nil"/>
              <w:tr2bl w:val="nil"/>
            </w:tcBorders>
            <w:vAlign w:val="center"/>
          </w:tcPr>
          <w:p w14:paraId="72ECE9C5">
            <w:pPr>
              <w:spacing w:line="240" w:lineRule="auto"/>
              <w:jc w:val="center"/>
              <w:rPr>
                <w:rFonts w:hint="eastAsia" w:ascii="宋体" w:hAnsi="宋体" w:eastAsia="等线" w:cs="宋体"/>
                <w:sz w:val="18"/>
                <w:szCs w:val="18"/>
                <w:highlight w:val="none"/>
              </w:rPr>
            </w:pPr>
            <w:r>
              <w:rPr>
                <w:rFonts w:hint="eastAsia" w:ascii="宋体" w:hAnsi="宋体" w:eastAsia="等线" w:cs="宋体"/>
                <w:sz w:val="18"/>
                <w:szCs w:val="18"/>
                <w:highlight w:val="none"/>
              </w:rPr>
              <w:t>超出的功能检查时间</w:t>
            </w:r>
            <w:r>
              <w:rPr>
                <w:rFonts w:hint="eastAsia" w:ascii="宋体" w:hAnsi="宋体" w:eastAsia="等线" w:cs="宋体"/>
                <w:i/>
                <w:iCs/>
                <w:sz w:val="18"/>
                <w:szCs w:val="18"/>
                <w:highlight w:val="none"/>
              </w:rPr>
              <w:t>t</w:t>
            </w:r>
            <w:r>
              <w:rPr>
                <w:rFonts w:hint="eastAsia" w:ascii="宋体" w:hAnsi="宋体" w:eastAsia="等线" w:cs="宋体"/>
                <w:sz w:val="18"/>
                <w:szCs w:val="18"/>
                <w:highlight w:val="none"/>
              </w:rPr>
              <w:t>/h</w:t>
            </w:r>
          </w:p>
        </w:tc>
        <w:tc>
          <w:tcPr>
            <w:tcW w:w="830" w:type="pct"/>
            <w:tcBorders>
              <w:tl2br w:val="nil"/>
              <w:tr2bl w:val="nil"/>
            </w:tcBorders>
            <w:vAlign w:val="center"/>
          </w:tcPr>
          <w:p w14:paraId="05D11CB0">
            <w:pPr>
              <w:spacing w:line="240" w:lineRule="auto"/>
              <w:jc w:val="center"/>
              <w:rPr>
                <w:rFonts w:hint="eastAsia" w:ascii="宋体" w:hAnsi="宋体" w:eastAsia="等线" w:cs="宋体"/>
                <w:sz w:val="18"/>
                <w:szCs w:val="18"/>
                <w:highlight w:val="none"/>
              </w:rPr>
            </w:pPr>
            <w:r>
              <w:rPr>
                <w:rFonts w:hint="eastAsia" w:ascii="宋体" w:hAnsi="宋体" w:eastAsia="等线" w:cs="宋体"/>
                <w:sz w:val="18"/>
                <w:szCs w:val="18"/>
                <w:highlight w:val="none"/>
              </w:rPr>
              <w:t>0＜</w:t>
            </w:r>
            <w:r>
              <w:rPr>
                <w:rFonts w:hint="eastAsia" w:ascii="宋体" w:hAnsi="宋体" w:eastAsia="等线" w:cs="宋体"/>
                <w:i/>
                <w:iCs/>
                <w:sz w:val="18"/>
                <w:szCs w:val="18"/>
                <w:highlight w:val="none"/>
              </w:rPr>
              <w:t>t</w:t>
            </w:r>
            <w:r>
              <w:rPr>
                <w:rFonts w:hint="eastAsia" w:ascii="宋体" w:hAnsi="宋体" w:eastAsia="等线" w:cs="宋体"/>
                <w:sz w:val="18"/>
                <w:szCs w:val="18"/>
                <w:highlight w:val="none"/>
              </w:rPr>
              <w:t>≤168</w:t>
            </w:r>
          </w:p>
        </w:tc>
        <w:tc>
          <w:tcPr>
            <w:tcW w:w="790" w:type="pct"/>
            <w:tcBorders>
              <w:tl2br w:val="nil"/>
              <w:tr2bl w:val="nil"/>
            </w:tcBorders>
            <w:vAlign w:val="center"/>
          </w:tcPr>
          <w:p w14:paraId="424631A0">
            <w:pPr>
              <w:spacing w:line="240" w:lineRule="auto"/>
              <w:jc w:val="center"/>
              <w:rPr>
                <w:rFonts w:hint="eastAsia" w:ascii="宋体" w:hAnsi="宋体" w:eastAsia="等线" w:cs="宋体"/>
                <w:sz w:val="18"/>
                <w:szCs w:val="18"/>
                <w:highlight w:val="none"/>
              </w:rPr>
            </w:pPr>
            <w:r>
              <w:rPr>
                <w:rFonts w:hint="eastAsia" w:ascii="宋体" w:hAnsi="宋体" w:eastAsia="等线" w:cs="宋体"/>
                <w:sz w:val="18"/>
                <w:szCs w:val="18"/>
                <w:highlight w:val="none"/>
              </w:rPr>
              <w:t>168＜</w:t>
            </w:r>
            <w:r>
              <w:rPr>
                <w:rFonts w:hint="eastAsia" w:ascii="宋体" w:hAnsi="宋体" w:eastAsia="等线" w:cs="宋体"/>
                <w:i/>
                <w:iCs/>
                <w:sz w:val="18"/>
                <w:szCs w:val="18"/>
                <w:highlight w:val="none"/>
              </w:rPr>
              <w:t>t</w:t>
            </w:r>
            <w:r>
              <w:rPr>
                <w:rFonts w:hint="eastAsia" w:ascii="宋体" w:hAnsi="宋体" w:eastAsia="等线" w:cs="宋体"/>
                <w:sz w:val="18"/>
                <w:szCs w:val="18"/>
                <w:highlight w:val="none"/>
              </w:rPr>
              <w:t>≤336</w:t>
            </w:r>
          </w:p>
        </w:tc>
        <w:tc>
          <w:tcPr>
            <w:tcW w:w="757" w:type="pct"/>
            <w:tcBorders>
              <w:tl2br w:val="nil"/>
              <w:tr2bl w:val="nil"/>
            </w:tcBorders>
            <w:vAlign w:val="center"/>
          </w:tcPr>
          <w:p w14:paraId="19EAAEFA">
            <w:pPr>
              <w:spacing w:line="240" w:lineRule="auto"/>
              <w:jc w:val="center"/>
              <w:rPr>
                <w:rFonts w:hint="eastAsia" w:ascii="宋体" w:hAnsi="宋体" w:eastAsia="等线" w:cs="宋体"/>
                <w:sz w:val="18"/>
                <w:szCs w:val="18"/>
                <w:highlight w:val="none"/>
              </w:rPr>
            </w:pPr>
            <w:r>
              <w:rPr>
                <w:rFonts w:hint="eastAsia" w:ascii="宋体" w:hAnsi="宋体" w:eastAsia="等线" w:cs="宋体"/>
                <w:sz w:val="18"/>
                <w:szCs w:val="18"/>
                <w:highlight w:val="none"/>
              </w:rPr>
              <w:t>336＜</w:t>
            </w:r>
            <w:r>
              <w:rPr>
                <w:rFonts w:hint="eastAsia" w:ascii="宋体" w:hAnsi="宋体" w:eastAsia="等线" w:cs="宋体"/>
                <w:i/>
                <w:iCs/>
                <w:sz w:val="18"/>
                <w:szCs w:val="18"/>
                <w:highlight w:val="none"/>
              </w:rPr>
              <w:t>t</w:t>
            </w:r>
            <w:r>
              <w:rPr>
                <w:rFonts w:hint="eastAsia" w:ascii="宋体" w:hAnsi="宋体" w:eastAsia="等线" w:cs="宋体"/>
                <w:sz w:val="18"/>
                <w:szCs w:val="18"/>
                <w:highlight w:val="none"/>
              </w:rPr>
              <w:t>≤504</w:t>
            </w:r>
          </w:p>
        </w:tc>
        <w:tc>
          <w:tcPr>
            <w:tcW w:w="1453" w:type="pct"/>
            <w:tcBorders>
              <w:tl2br w:val="nil"/>
              <w:tr2bl w:val="nil"/>
            </w:tcBorders>
            <w:vAlign w:val="center"/>
          </w:tcPr>
          <w:p w14:paraId="5B477D38">
            <w:pPr>
              <w:spacing w:line="240" w:lineRule="auto"/>
              <w:jc w:val="center"/>
              <w:rPr>
                <w:rFonts w:hint="eastAsia" w:ascii="宋体" w:hAnsi="宋体" w:eastAsia="等线" w:cs="宋体"/>
                <w:sz w:val="18"/>
                <w:szCs w:val="18"/>
                <w:highlight w:val="none"/>
              </w:rPr>
            </w:pPr>
            <w:r>
              <w:rPr>
                <w:rFonts w:hint="eastAsia" w:ascii="宋体" w:hAnsi="宋体" w:eastAsia="等线" w:cs="宋体"/>
                <w:i/>
                <w:iCs/>
                <w:sz w:val="18"/>
                <w:szCs w:val="18"/>
                <w:highlight w:val="none"/>
              </w:rPr>
              <w:t>t</w:t>
            </w:r>
            <w:r>
              <w:rPr>
                <w:rFonts w:hint="eastAsia" w:ascii="宋体" w:hAnsi="宋体" w:eastAsia="等线" w:cs="宋体"/>
                <w:sz w:val="18"/>
                <w:szCs w:val="18"/>
                <w:highlight w:val="none"/>
              </w:rPr>
              <w:t>＞504 h</w:t>
            </w:r>
          </w:p>
        </w:tc>
      </w:tr>
      <w:tr w14:paraId="79ACF22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13" w:type="dxa"/>
            <w:left w:w="0" w:type="dxa"/>
            <w:bottom w:w="0" w:type="dxa"/>
            <w:right w:w="0" w:type="dxa"/>
          </w:tblCellMar>
        </w:tblPrEx>
        <w:trPr>
          <w:trHeight w:val="722" w:hRule="atLeast"/>
          <w:jc w:val="center"/>
        </w:trPr>
        <w:tc>
          <w:tcPr>
            <w:tcW w:w="1167" w:type="pct"/>
            <w:tcBorders>
              <w:tl2br w:val="nil"/>
              <w:tr2bl w:val="nil"/>
            </w:tcBorders>
            <w:vAlign w:val="center"/>
          </w:tcPr>
          <w:p w14:paraId="4DD6EE57">
            <w:pPr>
              <w:spacing w:line="240" w:lineRule="auto"/>
              <w:jc w:val="center"/>
              <w:rPr>
                <w:rFonts w:hint="eastAsia" w:ascii="宋体" w:hAnsi="宋体" w:eastAsia="等线" w:cs="宋体"/>
                <w:sz w:val="18"/>
                <w:szCs w:val="18"/>
                <w:highlight w:val="none"/>
              </w:rPr>
            </w:pPr>
            <w:r>
              <w:rPr>
                <w:rFonts w:hint="eastAsia" w:ascii="宋体" w:hAnsi="宋体" w:eastAsia="等线" w:cs="宋体"/>
                <w:sz w:val="18"/>
                <w:szCs w:val="18"/>
                <w:highlight w:val="none"/>
              </w:rPr>
              <w:t>恢复试验前所需的</w:t>
            </w:r>
          </w:p>
          <w:p w14:paraId="49826B5A">
            <w:pPr>
              <w:spacing w:line="240" w:lineRule="auto"/>
              <w:jc w:val="center"/>
              <w:rPr>
                <w:rFonts w:hint="eastAsia" w:ascii="宋体" w:hAnsi="宋体" w:eastAsia="等线" w:cs="宋体"/>
                <w:sz w:val="18"/>
                <w:szCs w:val="18"/>
                <w:highlight w:val="none"/>
              </w:rPr>
            </w:pPr>
            <w:r>
              <w:rPr>
                <w:rFonts w:hint="eastAsia" w:ascii="宋体" w:hAnsi="宋体" w:eastAsia="等线" w:cs="宋体"/>
                <w:sz w:val="18"/>
                <w:szCs w:val="18"/>
                <w:highlight w:val="none"/>
              </w:rPr>
              <w:t>额外应力时长</w:t>
            </w:r>
          </w:p>
        </w:tc>
        <w:tc>
          <w:tcPr>
            <w:tcW w:w="830" w:type="pct"/>
            <w:tcBorders>
              <w:tl2br w:val="nil"/>
              <w:tr2bl w:val="nil"/>
            </w:tcBorders>
            <w:vAlign w:val="center"/>
          </w:tcPr>
          <w:p w14:paraId="2B5D3D2E">
            <w:pPr>
              <w:spacing w:line="240" w:lineRule="auto"/>
              <w:jc w:val="center"/>
              <w:rPr>
                <w:rFonts w:hint="eastAsia" w:ascii="宋体" w:hAnsi="宋体" w:eastAsia="等线" w:cs="宋体"/>
                <w:sz w:val="18"/>
                <w:szCs w:val="18"/>
                <w:highlight w:val="none"/>
              </w:rPr>
            </w:pPr>
            <w:r>
              <w:rPr>
                <w:rFonts w:hint="eastAsia" w:ascii="宋体" w:hAnsi="宋体" w:eastAsia="等线" w:cs="宋体"/>
                <w:sz w:val="18"/>
                <w:szCs w:val="18"/>
                <w:highlight w:val="none"/>
              </w:rPr>
              <w:t>24 h或</w:t>
            </w:r>
            <w:r>
              <w:rPr>
                <w:rFonts w:hint="eastAsia" w:ascii="宋体" w:hAnsi="宋体" w:eastAsia="等线" w:cs="宋体"/>
                <w:i/>
                <w:iCs/>
                <w:sz w:val="18"/>
                <w:szCs w:val="18"/>
                <w:highlight w:val="none"/>
              </w:rPr>
              <w:t>t</w:t>
            </w:r>
            <w:r>
              <w:rPr>
                <w:rFonts w:hint="eastAsia" w:ascii="宋体" w:hAnsi="宋体" w:eastAsia="等线" w:cs="宋体"/>
                <w:sz w:val="18"/>
                <w:szCs w:val="18"/>
                <w:highlight w:val="none"/>
              </w:rPr>
              <w:t>/2，取其中最短时间</w:t>
            </w:r>
          </w:p>
        </w:tc>
        <w:tc>
          <w:tcPr>
            <w:tcW w:w="790" w:type="pct"/>
            <w:tcBorders>
              <w:tl2br w:val="nil"/>
              <w:tr2bl w:val="nil"/>
            </w:tcBorders>
            <w:vAlign w:val="center"/>
          </w:tcPr>
          <w:p w14:paraId="3300CD40">
            <w:pPr>
              <w:spacing w:line="240" w:lineRule="auto"/>
              <w:jc w:val="center"/>
              <w:rPr>
                <w:rFonts w:hint="eastAsia" w:ascii="宋体" w:hAnsi="宋体" w:eastAsia="等线" w:cs="宋体"/>
                <w:sz w:val="18"/>
                <w:szCs w:val="18"/>
                <w:highlight w:val="none"/>
              </w:rPr>
            </w:pPr>
            <w:r>
              <w:rPr>
                <w:rFonts w:hint="eastAsia" w:ascii="宋体" w:hAnsi="宋体" w:eastAsia="等线" w:cs="宋体"/>
                <w:sz w:val="18"/>
                <w:szCs w:val="18"/>
                <w:highlight w:val="none"/>
              </w:rPr>
              <w:t>48 h或</w:t>
            </w:r>
            <w:r>
              <w:rPr>
                <w:rFonts w:hint="eastAsia" w:ascii="宋体" w:hAnsi="宋体" w:eastAsia="等线" w:cs="宋体"/>
                <w:i/>
                <w:iCs/>
                <w:sz w:val="18"/>
                <w:szCs w:val="18"/>
                <w:highlight w:val="none"/>
              </w:rPr>
              <w:t>t</w:t>
            </w:r>
            <w:r>
              <w:rPr>
                <w:rFonts w:hint="eastAsia" w:ascii="宋体" w:hAnsi="宋体" w:eastAsia="等线" w:cs="宋体"/>
                <w:sz w:val="18"/>
                <w:szCs w:val="18"/>
                <w:highlight w:val="none"/>
              </w:rPr>
              <w:t>/2，取其中最短时间</w:t>
            </w:r>
          </w:p>
        </w:tc>
        <w:tc>
          <w:tcPr>
            <w:tcW w:w="757" w:type="pct"/>
            <w:tcBorders>
              <w:tl2br w:val="nil"/>
              <w:tr2bl w:val="nil"/>
            </w:tcBorders>
            <w:vAlign w:val="center"/>
          </w:tcPr>
          <w:p w14:paraId="40CEEB4A">
            <w:pPr>
              <w:spacing w:line="240" w:lineRule="auto"/>
              <w:jc w:val="center"/>
              <w:rPr>
                <w:rFonts w:hint="eastAsia" w:ascii="宋体" w:hAnsi="宋体" w:eastAsia="等线" w:cs="宋体"/>
                <w:sz w:val="18"/>
                <w:szCs w:val="18"/>
                <w:highlight w:val="none"/>
              </w:rPr>
            </w:pPr>
            <w:r>
              <w:rPr>
                <w:rFonts w:hint="eastAsia" w:ascii="宋体" w:hAnsi="宋体" w:eastAsia="等线" w:cs="宋体"/>
                <w:sz w:val="18"/>
                <w:szCs w:val="18"/>
                <w:highlight w:val="none"/>
              </w:rPr>
              <w:t>72 h或</w:t>
            </w:r>
            <w:r>
              <w:rPr>
                <w:rFonts w:hint="eastAsia" w:ascii="宋体" w:hAnsi="宋体" w:eastAsia="等线" w:cs="宋体"/>
                <w:i/>
                <w:iCs/>
                <w:sz w:val="18"/>
                <w:szCs w:val="18"/>
                <w:highlight w:val="none"/>
              </w:rPr>
              <w:t>t</w:t>
            </w:r>
            <w:r>
              <w:rPr>
                <w:rFonts w:hint="eastAsia" w:ascii="宋体" w:hAnsi="宋体" w:eastAsia="等线" w:cs="宋体"/>
                <w:sz w:val="18"/>
                <w:szCs w:val="18"/>
                <w:highlight w:val="none"/>
              </w:rPr>
              <w:t>/2，取其中最短时间</w:t>
            </w:r>
          </w:p>
        </w:tc>
        <w:tc>
          <w:tcPr>
            <w:tcW w:w="1453" w:type="pct"/>
            <w:tcBorders>
              <w:tl2br w:val="nil"/>
              <w:tr2bl w:val="nil"/>
            </w:tcBorders>
            <w:vAlign w:val="center"/>
          </w:tcPr>
          <w:p w14:paraId="5D2543F5">
            <w:pPr>
              <w:spacing w:line="240" w:lineRule="auto"/>
              <w:jc w:val="center"/>
              <w:rPr>
                <w:rFonts w:hint="eastAsia" w:ascii="宋体" w:hAnsi="宋体" w:eastAsia="等线" w:cs="宋体"/>
                <w:sz w:val="18"/>
                <w:szCs w:val="18"/>
                <w:highlight w:val="none"/>
              </w:rPr>
            </w:pPr>
            <w:r>
              <w:rPr>
                <w:rFonts w:hint="eastAsia" w:ascii="宋体" w:hAnsi="宋体" w:eastAsia="等线" w:cs="宋体"/>
                <w:sz w:val="18"/>
                <w:szCs w:val="18"/>
                <w:highlight w:val="none"/>
              </w:rPr>
              <w:t>超出的功能检查时间每超过168 h增加24 h或</w:t>
            </w:r>
            <w:r>
              <w:rPr>
                <w:rFonts w:hint="eastAsia" w:ascii="宋体" w:hAnsi="宋体" w:eastAsia="等线" w:cs="宋体"/>
                <w:i/>
                <w:iCs/>
                <w:sz w:val="18"/>
                <w:szCs w:val="18"/>
                <w:highlight w:val="none"/>
              </w:rPr>
              <w:t>t</w:t>
            </w:r>
            <w:r>
              <w:rPr>
                <w:rFonts w:hint="eastAsia" w:ascii="宋体" w:hAnsi="宋体" w:eastAsia="等线" w:cs="宋体"/>
                <w:sz w:val="18"/>
                <w:szCs w:val="18"/>
                <w:highlight w:val="none"/>
              </w:rPr>
              <w:t>/2，取其中最短时间</w:t>
            </w:r>
          </w:p>
        </w:tc>
      </w:tr>
      <w:bookmarkEnd w:id="79"/>
    </w:tbl>
    <w:p w14:paraId="7AD3C94A">
      <w:pPr>
        <w:widowControl/>
        <w:wordWrap w:val="0"/>
        <w:overflowPunct w:val="0"/>
        <w:autoSpaceDE w:val="0"/>
        <w:autoSpaceDN w:val="0"/>
        <w:spacing w:before="120" w:beforeLines="50" w:after="120" w:afterLines="50" w:line="240" w:lineRule="auto"/>
        <w:textAlignment w:val="baseline"/>
        <w:outlineLvl w:val="3"/>
        <w:rPr>
          <w:rFonts w:ascii="黑体" w:hAnsi="Times New Roman" w:eastAsia="黑体"/>
          <w:kern w:val="21"/>
          <w:highlight w:val="none"/>
        </w:rPr>
      </w:pPr>
      <w:r>
        <w:rPr>
          <w:rFonts w:hint="eastAsia" w:ascii="黑体" w:hAnsi="Times New Roman" w:eastAsia="黑体"/>
          <w:kern w:val="21"/>
          <w:highlight w:val="none"/>
        </w:rPr>
        <w:t xml:space="preserve">6.3.3.2  </w:t>
      </w:r>
      <w:r>
        <w:rPr>
          <w:rFonts w:hint="eastAsia" w:ascii="黑体" w:hAnsi="黑体" w:eastAsia="黑体"/>
          <w:kern w:val="21"/>
          <w:highlight w:val="none"/>
        </w:rPr>
        <w:t>早期寿命失效率试验</w:t>
      </w:r>
    </w:p>
    <w:p w14:paraId="29DE2261">
      <w:pPr>
        <w:autoSpaceDE w:val="0"/>
        <w:autoSpaceDN w:val="0"/>
        <w:spacing w:line="240" w:lineRule="auto"/>
        <w:ind w:firstLine="420" w:firstLineChars="200"/>
        <w:rPr>
          <w:rFonts w:ascii="宋体" w:hAnsi="Times New Roman"/>
          <w:highlight w:val="none"/>
        </w:rPr>
      </w:pPr>
      <w:r>
        <w:rPr>
          <w:rFonts w:hint="eastAsia" w:ascii="宋体" w:hAnsi="Times New Roman"/>
          <w:highlight w:val="none"/>
        </w:rPr>
        <w:t>按照表27的要求进行试验，使用3个不连续批次的样品,每批次样品数量不应少于800片。使用热电偶或其他温度测量装置监控样品的温度。</w:t>
      </w:r>
    </w:p>
    <w:p w14:paraId="49D9BEE0">
      <w:pPr>
        <w:spacing w:before="120" w:beforeLines="50" w:after="120" w:afterLines="50" w:line="240" w:lineRule="auto"/>
        <w:jc w:val="center"/>
        <w:rPr>
          <w:rFonts w:ascii="黑体" w:hAnsi="Times New Roman" w:eastAsia="黑体"/>
          <w:kern w:val="21"/>
          <w:szCs w:val="20"/>
          <w:highlight w:val="none"/>
        </w:rPr>
      </w:pPr>
      <w:r>
        <w:rPr>
          <w:rFonts w:hint="eastAsia" w:ascii="黑体" w:hAnsi="Times New Roman" w:eastAsia="黑体"/>
          <w:kern w:val="21"/>
          <w:szCs w:val="20"/>
          <w:highlight w:val="none"/>
        </w:rPr>
        <w:t>表 27  早期寿命失效试验条件</w:t>
      </w:r>
    </w:p>
    <w:tbl>
      <w:tblPr>
        <w:tblStyle w:val="29"/>
        <w:tblW w:w="5321"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1775"/>
        <w:gridCol w:w="3147"/>
        <w:gridCol w:w="3151"/>
        <w:gridCol w:w="1913"/>
      </w:tblGrid>
      <w:tr w14:paraId="03F8F65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37" w:hRule="atLeast"/>
          <w:jc w:val="center"/>
        </w:trPr>
        <w:tc>
          <w:tcPr>
            <w:tcW w:w="888" w:type="pct"/>
            <w:tcBorders>
              <w:tl2br w:val="nil"/>
              <w:tr2bl w:val="nil"/>
            </w:tcBorders>
            <w:vAlign w:val="center"/>
          </w:tcPr>
          <w:p w14:paraId="417C76D5">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温度等级</w:t>
            </w:r>
          </w:p>
        </w:tc>
        <w:tc>
          <w:tcPr>
            <w:tcW w:w="1575" w:type="pct"/>
            <w:tcBorders>
              <w:tl2br w:val="nil"/>
              <w:tr2bl w:val="nil"/>
            </w:tcBorders>
            <w:vAlign w:val="center"/>
          </w:tcPr>
          <w:p w14:paraId="5EE7B2F4">
            <w:pPr>
              <w:autoSpaceDE w:val="0"/>
              <w:autoSpaceDN w:val="0"/>
              <w:jc w:val="center"/>
              <w:rPr>
                <w:rFonts w:hint="eastAsia" w:ascii="宋体" w:hAnsi="宋体" w:cs="宋体"/>
                <w:sz w:val="18"/>
                <w:szCs w:val="18"/>
                <w:highlight w:val="none"/>
                <w:vertAlign w:val="superscript"/>
              </w:rPr>
            </w:pPr>
            <w:r>
              <w:rPr>
                <w:rFonts w:hint="eastAsia" w:ascii="宋体" w:hAnsi="宋体" w:cs="宋体"/>
                <w:sz w:val="18"/>
                <w:szCs w:val="18"/>
                <w:highlight w:val="none"/>
              </w:rPr>
              <w:t>环境温度</w:t>
            </w:r>
            <w:r>
              <w:rPr>
                <w:rFonts w:hint="eastAsia" w:ascii="宋体" w:hAnsi="宋体" w:cs="宋体"/>
                <w:sz w:val="18"/>
                <w:szCs w:val="18"/>
                <w:highlight w:val="none"/>
                <w:vertAlign w:val="superscript"/>
              </w:rPr>
              <w:t>a</w:t>
            </w:r>
          </w:p>
        </w:tc>
        <w:tc>
          <w:tcPr>
            <w:tcW w:w="1577" w:type="pct"/>
            <w:tcBorders>
              <w:tl2br w:val="nil"/>
              <w:tr2bl w:val="nil"/>
            </w:tcBorders>
            <w:vAlign w:val="center"/>
          </w:tcPr>
          <w:p w14:paraId="79C911DB">
            <w:pPr>
              <w:autoSpaceDE w:val="0"/>
              <w:autoSpaceDN w:val="0"/>
              <w:jc w:val="center"/>
              <w:rPr>
                <w:rFonts w:hint="eastAsia" w:ascii="宋体" w:hAnsi="宋体" w:cs="宋体"/>
                <w:sz w:val="18"/>
                <w:szCs w:val="18"/>
                <w:highlight w:val="none"/>
                <w:vertAlign w:val="superscript"/>
              </w:rPr>
            </w:pPr>
            <w:r>
              <w:rPr>
                <w:rFonts w:hint="eastAsia" w:ascii="宋体" w:hAnsi="宋体" w:cs="宋体"/>
                <w:sz w:val="18"/>
                <w:szCs w:val="18"/>
                <w:highlight w:val="none"/>
              </w:rPr>
              <w:t>试验持续时间</w:t>
            </w:r>
            <w:r>
              <w:rPr>
                <w:rFonts w:hint="eastAsia" w:ascii="宋体" w:hAnsi="宋体" w:cs="宋体"/>
                <w:sz w:val="18"/>
                <w:szCs w:val="18"/>
                <w:highlight w:val="none"/>
                <w:vertAlign w:val="superscript"/>
              </w:rPr>
              <w:t>b</w:t>
            </w:r>
          </w:p>
        </w:tc>
        <w:tc>
          <w:tcPr>
            <w:tcW w:w="957" w:type="pct"/>
            <w:tcBorders>
              <w:tl2br w:val="nil"/>
              <w:tr2bl w:val="nil"/>
            </w:tcBorders>
            <w:vAlign w:val="center"/>
          </w:tcPr>
          <w:p w14:paraId="31BEE8E2">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电压</w:t>
            </w:r>
            <w:r>
              <w:rPr>
                <w:rFonts w:hint="eastAsia" w:ascii="宋体" w:hAnsi="宋体" w:cs="宋体"/>
                <w:sz w:val="18"/>
                <w:szCs w:val="18"/>
                <w:highlight w:val="none"/>
                <w:vertAlign w:val="superscript"/>
              </w:rPr>
              <w:t>c</w:t>
            </w:r>
          </w:p>
        </w:tc>
      </w:tr>
      <w:tr w14:paraId="5C3A3B4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70" w:hRule="atLeast"/>
          <w:jc w:val="center"/>
        </w:trPr>
        <w:tc>
          <w:tcPr>
            <w:tcW w:w="888" w:type="pct"/>
            <w:tcBorders>
              <w:tl2br w:val="nil"/>
              <w:tr2bl w:val="nil"/>
            </w:tcBorders>
            <w:vAlign w:val="center"/>
          </w:tcPr>
          <w:p w14:paraId="010FA2C8">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0</w:t>
            </w:r>
          </w:p>
        </w:tc>
        <w:tc>
          <w:tcPr>
            <w:tcW w:w="1575" w:type="pct"/>
            <w:tcBorders>
              <w:tl2br w:val="nil"/>
              <w:tr2bl w:val="nil"/>
            </w:tcBorders>
            <w:vAlign w:val="center"/>
          </w:tcPr>
          <w:p w14:paraId="4FE47C17">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150 ℃</w:t>
            </w:r>
          </w:p>
        </w:tc>
        <w:tc>
          <w:tcPr>
            <w:tcW w:w="1577" w:type="pct"/>
            <w:tcBorders>
              <w:tl2br w:val="nil"/>
              <w:tr2bl w:val="nil"/>
            </w:tcBorders>
            <w:vAlign w:val="center"/>
          </w:tcPr>
          <w:p w14:paraId="0B79695C">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48 h</w:t>
            </w:r>
          </w:p>
        </w:tc>
        <w:tc>
          <w:tcPr>
            <w:tcW w:w="957" w:type="pct"/>
            <w:tcBorders>
              <w:tl2br w:val="nil"/>
              <w:tr2bl w:val="nil"/>
            </w:tcBorders>
            <w:vAlign w:val="center"/>
          </w:tcPr>
          <w:p w14:paraId="4BCB95AF">
            <w:pPr>
              <w:autoSpaceDE w:val="0"/>
              <w:autoSpaceDN w:val="0"/>
              <w:jc w:val="center"/>
              <w:rPr>
                <w:rFonts w:hint="eastAsia" w:ascii="宋体" w:hAnsi="宋体" w:cs="宋体"/>
                <w:sz w:val="18"/>
                <w:szCs w:val="18"/>
                <w:highlight w:val="none"/>
              </w:rPr>
            </w:pPr>
            <w:r>
              <w:rPr>
                <w:rFonts w:hint="eastAsia" w:ascii="宋体" w:hAnsi="宋体" w:cs="宋体"/>
                <w:sz w:val="18"/>
                <w:szCs w:val="18"/>
                <w:highlight w:val="none"/>
              </w:rPr>
              <w:t>最大工作电压</w:t>
            </w:r>
          </w:p>
        </w:tc>
      </w:tr>
    </w:tbl>
    <w:p w14:paraId="6AFD252F">
      <w:pPr>
        <w:autoSpaceDE w:val="0"/>
        <w:autoSpaceDN w:val="0"/>
        <w:spacing w:before="120" w:beforeLines="50" w:after="120" w:afterLines="50" w:line="240" w:lineRule="auto"/>
        <w:outlineLvl w:val="2"/>
        <w:rPr>
          <w:rFonts w:hint="eastAsia" w:ascii="黑体" w:hAnsi="黑体" w:eastAsia="黑体" w:cs="黑体"/>
        </w:rPr>
      </w:pPr>
      <w:bookmarkStart w:id="101" w:name="_GoBack"/>
      <w:bookmarkEnd w:id="101"/>
      <w:r>
        <w:rPr>
          <w:rFonts w:hint="eastAsia" w:ascii="黑体" w:hAnsi="黑体" w:eastAsia="黑体" w:cs="黑体"/>
        </w:rPr>
        <w:t>6.3.4  封装完整性试验</w:t>
      </w:r>
    </w:p>
    <w:p w14:paraId="0C885E9C">
      <w:pPr>
        <w:widowControl/>
        <w:numPr>
          <w:ilvl w:val="4"/>
          <w:numId w:val="0"/>
        </w:numPr>
        <w:spacing w:before="120" w:beforeLines="50" w:after="120" w:afterLines="50" w:line="240" w:lineRule="auto"/>
        <w:outlineLvl w:val="4"/>
        <w:rPr>
          <w:rFonts w:ascii="黑体" w:hAnsi="Times New Roman" w:eastAsia="黑体"/>
        </w:rPr>
      </w:pPr>
      <w:r>
        <w:rPr>
          <w:rFonts w:hint="eastAsia" w:ascii="黑体" w:hAnsi="Times New Roman" w:eastAsia="黑体"/>
        </w:rPr>
        <w:t>6.3.4.1  键合球剪切强度试验</w:t>
      </w:r>
    </w:p>
    <w:p w14:paraId="66A234C0">
      <w:pPr>
        <w:autoSpaceDE w:val="0"/>
        <w:autoSpaceDN w:val="0"/>
        <w:spacing w:line="240" w:lineRule="auto"/>
        <w:ind w:firstLine="420" w:firstLineChars="200"/>
        <w:rPr>
          <w:rFonts w:hint="eastAsia" w:ascii="宋体" w:hAnsi="宋体" w:cs="宋体"/>
        </w:rPr>
      </w:pPr>
      <w:r>
        <w:rPr>
          <w:rFonts w:hint="eastAsia" w:ascii="宋体" w:hAnsi="宋体" w:cs="宋体"/>
          <w:lang w:val="zh-TW" w:eastAsia="zh-TW"/>
        </w:rPr>
        <w:t>本试验适用于键合球高度不低于</w:t>
      </w:r>
      <w:r>
        <w:rPr>
          <w:rFonts w:hint="eastAsia" w:ascii="宋体" w:hAnsi="宋体" w:cs="宋体"/>
        </w:rPr>
        <w:t>31.75 μm的样品，</w:t>
      </w:r>
      <w:r>
        <w:rPr>
          <w:rFonts w:hint="eastAsia" w:ascii="宋体" w:hAnsi="宋体" w:cs="宋体"/>
          <w:lang w:val="zh-TW" w:eastAsia="zh-TW"/>
        </w:rPr>
        <w:t>示意图见图</w:t>
      </w:r>
      <w:r>
        <w:rPr>
          <w:rFonts w:hint="eastAsia" w:ascii="宋体" w:hAnsi="宋体" w:cs="宋体"/>
        </w:rPr>
        <w:t>1</w:t>
      </w:r>
      <w:r>
        <w:rPr>
          <w:rFonts w:hint="eastAsia" w:ascii="宋体" w:hAnsi="宋体" w:cs="宋体"/>
          <w:lang w:val="zh-TW" w:eastAsia="zh-TW"/>
        </w:rPr>
        <w:t>。</w:t>
      </w:r>
      <w:r>
        <w:rPr>
          <w:rFonts w:hint="eastAsia" w:ascii="宋体" w:hAnsi="宋体" w:cs="宋体"/>
        </w:rPr>
        <w:t>试验</w:t>
      </w:r>
      <w:r>
        <w:rPr>
          <w:rFonts w:hint="eastAsia" w:ascii="宋体" w:hAnsi="宋体" w:cs="宋体"/>
          <w:lang w:val="zh-TW" w:eastAsia="zh-TW"/>
        </w:rPr>
        <w:t>样品数量不应少于</w:t>
      </w:r>
      <w:r>
        <w:rPr>
          <w:rFonts w:hint="eastAsia" w:ascii="宋体" w:hAnsi="宋体" w:cs="宋体"/>
        </w:rPr>
        <w:t>5</w:t>
      </w:r>
      <w:r>
        <w:rPr>
          <w:rFonts w:hint="eastAsia" w:ascii="宋体" w:hAnsi="宋体" w:cs="宋体"/>
          <w:lang w:val="zh-TW" w:eastAsia="zh-TW"/>
        </w:rPr>
        <w:t>片，每片样品选择不少</w:t>
      </w:r>
      <w:r>
        <w:rPr>
          <w:rFonts w:hint="eastAsia" w:ascii="宋体" w:hAnsi="宋体" w:cs="宋体"/>
        </w:rPr>
        <w:t>于6</w:t>
      </w:r>
      <w:r>
        <w:rPr>
          <w:rFonts w:hint="eastAsia" w:ascii="宋体" w:hAnsi="宋体" w:cs="宋体"/>
          <w:lang w:val="zh-TW" w:eastAsia="zh-TW"/>
        </w:rPr>
        <w:t>个位置在适当的时间间隔内进行试验。</w:t>
      </w:r>
    </w:p>
    <w:p w14:paraId="77CE9EC9">
      <w:pPr>
        <w:autoSpaceDE w:val="0"/>
        <w:autoSpaceDN w:val="0"/>
        <w:spacing w:line="240" w:lineRule="auto"/>
        <w:ind w:firstLine="420" w:firstLineChars="200"/>
        <w:rPr>
          <w:rFonts w:ascii="宋体" w:hAnsi="Times New Roman"/>
          <w:lang w:val="zh-TW" w:eastAsia="zh-TW"/>
        </w:rPr>
      </w:pPr>
      <w:r>
        <w:rPr>
          <w:rFonts w:hint="eastAsia" w:ascii="宋体" w:hAnsi="宋体" w:cs="宋体"/>
          <w:lang w:val="zh-TW" w:eastAsia="zh-TW"/>
        </w:rPr>
        <w:t>推刀抬高高度应在焊盘上方</w:t>
      </w:r>
      <w:r>
        <w:rPr>
          <w:rFonts w:hint="eastAsia" w:ascii="宋体" w:hAnsi="宋体" w:cs="宋体"/>
          <w:lang w:val="zh-TW"/>
        </w:rPr>
        <w:t>2</w:t>
      </w:r>
      <w:r>
        <w:rPr>
          <w:rFonts w:hint="eastAsia" w:ascii="宋体" w:hAnsi="宋体" w:cs="宋体"/>
          <w:lang w:val="zh-TW" w:eastAsia="zh-TW"/>
        </w:rPr>
        <w:t>.54</w:t>
      </w:r>
      <w:r>
        <w:rPr>
          <w:rFonts w:hint="eastAsia" w:ascii="宋体" w:hAnsi="宋体" w:cs="宋体"/>
        </w:rPr>
        <w:t xml:space="preserve"> μm</w:t>
      </w:r>
      <w:r>
        <w:rPr>
          <w:rFonts w:hint="eastAsia" w:ascii="宋体" w:hAnsi="宋体" w:cs="宋体"/>
          <w:lang w:val="zh-TW" w:eastAsia="zh-TW"/>
        </w:rPr>
        <w:t>处至待测键合球高度的</w:t>
      </w:r>
      <w:r>
        <w:rPr>
          <w:rFonts w:hint="eastAsia" w:ascii="宋体" w:hAnsi="宋体" w:cs="宋体"/>
        </w:rPr>
        <w:t>1/2</w:t>
      </w:r>
      <w:r>
        <w:rPr>
          <w:rFonts w:hint="eastAsia" w:ascii="宋体" w:hAnsi="宋体" w:cs="宋体"/>
          <w:lang w:val="zh-TW" w:eastAsia="zh-TW"/>
        </w:rPr>
        <w:t>处范围内选取，剪切速度应在</w:t>
      </w:r>
      <w:r>
        <w:rPr>
          <w:rFonts w:hint="eastAsia" w:ascii="宋体" w:hAnsi="宋体" w:cs="宋体"/>
        </w:rPr>
        <w:t>280</w:t>
      </w:r>
      <w:r>
        <w:rPr>
          <w:rFonts w:hint="eastAsia" w:ascii="宋体" w:hAnsi="宋体" w:cs="宋体"/>
          <w:lang w:val="zh-TW" w:eastAsia="zh-TW"/>
        </w:rPr>
        <w:t>～</w:t>
      </w:r>
      <w:r>
        <w:rPr>
          <w:rFonts w:hint="eastAsia" w:ascii="宋体" w:hAnsi="宋体" w:cs="宋体"/>
        </w:rPr>
        <w:t>500 μm/s</w:t>
      </w:r>
      <w:r>
        <w:rPr>
          <w:rFonts w:hint="eastAsia" w:ascii="宋体" w:hAnsi="宋体" w:cs="宋体"/>
          <w:lang w:val="zh-TW" w:eastAsia="zh-TW"/>
        </w:rPr>
        <w:t>范围内选取，同时测量每个选定位置的剪切力。试验后</w:t>
      </w:r>
      <w:r>
        <w:rPr>
          <w:rFonts w:hint="eastAsia" w:ascii="宋体" w:hAnsi="宋体" w:cs="宋体"/>
        </w:rPr>
        <w:t>使用不低于30倍光学放大倍率</w:t>
      </w:r>
      <w:r>
        <w:rPr>
          <w:rFonts w:hint="eastAsia" w:ascii="宋体" w:hAnsi="宋体" w:cs="宋体"/>
          <w:lang w:val="zh-TW" w:eastAsia="zh-TW"/>
        </w:rPr>
        <w:t>的显微镜进行分离模式的判定，分离模式见表</w:t>
      </w:r>
      <w:r>
        <w:rPr>
          <w:rFonts w:hint="eastAsia" w:ascii="宋体" w:hAnsi="宋体" w:cs="宋体"/>
        </w:rPr>
        <w:t>28</w:t>
      </w:r>
      <w:r>
        <w:rPr>
          <w:rFonts w:ascii="宋体" w:hAnsi="Times New Roman"/>
          <w:lang w:val="zh-TW" w:eastAsia="zh-TW"/>
        </w:rPr>
        <w:t>。</w:t>
      </w:r>
    </w:p>
    <w:p w14:paraId="4CAE7A95">
      <w:pPr>
        <w:autoSpaceDE w:val="0"/>
        <w:autoSpaceDN w:val="0"/>
        <w:spacing w:line="240" w:lineRule="auto"/>
        <w:ind w:firstLine="420" w:firstLineChars="200"/>
        <w:jc w:val="center"/>
      </w:pPr>
      <w:r>
        <w:drawing>
          <wp:inline distT="0" distB="0" distL="114300" distR="114300">
            <wp:extent cx="3496945" cy="2661285"/>
            <wp:effectExtent l="0" t="0" r="8255" b="5715"/>
            <wp:docPr id="3"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1"/>
                    <pic:cNvPicPr>
                      <a:picLocks noChangeAspect="1"/>
                    </pic:cNvPicPr>
                  </pic:nvPicPr>
                  <pic:blipFill>
                    <a:blip r:embed="rId55"/>
                    <a:stretch>
                      <a:fillRect/>
                    </a:stretch>
                  </pic:blipFill>
                  <pic:spPr>
                    <a:xfrm>
                      <a:off x="0" y="0"/>
                      <a:ext cx="3496945" cy="2661285"/>
                    </a:xfrm>
                    <a:prstGeom prst="rect">
                      <a:avLst/>
                    </a:prstGeom>
                    <a:noFill/>
                    <a:ln>
                      <a:noFill/>
                    </a:ln>
                  </pic:spPr>
                </pic:pic>
              </a:graphicData>
            </a:graphic>
          </wp:inline>
        </w:drawing>
      </w:r>
    </w:p>
    <w:p w14:paraId="5CA17FD1">
      <w:pPr>
        <w:numPr>
          <w:ilvl w:val="255"/>
          <w:numId w:val="0"/>
        </w:numPr>
        <w:autoSpaceDE w:val="0"/>
        <w:autoSpaceDN w:val="0"/>
        <w:adjustRightInd/>
        <w:spacing w:before="120" w:beforeLines="50" w:after="120" w:afterLines="50" w:line="240" w:lineRule="auto"/>
        <w:ind w:firstLine="420" w:firstLineChars="200"/>
        <w:jc w:val="center"/>
        <w:rPr>
          <w:rFonts w:hint="eastAsia" w:ascii="黑体" w:hAnsi="黑体" w:eastAsia="黑体"/>
        </w:rPr>
      </w:pPr>
      <w:r>
        <w:rPr>
          <w:rFonts w:hint="eastAsia" w:ascii="黑体" w:hAnsi="黑体" w:eastAsia="黑体"/>
        </w:rPr>
        <w:t>图 1  键合球剪切试验示意图</w:t>
      </w:r>
    </w:p>
    <w:p w14:paraId="3AB15F06">
      <w:pPr>
        <w:adjustRightInd/>
        <w:spacing w:before="120" w:beforeLines="50" w:after="120" w:afterLines="50"/>
        <w:jc w:val="center"/>
        <w:rPr>
          <w:rFonts w:hint="eastAsia" w:ascii="黑体" w:hAnsi="黑体" w:eastAsia="黑体" w:cs="黑体"/>
        </w:rPr>
      </w:pPr>
      <w:r>
        <w:rPr>
          <w:rFonts w:hint="eastAsia" w:ascii="黑体" w:hAnsi="黑体" w:eastAsia="黑体" w:cs="黑体"/>
        </w:rPr>
        <w:t>表 28  分离模式</w:t>
      </w:r>
    </w:p>
    <w:tbl>
      <w:tblPr>
        <w:tblStyle w:val="29"/>
        <w:tblW w:w="5185"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1158"/>
        <w:gridCol w:w="4380"/>
        <w:gridCol w:w="4193"/>
      </w:tblGrid>
      <w:tr w14:paraId="1A9D07C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11" w:hRule="atLeast"/>
          <w:tblHeader/>
          <w:jc w:val="center"/>
        </w:trPr>
        <w:tc>
          <w:tcPr>
            <w:tcW w:w="595" w:type="pct"/>
            <w:tcBorders>
              <w:tl2br w:val="nil"/>
              <w:tr2bl w:val="nil"/>
            </w:tcBorders>
            <w:vAlign w:val="center"/>
          </w:tcPr>
          <w:p w14:paraId="41974AD0">
            <w:pPr>
              <w:pStyle w:val="180"/>
              <w:rPr>
                <w:szCs w:val="18"/>
                <w:lang w:val="zh-TW" w:eastAsia="zh-TW"/>
              </w:rPr>
            </w:pPr>
            <w:r>
              <w:rPr>
                <w:szCs w:val="18"/>
                <w:lang w:val="zh-TW" w:eastAsia="zh-TW"/>
              </w:rPr>
              <w:t>分离模式</w:t>
            </w:r>
          </w:p>
        </w:tc>
        <w:tc>
          <w:tcPr>
            <w:tcW w:w="2250" w:type="pct"/>
            <w:tcBorders>
              <w:tl2br w:val="nil"/>
              <w:tr2bl w:val="nil"/>
            </w:tcBorders>
            <w:vAlign w:val="center"/>
          </w:tcPr>
          <w:p w14:paraId="641DDB09">
            <w:pPr>
              <w:pStyle w:val="180"/>
              <w:rPr>
                <w:szCs w:val="18"/>
                <w:lang w:val="zh-TW" w:eastAsia="zh-TW"/>
              </w:rPr>
            </w:pPr>
            <w:r>
              <w:rPr>
                <w:szCs w:val="18"/>
                <w:lang w:val="zh-TW" w:eastAsia="zh-TW"/>
              </w:rPr>
              <w:t>类别</w:t>
            </w:r>
          </w:p>
        </w:tc>
        <w:tc>
          <w:tcPr>
            <w:tcW w:w="2154" w:type="pct"/>
            <w:tcBorders>
              <w:tl2br w:val="nil"/>
              <w:tr2bl w:val="nil"/>
            </w:tcBorders>
            <w:vAlign w:val="center"/>
          </w:tcPr>
          <w:p w14:paraId="6868E16D">
            <w:pPr>
              <w:pStyle w:val="180"/>
              <w:rPr>
                <w:szCs w:val="18"/>
                <w:lang w:val="zh-TW" w:eastAsia="zh-TW"/>
              </w:rPr>
            </w:pPr>
            <w:r>
              <w:rPr>
                <w:szCs w:val="18"/>
                <w:lang w:val="zh-TW" w:eastAsia="zh-TW"/>
              </w:rPr>
              <w:t>图示</w:t>
            </w:r>
          </w:p>
        </w:tc>
      </w:tr>
      <w:tr w14:paraId="36E577D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703" w:hRule="atLeast"/>
          <w:jc w:val="center"/>
        </w:trPr>
        <w:tc>
          <w:tcPr>
            <w:tcW w:w="595" w:type="pct"/>
            <w:tcBorders>
              <w:tl2br w:val="nil"/>
              <w:tr2bl w:val="nil"/>
            </w:tcBorders>
            <w:vAlign w:val="center"/>
          </w:tcPr>
          <w:p w14:paraId="15408729">
            <w:pPr>
              <w:pStyle w:val="180"/>
              <w:rPr>
                <w:szCs w:val="18"/>
                <w:lang w:val="zh-TW" w:eastAsia="zh-TW"/>
              </w:rPr>
            </w:pPr>
            <w:r>
              <w:rPr>
                <w:szCs w:val="18"/>
              </w:rPr>
              <w:t>1</w:t>
            </w:r>
          </w:p>
        </w:tc>
        <w:tc>
          <w:tcPr>
            <w:tcW w:w="2250" w:type="pct"/>
            <w:tcBorders>
              <w:tl2br w:val="nil"/>
              <w:tr2bl w:val="nil"/>
            </w:tcBorders>
            <w:vAlign w:val="center"/>
          </w:tcPr>
          <w:p w14:paraId="678DDAE7">
            <w:pPr>
              <w:pStyle w:val="180"/>
              <w:rPr>
                <w:szCs w:val="18"/>
                <w:lang w:val="zh-TW" w:eastAsia="zh-TW"/>
              </w:rPr>
            </w:pPr>
            <w:r>
              <w:rPr>
                <w:szCs w:val="18"/>
                <w:lang w:val="zh-TW" w:eastAsia="zh-TW"/>
              </w:rPr>
              <w:t>键合球与焊盘分离</w:t>
            </w:r>
          </w:p>
        </w:tc>
        <w:tc>
          <w:tcPr>
            <w:tcW w:w="2154" w:type="pct"/>
            <w:tcBorders>
              <w:tl2br w:val="nil"/>
              <w:tr2bl w:val="nil"/>
            </w:tcBorders>
            <w:vAlign w:val="center"/>
          </w:tcPr>
          <w:p w14:paraId="4813B3CC">
            <w:pPr>
              <w:pStyle w:val="180"/>
              <w:rPr>
                <w:szCs w:val="18"/>
                <w:lang w:val="zh-TW" w:eastAsia="zh-TW"/>
              </w:rPr>
            </w:pPr>
            <w:r>
              <w:rPr>
                <w:szCs w:val="18"/>
              </w:rPr>
              <w:drawing>
                <wp:inline distT="0" distB="0" distL="114300" distR="114300">
                  <wp:extent cx="1289685" cy="915035"/>
                  <wp:effectExtent l="0" t="0" r="5715" b="12065"/>
                  <wp:docPr id="4" name="图片 37" descr="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7" descr="image4.png"/>
                          <pic:cNvPicPr>
                            <a:picLocks noChangeAspect="1"/>
                          </pic:cNvPicPr>
                        </pic:nvPicPr>
                        <pic:blipFill>
                          <a:blip r:embed="rId56"/>
                          <a:stretch>
                            <a:fillRect/>
                          </a:stretch>
                        </pic:blipFill>
                        <pic:spPr>
                          <a:xfrm>
                            <a:off x="0" y="0"/>
                            <a:ext cx="1289685" cy="915035"/>
                          </a:xfrm>
                          <a:prstGeom prst="rect">
                            <a:avLst/>
                          </a:prstGeom>
                          <a:noFill/>
                          <a:ln w="12700">
                            <a:noFill/>
                          </a:ln>
                        </pic:spPr>
                      </pic:pic>
                    </a:graphicData>
                  </a:graphic>
                </wp:inline>
              </w:drawing>
            </w:r>
          </w:p>
        </w:tc>
      </w:tr>
      <w:tr w14:paraId="119D9B1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811" w:hRule="atLeast"/>
          <w:jc w:val="center"/>
        </w:trPr>
        <w:tc>
          <w:tcPr>
            <w:tcW w:w="595" w:type="pct"/>
            <w:tcBorders>
              <w:tl2br w:val="nil"/>
              <w:tr2bl w:val="nil"/>
            </w:tcBorders>
            <w:vAlign w:val="center"/>
          </w:tcPr>
          <w:p w14:paraId="1C327D8C">
            <w:pPr>
              <w:pStyle w:val="180"/>
              <w:rPr>
                <w:szCs w:val="18"/>
                <w:lang w:val="zh-TW" w:eastAsia="zh-TW"/>
              </w:rPr>
            </w:pPr>
            <w:r>
              <w:rPr>
                <w:szCs w:val="18"/>
              </w:rPr>
              <w:t>2</w:t>
            </w:r>
          </w:p>
        </w:tc>
        <w:tc>
          <w:tcPr>
            <w:tcW w:w="2250" w:type="pct"/>
            <w:tcBorders>
              <w:tl2br w:val="nil"/>
              <w:tr2bl w:val="nil"/>
            </w:tcBorders>
            <w:vAlign w:val="center"/>
          </w:tcPr>
          <w:p w14:paraId="5807178F">
            <w:pPr>
              <w:pStyle w:val="180"/>
              <w:rPr>
                <w:szCs w:val="18"/>
                <w:lang w:val="zh-TW" w:eastAsia="zh-TW"/>
              </w:rPr>
            </w:pPr>
            <w:r>
              <w:rPr>
                <w:szCs w:val="18"/>
                <w:lang w:val="zh-TW" w:eastAsia="zh-TW"/>
              </w:rPr>
              <w:t>键合球分离</w:t>
            </w:r>
          </w:p>
        </w:tc>
        <w:tc>
          <w:tcPr>
            <w:tcW w:w="2154" w:type="pct"/>
            <w:tcBorders>
              <w:tl2br w:val="nil"/>
              <w:tr2bl w:val="nil"/>
            </w:tcBorders>
            <w:vAlign w:val="center"/>
          </w:tcPr>
          <w:p w14:paraId="231FAF87">
            <w:pPr>
              <w:pStyle w:val="180"/>
              <w:rPr>
                <w:szCs w:val="18"/>
                <w:lang w:val="zh-TW" w:eastAsia="zh-TW"/>
              </w:rPr>
            </w:pPr>
            <w:r>
              <w:rPr>
                <w:szCs w:val="18"/>
              </w:rPr>
              <w:drawing>
                <wp:inline distT="0" distB="0" distL="114300" distR="114300">
                  <wp:extent cx="1340485" cy="921385"/>
                  <wp:effectExtent l="0" t="0" r="5715" b="5715"/>
                  <wp:docPr id="6" name="图片 38" descr="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8" descr="image5.png"/>
                          <pic:cNvPicPr>
                            <a:picLocks noChangeAspect="1"/>
                          </pic:cNvPicPr>
                        </pic:nvPicPr>
                        <pic:blipFill>
                          <a:blip r:embed="rId57"/>
                          <a:stretch>
                            <a:fillRect/>
                          </a:stretch>
                        </pic:blipFill>
                        <pic:spPr>
                          <a:xfrm>
                            <a:off x="0" y="0"/>
                            <a:ext cx="1340485" cy="921385"/>
                          </a:xfrm>
                          <a:prstGeom prst="rect">
                            <a:avLst/>
                          </a:prstGeom>
                          <a:noFill/>
                          <a:ln w="12700">
                            <a:noFill/>
                          </a:ln>
                        </pic:spPr>
                      </pic:pic>
                    </a:graphicData>
                  </a:graphic>
                </wp:inline>
              </w:drawing>
            </w:r>
          </w:p>
        </w:tc>
      </w:tr>
      <w:tr w14:paraId="2066701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888" w:hRule="atLeast"/>
          <w:jc w:val="center"/>
        </w:trPr>
        <w:tc>
          <w:tcPr>
            <w:tcW w:w="595" w:type="pct"/>
            <w:tcBorders>
              <w:tl2br w:val="nil"/>
              <w:tr2bl w:val="nil"/>
            </w:tcBorders>
            <w:vAlign w:val="center"/>
          </w:tcPr>
          <w:p w14:paraId="6652D0E3">
            <w:pPr>
              <w:pStyle w:val="180"/>
              <w:rPr>
                <w:szCs w:val="18"/>
                <w:lang w:val="zh-TW" w:eastAsia="zh-TW"/>
              </w:rPr>
            </w:pPr>
            <w:r>
              <w:rPr>
                <w:szCs w:val="18"/>
              </w:rPr>
              <w:t>3</w:t>
            </w:r>
          </w:p>
        </w:tc>
        <w:tc>
          <w:tcPr>
            <w:tcW w:w="2250" w:type="pct"/>
            <w:tcBorders>
              <w:tl2br w:val="nil"/>
              <w:tr2bl w:val="nil"/>
            </w:tcBorders>
            <w:vAlign w:val="center"/>
          </w:tcPr>
          <w:p w14:paraId="12247C05">
            <w:pPr>
              <w:pStyle w:val="180"/>
              <w:rPr>
                <w:szCs w:val="18"/>
                <w:lang w:val="zh-TW" w:eastAsia="zh-TW"/>
              </w:rPr>
            </w:pPr>
            <w:r>
              <w:rPr>
                <w:szCs w:val="18"/>
                <w:lang w:val="zh-TW" w:eastAsia="zh-TW"/>
              </w:rPr>
              <w:t>焊盘与基材破裂分离</w:t>
            </w:r>
          </w:p>
        </w:tc>
        <w:tc>
          <w:tcPr>
            <w:tcW w:w="2154" w:type="pct"/>
            <w:tcBorders>
              <w:tl2br w:val="nil"/>
              <w:tr2bl w:val="nil"/>
            </w:tcBorders>
            <w:vAlign w:val="center"/>
          </w:tcPr>
          <w:p w14:paraId="1CB68058">
            <w:pPr>
              <w:pStyle w:val="180"/>
              <w:rPr>
                <w:szCs w:val="18"/>
                <w:lang w:val="zh-TW" w:eastAsia="zh-TW"/>
              </w:rPr>
            </w:pPr>
            <w:r>
              <w:rPr>
                <w:szCs w:val="18"/>
              </w:rPr>
              <w:drawing>
                <wp:inline distT="0" distB="0" distL="114300" distR="114300">
                  <wp:extent cx="1282700" cy="872490"/>
                  <wp:effectExtent l="0" t="0" r="0" b="3810"/>
                  <wp:docPr id="7" name="图片 39" descr="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9" descr="image6.png"/>
                          <pic:cNvPicPr>
                            <a:picLocks noChangeAspect="1"/>
                          </pic:cNvPicPr>
                        </pic:nvPicPr>
                        <pic:blipFill>
                          <a:blip r:embed="rId58"/>
                          <a:stretch>
                            <a:fillRect/>
                          </a:stretch>
                        </pic:blipFill>
                        <pic:spPr>
                          <a:xfrm>
                            <a:off x="0" y="0"/>
                            <a:ext cx="1282700" cy="872490"/>
                          </a:xfrm>
                          <a:prstGeom prst="rect">
                            <a:avLst/>
                          </a:prstGeom>
                          <a:noFill/>
                          <a:ln w="12700">
                            <a:noFill/>
                          </a:ln>
                        </pic:spPr>
                      </pic:pic>
                    </a:graphicData>
                  </a:graphic>
                </wp:inline>
              </w:drawing>
            </w:r>
          </w:p>
        </w:tc>
      </w:tr>
      <w:tr w14:paraId="622BE8B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705" w:hRule="atLeast"/>
          <w:jc w:val="center"/>
        </w:trPr>
        <w:tc>
          <w:tcPr>
            <w:tcW w:w="595" w:type="pct"/>
            <w:tcBorders>
              <w:tl2br w:val="nil"/>
              <w:tr2bl w:val="nil"/>
            </w:tcBorders>
            <w:vAlign w:val="center"/>
          </w:tcPr>
          <w:p w14:paraId="14E7A83C">
            <w:pPr>
              <w:pStyle w:val="180"/>
              <w:rPr>
                <w:szCs w:val="18"/>
              </w:rPr>
            </w:pPr>
            <w:r>
              <w:rPr>
                <w:szCs w:val="18"/>
              </w:rPr>
              <w:t>4</w:t>
            </w:r>
          </w:p>
        </w:tc>
        <w:tc>
          <w:tcPr>
            <w:tcW w:w="2250" w:type="pct"/>
            <w:tcBorders>
              <w:tl2br w:val="nil"/>
              <w:tr2bl w:val="nil"/>
            </w:tcBorders>
            <w:vAlign w:val="center"/>
          </w:tcPr>
          <w:p w14:paraId="162DB2E8">
            <w:pPr>
              <w:pStyle w:val="180"/>
              <w:rPr>
                <w:szCs w:val="18"/>
                <w:lang w:val="zh-TW" w:eastAsia="zh-TW"/>
              </w:rPr>
            </w:pPr>
            <w:r>
              <w:rPr>
                <w:szCs w:val="18"/>
                <w:lang w:val="zh-TW" w:eastAsia="zh-TW"/>
              </w:rPr>
              <w:t>焊盘分离</w:t>
            </w:r>
          </w:p>
          <w:p w14:paraId="72352F17">
            <w:pPr>
              <w:pStyle w:val="180"/>
              <w:rPr>
                <w:szCs w:val="18"/>
                <w:lang w:val="zh-TW" w:eastAsia="zh-TW"/>
              </w:rPr>
            </w:pPr>
            <w:r>
              <w:rPr>
                <w:szCs w:val="18"/>
                <w:lang w:val="zh-TW" w:eastAsia="zh-TW"/>
              </w:rPr>
              <w:t>（推刀抬高高度错误）</w:t>
            </w:r>
          </w:p>
        </w:tc>
        <w:tc>
          <w:tcPr>
            <w:tcW w:w="2154" w:type="pct"/>
            <w:tcBorders>
              <w:tl2br w:val="nil"/>
              <w:tr2bl w:val="nil"/>
            </w:tcBorders>
            <w:vAlign w:val="center"/>
          </w:tcPr>
          <w:p w14:paraId="7D5C8A20">
            <w:pPr>
              <w:pStyle w:val="180"/>
              <w:rPr>
                <w:szCs w:val="18"/>
              </w:rPr>
            </w:pPr>
            <w:r>
              <w:rPr>
                <w:szCs w:val="18"/>
              </w:rPr>
              <w:drawing>
                <wp:inline distT="0" distB="0" distL="114300" distR="114300">
                  <wp:extent cx="1214755" cy="932815"/>
                  <wp:effectExtent l="0" t="0" r="4445" b="6985"/>
                  <wp:docPr id="9" name="图片 40" descr="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0" descr="image7.png"/>
                          <pic:cNvPicPr>
                            <a:picLocks noChangeAspect="1"/>
                          </pic:cNvPicPr>
                        </pic:nvPicPr>
                        <pic:blipFill>
                          <a:blip r:embed="rId59"/>
                          <a:stretch>
                            <a:fillRect/>
                          </a:stretch>
                        </pic:blipFill>
                        <pic:spPr>
                          <a:xfrm>
                            <a:off x="0" y="0"/>
                            <a:ext cx="1214755" cy="932815"/>
                          </a:xfrm>
                          <a:prstGeom prst="rect">
                            <a:avLst/>
                          </a:prstGeom>
                          <a:noFill/>
                          <a:ln w="12700">
                            <a:noFill/>
                          </a:ln>
                        </pic:spPr>
                      </pic:pic>
                    </a:graphicData>
                  </a:graphic>
                </wp:inline>
              </w:drawing>
            </w:r>
          </w:p>
        </w:tc>
      </w:tr>
      <w:tr w14:paraId="483DE40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426" w:hRule="atLeast"/>
          <w:jc w:val="center"/>
        </w:trPr>
        <w:tc>
          <w:tcPr>
            <w:tcW w:w="595" w:type="pct"/>
            <w:tcBorders>
              <w:tl2br w:val="nil"/>
              <w:tr2bl w:val="nil"/>
            </w:tcBorders>
            <w:vAlign w:val="center"/>
          </w:tcPr>
          <w:p w14:paraId="498C388E">
            <w:pPr>
              <w:pStyle w:val="180"/>
              <w:rPr>
                <w:szCs w:val="18"/>
              </w:rPr>
            </w:pPr>
            <w:r>
              <w:rPr>
                <w:szCs w:val="18"/>
              </w:rPr>
              <w:t>5</w:t>
            </w:r>
          </w:p>
        </w:tc>
        <w:tc>
          <w:tcPr>
            <w:tcW w:w="2250" w:type="pct"/>
            <w:tcBorders>
              <w:tl2br w:val="nil"/>
              <w:tr2bl w:val="nil"/>
            </w:tcBorders>
            <w:vAlign w:val="center"/>
          </w:tcPr>
          <w:p w14:paraId="23628BA2">
            <w:pPr>
              <w:pStyle w:val="180"/>
              <w:rPr>
                <w:szCs w:val="18"/>
                <w:lang w:val="zh-TW" w:eastAsia="zh-TW"/>
              </w:rPr>
            </w:pPr>
            <w:r>
              <w:rPr>
                <w:szCs w:val="18"/>
                <w:lang w:val="zh-TW" w:eastAsia="zh-TW"/>
              </w:rPr>
              <w:t>键合球顶部分离</w:t>
            </w:r>
          </w:p>
          <w:p w14:paraId="16939CD9">
            <w:pPr>
              <w:pStyle w:val="180"/>
              <w:rPr>
                <w:szCs w:val="18"/>
                <w:lang w:val="zh-TW" w:eastAsia="zh-TW"/>
              </w:rPr>
            </w:pPr>
            <w:r>
              <w:rPr>
                <w:szCs w:val="18"/>
                <w:lang w:val="zh-TW" w:eastAsia="zh-TW"/>
              </w:rPr>
              <w:t>（推刀太高高度错误、器件架设错误）</w:t>
            </w:r>
          </w:p>
        </w:tc>
        <w:tc>
          <w:tcPr>
            <w:tcW w:w="2154" w:type="pct"/>
            <w:tcBorders>
              <w:tl2br w:val="nil"/>
              <w:tr2bl w:val="nil"/>
            </w:tcBorders>
            <w:vAlign w:val="center"/>
          </w:tcPr>
          <w:p w14:paraId="37F4DFE3">
            <w:pPr>
              <w:pStyle w:val="180"/>
              <w:rPr>
                <w:szCs w:val="18"/>
              </w:rPr>
            </w:pPr>
            <w:r>
              <w:rPr>
                <w:szCs w:val="18"/>
              </w:rPr>
              <w:drawing>
                <wp:inline distT="0" distB="0" distL="114300" distR="114300">
                  <wp:extent cx="1289685" cy="958850"/>
                  <wp:effectExtent l="0" t="0" r="5715" b="6350"/>
                  <wp:docPr id="10" name="图片 41" descr="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1" descr="image8.png"/>
                          <pic:cNvPicPr>
                            <a:picLocks noChangeAspect="1"/>
                          </pic:cNvPicPr>
                        </pic:nvPicPr>
                        <pic:blipFill>
                          <a:blip r:embed="rId60"/>
                          <a:stretch>
                            <a:fillRect/>
                          </a:stretch>
                        </pic:blipFill>
                        <pic:spPr>
                          <a:xfrm>
                            <a:off x="0" y="0"/>
                            <a:ext cx="1289685" cy="958850"/>
                          </a:xfrm>
                          <a:prstGeom prst="rect">
                            <a:avLst/>
                          </a:prstGeom>
                          <a:noFill/>
                          <a:ln w="12700">
                            <a:noFill/>
                          </a:ln>
                        </pic:spPr>
                      </pic:pic>
                    </a:graphicData>
                  </a:graphic>
                </wp:inline>
              </w:drawing>
            </w:r>
          </w:p>
        </w:tc>
      </w:tr>
      <w:tr w14:paraId="0FDDEAA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485" w:hRule="atLeast"/>
          <w:jc w:val="center"/>
        </w:trPr>
        <w:tc>
          <w:tcPr>
            <w:tcW w:w="595" w:type="pct"/>
            <w:tcBorders>
              <w:tl2br w:val="nil"/>
              <w:tr2bl w:val="nil"/>
            </w:tcBorders>
            <w:vAlign w:val="center"/>
          </w:tcPr>
          <w:p w14:paraId="0960BA5B">
            <w:pPr>
              <w:pStyle w:val="180"/>
              <w:rPr>
                <w:szCs w:val="18"/>
              </w:rPr>
            </w:pPr>
            <w:r>
              <w:rPr>
                <w:szCs w:val="18"/>
              </w:rPr>
              <w:t>6</w:t>
            </w:r>
          </w:p>
        </w:tc>
        <w:tc>
          <w:tcPr>
            <w:tcW w:w="2250" w:type="pct"/>
            <w:tcBorders>
              <w:tl2br w:val="nil"/>
              <w:tr2bl w:val="nil"/>
            </w:tcBorders>
            <w:vAlign w:val="center"/>
          </w:tcPr>
          <w:p w14:paraId="5ED9ED2E">
            <w:pPr>
              <w:pStyle w:val="180"/>
              <w:rPr>
                <w:szCs w:val="18"/>
                <w:lang w:val="zh-TW" w:eastAsia="zh-TW"/>
              </w:rPr>
            </w:pPr>
            <w:r>
              <w:rPr>
                <w:szCs w:val="18"/>
                <w:lang w:val="zh-TW" w:eastAsia="zh-TW"/>
              </w:rPr>
              <w:t>焊盘与共金层分离</w:t>
            </w:r>
          </w:p>
        </w:tc>
        <w:tc>
          <w:tcPr>
            <w:tcW w:w="2154" w:type="pct"/>
            <w:tcBorders>
              <w:tl2br w:val="nil"/>
              <w:tr2bl w:val="nil"/>
            </w:tcBorders>
            <w:vAlign w:val="center"/>
          </w:tcPr>
          <w:p w14:paraId="696CD96C">
            <w:pPr>
              <w:pStyle w:val="180"/>
              <w:rPr>
                <w:szCs w:val="18"/>
              </w:rPr>
            </w:pPr>
            <w:r>
              <w:rPr>
                <w:szCs w:val="18"/>
              </w:rPr>
              <w:drawing>
                <wp:inline distT="0" distB="0" distL="114300" distR="114300">
                  <wp:extent cx="1390650" cy="1007110"/>
                  <wp:effectExtent l="0" t="0" r="6350" b="8890"/>
                  <wp:docPr id="11" name="图片 42" descr="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2" descr="image9.png"/>
                          <pic:cNvPicPr>
                            <a:picLocks noChangeAspect="1"/>
                          </pic:cNvPicPr>
                        </pic:nvPicPr>
                        <pic:blipFill>
                          <a:blip r:embed="rId61"/>
                          <a:stretch>
                            <a:fillRect/>
                          </a:stretch>
                        </pic:blipFill>
                        <pic:spPr>
                          <a:xfrm>
                            <a:off x="0" y="0"/>
                            <a:ext cx="1390650" cy="1007110"/>
                          </a:xfrm>
                          <a:prstGeom prst="rect">
                            <a:avLst/>
                          </a:prstGeom>
                          <a:noFill/>
                          <a:ln w="12700">
                            <a:noFill/>
                          </a:ln>
                        </pic:spPr>
                      </pic:pic>
                    </a:graphicData>
                  </a:graphic>
                </wp:inline>
              </w:drawing>
            </w:r>
          </w:p>
        </w:tc>
      </w:tr>
    </w:tbl>
    <w:p w14:paraId="4F803AD9">
      <w:pPr>
        <w:widowControl/>
        <w:numPr>
          <w:ilvl w:val="4"/>
          <w:numId w:val="0"/>
        </w:numPr>
        <w:spacing w:before="120" w:beforeLines="50" w:after="120" w:afterLines="50" w:line="240" w:lineRule="auto"/>
        <w:outlineLvl w:val="4"/>
        <w:rPr>
          <w:rFonts w:ascii="黑体" w:hAnsi="Times New Roman" w:eastAsia="黑体"/>
        </w:rPr>
      </w:pPr>
      <w:r>
        <w:rPr>
          <w:rFonts w:hint="eastAsia" w:ascii="黑体" w:hAnsi="Times New Roman" w:eastAsia="黑体"/>
        </w:rPr>
        <w:t>6.3.4.2  破坏性键合拉力试验</w:t>
      </w:r>
    </w:p>
    <w:p w14:paraId="055E6E6D">
      <w:pPr>
        <w:autoSpaceDE w:val="0"/>
        <w:autoSpaceDN w:val="0"/>
        <w:spacing w:line="240" w:lineRule="auto"/>
        <w:ind w:firstLine="420" w:firstLineChars="200"/>
        <w:rPr>
          <w:rFonts w:ascii="宋体" w:hAnsi="Times New Roman"/>
        </w:rPr>
      </w:pPr>
      <w:r>
        <w:rPr>
          <w:rFonts w:hint="eastAsia" w:ascii="宋体" w:hAnsi="Times New Roman"/>
        </w:rPr>
        <w:t>纯电动客车用电源管理芯片的</w:t>
      </w:r>
      <w:r>
        <w:rPr>
          <w:rFonts w:ascii="宋体" w:hAnsi="Times New Roman"/>
          <w:lang w:val="zh-TW" w:eastAsia="zh-TW"/>
        </w:rPr>
        <w:t>试验样品数量不应少于</w:t>
      </w:r>
      <w:r>
        <w:rPr>
          <w:rFonts w:ascii="宋体" w:hAnsi="Times New Roman"/>
        </w:rPr>
        <w:t>5</w:t>
      </w:r>
      <w:r>
        <w:rPr>
          <w:rFonts w:hint="eastAsia" w:ascii="宋体" w:hAnsi="Times New Roman"/>
          <w:lang w:val="zh-TW" w:eastAsia="zh-TW"/>
        </w:rPr>
        <w:t>片</w:t>
      </w:r>
      <w:r>
        <w:rPr>
          <w:rFonts w:ascii="宋体" w:hAnsi="Times New Roman"/>
          <w:lang w:val="zh-TW" w:eastAsia="zh-TW"/>
        </w:rPr>
        <w:t>，每</w:t>
      </w:r>
      <w:r>
        <w:rPr>
          <w:rFonts w:hint="eastAsia" w:ascii="宋体" w:hAnsi="Times New Roman"/>
          <w:lang w:val="zh-TW" w:eastAsia="zh-TW"/>
        </w:rPr>
        <w:t>片</w:t>
      </w:r>
      <w:r>
        <w:rPr>
          <w:rFonts w:ascii="宋体" w:hAnsi="Times New Roman"/>
          <w:lang w:val="zh-TW" w:eastAsia="zh-TW"/>
        </w:rPr>
        <w:t>样品选择</w:t>
      </w:r>
      <w:r>
        <w:rPr>
          <w:rFonts w:hint="eastAsia" w:ascii="宋体" w:hAnsi="Times New Roman"/>
          <w:lang w:val="zh-TW"/>
        </w:rPr>
        <w:t>不少于</w:t>
      </w:r>
      <w:r>
        <w:rPr>
          <w:rFonts w:ascii="宋体" w:hAnsi="Times New Roman"/>
        </w:rPr>
        <w:t>6</w:t>
      </w:r>
      <w:r>
        <w:rPr>
          <w:rFonts w:ascii="宋体" w:hAnsi="Times New Roman"/>
          <w:lang w:val="zh-TW" w:eastAsia="zh-TW"/>
        </w:rPr>
        <w:t>个位置进行试验。</w:t>
      </w:r>
      <w:r>
        <w:rPr>
          <w:rFonts w:hint="eastAsia" w:ascii="宋体" w:hAnsi="Times New Roman"/>
          <w:lang w:val="zh-TW" w:eastAsia="zh-TW"/>
        </w:rPr>
        <w:t>从下列两个试验方法中任选一个进行试验，开封过程不应影响键合剪切强度或键合拉力。</w:t>
      </w:r>
    </w:p>
    <w:p w14:paraId="12BF0C0A">
      <w:pPr>
        <w:autoSpaceDE w:val="0"/>
        <w:autoSpaceDN w:val="0"/>
        <w:spacing w:line="240" w:lineRule="auto"/>
        <w:ind w:firstLine="420" w:firstLineChars="200"/>
        <w:rPr>
          <w:rFonts w:hint="eastAsia" w:ascii="宋体" w:hAnsi="宋体" w:cs="宋体"/>
          <w:lang w:val="zh-TW" w:eastAsia="zh-TW"/>
        </w:rPr>
      </w:pPr>
      <w:r>
        <w:rPr>
          <w:rFonts w:ascii="宋体" w:hAnsi="Times New Roman"/>
          <w:lang w:val="zh-TW" w:eastAsia="zh-TW"/>
        </w:rPr>
        <w:t>单键合点键合</w:t>
      </w:r>
      <w:r>
        <w:rPr>
          <w:rFonts w:hint="eastAsia" w:ascii="宋体" w:hAnsi="宋体" w:cs="宋体"/>
          <w:lang w:val="zh-TW" w:eastAsia="zh-TW"/>
        </w:rPr>
        <w:t>线拉力试验：切断连接</w:t>
      </w:r>
      <w:r>
        <w:rPr>
          <w:rFonts w:hint="eastAsia" w:ascii="宋体" w:hAnsi="宋体" w:cs="宋体"/>
          <w:lang w:val="zh-TW"/>
        </w:rPr>
        <w:t>电源管理芯片</w:t>
      </w:r>
      <w:r>
        <w:rPr>
          <w:rFonts w:hint="eastAsia" w:ascii="宋体" w:hAnsi="宋体" w:cs="宋体"/>
          <w:lang w:val="zh-TW" w:eastAsia="zh-TW"/>
        </w:rPr>
        <w:t>或基板与框架上的引线，使两端键合点都能进行拉力试验。对引线施加垂直于</w:t>
      </w:r>
      <w:r>
        <w:rPr>
          <w:rFonts w:hint="eastAsia" w:ascii="宋体" w:hAnsi="宋体" w:cs="宋体"/>
          <w:lang w:val="zh-TW"/>
        </w:rPr>
        <w:t>电源管理芯片</w:t>
      </w:r>
      <w:r>
        <w:rPr>
          <w:rFonts w:hint="eastAsia" w:ascii="宋体" w:hAnsi="宋体" w:cs="宋体"/>
          <w:lang w:val="zh-TW" w:eastAsia="zh-TW"/>
        </w:rPr>
        <w:t>表面的拉力，使引线断裂并记录分离模式与拉力大小，分离模式见图</w:t>
      </w:r>
      <w:r>
        <w:rPr>
          <w:rFonts w:hint="eastAsia" w:ascii="宋体" w:hAnsi="宋体" w:cs="宋体"/>
        </w:rPr>
        <w:t>2</w:t>
      </w:r>
      <w:r>
        <w:rPr>
          <w:rFonts w:hint="eastAsia" w:ascii="宋体" w:hAnsi="宋体" w:cs="宋体"/>
          <w:lang w:val="zh-TW" w:eastAsia="zh-TW"/>
        </w:rPr>
        <w:t>。</w:t>
      </w:r>
    </w:p>
    <w:p w14:paraId="463D9733">
      <w:pPr>
        <w:autoSpaceDE w:val="0"/>
        <w:autoSpaceDN w:val="0"/>
        <w:spacing w:line="240" w:lineRule="auto"/>
        <w:ind w:firstLine="420" w:firstLineChars="200"/>
        <w:rPr>
          <w:rFonts w:hint="eastAsia" w:ascii="宋体" w:hAnsi="宋体" w:cs="宋体"/>
          <w:lang w:val="zh-TW" w:eastAsia="zh-TW"/>
        </w:rPr>
      </w:pPr>
      <w:r>
        <w:rPr>
          <w:rFonts w:hint="eastAsia" w:ascii="宋体" w:hAnsi="宋体" w:cs="宋体"/>
          <w:lang w:val="zh-TW" w:eastAsia="zh-TW"/>
        </w:rPr>
        <w:t>双键合点键合线拉力试验：当键合线线径</w:t>
      </w:r>
      <w:r>
        <w:rPr>
          <w:rFonts w:hint="eastAsia" w:ascii="宋体" w:hAnsi="宋体" w:cs="宋体"/>
        </w:rPr>
        <w:t>不小于25.4 μm</w:t>
      </w:r>
      <w:r>
        <w:rPr>
          <w:rFonts w:hint="eastAsia" w:ascii="宋体" w:hAnsi="宋体" w:cs="宋体"/>
          <w:lang w:val="zh-TW" w:eastAsia="zh-TW"/>
        </w:rPr>
        <w:t>时，在引线中跨和顶部之间插入钩针施加拉力，见图</w:t>
      </w:r>
      <w:r>
        <w:rPr>
          <w:rFonts w:hint="eastAsia" w:ascii="宋体" w:hAnsi="宋体" w:cs="宋体"/>
        </w:rPr>
        <w:t>3；当</w:t>
      </w:r>
      <w:r>
        <w:rPr>
          <w:rFonts w:hint="eastAsia" w:ascii="宋体" w:hAnsi="宋体" w:cs="宋体"/>
          <w:lang w:val="zh-TW" w:eastAsia="zh-TW"/>
        </w:rPr>
        <w:t>键合线线径</w:t>
      </w:r>
      <w:r>
        <w:rPr>
          <w:rFonts w:hint="eastAsia" w:ascii="宋体" w:hAnsi="宋体" w:cs="宋体"/>
        </w:rPr>
        <w:t>小于25.4 μm</w:t>
      </w:r>
      <w:r>
        <w:rPr>
          <w:rFonts w:hint="eastAsia" w:ascii="宋体" w:hAnsi="宋体" w:cs="宋体"/>
          <w:lang w:val="zh-TW" w:eastAsia="zh-TW"/>
        </w:rPr>
        <w:t>时，在键合球上方插入钩针施加拉力</w:t>
      </w:r>
      <w:r>
        <w:rPr>
          <w:rFonts w:hint="eastAsia" w:ascii="宋体" w:hAnsi="宋体" w:cs="宋体"/>
          <w:lang w:val="zh-TW"/>
        </w:rPr>
        <w:t>；</w:t>
      </w:r>
      <w:r>
        <w:rPr>
          <w:rFonts w:hint="eastAsia" w:ascii="宋体" w:hAnsi="宋体" w:cs="宋体"/>
          <w:lang w:val="zh-TW" w:eastAsia="zh-TW"/>
        </w:rPr>
        <w:t>当键合线线径大于</w:t>
      </w:r>
      <w:r>
        <w:rPr>
          <w:rFonts w:hint="eastAsia" w:ascii="宋体" w:hAnsi="宋体" w:cs="宋体"/>
        </w:rPr>
        <w:t>127 μm</w:t>
      </w:r>
      <w:r>
        <w:rPr>
          <w:rFonts w:hint="eastAsia" w:ascii="宋体" w:hAnsi="宋体" w:cs="宋体"/>
          <w:lang w:val="zh-TW" w:eastAsia="zh-TW"/>
        </w:rPr>
        <w:t>且钩针不适用时，可使用适当的夹子代替钩针。对引线施加垂直于</w:t>
      </w:r>
      <w:r>
        <w:rPr>
          <w:rFonts w:hint="eastAsia" w:ascii="宋体" w:hAnsi="宋体" w:cs="宋体"/>
          <w:lang w:val="zh-TW"/>
        </w:rPr>
        <w:t>电源管理芯片</w:t>
      </w:r>
      <w:r>
        <w:rPr>
          <w:rFonts w:hint="eastAsia" w:ascii="宋体" w:hAnsi="宋体" w:cs="宋体"/>
          <w:lang w:val="zh-TW" w:eastAsia="zh-TW"/>
        </w:rPr>
        <w:t>表面的拉力，使引线断裂并记录分离模式与拉力大小。</w:t>
      </w:r>
    </w:p>
    <w:p w14:paraId="43DE68E0">
      <w:pPr>
        <w:pStyle w:val="58"/>
        <w:ind w:firstLine="0" w:firstLineChars="0"/>
        <w:jc w:val="center"/>
      </w:pPr>
      <w:r>
        <w:rPr>
          <w:rFonts w:hint="eastAsia"/>
        </w:rPr>
        <w:drawing>
          <wp:inline distT="0" distB="0" distL="114300" distR="114300">
            <wp:extent cx="4473575" cy="1224280"/>
            <wp:effectExtent l="0" t="0" r="9525" b="7620"/>
            <wp:docPr id="97" name="图片 43" descr="b7809664be563d4e48e472030085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43" descr="b7809664be563d4e48e472030085841"/>
                    <pic:cNvPicPr>
                      <a:picLocks noChangeAspect="1"/>
                    </pic:cNvPicPr>
                  </pic:nvPicPr>
                  <pic:blipFill>
                    <a:blip r:embed="rId62"/>
                    <a:stretch>
                      <a:fillRect/>
                    </a:stretch>
                  </pic:blipFill>
                  <pic:spPr>
                    <a:xfrm>
                      <a:off x="0" y="0"/>
                      <a:ext cx="4473575" cy="1224280"/>
                    </a:xfrm>
                    <a:prstGeom prst="rect">
                      <a:avLst/>
                    </a:prstGeom>
                    <a:noFill/>
                    <a:ln>
                      <a:noFill/>
                    </a:ln>
                  </pic:spPr>
                </pic:pic>
              </a:graphicData>
            </a:graphic>
          </wp:inline>
        </w:drawing>
      </w:r>
    </w:p>
    <w:p w14:paraId="466A420D">
      <w:pPr>
        <w:pStyle w:val="85"/>
        <w:numPr>
          <w:ilvl w:val="0"/>
          <w:numId w:val="0"/>
        </w:numPr>
        <w:spacing w:before="120" w:after="120"/>
      </w:pPr>
      <w:r>
        <w:rPr>
          <w:rFonts w:hint="eastAsia"/>
        </w:rPr>
        <w:t>图 2  键合点拉力试验分离模式图</w:t>
      </w:r>
    </w:p>
    <w:tbl>
      <w:tblPr>
        <w:tblStyle w:val="2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72"/>
        <w:gridCol w:w="4672"/>
      </w:tblGrid>
      <w:tr w14:paraId="65B4F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672" w:type="dxa"/>
          </w:tcPr>
          <w:p w14:paraId="7574BD0B">
            <w:pPr>
              <w:spacing w:line="240" w:lineRule="atLeast"/>
              <w:jc w:val="center"/>
              <w:textAlignment w:val="top"/>
            </w:pPr>
            <w:r>
              <w:drawing>
                <wp:inline distT="0" distB="0" distL="114300" distR="114300">
                  <wp:extent cx="1890395" cy="1050925"/>
                  <wp:effectExtent l="0" t="0" r="1905" b="3175"/>
                  <wp:docPr id="12" name="图片 44" descr="D:\WeChat Files\wxid_9oy1gtgn5y9u21\FileStorage\Temp\17237953617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4" descr="D:\WeChat Files\wxid_9oy1gtgn5y9u21\FileStorage\Temp\1723795361729.png"/>
                          <pic:cNvPicPr>
                            <a:picLocks noChangeAspect="1"/>
                          </pic:cNvPicPr>
                        </pic:nvPicPr>
                        <pic:blipFill>
                          <a:blip r:embed="rId63"/>
                          <a:stretch>
                            <a:fillRect/>
                          </a:stretch>
                        </pic:blipFill>
                        <pic:spPr>
                          <a:xfrm>
                            <a:off x="0" y="0"/>
                            <a:ext cx="1890395" cy="1050925"/>
                          </a:xfrm>
                          <a:prstGeom prst="rect">
                            <a:avLst/>
                          </a:prstGeom>
                          <a:noFill/>
                          <a:ln>
                            <a:noFill/>
                          </a:ln>
                        </pic:spPr>
                      </pic:pic>
                    </a:graphicData>
                  </a:graphic>
                </wp:inline>
              </w:drawing>
            </w:r>
          </w:p>
          <w:p w14:paraId="1A854469">
            <w:pPr>
              <w:spacing w:line="240" w:lineRule="atLeast"/>
              <w:jc w:val="center"/>
              <w:textAlignment w:val="top"/>
            </w:pPr>
          </w:p>
          <w:p w14:paraId="059E3BE7">
            <w:pPr>
              <w:spacing w:line="240" w:lineRule="atLeast"/>
              <w:ind w:firstLine="840" w:firstLineChars="400"/>
              <w:textAlignment w:val="top"/>
              <w:rPr>
                <w:rFonts w:ascii="黑体" w:hAnsi="Times New Roman" w:eastAsia="黑体"/>
                <w:kern w:val="0"/>
                <w:szCs w:val="20"/>
              </w:rPr>
            </w:pPr>
          </w:p>
          <w:p w14:paraId="226CB289">
            <w:pPr>
              <w:spacing w:line="240" w:lineRule="atLeast"/>
              <w:ind w:firstLine="720" w:firstLineChars="400"/>
              <w:textAlignment w:val="top"/>
            </w:pPr>
            <w:r>
              <w:rPr>
                <w:rFonts w:hint="eastAsia" w:ascii="黑体" w:hAnsi="Times New Roman" w:eastAsia="黑体"/>
                <w:kern w:val="0"/>
                <w:sz w:val="18"/>
                <w:szCs w:val="18"/>
              </w:rPr>
              <w:t>a)将钩针置于中跨与顶点之间</w:t>
            </w:r>
          </w:p>
        </w:tc>
        <w:tc>
          <w:tcPr>
            <w:tcW w:w="4672" w:type="dxa"/>
          </w:tcPr>
          <w:p w14:paraId="3F09EC4A">
            <w:pPr>
              <w:spacing w:line="240" w:lineRule="atLeast"/>
              <w:jc w:val="center"/>
              <w:textAlignment w:val="top"/>
            </w:pPr>
            <w:r>
              <w:drawing>
                <wp:inline distT="0" distB="0" distL="114300" distR="114300">
                  <wp:extent cx="2747010" cy="1367790"/>
                  <wp:effectExtent l="0" t="0" r="8890" b="3810"/>
                  <wp:docPr id="13" name="图片 45" descr="WB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5" descr="WBP2"/>
                          <pic:cNvPicPr>
                            <a:picLocks noChangeAspect="1"/>
                          </pic:cNvPicPr>
                        </pic:nvPicPr>
                        <pic:blipFill>
                          <a:blip r:embed="rId64"/>
                          <a:stretch>
                            <a:fillRect/>
                          </a:stretch>
                        </pic:blipFill>
                        <pic:spPr>
                          <a:xfrm>
                            <a:off x="0" y="0"/>
                            <a:ext cx="2747010" cy="1367790"/>
                          </a:xfrm>
                          <a:prstGeom prst="rect">
                            <a:avLst/>
                          </a:prstGeom>
                          <a:noFill/>
                          <a:ln>
                            <a:noFill/>
                          </a:ln>
                        </pic:spPr>
                      </pic:pic>
                    </a:graphicData>
                  </a:graphic>
                </wp:inline>
              </w:drawing>
            </w:r>
          </w:p>
          <w:p w14:paraId="7ABAA766">
            <w:pPr>
              <w:spacing w:line="240" w:lineRule="atLeast"/>
              <w:jc w:val="center"/>
              <w:textAlignment w:val="top"/>
            </w:pPr>
            <w:r>
              <w:rPr>
                <w:rFonts w:hint="eastAsia" w:ascii="黑体" w:hAnsi="Times New Roman" w:eastAsia="黑体"/>
                <w:kern w:val="0"/>
                <w:sz w:val="18"/>
                <w:szCs w:val="18"/>
              </w:rPr>
              <w:t>b)将钩针置于中跨附近</w:t>
            </w:r>
          </w:p>
        </w:tc>
      </w:tr>
      <w:tr w14:paraId="6060C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672" w:type="dxa"/>
          </w:tcPr>
          <w:p w14:paraId="696A60F7">
            <w:pPr>
              <w:spacing w:line="240" w:lineRule="atLeast"/>
              <w:jc w:val="center"/>
              <w:textAlignment w:val="top"/>
            </w:pPr>
            <w:r>
              <w:drawing>
                <wp:inline distT="0" distB="0" distL="114300" distR="114300">
                  <wp:extent cx="2771775" cy="1562100"/>
                  <wp:effectExtent l="0" t="0" r="9525" b="0"/>
                  <wp:docPr id="14" name="图片 46" descr="WBP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6" descr="WBP3"/>
                          <pic:cNvPicPr>
                            <a:picLocks noChangeAspect="1"/>
                          </pic:cNvPicPr>
                        </pic:nvPicPr>
                        <pic:blipFill>
                          <a:blip r:embed="rId65"/>
                          <a:stretch>
                            <a:fillRect/>
                          </a:stretch>
                        </pic:blipFill>
                        <pic:spPr>
                          <a:xfrm>
                            <a:off x="0" y="0"/>
                            <a:ext cx="2771775" cy="1562100"/>
                          </a:xfrm>
                          <a:prstGeom prst="rect">
                            <a:avLst/>
                          </a:prstGeom>
                          <a:noFill/>
                          <a:ln>
                            <a:noFill/>
                          </a:ln>
                        </pic:spPr>
                      </pic:pic>
                    </a:graphicData>
                  </a:graphic>
                </wp:inline>
              </w:drawing>
            </w:r>
          </w:p>
          <w:p w14:paraId="3116C4B0">
            <w:pPr>
              <w:spacing w:line="240" w:lineRule="atLeast"/>
              <w:jc w:val="center"/>
              <w:textAlignment w:val="top"/>
            </w:pPr>
            <w:r>
              <w:rPr>
                <w:rFonts w:hint="eastAsia" w:ascii="黑体" w:hAnsi="Times New Roman" w:eastAsia="黑体"/>
                <w:kern w:val="0"/>
                <w:sz w:val="18"/>
                <w:szCs w:val="18"/>
              </w:rPr>
              <w:t>c)将钩针置于中跨附近</w:t>
            </w:r>
          </w:p>
        </w:tc>
        <w:tc>
          <w:tcPr>
            <w:tcW w:w="4672" w:type="dxa"/>
          </w:tcPr>
          <w:p w14:paraId="51846F6D">
            <w:pPr>
              <w:spacing w:line="240" w:lineRule="atLeast"/>
              <w:jc w:val="center"/>
              <w:textAlignment w:val="top"/>
            </w:pPr>
            <w:r>
              <w:drawing>
                <wp:inline distT="0" distB="0" distL="114300" distR="114300">
                  <wp:extent cx="2771775" cy="1562100"/>
                  <wp:effectExtent l="0" t="0" r="9525" b="0"/>
                  <wp:docPr id="15" name="图片 47" descr="WBP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7" descr="WBP4"/>
                          <pic:cNvPicPr>
                            <a:picLocks noChangeAspect="1"/>
                          </pic:cNvPicPr>
                        </pic:nvPicPr>
                        <pic:blipFill>
                          <a:blip r:embed="rId66"/>
                          <a:stretch>
                            <a:fillRect/>
                          </a:stretch>
                        </pic:blipFill>
                        <pic:spPr>
                          <a:xfrm>
                            <a:off x="0" y="0"/>
                            <a:ext cx="2771775" cy="1562100"/>
                          </a:xfrm>
                          <a:prstGeom prst="rect">
                            <a:avLst/>
                          </a:prstGeom>
                          <a:noFill/>
                          <a:ln>
                            <a:noFill/>
                          </a:ln>
                        </pic:spPr>
                      </pic:pic>
                    </a:graphicData>
                  </a:graphic>
                </wp:inline>
              </w:drawing>
            </w:r>
          </w:p>
          <w:p w14:paraId="60B37A1E">
            <w:pPr>
              <w:spacing w:line="240" w:lineRule="atLeast"/>
              <w:jc w:val="center"/>
              <w:textAlignment w:val="top"/>
            </w:pPr>
            <w:r>
              <w:rPr>
                <w:rFonts w:hint="eastAsia" w:ascii="黑体" w:hAnsi="Times New Roman" w:eastAsia="黑体"/>
                <w:kern w:val="0"/>
                <w:sz w:val="18"/>
                <w:szCs w:val="18"/>
              </w:rPr>
              <w:t>d)如果中跨与顶点所在位置大致相同，则将钩针放在中跨附件。如位置不同，则将钩针放在中跨与顶端之间的近似中点处</w:t>
            </w:r>
          </w:p>
        </w:tc>
      </w:tr>
      <w:tr w14:paraId="0BCCD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672" w:type="dxa"/>
          </w:tcPr>
          <w:p w14:paraId="7B1ABCF2">
            <w:pPr>
              <w:spacing w:line="240" w:lineRule="atLeast"/>
              <w:jc w:val="center"/>
              <w:textAlignment w:val="top"/>
            </w:pPr>
            <w:r>
              <w:drawing>
                <wp:inline distT="0" distB="0" distL="114300" distR="114300">
                  <wp:extent cx="2771775" cy="1562100"/>
                  <wp:effectExtent l="0" t="0" r="9525" b="0"/>
                  <wp:docPr id="16" name="图片 48" descr="WBP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8" descr="WBP5"/>
                          <pic:cNvPicPr>
                            <a:picLocks noChangeAspect="1"/>
                          </pic:cNvPicPr>
                        </pic:nvPicPr>
                        <pic:blipFill>
                          <a:blip r:embed="rId67"/>
                          <a:stretch>
                            <a:fillRect/>
                          </a:stretch>
                        </pic:blipFill>
                        <pic:spPr>
                          <a:xfrm>
                            <a:off x="0" y="0"/>
                            <a:ext cx="2771775" cy="1562100"/>
                          </a:xfrm>
                          <a:prstGeom prst="rect">
                            <a:avLst/>
                          </a:prstGeom>
                          <a:noFill/>
                          <a:ln>
                            <a:noFill/>
                          </a:ln>
                        </pic:spPr>
                      </pic:pic>
                    </a:graphicData>
                  </a:graphic>
                </wp:inline>
              </w:drawing>
            </w:r>
          </w:p>
          <w:p w14:paraId="4BCF8148">
            <w:pPr>
              <w:spacing w:line="240" w:lineRule="atLeast"/>
              <w:jc w:val="center"/>
              <w:textAlignment w:val="top"/>
            </w:pPr>
            <w:r>
              <w:rPr>
                <w:rFonts w:hint="eastAsia" w:ascii="黑体" w:hAnsi="Times New Roman" w:eastAsia="黑体"/>
                <w:kern w:val="0"/>
                <w:sz w:val="18"/>
                <w:szCs w:val="18"/>
              </w:rPr>
              <w:t>e)将钩针置于中跨附近</w:t>
            </w:r>
          </w:p>
        </w:tc>
        <w:tc>
          <w:tcPr>
            <w:tcW w:w="4672" w:type="dxa"/>
          </w:tcPr>
          <w:p w14:paraId="729F7A40">
            <w:pPr>
              <w:spacing w:line="240" w:lineRule="atLeast"/>
              <w:jc w:val="center"/>
              <w:textAlignment w:val="top"/>
            </w:pPr>
            <w:r>
              <w:drawing>
                <wp:inline distT="0" distB="0" distL="114300" distR="114300">
                  <wp:extent cx="2771775" cy="1562100"/>
                  <wp:effectExtent l="0" t="0" r="9525" b="0"/>
                  <wp:docPr id="17" name="图片 49" descr="WBP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49" descr="WBP6"/>
                          <pic:cNvPicPr>
                            <a:picLocks noChangeAspect="1"/>
                          </pic:cNvPicPr>
                        </pic:nvPicPr>
                        <pic:blipFill>
                          <a:blip r:embed="rId68"/>
                          <a:stretch>
                            <a:fillRect/>
                          </a:stretch>
                        </pic:blipFill>
                        <pic:spPr>
                          <a:xfrm>
                            <a:off x="0" y="0"/>
                            <a:ext cx="2771775" cy="1562100"/>
                          </a:xfrm>
                          <a:prstGeom prst="rect">
                            <a:avLst/>
                          </a:prstGeom>
                          <a:noFill/>
                          <a:ln>
                            <a:noFill/>
                          </a:ln>
                        </pic:spPr>
                      </pic:pic>
                    </a:graphicData>
                  </a:graphic>
                </wp:inline>
              </w:drawing>
            </w:r>
          </w:p>
          <w:p w14:paraId="6B21D3F2">
            <w:pPr>
              <w:spacing w:line="240" w:lineRule="atLeast"/>
              <w:jc w:val="center"/>
              <w:textAlignment w:val="top"/>
            </w:pPr>
            <w:r>
              <w:rPr>
                <w:rFonts w:hint="eastAsia" w:ascii="黑体" w:hAnsi="Times New Roman" w:eastAsia="黑体"/>
                <w:kern w:val="0"/>
                <w:sz w:val="18"/>
                <w:szCs w:val="18"/>
              </w:rPr>
              <w:t>f)将钩针置于所有中跨附近</w:t>
            </w:r>
          </w:p>
        </w:tc>
      </w:tr>
    </w:tbl>
    <w:p w14:paraId="4D6AC668">
      <w:pPr>
        <w:pStyle w:val="85"/>
        <w:numPr>
          <w:ilvl w:val="0"/>
          <w:numId w:val="0"/>
        </w:numPr>
        <w:spacing w:before="120" w:after="120"/>
      </w:pPr>
      <w:r>
        <w:rPr>
          <w:rFonts w:hint="eastAsia"/>
        </w:rPr>
        <w:t>图 3  键合点拉力试验示意图</w:t>
      </w:r>
    </w:p>
    <w:p w14:paraId="144A608C">
      <w:pPr>
        <w:widowControl/>
        <w:numPr>
          <w:ilvl w:val="4"/>
          <w:numId w:val="0"/>
        </w:numPr>
        <w:spacing w:before="120" w:beforeLines="50" w:after="120" w:afterLines="50" w:line="240" w:lineRule="auto"/>
        <w:outlineLvl w:val="4"/>
        <w:rPr>
          <w:rFonts w:ascii="黑体" w:hAnsi="Times New Roman" w:eastAsia="黑体"/>
        </w:rPr>
      </w:pPr>
      <w:r>
        <w:rPr>
          <w:rFonts w:hint="eastAsia" w:ascii="黑体" w:hAnsi="Times New Roman" w:eastAsia="黑体"/>
        </w:rPr>
        <w:t>6.3.4.3  可焊性试验</w:t>
      </w:r>
    </w:p>
    <w:p w14:paraId="04668965">
      <w:pPr>
        <w:autoSpaceDE w:val="0"/>
        <w:autoSpaceDN w:val="0"/>
        <w:spacing w:line="240" w:lineRule="auto"/>
        <w:ind w:firstLine="420" w:firstLineChars="200"/>
        <w:rPr>
          <w:rFonts w:hint="eastAsia" w:ascii="宋体" w:hAnsi="宋体" w:cs="宋体"/>
          <w:lang w:val="zh-TW" w:eastAsia="zh-TW"/>
        </w:rPr>
      </w:pPr>
      <w:r>
        <w:rPr>
          <w:rFonts w:hint="eastAsia" w:ascii="宋体" w:hAnsi="宋体" w:cs="宋体"/>
          <w:lang w:val="zh-TW" w:eastAsia="zh-TW"/>
        </w:rPr>
        <w:t>本试验使用</w:t>
      </w:r>
      <w:r>
        <w:rPr>
          <w:rFonts w:hint="eastAsia" w:ascii="宋体" w:hAnsi="宋体" w:cs="宋体"/>
        </w:rPr>
        <w:t>1</w:t>
      </w:r>
      <w:r>
        <w:rPr>
          <w:rFonts w:hint="eastAsia" w:ascii="宋体" w:hAnsi="宋体" w:cs="宋体"/>
          <w:lang w:val="zh-TW" w:eastAsia="zh-TW"/>
        </w:rPr>
        <w:t>个批次的</w:t>
      </w:r>
      <w:r>
        <w:rPr>
          <w:rFonts w:hint="eastAsia" w:ascii="宋体" w:hAnsi="宋体" w:cs="宋体"/>
        </w:rPr>
        <w:t>纯电动客车用电源管理芯片</w:t>
      </w:r>
      <w:r>
        <w:rPr>
          <w:rFonts w:hint="eastAsia" w:ascii="宋体" w:hAnsi="宋体" w:cs="宋体"/>
          <w:lang w:val="zh-TW" w:eastAsia="zh-TW"/>
        </w:rPr>
        <w:t>样品，样品数量不应少于</w:t>
      </w:r>
      <w:r>
        <w:rPr>
          <w:rFonts w:hint="eastAsia" w:ascii="宋体" w:hAnsi="宋体" w:cs="宋体"/>
        </w:rPr>
        <w:t>15</w:t>
      </w:r>
      <w:r>
        <w:rPr>
          <w:rFonts w:hint="eastAsia" w:ascii="宋体" w:hAnsi="宋体" w:cs="宋体"/>
          <w:lang w:val="zh-TW" w:eastAsia="zh-TW"/>
        </w:rPr>
        <w:t>片进行试验。试验前应从表</w:t>
      </w:r>
      <w:r>
        <w:rPr>
          <w:rFonts w:hint="eastAsia" w:ascii="宋体" w:hAnsi="宋体" w:cs="宋体"/>
        </w:rPr>
        <w:t>29和表30</w:t>
      </w:r>
      <w:r>
        <w:rPr>
          <w:rFonts w:hint="eastAsia" w:ascii="宋体" w:hAnsi="宋体" w:cs="宋体"/>
          <w:lang w:val="zh-TW"/>
        </w:rPr>
        <w:t>中选择适当的条件</w:t>
      </w:r>
      <w:r>
        <w:rPr>
          <w:rFonts w:hint="eastAsia" w:ascii="宋体" w:hAnsi="宋体" w:cs="宋体"/>
          <w:lang w:val="zh-TW" w:eastAsia="zh-TW"/>
        </w:rPr>
        <w:t>进行预处理，预处理后应在</w:t>
      </w:r>
      <w:r>
        <w:rPr>
          <w:rFonts w:hint="eastAsia" w:ascii="宋体" w:hAnsi="宋体" w:cs="宋体"/>
        </w:rPr>
        <w:t>2 h</w:t>
      </w:r>
      <w:r>
        <w:rPr>
          <w:rFonts w:hint="eastAsia" w:ascii="宋体" w:hAnsi="宋体" w:cs="宋体"/>
          <w:lang w:val="zh-TW" w:eastAsia="zh-TW"/>
        </w:rPr>
        <w:t>内进行试验或将器件存放于氮气箱中，并在</w:t>
      </w:r>
      <w:r>
        <w:rPr>
          <w:rFonts w:hint="eastAsia" w:ascii="宋体" w:hAnsi="宋体" w:cs="宋体"/>
          <w:lang w:val="zh-TW"/>
        </w:rPr>
        <w:t>7</w:t>
      </w:r>
      <w:r>
        <w:rPr>
          <w:rFonts w:hint="eastAsia" w:ascii="宋体" w:hAnsi="宋体" w:cs="宋体"/>
          <w:lang w:val="zh-TW" w:eastAsia="zh-TW"/>
        </w:rPr>
        <w:t>2</w:t>
      </w:r>
      <w:r>
        <w:rPr>
          <w:rFonts w:hint="eastAsia" w:ascii="宋体" w:hAnsi="宋体" w:cs="宋体"/>
        </w:rPr>
        <w:t xml:space="preserve"> </w:t>
      </w:r>
      <w:r>
        <w:rPr>
          <w:rFonts w:hint="eastAsia" w:ascii="宋体" w:hAnsi="宋体" w:cs="宋体"/>
          <w:lang w:val="zh-TW" w:eastAsia="zh-TW"/>
        </w:rPr>
        <w:t>h内进行试验。</w:t>
      </w:r>
    </w:p>
    <w:p w14:paraId="6CB19372">
      <w:pPr>
        <w:autoSpaceDE w:val="0"/>
        <w:autoSpaceDN w:val="0"/>
        <w:spacing w:line="240" w:lineRule="auto"/>
        <w:ind w:firstLine="420" w:firstLineChars="200"/>
        <w:rPr>
          <w:rFonts w:hint="eastAsia" w:ascii="宋体" w:hAnsi="宋体" w:cs="宋体"/>
          <w:lang w:val="zh-TW"/>
        </w:rPr>
      </w:pPr>
      <w:r>
        <w:rPr>
          <w:rFonts w:hint="eastAsia" w:ascii="宋体" w:hAnsi="宋体" w:cs="宋体"/>
        </w:rPr>
        <w:t>对于使用蒸汽老化预处理的样品，</w:t>
      </w:r>
      <w:r>
        <w:rPr>
          <w:rFonts w:hint="eastAsia" w:ascii="宋体" w:hAnsi="宋体" w:cs="宋体"/>
          <w:lang w:val="zh-TW" w:eastAsia="zh-TW"/>
        </w:rPr>
        <w:t>当试验样品从</w:t>
      </w:r>
      <w:r>
        <w:rPr>
          <w:rFonts w:hint="eastAsia" w:ascii="宋体" w:hAnsi="宋体" w:cs="宋体"/>
        </w:rPr>
        <w:t>蒸汽</w:t>
      </w:r>
      <w:r>
        <w:rPr>
          <w:rFonts w:hint="eastAsia" w:ascii="宋体" w:hAnsi="宋体" w:cs="宋体"/>
          <w:lang w:val="zh-TW" w:eastAsia="zh-TW"/>
        </w:rPr>
        <w:t>老化设备中移出时,可以按照下述</w:t>
      </w:r>
      <w:r>
        <w:rPr>
          <w:rFonts w:hint="eastAsia" w:ascii="宋体" w:hAnsi="宋体" w:cs="宋体"/>
        </w:rPr>
        <w:t>方法</w:t>
      </w:r>
      <w:r>
        <w:rPr>
          <w:rFonts w:hint="eastAsia" w:ascii="宋体" w:hAnsi="宋体" w:cs="宋体"/>
          <w:lang w:val="zh-TW" w:eastAsia="zh-TW"/>
        </w:rPr>
        <w:t>之一干燥样品</w:t>
      </w:r>
      <w:r>
        <w:rPr>
          <w:rFonts w:hint="eastAsia" w:ascii="宋体" w:hAnsi="宋体" w:cs="宋体"/>
          <w:lang w:val="zh-TW"/>
        </w:rPr>
        <w:t>：</w:t>
      </w:r>
    </w:p>
    <w:p w14:paraId="73727F9C">
      <w:pPr>
        <w:numPr>
          <w:ilvl w:val="0"/>
          <w:numId w:val="62"/>
        </w:numPr>
        <w:autoSpaceDE w:val="0"/>
        <w:autoSpaceDN w:val="0"/>
        <w:spacing w:line="240" w:lineRule="auto"/>
        <w:ind w:firstLine="420"/>
        <w:rPr>
          <w:rFonts w:hint="eastAsia" w:ascii="宋体" w:hAnsi="宋体" w:cs="宋体"/>
          <w:lang w:val="zh-TW" w:eastAsia="zh-TW"/>
        </w:rPr>
      </w:pPr>
      <w:r>
        <w:rPr>
          <w:rFonts w:hint="eastAsia" w:ascii="宋体" w:hAnsi="宋体" w:cs="宋体"/>
          <w:lang w:val="zh-TW" w:eastAsia="zh-TW"/>
        </w:rPr>
        <w:t>在干燥环境中(推荐用</w:t>
      </w:r>
      <w:r>
        <w:rPr>
          <w:rFonts w:hint="eastAsia" w:ascii="宋体" w:hAnsi="宋体" w:cs="宋体"/>
        </w:rPr>
        <w:t>干</w:t>
      </w:r>
      <w:r>
        <w:rPr>
          <w:rFonts w:hint="eastAsia" w:ascii="宋体" w:hAnsi="宋体" w:cs="宋体"/>
          <w:lang w:val="zh-TW" w:eastAsia="zh-TW"/>
        </w:rPr>
        <w:t>燥氮气)</w:t>
      </w:r>
      <w:r>
        <w:rPr>
          <w:rFonts w:hint="eastAsia" w:ascii="宋体" w:hAnsi="宋体" w:cs="宋体"/>
          <w:lang w:val="zh-TW"/>
        </w:rPr>
        <w:t>，</w:t>
      </w:r>
      <w:r>
        <w:rPr>
          <w:rFonts w:hint="eastAsia" w:ascii="宋体" w:hAnsi="宋体" w:cs="宋体"/>
          <w:lang w:val="zh-TW" w:eastAsia="zh-TW"/>
        </w:rPr>
        <w:t>最高100</w:t>
      </w:r>
      <w:r>
        <w:rPr>
          <w:rFonts w:hint="eastAsia" w:ascii="宋体" w:hAnsi="宋体" w:cs="宋体"/>
        </w:rPr>
        <w:t xml:space="preserve"> </w:t>
      </w:r>
      <w:r>
        <w:rPr>
          <w:rFonts w:hint="eastAsia" w:ascii="宋体" w:hAnsi="宋体" w:cs="宋体"/>
          <w:lang w:val="zh-TW" w:eastAsia="zh-TW"/>
        </w:rPr>
        <w:t>℃烘焙不超过1</w:t>
      </w:r>
      <w:r>
        <w:rPr>
          <w:rFonts w:hint="eastAsia" w:ascii="宋体" w:hAnsi="宋体" w:cs="宋体"/>
        </w:rPr>
        <w:t xml:space="preserve"> </w:t>
      </w:r>
      <w:r>
        <w:rPr>
          <w:rFonts w:hint="eastAsia" w:ascii="宋体" w:hAnsi="宋体" w:cs="宋体"/>
          <w:lang w:val="zh-TW" w:eastAsia="zh-TW"/>
        </w:rPr>
        <w:t>h</w:t>
      </w:r>
      <w:r>
        <w:rPr>
          <w:rFonts w:hint="eastAsia" w:ascii="宋体" w:hAnsi="宋体" w:cs="宋体"/>
          <w:lang w:val="zh-TW"/>
        </w:rPr>
        <w:t>；</w:t>
      </w:r>
    </w:p>
    <w:p w14:paraId="0A9685FA">
      <w:pPr>
        <w:numPr>
          <w:ilvl w:val="0"/>
          <w:numId w:val="62"/>
        </w:numPr>
        <w:autoSpaceDE w:val="0"/>
        <w:autoSpaceDN w:val="0"/>
        <w:spacing w:line="240" w:lineRule="auto"/>
        <w:ind w:firstLine="420"/>
        <w:rPr>
          <w:rFonts w:hint="eastAsia" w:ascii="宋体" w:hAnsi="宋体" w:cs="宋体"/>
          <w:lang w:val="zh-TW" w:eastAsia="zh-TW"/>
        </w:rPr>
      </w:pPr>
      <w:r>
        <w:rPr>
          <w:rFonts w:hint="eastAsia" w:ascii="宋体" w:hAnsi="宋体" w:cs="宋体"/>
          <w:lang w:val="zh-TW" w:eastAsia="zh-TW"/>
        </w:rPr>
        <w:t>在室温环境下的空气中干燥至少15min。</w:t>
      </w:r>
    </w:p>
    <w:p w14:paraId="4B9E7680">
      <w:pPr>
        <w:autoSpaceDE w:val="0"/>
        <w:autoSpaceDN w:val="0"/>
        <w:spacing w:line="240" w:lineRule="auto"/>
        <w:ind w:left="690" w:leftChars="200" w:hanging="270" w:hangingChars="150"/>
        <w:rPr>
          <w:rFonts w:hint="eastAsia" w:ascii="宋体" w:hAnsi="宋体" w:cs="宋体"/>
          <w:sz w:val="18"/>
          <w:szCs w:val="18"/>
          <w:lang w:val="zh-TW" w:eastAsia="zh-TW"/>
        </w:rPr>
      </w:pPr>
      <w:r>
        <w:rPr>
          <w:rFonts w:hint="eastAsia" w:ascii="黑体" w:hAnsi="黑体" w:eastAsia="黑体" w:cs="黑体"/>
          <w:sz w:val="18"/>
          <w:szCs w:val="18"/>
          <w:lang w:val="zh-TW" w:eastAsia="zh-TW"/>
        </w:rPr>
        <w:t>注</w:t>
      </w:r>
      <w:r>
        <w:rPr>
          <w:rFonts w:hint="eastAsia" w:ascii="宋体" w:hAnsi="宋体" w:cs="宋体"/>
          <w:sz w:val="18"/>
          <w:szCs w:val="18"/>
          <w:lang w:val="zh-TW" w:eastAsia="zh-TW"/>
        </w:rPr>
        <w:t>：样品自老化设备中取出后的2</w:t>
      </w:r>
      <w:r>
        <w:rPr>
          <w:rFonts w:hint="eastAsia" w:ascii="宋体" w:hAnsi="宋体" w:cs="宋体"/>
          <w:sz w:val="18"/>
          <w:szCs w:val="18"/>
        </w:rPr>
        <w:t xml:space="preserve"> </w:t>
      </w:r>
      <w:r>
        <w:rPr>
          <w:rFonts w:hint="eastAsia" w:ascii="宋体" w:hAnsi="宋体" w:cs="宋体"/>
          <w:sz w:val="18"/>
          <w:szCs w:val="18"/>
          <w:lang w:val="zh-TW" w:eastAsia="zh-TW"/>
        </w:rPr>
        <w:t>h内,若不进行可焊性试验,在试验前需将其存贮在一个干燥的广口瓶或干氮箱中,且最长不超过72</w:t>
      </w:r>
      <w:r>
        <w:rPr>
          <w:rFonts w:hint="eastAsia" w:ascii="宋体" w:hAnsi="宋体" w:cs="宋体"/>
          <w:sz w:val="18"/>
          <w:szCs w:val="18"/>
        </w:rPr>
        <w:t xml:space="preserve"> </w:t>
      </w:r>
      <w:r>
        <w:rPr>
          <w:rFonts w:hint="eastAsia" w:ascii="宋体" w:hAnsi="宋体" w:cs="宋体"/>
          <w:sz w:val="18"/>
          <w:szCs w:val="18"/>
          <w:lang w:val="zh-TW" w:eastAsia="zh-TW"/>
        </w:rPr>
        <w:t>h。</w:t>
      </w:r>
    </w:p>
    <w:p w14:paraId="1934EC90">
      <w:pPr>
        <w:adjustRightInd/>
        <w:spacing w:before="120" w:beforeLines="50" w:after="120" w:afterLines="50" w:line="240" w:lineRule="auto"/>
        <w:jc w:val="center"/>
        <w:rPr>
          <w:rFonts w:hint="eastAsia" w:ascii="黑体" w:hAnsi="黑体" w:eastAsia="黑体" w:cs="黑体"/>
        </w:rPr>
      </w:pPr>
      <w:r>
        <w:rPr>
          <w:rFonts w:hint="eastAsia" w:ascii="黑体" w:hAnsi="黑体" w:eastAsia="黑体" w:cs="黑体"/>
        </w:rPr>
        <w:t>表 29  预处理条件</w:t>
      </w:r>
    </w:p>
    <w:tbl>
      <w:tblPr>
        <w:tblStyle w:val="29"/>
        <w:tblW w:w="9319"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1863"/>
        <w:gridCol w:w="1864"/>
        <w:gridCol w:w="1864"/>
        <w:gridCol w:w="1864"/>
        <w:gridCol w:w="1864"/>
      </w:tblGrid>
      <w:tr w14:paraId="7257ED7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518" w:hRule="atLeast"/>
          <w:tblHeader/>
          <w:jc w:val="center"/>
        </w:trPr>
        <w:tc>
          <w:tcPr>
            <w:tcW w:w="1863" w:type="dxa"/>
            <w:tcBorders>
              <w:tl2br w:val="nil"/>
              <w:tr2bl w:val="nil"/>
            </w:tcBorders>
            <w:vAlign w:val="center"/>
          </w:tcPr>
          <w:p w14:paraId="1E63FE8C">
            <w:pPr>
              <w:autoSpaceDE w:val="0"/>
              <w:autoSpaceDN w:val="0"/>
              <w:jc w:val="center"/>
              <w:rPr>
                <w:rFonts w:hint="eastAsia" w:ascii="宋体" w:hAnsi="宋体" w:cs="宋体"/>
                <w:sz w:val="18"/>
                <w:szCs w:val="18"/>
                <w:lang w:val="zh-TW" w:eastAsia="zh-TW"/>
              </w:rPr>
            </w:pPr>
            <w:r>
              <w:rPr>
                <w:rFonts w:hint="eastAsia" w:ascii="宋体" w:hAnsi="宋体" w:cs="宋体"/>
                <w:sz w:val="18"/>
                <w:szCs w:val="18"/>
                <w:lang w:val="zh-TW" w:eastAsia="zh-TW"/>
              </w:rPr>
              <w:t>预处理条件</w:t>
            </w:r>
          </w:p>
        </w:tc>
        <w:tc>
          <w:tcPr>
            <w:tcW w:w="1864" w:type="dxa"/>
            <w:tcBorders>
              <w:tl2br w:val="nil"/>
              <w:tr2bl w:val="nil"/>
            </w:tcBorders>
            <w:vAlign w:val="center"/>
          </w:tcPr>
          <w:p w14:paraId="7D28F71B">
            <w:pPr>
              <w:autoSpaceDE w:val="0"/>
              <w:autoSpaceDN w:val="0"/>
              <w:jc w:val="center"/>
              <w:rPr>
                <w:rFonts w:hint="eastAsia" w:ascii="宋体" w:hAnsi="宋体" w:cs="宋体"/>
                <w:sz w:val="18"/>
                <w:szCs w:val="18"/>
                <w:lang w:val="zh-TW" w:eastAsia="zh-TW"/>
              </w:rPr>
            </w:pPr>
            <w:r>
              <w:rPr>
                <w:rFonts w:hint="eastAsia" w:ascii="宋体" w:hAnsi="宋体" w:cs="宋体"/>
                <w:sz w:val="18"/>
                <w:szCs w:val="18"/>
                <w:lang w:val="zh-TW" w:eastAsia="zh-TW"/>
              </w:rPr>
              <w:t>预处理</w:t>
            </w:r>
          </w:p>
        </w:tc>
        <w:tc>
          <w:tcPr>
            <w:tcW w:w="1864" w:type="dxa"/>
            <w:tcBorders>
              <w:tl2br w:val="nil"/>
              <w:tr2bl w:val="nil"/>
            </w:tcBorders>
            <w:vAlign w:val="center"/>
          </w:tcPr>
          <w:p w14:paraId="279CB421">
            <w:pPr>
              <w:autoSpaceDE w:val="0"/>
              <w:autoSpaceDN w:val="0"/>
              <w:jc w:val="center"/>
              <w:rPr>
                <w:rFonts w:hint="eastAsia" w:ascii="宋体" w:hAnsi="宋体" w:cs="宋体"/>
                <w:sz w:val="18"/>
                <w:szCs w:val="18"/>
                <w:lang w:val="zh-TW" w:eastAsia="zh-TW"/>
              </w:rPr>
            </w:pPr>
            <w:r>
              <w:rPr>
                <w:rFonts w:hint="eastAsia" w:ascii="宋体" w:hAnsi="宋体" w:cs="宋体"/>
                <w:sz w:val="18"/>
                <w:szCs w:val="18"/>
                <w:lang w:val="zh-TW" w:eastAsia="zh-TW"/>
              </w:rPr>
              <w:t>条件</w:t>
            </w:r>
          </w:p>
        </w:tc>
        <w:tc>
          <w:tcPr>
            <w:tcW w:w="1864" w:type="dxa"/>
            <w:tcBorders>
              <w:tl2br w:val="nil"/>
              <w:tr2bl w:val="nil"/>
            </w:tcBorders>
            <w:vAlign w:val="center"/>
          </w:tcPr>
          <w:p w14:paraId="41B7306D">
            <w:pPr>
              <w:autoSpaceDE w:val="0"/>
              <w:autoSpaceDN w:val="0"/>
              <w:jc w:val="center"/>
              <w:rPr>
                <w:rFonts w:hint="eastAsia" w:ascii="宋体" w:hAnsi="宋体" w:cs="宋体"/>
                <w:sz w:val="18"/>
                <w:szCs w:val="18"/>
                <w:lang w:val="zh-TW" w:eastAsia="zh-TW"/>
              </w:rPr>
            </w:pPr>
            <w:r>
              <w:rPr>
                <w:rFonts w:hint="eastAsia" w:ascii="宋体" w:hAnsi="宋体" w:cs="宋体"/>
                <w:sz w:val="18"/>
                <w:szCs w:val="18"/>
                <w:lang w:val="zh-TW" w:eastAsia="zh-TW"/>
              </w:rPr>
              <w:t>试验时长</w:t>
            </w:r>
          </w:p>
        </w:tc>
        <w:tc>
          <w:tcPr>
            <w:tcW w:w="1864" w:type="dxa"/>
            <w:tcBorders>
              <w:tl2br w:val="nil"/>
              <w:tr2bl w:val="nil"/>
            </w:tcBorders>
            <w:vAlign w:val="center"/>
          </w:tcPr>
          <w:p w14:paraId="2BC9A8A8">
            <w:pPr>
              <w:autoSpaceDE w:val="0"/>
              <w:autoSpaceDN w:val="0"/>
              <w:jc w:val="center"/>
              <w:rPr>
                <w:rFonts w:hint="eastAsia" w:ascii="宋体" w:hAnsi="宋体" w:cs="宋体"/>
                <w:sz w:val="18"/>
                <w:szCs w:val="18"/>
                <w:lang w:val="zh-TW" w:eastAsia="zh-TW"/>
              </w:rPr>
            </w:pPr>
            <w:r>
              <w:rPr>
                <w:rFonts w:hint="eastAsia" w:ascii="宋体" w:hAnsi="宋体" w:cs="宋体"/>
                <w:sz w:val="18"/>
                <w:szCs w:val="18"/>
                <w:lang w:val="zh-TW" w:eastAsia="zh-TW"/>
              </w:rPr>
              <w:t>适用性</w:t>
            </w:r>
          </w:p>
        </w:tc>
      </w:tr>
      <w:tr w14:paraId="3EC2BAE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87" w:hRule="atLeast"/>
          <w:jc w:val="center"/>
        </w:trPr>
        <w:tc>
          <w:tcPr>
            <w:tcW w:w="1863" w:type="dxa"/>
            <w:tcBorders>
              <w:tl2br w:val="nil"/>
              <w:tr2bl w:val="nil"/>
            </w:tcBorders>
            <w:vAlign w:val="center"/>
          </w:tcPr>
          <w:p w14:paraId="323D4C5D">
            <w:pPr>
              <w:autoSpaceDE w:val="0"/>
              <w:autoSpaceDN w:val="0"/>
              <w:jc w:val="center"/>
              <w:rPr>
                <w:rFonts w:hint="eastAsia" w:ascii="宋体" w:hAnsi="宋体" w:cs="宋体"/>
                <w:sz w:val="18"/>
                <w:szCs w:val="18"/>
                <w:lang w:val="zh-TW"/>
              </w:rPr>
            </w:pPr>
            <w:r>
              <w:rPr>
                <w:rFonts w:hint="eastAsia" w:ascii="宋体" w:hAnsi="宋体" w:cs="宋体"/>
                <w:sz w:val="18"/>
                <w:szCs w:val="18"/>
              </w:rPr>
              <w:t>A</w:t>
            </w:r>
          </w:p>
        </w:tc>
        <w:tc>
          <w:tcPr>
            <w:tcW w:w="1864" w:type="dxa"/>
            <w:tcBorders>
              <w:tl2br w:val="nil"/>
              <w:tr2bl w:val="nil"/>
            </w:tcBorders>
            <w:vAlign w:val="center"/>
          </w:tcPr>
          <w:p w14:paraId="74A761BA">
            <w:pPr>
              <w:autoSpaceDE w:val="0"/>
              <w:autoSpaceDN w:val="0"/>
              <w:jc w:val="center"/>
              <w:rPr>
                <w:rFonts w:hint="eastAsia" w:ascii="宋体" w:hAnsi="宋体" w:cs="宋体"/>
                <w:sz w:val="18"/>
                <w:szCs w:val="18"/>
                <w:lang w:val="zh-TW" w:eastAsia="zh-TW"/>
              </w:rPr>
            </w:pPr>
            <w:r>
              <w:rPr>
                <w:rFonts w:hint="eastAsia" w:ascii="宋体" w:hAnsi="宋体" w:cs="宋体"/>
                <w:sz w:val="18"/>
                <w:szCs w:val="18"/>
                <w:lang w:val="zh-TW" w:eastAsia="zh-TW"/>
              </w:rPr>
              <w:t>蒸汽老化</w:t>
            </w:r>
          </w:p>
        </w:tc>
        <w:tc>
          <w:tcPr>
            <w:tcW w:w="1864" w:type="dxa"/>
            <w:tcBorders>
              <w:tl2br w:val="nil"/>
              <w:tr2bl w:val="nil"/>
            </w:tcBorders>
            <w:vAlign w:val="center"/>
          </w:tcPr>
          <w:p w14:paraId="545D0385">
            <w:pPr>
              <w:spacing w:line="240" w:lineRule="auto"/>
              <w:jc w:val="center"/>
              <w:rPr>
                <w:rFonts w:hint="eastAsia" w:ascii="宋体" w:hAnsi="宋体" w:cs="宋体"/>
                <w:sz w:val="18"/>
                <w:szCs w:val="18"/>
              </w:rPr>
            </w:pPr>
            <w:r>
              <w:rPr>
                <w:rFonts w:hint="eastAsia" w:ascii="宋体" w:hAnsi="宋体" w:cs="宋体"/>
                <w:kern w:val="0"/>
                <w:sz w:val="18"/>
                <w:szCs w:val="18"/>
                <w:lang w:val="zh-TW" w:eastAsia="zh-TW"/>
              </w:rPr>
              <w:t>见表</w:t>
            </w:r>
            <w:r>
              <w:rPr>
                <w:rFonts w:hint="eastAsia" w:ascii="宋体" w:hAnsi="宋体" w:cs="宋体"/>
                <w:kern w:val="0"/>
                <w:sz w:val="18"/>
                <w:szCs w:val="18"/>
              </w:rPr>
              <w:t>26</w:t>
            </w:r>
          </w:p>
        </w:tc>
        <w:tc>
          <w:tcPr>
            <w:tcW w:w="1864" w:type="dxa"/>
            <w:tcBorders>
              <w:tl2br w:val="nil"/>
              <w:tr2bl w:val="nil"/>
            </w:tcBorders>
            <w:vAlign w:val="center"/>
          </w:tcPr>
          <w:p w14:paraId="0F5CF556">
            <w:pPr>
              <w:autoSpaceDE w:val="0"/>
              <w:autoSpaceDN w:val="0"/>
              <w:jc w:val="center"/>
              <w:rPr>
                <w:rFonts w:hint="eastAsia" w:ascii="宋体" w:hAnsi="宋体" w:cs="宋体"/>
                <w:sz w:val="18"/>
                <w:szCs w:val="18"/>
                <w:lang w:val="zh-TW"/>
              </w:rPr>
            </w:pPr>
            <w:r>
              <w:rPr>
                <w:rFonts w:hint="eastAsia" w:ascii="宋体" w:hAnsi="宋体" w:cs="宋体"/>
                <w:sz w:val="18"/>
                <w:szCs w:val="18"/>
              </w:rPr>
              <w:t>1 h±</w:t>
            </w:r>
            <w:r>
              <w:rPr>
                <w:rFonts w:hint="eastAsia" w:ascii="宋体" w:hAnsi="宋体" w:cs="宋体"/>
                <w:sz w:val="18"/>
                <w:szCs w:val="18"/>
                <w:lang w:val="zh-TW" w:eastAsia="zh-TW"/>
              </w:rPr>
              <w:t>5</w:t>
            </w:r>
            <w:r>
              <w:rPr>
                <w:rFonts w:hint="eastAsia" w:ascii="宋体" w:hAnsi="宋体" w:cs="宋体"/>
                <w:sz w:val="18"/>
                <w:szCs w:val="18"/>
              </w:rPr>
              <w:t xml:space="preserve"> </w:t>
            </w:r>
            <w:r>
              <w:rPr>
                <w:rFonts w:hint="eastAsia" w:ascii="宋体" w:hAnsi="宋体" w:cs="宋体"/>
                <w:sz w:val="18"/>
                <w:szCs w:val="18"/>
                <w:lang w:val="zh-TW" w:eastAsia="zh-TW"/>
              </w:rPr>
              <w:t>min</w:t>
            </w:r>
          </w:p>
        </w:tc>
        <w:tc>
          <w:tcPr>
            <w:tcW w:w="1864" w:type="dxa"/>
            <w:tcBorders>
              <w:tl2br w:val="nil"/>
              <w:tr2bl w:val="nil"/>
            </w:tcBorders>
            <w:vAlign w:val="center"/>
          </w:tcPr>
          <w:p w14:paraId="7C3CACEB">
            <w:pPr>
              <w:autoSpaceDE w:val="0"/>
              <w:autoSpaceDN w:val="0"/>
              <w:jc w:val="center"/>
              <w:rPr>
                <w:rFonts w:hint="eastAsia" w:ascii="宋体" w:hAnsi="宋体" w:cs="宋体"/>
                <w:sz w:val="18"/>
                <w:szCs w:val="18"/>
                <w:lang w:val="zh-TW" w:eastAsia="zh-TW"/>
              </w:rPr>
            </w:pPr>
            <w:r>
              <w:rPr>
                <w:rFonts w:hint="eastAsia" w:ascii="宋体" w:hAnsi="宋体" w:cs="宋体"/>
                <w:sz w:val="18"/>
                <w:szCs w:val="18"/>
                <w:lang w:val="zh-TW" w:eastAsia="zh-TW"/>
              </w:rPr>
              <w:t>适用</w:t>
            </w:r>
          </w:p>
        </w:tc>
      </w:tr>
      <w:tr w14:paraId="42BB3D8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87" w:hRule="atLeast"/>
          <w:jc w:val="center"/>
        </w:trPr>
        <w:tc>
          <w:tcPr>
            <w:tcW w:w="1863" w:type="dxa"/>
            <w:tcBorders>
              <w:tl2br w:val="nil"/>
              <w:tr2bl w:val="nil"/>
            </w:tcBorders>
            <w:vAlign w:val="center"/>
          </w:tcPr>
          <w:p w14:paraId="4F899379">
            <w:pPr>
              <w:autoSpaceDE w:val="0"/>
              <w:autoSpaceDN w:val="0"/>
              <w:jc w:val="center"/>
              <w:rPr>
                <w:rFonts w:hint="eastAsia" w:ascii="宋体" w:hAnsi="宋体" w:cs="宋体"/>
                <w:sz w:val="18"/>
                <w:szCs w:val="18"/>
              </w:rPr>
            </w:pPr>
            <w:r>
              <w:rPr>
                <w:rFonts w:hint="eastAsia" w:ascii="宋体" w:hAnsi="宋体" w:cs="宋体"/>
                <w:sz w:val="18"/>
                <w:szCs w:val="18"/>
              </w:rPr>
              <w:t>B</w:t>
            </w:r>
          </w:p>
        </w:tc>
        <w:tc>
          <w:tcPr>
            <w:tcW w:w="1864" w:type="dxa"/>
            <w:tcBorders>
              <w:tl2br w:val="nil"/>
              <w:tr2bl w:val="nil"/>
            </w:tcBorders>
            <w:vAlign w:val="center"/>
          </w:tcPr>
          <w:p w14:paraId="6BEB7B72">
            <w:pPr>
              <w:spacing w:line="240" w:lineRule="auto"/>
              <w:jc w:val="center"/>
              <w:rPr>
                <w:rFonts w:hint="eastAsia" w:ascii="宋体" w:hAnsi="宋体" w:cs="宋体"/>
                <w:kern w:val="0"/>
                <w:sz w:val="18"/>
                <w:szCs w:val="18"/>
                <w:lang w:val="zh-TW" w:eastAsia="zh-TW"/>
              </w:rPr>
            </w:pPr>
            <w:r>
              <w:rPr>
                <w:rFonts w:hint="eastAsia" w:ascii="宋体" w:hAnsi="宋体" w:cs="宋体"/>
                <w:kern w:val="0"/>
                <w:sz w:val="18"/>
                <w:szCs w:val="18"/>
                <w:lang w:val="zh-TW" w:eastAsia="zh-TW"/>
              </w:rPr>
              <w:t>蒸汽老化</w:t>
            </w:r>
          </w:p>
        </w:tc>
        <w:tc>
          <w:tcPr>
            <w:tcW w:w="1864" w:type="dxa"/>
            <w:tcBorders>
              <w:tl2br w:val="nil"/>
              <w:tr2bl w:val="nil"/>
            </w:tcBorders>
            <w:vAlign w:val="center"/>
          </w:tcPr>
          <w:p w14:paraId="43EBB33C">
            <w:pPr>
              <w:spacing w:line="240" w:lineRule="auto"/>
              <w:jc w:val="center"/>
              <w:rPr>
                <w:rFonts w:hint="eastAsia" w:ascii="宋体" w:hAnsi="宋体" w:cs="宋体"/>
                <w:sz w:val="18"/>
                <w:szCs w:val="18"/>
              </w:rPr>
            </w:pPr>
            <w:r>
              <w:rPr>
                <w:rFonts w:hint="eastAsia" w:ascii="宋体" w:hAnsi="宋体" w:cs="宋体"/>
                <w:sz w:val="18"/>
                <w:szCs w:val="18"/>
                <w:lang w:val="zh-TW" w:eastAsia="zh-TW"/>
              </w:rPr>
              <w:t>见表</w:t>
            </w:r>
            <w:r>
              <w:rPr>
                <w:rFonts w:hint="eastAsia" w:ascii="宋体" w:hAnsi="宋体" w:cs="宋体"/>
                <w:sz w:val="18"/>
                <w:szCs w:val="18"/>
              </w:rPr>
              <w:t>26</w:t>
            </w:r>
          </w:p>
        </w:tc>
        <w:tc>
          <w:tcPr>
            <w:tcW w:w="1864" w:type="dxa"/>
            <w:tcBorders>
              <w:tl2br w:val="nil"/>
              <w:tr2bl w:val="nil"/>
            </w:tcBorders>
            <w:vAlign w:val="center"/>
          </w:tcPr>
          <w:p w14:paraId="4447D126">
            <w:pPr>
              <w:spacing w:line="240" w:lineRule="auto"/>
              <w:jc w:val="center"/>
              <w:rPr>
                <w:rFonts w:hint="eastAsia" w:ascii="宋体" w:hAnsi="宋体" w:cs="宋体"/>
                <w:kern w:val="0"/>
                <w:sz w:val="18"/>
                <w:szCs w:val="18"/>
                <w:lang w:val="zh-TW" w:eastAsia="zh-TW"/>
              </w:rPr>
            </w:pPr>
            <w:r>
              <w:rPr>
                <w:rFonts w:hint="eastAsia" w:ascii="宋体" w:hAnsi="宋体" w:cs="宋体"/>
                <w:kern w:val="0"/>
                <w:sz w:val="18"/>
                <w:szCs w:val="18"/>
              </w:rPr>
              <w:t xml:space="preserve">4 h±10 </w:t>
            </w:r>
            <w:r>
              <w:rPr>
                <w:rFonts w:hint="eastAsia" w:ascii="宋体" w:hAnsi="宋体" w:cs="宋体"/>
                <w:kern w:val="0"/>
                <w:sz w:val="18"/>
                <w:szCs w:val="18"/>
                <w:lang w:val="zh-TW" w:eastAsia="zh-TW"/>
              </w:rPr>
              <w:t>min</w:t>
            </w:r>
          </w:p>
        </w:tc>
        <w:tc>
          <w:tcPr>
            <w:tcW w:w="1864" w:type="dxa"/>
            <w:tcBorders>
              <w:tl2br w:val="nil"/>
              <w:tr2bl w:val="nil"/>
            </w:tcBorders>
            <w:vAlign w:val="center"/>
          </w:tcPr>
          <w:p w14:paraId="122F7C2B">
            <w:pPr>
              <w:spacing w:line="240" w:lineRule="auto"/>
              <w:jc w:val="center"/>
              <w:rPr>
                <w:rFonts w:hint="eastAsia" w:ascii="宋体" w:hAnsi="宋体" w:cs="宋体"/>
                <w:kern w:val="0"/>
                <w:sz w:val="18"/>
                <w:szCs w:val="18"/>
                <w:lang w:val="zh-TW" w:eastAsia="zh-TW"/>
              </w:rPr>
            </w:pPr>
            <w:r>
              <w:rPr>
                <w:rFonts w:hint="eastAsia" w:ascii="宋体" w:hAnsi="宋体" w:cs="宋体"/>
                <w:kern w:val="0"/>
                <w:sz w:val="18"/>
                <w:szCs w:val="18"/>
                <w:lang w:val="zh-TW" w:eastAsia="zh-TW"/>
              </w:rPr>
              <w:t>适用</w:t>
            </w:r>
          </w:p>
        </w:tc>
      </w:tr>
      <w:tr w14:paraId="0570BD5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87" w:hRule="atLeast"/>
          <w:jc w:val="center"/>
        </w:trPr>
        <w:tc>
          <w:tcPr>
            <w:tcW w:w="1863" w:type="dxa"/>
            <w:tcBorders>
              <w:tl2br w:val="nil"/>
              <w:tr2bl w:val="nil"/>
            </w:tcBorders>
            <w:vAlign w:val="center"/>
          </w:tcPr>
          <w:p w14:paraId="2434884A">
            <w:pPr>
              <w:autoSpaceDE w:val="0"/>
              <w:autoSpaceDN w:val="0"/>
              <w:jc w:val="center"/>
              <w:rPr>
                <w:rFonts w:hint="eastAsia" w:ascii="宋体" w:hAnsi="宋体" w:cs="宋体"/>
                <w:sz w:val="18"/>
                <w:szCs w:val="18"/>
              </w:rPr>
            </w:pPr>
            <w:r>
              <w:rPr>
                <w:rFonts w:hint="eastAsia" w:ascii="宋体" w:hAnsi="宋体" w:cs="宋体"/>
                <w:sz w:val="18"/>
                <w:szCs w:val="18"/>
              </w:rPr>
              <w:t>C</w:t>
            </w:r>
          </w:p>
        </w:tc>
        <w:tc>
          <w:tcPr>
            <w:tcW w:w="1864" w:type="dxa"/>
            <w:tcBorders>
              <w:tl2br w:val="nil"/>
              <w:tr2bl w:val="nil"/>
            </w:tcBorders>
            <w:vAlign w:val="center"/>
          </w:tcPr>
          <w:p w14:paraId="0E5D385B">
            <w:pPr>
              <w:spacing w:line="240" w:lineRule="auto"/>
              <w:jc w:val="center"/>
              <w:rPr>
                <w:rFonts w:hint="eastAsia" w:ascii="宋体" w:hAnsi="宋体" w:cs="宋体"/>
                <w:kern w:val="0"/>
                <w:sz w:val="18"/>
                <w:szCs w:val="18"/>
                <w:lang w:val="zh-TW" w:eastAsia="zh-TW"/>
              </w:rPr>
            </w:pPr>
            <w:r>
              <w:rPr>
                <w:rFonts w:hint="eastAsia" w:ascii="宋体" w:hAnsi="宋体" w:cs="宋体"/>
                <w:kern w:val="0"/>
                <w:sz w:val="18"/>
                <w:szCs w:val="18"/>
                <w:lang w:val="zh-TW" w:eastAsia="zh-TW"/>
              </w:rPr>
              <w:t>蒸汽老化</w:t>
            </w:r>
          </w:p>
        </w:tc>
        <w:tc>
          <w:tcPr>
            <w:tcW w:w="1864" w:type="dxa"/>
            <w:tcBorders>
              <w:tl2br w:val="nil"/>
              <w:tr2bl w:val="nil"/>
            </w:tcBorders>
            <w:vAlign w:val="center"/>
          </w:tcPr>
          <w:p w14:paraId="2947BAC0">
            <w:pPr>
              <w:spacing w:line="240" w:lineRule="auto"/>
              <w:jc w:val="center"/>
              <w:rPr>
                <w:rFonts w:hint="eastAsia" w:ascii="宋体" w:hAnsi="宋体" w:cs="宋体"/>
                <w:sz w:val="18"/>
                <w:szCs w:val="18"/>
                <w:lang w:val="zh-TW" w:eastAsia="zh-TW"/>
              </w:rPr>
            </w:pPr>
            <w:r>
              <w:rPr>
                <w:rFonts w:hint="eastAsia" w:ascii="宋体" w:hAnsi="宋体" w:cs="宋体"/>
                <w:sz w:val="18"/>
                <w:szCs w:val="18"/>
                <w:lang w:val="zh-TW" w:eastAsia="zh-TW"/>
              </w:rPr>
              <w:t>见表</w:t>
            </w:r>
            <w:r>
              <w:rPr>
                <w:rFonts w:hint="eastAsia" w:ascii="宋体" w:hAnsi="宋体" w:cs="宋体"/>
                <w:sz w:val="18"/>
                <w:szCs w:val="18"/>
              </w:rPr>
              <w:t>26</w:t>
            </w:r>
          </w:p>
        </w:tc>
        <w:tc>
          <w:tcPr>
            <w:tcW w:w="1864" w:type="dxa"/>
            <w:tcBorders>
              <w:tl2br w:val="nil"/>
              <w:tr2bl w:val="nil"/>
            </w:tcBorders>
            <w:vAlign w:val="center"/>
          </w:tcPr>
          <w:p w14:paraId="3FD41A5D">
            <w:pPr>
              <w:spacing w:line="240" w:lineRule="auto"/>
              <w:jc w:val="center"/>
              <w:rPr>
                <w:rFonts w:hint="eastAsia" w:ascii="宋体" w:hAnsi="宋体" w:cs="宋体"/>
                <w:kern w:val="0"/>
                <w:sz w:val="18"/>
                <w:szCs w:val="18"/>
              </w:rPr>
            </w:pPr>
            <w:r>
              <w:rPr>
                <w:rFonts w:hint="eastAsia" w:ascii="宋体" w:hAnsi="宋体" w:cs="宋体"/>
                <w:kern w:val="0"/>
                <w:sz w:val="18"/>
                <w:szCs w:val="18"/>
              </w:rPr>
              <w:t>8 h±1</w:t>
            </w:r>
            <w:r>
              <w:rPr>
                <w:rFonts w:hint="eastAsia" w:ascii="宋体" w:hAnsi="宋体" w:cs="宋体"/>
                <w:kern w:val="0"/>
                <w:sz w:val="18"/>
                <w:szCs w:val="18"/>
                <w:lang w:val="zh-TW" w:eastAsia="zh-TW"/>
              </w:rPr>
              <w:t>5</w:t>
            </w:r>
            <w:r>
              <w:rPr>
                <w:rFonts w:hint="eastAsia" w:ascii="宋体" w:hAnsi="宋体" w:cs="宋体"/>
                <w:kern w:val="0"/>
                <w:sz w:val="18"/>
                <w:szCs w:val="18"/>
              </w:rPr>
              <w:t xml:space="preserve"> </w:t>
            </w:r>
            <w:r>
              <w:rPr>
                <w:rFonts w:hint="eastAsia" w:ascii="宋体" w:hAnsi="宋体" w:cs="宋体"/>
                <w:kern w:val="0"/>
                <w:sz w:val="18"/>
                <w:szCs w:val="18"/>
                <w:lang w:val="zh-TW" w:eastAsia="zh-TW"/>
              </w:rPr>
              <w:t>min</w:t>
            </w:r>
          </w:p>
        </w:tc>
        <w:tc>
          <w:tcPr>
            <w:tcW w:w="1864" w:type="dxa"/>
            <w:tcBorders>
              <w:tl2br w:val="nil"/>
              <w:tr2bl w:val="nil"/>
            </w:tcBorders>
            <w:vAlign w:val="center"/>
          </w:tcPr>
          <w:p w14:paraId="4704279E">
            <w:pPr>
              <w:spacing w:line="240" w:lineRule="auto"/>
              <w:jc w:val="center"/>
              <w:rPr>
                <w:rFonts w:hint="eastAsia" w:ascii="宋体" w:hAnsi="宋体" w:cs="宋体"/>
                <w:kern w:val="0"/>
                <w:sz w:val="18"/>
                <w:szCs w:val="18"/>
                <w:lang w:val="zh-TW" w:eastAsia="zh-TW"/>
              </w:rPr>
            </w:pPr>
            <w:r>
              <w:rPr>
                <w:rFonts w:hint="eastAsia" w:ascii="宋体" w:hAnsi="宋体" w:cs="宋体"/>
                <w:kern w:val="0"/>
                <w:sz w:val="18"/>
                <w:szCs w:val="18"/>
                <w:lang w:val="zh-TW" w:eastAsia="zh-TW"/>
              </w:rPr>
              <w:t>适用</w:t>
            </w:r>
          </w:p>
        </w:tc>
      </w:tr>
      <w:tr w14:paraId="2256171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87" w:hRule="atLeast"/>
          <w:jc w:val="center"/>
        </w:trPr>
        <w:tc>
          <w:tcPr>
            <w:tcW w:w="1863" w:type="dxa"/>
            <w:tcBorders>
              <w:tl2br w:val="nil"/>
              <w:tr2bl w:val="nil"/>
            </w:tcBorders>
            <w:vAlign w:val="center"/>
          </w:tcPr>
          <w:p w14:paraId="511C0CB1">
            <w:pPr>
              <w:autoSpaceDE w:val="0"/>
              <w:autoSpaceDN w:val="0"/>
              <w:jc w:val="center"/>
              <w:rPr>
                <w:rFonts w:hint="eastAsia" w:ascii="宋体" w:hAnsi="宋体" w:cs="宋体"/>
                <w:sz w:val="18"/>
                <w:szCs w:val="18"/>
              </w:rPr>
            </w:pPr>
            <w:r>
              <w:rPr>
                <w:rFonts w:hint="eastAsia" w:ascii="宋体" w:hAnsi="宋体" w:cs="宋体"/>
                <w:sz w:val="18"/>
                <w:szCs w:val="18"/>
              </w:rPr>
              <w:t>D</w:t>
            </w:r>
          </w:p>
        </w:tc>
        <w:tc>
          <w:tcPr>
            <w:tcW w:w="1864" w:type="dxa"/>
            <w:tcBorders>
              <w:tl2br w:val="nil"/>
              <w:tr2bl w:val="nil"/>
            </w:tcBorders>
            <w:vAlign w:val="center"/>
          </w:tcPr>
          <w:p w14:paraId="3C1FBF96">
            <w:pPr>
              <w:spacing w:line="240" w:lineRule="auto"/>
              <w:jc w:val="center"/>
              <w:rPr>
                <w:rFonts w:hint="eastAsia" w:ascii="宋体" w:hAnsi="宋体" w:cs="宋体"/>
                <w:kern w:val="0"/>
                <w:sz w:val="18"/>
                <w:szCs w:val="18"/>
                <w:lang w:val="zh-TW" w:eastAsia="zh-TW"/>
              </w:rPr>
            </w:pPr>
            <w:r>
              <w:rPr>
                <w:rFonts w:hint="eastAsia" w:ascii="宋体" w:hAnsi="宋体" w:cs="宋体"/>
                <w:kern w:val="0"/>
                <w:sz w:val="18"/>
                <w:szCs w:val="18"/>
                <w:lang w:val="zh-TW" w:eastAsia="zh-TW"/>
              </w:rPr>
              <w:t>蒸汽老化</w:t>
            </w:r>
          </w:p>
        </w:tc>
        <w:tc>
          <w:tcPr>
            <w:tcW w:w="1864" w:type="dxa"/>
            <w:tcBorders>
              <w:tl2br w:val="nil"/>
              <w:tr2bl w:val="nil"/>
            </w:tcBorders>
            <w:vAlign w:val="center"/>
          </w:tcPr>
          <w:p w14:paraId="2905BCCD">
            <w:pPr>
              <w:spacing w:line="240" w:lineRule="auto"/>
              <w:jc w:val="center"/>
              <w:rPr>
                <w:rFonts w:hint="eastAsia" w:ascii="宋体" w:hAnsi="宋体" w:cs="宋体"/>
                <w:sz w:val="18"/>
                <w:szCs w:val="18"/>
                <w:lang w:val="zh-TW" w:eastAsia="zh-TW"/>
              </w:rPr>
            </w:pPr>
            <w:r>
              <w:rPr>
                <w:rFonts w:hint="eastAsia" w:ascii="宋体" w:hAnsi="宋体" w:cs="宋体"/>
                <w:sz w:val="18"/>
                <w:szCs w:val="18"/>
                <w:lang w:val="zh-TW" w:eastAsia="zh-TW"/>
              </w:rPr>
              <w:t>见表</w:t>
            </w:r>
            <w:r>
              <w:rPr>
                <w:rFonts w:hint="eastAsia" w:ascii="宋体" w:hAnsi="宋体" w:cs="宋体"/>
                <w:sz w:val="18"/>
                <w:szCs w:val="18"/>
              </w:rPr>
              <w:t>26</w:t>
            </w:r>
          </w:p>
        </w:tc>
        <w:tc>
          <w:tcPr>
            <w:tcW w:w="1864" w:type="dxa"/>
            <w:tcBorders>
              <w:tl2br w:val="nil"/>
              <w:tr2bl w:val="nil"/>
            </w:tcBorders>
            <w:vAlign w:val="center"/>
          </w:tcPr>
          <w:p w14:paraId="5C28E01C">
            <w:pPr>
              <w:spacing w:line="240" w:lineRule="auto"/>
              <w:jc w:val="center"/>
              <w:rPr>
                <w:rFonts w:hint="eastAsia" w:ascii="宋体" w:hAnsi="宋体" w:cs="宋体"/>
                <w:kern w:val="0"/>
                <w:sz w:val="18"/>
                <w:szCs w:val="18"/>
              </w:rPr>
            </w:pPr>
            <w:r>
              <w:rPr>
                <w:rFonts w:hint="eastAsia" w:ascii="宋体" w:hAnsi="宋体" w:cs="宋体"/>
                <w:kern w:val="0"/>
                <w:sz w:val="18"/>
                <w:szCs w:val="18"/>
              </w:rPr>
              <w:t xml:space="preserve">16 h±30 </w:t>
            </w:r>
            <w:r>
              <w:rPr>
                <w:rFonts w:hint="eastAsia" w:ascii="宋体" w:hAnsi="宋体" w:cs="宋体"/>
                <w:kern w:val="0"/>
                <w:sz w:val="18"/>
                <w:szCs w:val="18"/>
                <w:lang w:val="zh-TW" w:eastAsia="zh-TW"/>
              </w:rPr>
              <w:t>min</w:t>
            </w:r>
          </w:p>
        </w:tc>
        <w:tc>
          <w:tcPr>
            <w:tcW w:w="1864" w:type="dxa"/>
            <w:tcBorders>
              <w:tl2br w:val="nil"/>
              <w:tr2bl w:val="nil"/>
            </w:tcBorders>
            <w:vAlign w:val="center"/>
          </w:tcPr>
          <w:p w14:paraId="272A71A2">
            <w:pPr>
              <w:spacing w:line="240" w:lineRule="auto"/>
              <w:jc w:val="center"/>
              <w:rPr>
                <w:rFonts w:hint="eastAsia" w:ascii="宋体" w:hAnsi="宋体" w:cs="宋体"/>
                <w:kern w:val="0"/>
                <w:sz w:val="18"/>
                <w:szCs w:val="18"/>
                <w:lang w:val="zh-TW" w:eastAsia="zh-TW"/>
              </w:rPr>
            </w:pPr>
            <w:r>
              <w:rPr>
                <w:rFonts w:hint="eastAsia" w:ascii="宋体" w:hAnsi="宋体" w:cs="宋体"/>
                <w:kern w:val="0"/>
                <w:sz w:val="18"/>
                <w:szCs w:val="18"/>
                <w:lang w:val="zh-TW" w:eastAsia="zh-TW"/>
              </w:rPr>
              <w:t>适用</w:t>
            </w:r>
          </w:p>
        </w:tc>
      </w:tr>
      <w:tr w14:paraId="21D79FE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422" w:hRule="atLeast"/>
          <w:jc w:val="center"/>
        </w:trPr>
        <w:tc>
          <w:tcPr>
            <w:tcW w:w="1863" w:type="dxa"/>
            <w:tcBorders>
              <w:tl2br w:val="nil"/>
              <w:tr2bl w:val="nil"/>
            </w:tcBorders>
            <w:vAlign w:val="center"/>
          </w:tcPr>
          <w:p w14:paraId="5BBF9807">
            <w:pPr>
              <w:autoSpaceDE w:val="0"/>
              <w:autoSpaceDN w:val="0"/>
              <w:jc w:val="center"/>
              <w:rPr>
                <w:rFonts w:hint="eastAsia" w:ascii="宋体" w:hAnsi="宋体" w:cs="宋体"/>
                <w:sz w:val="18"/>
                <w:szCs w:val="18"/>
              </w:rPr>
            </w:pPr>
            <w:r>
              <w:rPr>
                <w:rFonts w:hint="eastAsia" w:ascii="宋体" w:hAnsi="宋体" w:cs="宋体"/>
                <w:sz w:val="18"/>
                <w:szCs w:val="18"/>
              </w:rPr>
              <w:t>E</w:t>
            </w:r>
          </w:p>
        </w:tc>
        <w:tc>
          <w:tcPr>
            <w:tcW w:w="1864" w:type="dxa"/>
            <w:tcBorders>
              <w:tl2br w:val="nil"/>
              <w:tr2bl w:val="nil"/>
            </w:tcBorders>
            <w:vAlign w:val="center"/>
          </w:tcPr>
          <w:p w14:paraId="60382EDD">
            <w:pPr>
              <w:autoSpaceDE w:val="0"/>
              <w:autoSpaceDN w:val="0"/>
              <w:jc w:val="center"/>
              <w:rPr>
                <w:rFonts w:hint="eastAsia" w:ascii="宋体" w:hAnsi="宋体" w:cs="宋体"/>
                <w:kern w:val="0"/>
                <w:sz w:val="18"/>
                <w:szCs w:val="18"/>
                <w:lang w:val="zh-TW" w:eastAsia="zh-TW"/>
              </w:rPr>
            </w:pPr>
            <w:r>
              <w:rPr>
                <w:rFonts w:hint="eastAsia" w:ascii="宋体" w:hAnsi="宋体" w:cs="宋体"/>
                <w:sz w:val="18"/>
                <w:szCs w:val="18"/>
                <w:lang w:val="zh-TW" w:eastAsia="zh-TW"/>
              </w:rPr>
              <w:t>高温烘烤</w:t>
            </w:r>
          </w:p>
        </w:tc>
        <w:tc>
          <w:tcPr>
            <w:tcW w:w="1864" w:type="dxa"/>
            <w:tcBorders>
              <w:tl2br w:val="nil"/>
              <w:tr2bl w:val="nil"/>
            </w:tcBorders>
            <w:vAlign w:val="center"/>
          </w:tcPr>
          <w:p w14:paraId="666ACAD2">
            <w:pPr>
              <w:autoSpaceDE w:val="0"/>
              <w:autoSpaceDN w:val="0"/>
              <w:jc w:val="center"/>
              <w:rPr>
                <w:rFonts w:hint="eastAsia" w:ascii="宋体" w:hAnsi="宋体" w:cs="宋体"/>
                <w:sz w:val="18"/>
                <w:szCs w:val="18"/>
                <w:lang w:val="zh-TW" w:eastAsia="zh-TW"/>
              </w:rPr>
            </w:pPr>
            <w:r>
              <w:rPr>
                <w:rFonts w:hint="eastAsia" w:ascii="宋体" w:hAnsi="宋体" w:cs="宋体"/>
                <w:sz w:val="18"/>
                <w:szCs w:val="18"/>
                <w:lang w:val="zh-TW" w:eastAsia="zh-TW"/>
              </w:rPr>
              <w:t>155</w:t>
            </w:r>
            <w:r>
              <w:rPr>
                <w:rFonts w:hint="eastAsia" w:ascii="宋体" w:hAnsi="宋体" w:cs="宋体"/>
                <w:sz w:val="18"/>
                <w:szCs w:val="18"/>
              </w:rPr>
              <w:t xml:space="preserve"> </w:t>
            </w:r>
            <w:r>
              <w:rPr>
                <w:rFonts w:hint="eastAsia" w:ascii="宋体" w:hAnsi="宋体" w:cs="宋体"/>
                <w:sz w:val="18"/>
                <w:szCs w:val="18"/>
                <w:lang w:val="zh-TW" w:eastAsia="zh-TW"/>
              </w:rPr>
              <w:t>℃</w:t>
            </w:r>
          </w:p>
        </w:tc>
        <w:tc>
          <w:tcPr>
            <w:tcW w:w="1864" w:type="dxa"/>
            <w:tcBorders>
              <w:tl2br w:val="nil"/>
              <w:tr2bl w:val="nil"/>
            </w:tcBorders>
            <w:vAlign w:val="center"/>
          </w:tcPr>
          <w:p w14:paraId="29F3C1C4">
            <w:pPr>
              <w:autoSpaceDE w:val="0"/>
              <w:autoSpaceDN w:val="0"/>
              <w:jc w:val="center"/>
              <w:rPr>
                <w:rFonts w:hint="eastAsia" w:ascii="宋体" w:hAnsi="宋体" w:cs="宋体"/>
                <w:kern w:val="0"/>
                <w:sz w:val="18"/>
                <w:szCs w:val="18"/>
              </w:rPr>
            </w:pPr>
            <w:r>
              <w:rPr>
                <w:rFonts w:hint="eastAsia" w:ascii="宋体" w:hAnsi="宋体" w:cs="宋体"/>
                <w:sz w:val="18"/>
                <w:szCs w:val="18"/>
              </w:rPr>
              <w:t xml:space="preserve">4 h±15 </w:t>
            </w:r>
            <w:r>
              <w:rPr>
                <w:rFonts w:hint="eastAsia" w:ascii="宋体" w:hAnsi="宋体" w:cs="宋体"/>
                <w:sz w:val="18"/>
                <w:szCs w:val="18"/>
                <w:lang w:val="zh-TW" w:eastAsia="zh-TW"/>
              </w:rPr>
              <w:t>min</w:t>
            </w:r>
          </w:p>
        </w:tc>
        <w:tc>
          <w:tcPr>
            <w:tcW w:w="1864" w:type="dxa"/>
            <w:tcBorders>
              <w:tl2br w:val="nil"/>
              <w:tr2bl w:val="nil"/>
            </w:tcBorders>
            <w:vAlign w:val="center"/>
          </w:tcPr>
          <w:p w14:paraId="075D5020">
            <w:pPr>
              <w:autoSpaceDE w:val="0"/>
              <w:autoSpaceDN w:val="0"/>
              <w:jc w:val="center"/>
              <w:rPr>
                <w:rFonts w:hint="eastAsia" w:ascii="宋体" w:hAnsi="宋体" w:cs="宋体"/>
                <w:kern w:val="0"/>
                <w:sz w:val="18"/>
                <w:szCs w:val="18"/>
                <w:lang w:val="zh-TW" w:eastAsia="zh-TW"/>
              </w:rPr>
            </w:pPr>
            <w:r>
              <w:rPr>
                <w:rFonts w:hint="eastAsia" w:ascii="宋体" w:hAnsi="宋体" w:cs="宋体"/>
                <w:sz w:val="18"/>
                <w:szCs w:val="18"/>
                <w:lang w:val="zh-TW" w:eastAsia="zh-TW"/>
              </w:rPr>
              <w:t>默认选用</w:t>
            </w:r>
          </w:p>
        </w:tc>
      </w:tr>
    </w:tbl>
    <w:p w14:paraId="681D8D25">
      <w:pPr>
        <w:adjustRightInd/>
        <w:spacing w:before="120" w:beforeLines="50" w:after="120" w:afterLines="50" w:line="240" w:lineRule="auto"/>
        <w:jc w:val="center"/>
        <w:rPr>
          <w:rFonts w:hint="eastAsia" w:ascii="黑体" w:hAnsi="黑体" w:eastAsia="黑体" w:cs="黑体"/>
        </w:rPr>
      </w:pPr>
    </w:p>
    <w:p w14:paraId="157748FF">
      <w:pPr>
        <w:pStyle w:val="2"/>
        <w:rPr>
          <w:rFonts w:hint="eastAsia"/>
        </w:rPr>
      </w:pPr>
    </w:p>
    <w:p w14:paraId="50BCC1CC">
      <w:pPr>
        <w:adjustRightInd/>
        <w:spacing w:before="120" w:beforeLines="50" w:after="120" w:afterLines="50" w:line="240" w:lineRule="auto"/>
        <w:jc w:val="center"/>
        <w:rPr>
          <w:rFonts w:hint="eastAsia" w:ascii="黑体" w:hAnsi="黑体" w:eastAsia="黑体" w:cs="黑体"/>
        </w:rPr>
      </w:pPr>
      <w:r>
        <w:rPr>
          <w:rFonts w:hint="eastAsia" w:ascii="黑体" w:hAnsi="黑体" w:eastAsia="黑体" w:cs="黑体"/>
        </w:rPr>
        <w:t>表 30  蒸汽温度</w:t>
      </w:r>
    </w:p>
    <w:tbl>
      <w:tblPr>
        <w:tblStyle w:val="29"/>
        <w:tblW w:w="937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3123"/>
        <w:gridCol w:w="3128"/>
        <w:gridCol w:w="3128"/>
      </w:tblGrid>
      <w:tr w14:paraId="5BE8663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76" w:hRule="atLeast"/>
          <w:jc w:val="center"/>
        </w:trPr>
        <w:tc>
          <w:tcPr>
            <w:tcW w:w="3123" w:type="dxa"/>
            <w:tcBorders>
              <w:tl2br w:val="nil"/>
              <w:tr2bl w:val="nil"/>
            </w:tcBorders>
            <w:vAlign w:val="center"/>
          </w:tcPr>
          <w:p w14:paraId="74638486">
            <w:pPr>
              <w:autoSpaceDE w:val="0"/>
              <w:autoSpaceDN w:val="0"/>
              <w:spacing w:line="240" w:lineRule="auto"/>
              <w:jc w:val="center"/>
              <w:rPr>
                <w:rFonts w:hint="eastAsia" w:ascii="宋体" w:hAnsi="宋体" w:cs="宋体"/>
                <w:sz w:val="18"/>
                <w:szCs w:val="18"/>
                <w:lang w:val="zh-TW" w:eastAsia="zh-TW"/>
              </w:rPr>
            </w:pPr>
            <w:r>
              <w:rPr>
                <w:rFonts w:hint="eastAsia" w:ascii="宋体" w:hAnsi="宋体" w:cs="宋体"/>
                <w:sz w:val="18"/>
                <w:szCs w:val="18"/>
                <w:lang w:val="zh-TW" w:eastAsia="zh-TW"/>
              </w:rPr>
              <w:t>海拔高度</w:t>
            </w:r>
          </w:p>
          <w:p w14:paraId="28E00B95">
            <w:pPr>
              <w:autoSpaceDE w:val="0"/>
              <w:autoSpaceDN w:val="0"/>
              <w:spacing w:line="240" w:lineRule="auto"/>
              <w:jc w:val="center"/>
              <w:rPr>
                <w:rFonts w:hint="eastAsia" w:ascii="宋体" w:hAnsi="宋体" w:cs="宋体"/>
                <w:sz w:val="18"/>
                <w:szCs w:val="18"/>
                <w:lang w:val="zh-TW" w:eastAsia="zh-TW"/>
              </w:rPr>
            </w:pPr>
            <w:r>
              <w:rPr>
                <w:rFonts w:hint="eastAsia" w:ascii="宋体" w:hAnsi="宋体" w:cs="宋体"/>
                <w:sz w:val="18"/>
                <w:szCs w:val="18"/>
              </w:rPr>
              <w:t>m</w:t>
            </w:r>
          </w:p>
        </w:tc>
        <w:tc>
          <w:tcPr>
            <w:tcW w:w="3128" w:type="dxa"/>
            <w:tcBorders>
              <w:tl2br w:val="nil"/>
              <w:tr2bl w:val="nil"/>
            </w:tcBorders>
            <w:vAlign w:val="center"/>
          </w:tcPr>
          <w:p w14:paraId="36291332">
            <w:pPr>
              <w:autoSpaceDE w:val="0"/>
              <w:autoSpaceDN w:val="0"/>
              <w:spacing w:line="240" w:lineRule="auto"/>
              <w:jc w:val="center"/>
              <w:rPr>
                <w:rFonts w:hint="eastAsia" w:ascii="宋体" w:hAnsi="宋体" w:cs="宋体"/>
                <w:sz w:val="18"/>
                <w:szCs w:val="18"/>
                <w:lang w:val="zh-TW" w:eastAsia="zh-TW"/>
              </w:rPr>
            </w:pPr>
            <w:r>
              <w:rPr>
                <w:rFonts w:hint="eastAsia" w:ascii="宋体" w:hAnsi="宋体" w:cs="宋体"/>
                <w:sz w:val="18"/>
                <w:szCs w:val="18"/>
                <w:lang w:val="zh-TW" w:eastAsia="zh-TW"/>
              </w:rPr>
              <w:t>平均沸点</w:t>
            </w:r>
          </w:p>
          <w:p w14:paraId="60D22441">
            <w:pPr>
              <w:autoSpaceDE w:val="0"/>
              <w:autoSpaceDN w:val="0"/>
              <w:spacing w:line="240" w:lineRule="auto"/>
              <w:jc w:val="center"/>
              <w:rPr>
                <w:rFonts w:hint="eastAsia" w:ascii="宋体" w:hAnsi="宋体" w:cs="宋体"/>
                <w:sz w:val="18"/>
                <w:szCs w:val="18"/>
                <w:lang w:val="zh-TW" w:eastAsia="zh-TW"/>
              </w:rPr>
            </w:pPr>
            <w:r>
              <w:rPr>
                <w:rFonts w:hint="eastAsia" w:ascii="宋体" w:hAnsi="宋体" w:cs="宋体"/>
                <w:sz w:val="18"/>
                <w:szCs w:val="18"/>
              </w:rPr>
              <w:t>℃</w:t>
            </w:r>
          </w:p>
        </w:tc>
        <w:tc>
          <w:tcPr>
            <w:tcW w:w="3128" w:type="dxa"/>
            <w:tcBorders>
              <w:tl2br w:val="nil"/>
              <w:tr2bl w:val="nil"/>
            </w:tcBorders>
            <w:vAlign w:val="center"/>
          </w:tcPr>
          <w:p w14:paraId="78C5A934">
            <w:pPr>
              <w:autoSpaceDE w:val="0"/>
              <w:autoSpaceDN w:val="0"/>
              <w:spacing w:line="240" w:lineRule="auto"/>
              <w:jc w:val="center"/>
              <w:rPr>
                <w:rFonts w:hint="eastAsia" w:ascii="宋体" w:hAnsi="宋体" w:cs="宋体"/>
                <w:sz w:val="18"/>
                <w:szCs w:val="18"/>
                <w:lang w:val="zh-TW" w:eastAsia="zh-TW"/>
              </w:rPr>
            </w:pPr>
            <w:r>
              <w:rPr>
                <w:rFonts w:hint="eastAsia" w:ascii="宋体" w:hAnsi="宋体" w:cs="宋体"/>
                <w:sz w:val="18"/>
                <w:szCs w:val="18"/>
                <w:lang w:val="zh-TW" w:eastAsia="zh-TW"/>
              </w:rPr>
              <w:t>蒸汽温度范围</w:t>
            </w:r>
          </w:p>
          <w:p w14:paraId="51F916B1">
            <w:pPr>
              <w:autoSpaceDE w:val="0"/>
              <w:autoSpaceDN w:val="0"/>
              <w:spacing w:line="240" w:lineRule="auto"/>
              <w:jc w:val="center"/>
              <w:rPr>
                <w:rFonts w:hint="eastAsia" w:ascii="宋体" w:hAnsi="宋体" w:cs="宋体"/>
                <w:sz w:val="18"/>
                <w:szCs w:val="18"/>
                <w:lang w:val="zh-TW" w:eastAsia="zh-TW"/>
              </w:rPr>
            </w:pPr>
            <w:r>
              <w:rPr>
                <w:rFonts w:hint="eastAsia" w:ascii="宋体" w:hAnsi="宋体" w:cs="宋体"/>
                <w:sz w:val="18"/>
                <w:szCs w:val="18"/>
              </w:rPr>
              <w:t>℃</w:t>
            </w:r>
          </w:p>
        </w:tc>
      </w:tr>
      <w:tr w14:paraId="294761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123" w:type="dxa"/>
            <w:tcBorders>
              <w:tl2br w:val="nil"/>
              <w:tr2bl w:val="nil"/>
            </w:tcBorders>
            <w:vAlign w:val="center"/>
          </w:tcPr>
          <w:p w14:paraId="7DA6CEC8">
            <w:pPr>
              <w:autoSpaceDE w:val="0"/>
              <w:autoSpaceDN w:val="0"/>
              <w:jc w:val="center"/>
              <w:rPr>
                <w:rFonts w:hint="eastAsia" w:ascii="宋体" w:hAnsi="宋体" w:cs="宋体"/>
                <w:sz w:val="18"/>
                <w:szCs w:val="18"/>
                <w:lang w:val="zh-TW" w:eastAsia="zh-TW"/>
              </w:rPr>
            </w:pPr>
            <w:r>
              <w:rPr>
                <w:rFonts w:hint="eastAsia" w:ascii="宋体" w:hAnsi="宋体" w:cs="宋体"/>
                <w:sz w:val="18"/>
                <w:szCs w:val="18"/>
              </w:rPr>
              <w:t>0～305</w:t>
            </w:r>
          </w:p>
        </w:tc>
        <w:tc>
          <w:tcPr>
            <w:tcW w:w="3128" w:type="dxa"/>
            <w:tcBorders>
              <w:tl2br w:val="nil"/>
              <w:tr2bl w:val="nil"/>
            </w:tcBorders>
            <w:vAlign w:val="center"/>
          </w:tcPr>
          <w:p w14:paraId="0357B756">
            <w:pPr>
              <w:autoSpaceDE w:val="0"/>
              <w:autoSpaceDN w:val="0"/>
              <w:jc w:val="center"/>
              <w:rPr>
                <w:rFonts w:hint="eastAsia" w:ascii="宋体" w:hAnsi="宋体" w:cs="宋体"/>
                <w:sz w:val="18"/>
                <w:szCs w:val="18"/>
                <w:lang w:val="zh-TW" w:eastAsia="zh-TW"/>
              </w:rPr>
            </w:pPr>
            <w:r>
              <w:rPr>
                <w:rFonts w:hint="eastAsia" w:ascii="宋体" w:hAnsi="宋体" w:cs="宋体"/>
                <w:sz w:val="18"/>
                <w:szCs w:val="18"/>
              </w:rPr>
              <w:t>100</w:t>
            </w:r>
          </w:p>
        </w:tc>
        <w:tc>
          <w:tcPr>
            <w:tcW w:w="3128" w:type="dxa"/>
            <w:tcBorders>
              <w:tl2br w:val="nil"/>
              <w:tr2bl w:val="nil"/>
            </w:tcBorders>
            <w:vAlign w:val="center"/>
          </w:tcPr>
          <w:p w14:paraId="57210847">
            <w:pPr>
              <w:autoSpaceDE w:val="0"/>
              <w:autoSpaceDN w:val="0"/>
              <w:jc w:val="center"/>
              <w:rPr>
                <w:rFonts w:hint="eastAsia" w:ascii="宋体" w:hAnsi="宋体" w:cs="宋体"/>
                <w:sz w:val="18"/>
                <w:szCs w:val="18"/>
                <w:lang w:val="zh-TW" w:eastAsia="zh-TW"/>
              </w:rPr>
            </w:pPr>
            <w:r>
              <w:rPr>
                <w:rFonts w:hint="eastAsia" w:ascii="宋体" w:hAnsi="宋体" w:cs="宋体"/>
                <w:sz w:val="18"/>
                <w:szCs w:val="18"/>
              </w:rPr>
              <w:t>93±3</w:t>
            </w:r>
          </w:p>
        </w:tc>
      </w:tr>
      <w:tr w14:paraId="70B78E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123" w:type="dxa"/>
            <w:tcBorders>
              <w:tl2br w:val="nil"/>
              <w:tr2bl w:val="nil"/>
            </w:tcBorders>
            <w:vAlign w:val="center"/>
          </w:tcPr>
          <w:p w14:paraId="3280301F">
            <w:pPr>
              <w:autoSpaceDE w:val="0"/>
              <w:autoSpaceDN w:val="0"/>
              <w:jc w:val="center"/>
              <w:rPr>
                <w:rFonts w:hint="eastAsia" w:ascii="宋体" w:hAnsi="宋体" w:cs="宋体"/>
                <w:sz w:val="18"/>
                <w:szCs w:val="18"/>
                <w:lang w:val="zh-TW" w:eastAsia="zh-TW"/>
              </w:rPr>
            </w:pPr>
            <w:r>
              <w:rPr>
                <w:rFonts w:hint="eastAsia" w:ascii="宋体" w:hAnsi="宋体" w:cs="宋体"/>
                <w:sz w:val="18"/>
                <w:szCs w:val="18"/>
              </w:rPr>
              <w:t>305～610</w:t>
            </w:r>
          </w:p>
        </w:tc>
        <w:tc>
          <w:tcPr>
            <w:tcW w:w="3128" w:type="dxa"/>
            <w:tcBorders>
              <w:tl2br w:val="nil"/>
              <w:tr2bl w:val="nil"/>
            </w:tcBorders>
            <w:vAlign w:val="center"/>
          </w:tcPr>
          <w:p w14:paraId="7AC2DAA4">
            <w:pPr>
              <w:autoSpaceDE w:val="0"/>
              <w:autoSpaceDN w:val="0"/>
              <w:jc w:val="center"/>
              <w:rPr>
                <w:rFonts w:hint="eastAsia" w:ascii="宋体" w:hAnsi="宋体" w:cs="宋体"/>
                <w:sz w:val="18"/>
                <w:szCs w:val="18"/>
                <w:lang w:val="zh-TW" w:eastAsia="zh-TW"/>
              </w:rPr>
            </w:pPr>
            <w:r>
              <w:rPr>
                <w:rFonts w:hint="eastAsia" w:ascii="宋体" w:hAnsi="宋体" w:cs="宋体"/>
                <w:sz w:val="18"/>
                <w:szCs w:val="18"/>
              </w:rPr>
              <w:t>99</w:t>
            </w:r>
          </w:p>
        </w:tc>
        <w:tc>
          <w:tcPr>
            <w:tcW w:w="3128" w:type="dxa"/>
            <w:tcBorders>
              <w:tl2br w:val="nil"/>
              <w:tr2bl w:val="nil"/>
            </w:tcBorders>
            <w:vAlign w:val="center"/>
          </w:tcPr>
          <w:p w14:paraId="204ACD6D">
            <w:pPr>
              <w:autoSpaceDE w:val="0"/>
              <w:autoSpaceDN w:val="0"/>
              <w:jc w:val="center"/>
              <w:rPr>
                <w:rFonts w:hint="eastAsia" w:ascii="宋体" w:hAnsi="宋体" w:cs="宋体"/>
                <w:sz w:val="18"/>
                <w:szCs w:val="18"/>
                <w:lang w:val="zh-TW" w:eastAsia="zh-TW"/>
              </w:rPr>
            </w:pPr>
            <w:r>
              <w:rPr>
                <w:rFonts w:hint="eastAsia" w:ascii="宋体" w:hAnsi="宋体" w:cs="宋体"/>
                <w:sz w:val="18"/>
                <w:szCs w:val="18"/>
              </w:rPr>
              <w:t>92±3</w:t>
            </w:r>
          </w:p>
        </w:tc>
      </w:tr>
      <w:tr w14:paraId="41236EF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3123" w:type="dxa"/>
            <w:tcBorders>
              <w:tl2br w:val="nil"/>
              <w:tr2bl w:val="nil"/>
            </w:tcBorders>
            <w:vAlign w:val="center"/>
          </w:tcPr>
          <w:p w14:paraId="4CD78F9F">
            <w:pPr>
              <w:autoSpaceDE w:val="0"/>
              <w:autoSpaceDN w:val="0"/>
              <w:jc w:val="center"/>
              <w:rPr>
                <w:rFonts w:hint="eastAsia" w:ascii="宋体" w:hAnsi="宋体" w:cs="宋体"/>
                <w:sz w:val="18"/>
                <w:szCs w:val="18"/>
                <w:lang w:val="zh-TW" w:eastAsia="zh-TW"/>
              </w:rPr>
            </w:pPr>
            <w:r>
              <w:rPr>
                <w:rFonts w:hint="eastAsia" w:ascii="宋体" w:hAnsi="宋体" w:cs="宋体"/>
                <w:sz w:val="18"/>
                <w:szCs w:val="18"/>
              </w:rPr>
              <w:t>610～914</w:t>
            </w:r>
          </w:p>
        </w:tc>
        <w:tc>
          <w:tcPr>
            <w:tcW w:w="3128" w:type="dxa"/>
            <w:tcBorders>
              <w:tl2br w:val="nil"/>
              <w:tr2bl w:val="nil"/>
            </w:tcBorders>
            <w:vAlign w:val="center"/>
          </w:tcPr>
          <w:p w14:paraId="04ADB715">
            <w:pPr>
              <w:autoSpaceDE w:val="0"/>
              <w:autoSpaceDN w:val="0"/>
              <w:jc w:val="center"/>
              <w:rPr>
                <w:rFonts w:hint="eastAsia" w:ascii="宋体" w:hAnsi="宋体" w:cs="宋体"/>
                <w:sz w:val="18"/>
                <w:szCs w:val="18"/>
                <w:lang w:val="zh-TW" w:eastAsia="zh-TW"/>
              </w:rPr>
            </w:pPr>
            <w:r>
              <w:rPr>
                <w:rFonts w:hint="eastAsia" w:ascii="宋体" w:hAnsi="宋体" w:cs="宋体"/>
                <w:sz w:val="18"/>
                <w:szCs w:val="18"/>
              </w:rPr>
              <w:t>98</w:t>
            </w:r>
          </w:p>
        </w:tc>
        <w:tc>
          <w:tcPr>
            <w:tcW w:w="3128" w:type="dxa"/>
            <w:tcBorders>
              <w:tl2br w:val="nil"/>
              <w:tr2bl w:val="nil"/>
            </w:tcBorders>
            <w:vAlign w:val="center"/>
          </w:tcPr>
          <w:p w14:paraId="17555ED2">
            <w:pPr>
              <w:autoSpaceDE w:val="0"/>
              <w:autoSpaceDN w:val="0"/>
              <w:jc w:val="center"/>
              <w:rPr>
                <w:rFonts w:hint="eastAsia" w:ascii="宋体" w:hAnsi="宋体" w:cs="宋体"/>
                <w:sz w:val="18"/>
                <w:szCs w:val="18"/>
                <w:lang w:val="zh-TW" w:eastAsia="zh-TW"/>
              </w:rPr>
            </w:pPr>
            <w:r>
              <w:rPr>
                <w:rFonts w:hint="eastAsia" w:ascii="宋体" w:hAnsi="宋体" w:cs="宋体"/>
                <w:sz w:val="18"/>
                <w:szCs w:val="18"/>
              </w:rPr>
              <w:t>91±3</w:t>
            </w:r>
          </w:p>
        </w:tc>
      </w:tr>
      <w:tr w14:paraId="179805A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3123" w:type="dxa"/>
            <w:tcBorders>
              <w:tl2br w:val="nil"/>
              <w:tr2bl w:val="nil"/>
            </w:tcBorders>
            <w:vAlign w:val="center"/>
          </w:tcPr>
          <w:p w14:paraId="0765AB71">
            <w:pPr>
              <w:autoSpaceDE w:val="0"/>
              <w:autoSpaceDN w:val="0"/>
              <w:jc w:val="center"/>
              <w:rPr>
                <w:rFonts w:hint="eastAsia" w:ascii="宋体" w:hAnsi="宋体" w:cs="宋体"/>
                <w:sz w:val="18"/>
                <w:szCs w:val="18"/>
                <w:lang w:val="zh-TW" w:eastAsia="zh-TW"/>
              </w:rPr>
            </w:pPr>
            <w:r>
              <w:rPr>
                <w:rFonts w:hint="eastAsia" w:ascii="宋体" w:hAnsi="宋体" w:cs="宋体"/>
                <w:sz w:val="18"/>
                <w:szCs w:val="18"/>
              </w:rPr>
              <w:t>914～1219</w:t>
            </w:r>
          </w:p>
        </w:tc>
        <w:tc>
          <w:tcPr>
            <w:tcW w:w="3128" w:type="dxa"/>
            <w:tcBorders>
              <w:tl2br w:val="nil"/>
              <w:tr2bl w:val="nil"/>
            </w:tcBorders>
            <w:vAlign w:val="center"/>
          </w:tcPr>
          <w:p w14:paraId="626EC51F">
            <w:pPr>
              <w:autoSpaceDE w:val="0"/>
              <w:autoSpaceDN w:val="0"/>
              <w:jc w:val="center"/>
              <w:rPr>
                <w:rFonts w:hint="eastAsia" w:ascii="宋体" w:hAnsi="宋体" w:cs="宋体"/>
                <w:sz w:val="18"/>
                <w:szCs w:val="18"/>
                <w:lang w:val="zh-TW" w:eastAsia="zh-TW"/>
              </w:rPr>
            </w:pPr>
            <w:r>
              <w:rPr>
                <w:rFonts w:hint="eastAsia" w:ascii="宋体" w:hAnsi="宋体" w:cs="宋体"/>
                <w:sz w:val="18"/>
                <w:szCs w:val="18"/>
              </w:rPr>
              <w:t>97</w:t>
            </w:r>
          </w:p>
        </w:tc>
        <w:tc>
          <w:tcPr>
            <w:tcW w:w="3128" w:type="dxa"/>
            <w:tcBorders>
              <w:tl2br w:val="nil"/>
              <w:tr2bl w:val="nil"/>
            </w:tcBorders>
            <w:vAlign w:val="center"/>
          </w:tcPr>
          <w:p w14:paraId="4E8D2382">
            <w:pPr>
              <w:autoSpaceDE w:val="0"/>
              <w:autoSpaceDN w:val="0"/>
              <w:jc w:val="center"/>
              <w:rPr>
                <w:rFonts w:hint="eastAsia" w:ascii="宋体" w:hAnsi="宋体" w:cs="宋体"/>
                <w:sz w:val="18"/>
                <w:szCs w:val="18"/>
                <w:lang w:val="zh-TW" w:eastAsia="zh-TW"/>
              </w:rPr>
            </w:pPr>
            <w:r>
              <w:rPr>
                <w:rFonts w:hint="eastAsia" w:ascii="宋体" w:hAnsi="宋体" w:cs="宋体"/>
                <w:sz w:val="18"/>
                <w:szCs w:val="18"/>
              </w:rPr>
              <w:t>90±3</w:t>
            </w:r>
          </w:p>
        </w:tc>
      </w:tr>
      <w:tr w14:paraId="78E8A5D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3123" w:type="dxa"/>
            <w:tcBorders>
              <w:tl2br w:val="nil"/>
              <w:tr2bl w:val="nil"/>
            </w:tcBorders>
            <w:vAlign w:val="center"/>
          </w:tcPr>
          <w:p w14:paraId="3E1C84F8">
            <w:pPr>
              <w:autoSpaceDE w:val="0"/>
              <w:autoSpaceDN w:val="0"/>
              <w:jc w:val="center"/>
              <w:rPr>
                <w:rFonts w:hint="eastAsia" w:ascii="宋体" w:hAnsi="宋体" w:cs="宋体"/>
                <w:sz w:val="18"/>
                <w:szCs w:val="18"/>
                <w:lang w:val="zh-TW" w:eastAsia="zh-TW"/>
              </w:rPr>
            </w:pPr>
            <w:r>
              <w:rPr>
                <w:rFonts w:hint="eastAsia" w:ascii="宋体" w:hAnsi="宋体" w:cs="宋体"/>
                <w:sz w:val="18"/>
                <w:szCs w:val="18"/>
              </w:rPr>
              <w:t>1219～1524</w:t>
            </w:r>
          </w:p>
        </w:tc>
        <w:tc>
          <w:tcPr>
            <w:tcW w:w="3128" w:type="dxa"/>
            <w:tcBorders>
              <w:tl2br w:val="nil"/>
              <w:tr2bl w:val="nil"/>
            </w:tcBorders>
            <w:vAlign w:val="center"/>
          </w:tcPr>
          <w:p w14:paraId="6726009F">
            <w:pPr>
              <w:autoSpaceDE w:val="0"/>
              <w:autoSpaceDN w:val="0"/>
              <w:jc w:val="center"/>
              <w:rPr>
                <w:rFonts w:hint="eastAsia" w:ascii="宋体" w:hAnsi="宋体" w:cs="宋体"/>
                <w:sz w:val="18"/>
                <w:szCs w:val="18"/>
                <w:lang w:val="zh-TW" w:eastAsia="zh-TW"/>
              </w:rPr>
            </w:pPr>
            <w:r>
              <w:rPr>
                <w:rFonts w:hint="eastAsia" w:ascii="宋体" w:hAnsi="宋体" w:cs="宋体"/>
                <w:sz w:val="18"/>
                <w:szCs w:val="18"/>
              </w:rPr>
              <w:t>96</w:t>
            </w:r>
          </w:p>
        </w:tc>
        <w:tc>
          <w:tcPr>
            <w:tcW w:w="3128" w:type="dxa"/>
            <w:tcBorders>
              <w:tl2br w:val="nil"/>
              <w:tr2bl w:val="nil"/>
            </w:tcBorders>
            <w:vAlign w:val="center"/>
          </w:tcPr>
          <w:p w14:paraId="37F2CE7F">
            <w:pPr>
              <w:autoSpaceDE w:val="0"/>
              <w:autoSpaceDN w:val="0"/>
              <w:jc w:val="center"/>
              <w:rPr>
                <w:rFonts w:hint="eastAsia" w:ascii="宋体" w:hAnsi="宋体" w:cs="宋体"/>
                <w:sz w:val="18"/>
                <w:szCs w:val="18"/>
                <w:lang w:val="zh-TW" w:eastAsia="zh-TW"/>
              </w:rPr>
            </w:pPr>
            <w:r>
              <w:rPr>
                <w:rFonts w:hint="eastAsia" w:ascii="宋体" w:hAnsi="宋体" w:cs="宋体"/>
                <w:sz w:val="18"/>
                <w:szCs w:val="18"/>
              </w:rPr>
              <w:t>89±3</w:t>
            </w:r>
          </w:p>
        </w:tc>
      </w:tr>
      <w:tr w14:paraId="208C80A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3123" w:type="dxa"/>
            <w:tcBorders>
              <w:tl2br w:val="nil"/>
              <w:tr2bl w:val="nil"/>
            </w:tcBorders>
            <w:vAlign w:val="center"/>
          </w:tcPr>
          <w:p w14:paraId="102F22CB">
            <w:pPr>
              <w:autoSpaceDE w:val="0"/>
              <w:autoSpaceDN w:val="0"/>
              <w:jc w:val="center"/>
              <w:rPr>
                <w:rFonts w:hint="eastAsia" w:ascii="宋体" w:hAnsi="宋体" w:cs="宋体"/>
                <w:sz w:val="18"/>
                <w:szCs w:val="18"/>
                <w:lang w:val="zh-TW" w:eastAsia="zh-TW"/>
              </w:rPr>
            </w:pPr>
            <w:r>
              <w:rPr>
                <w:rFonts w:hint="eastAsia" w:ascii="宋体" w:hAnsi="宋体" w:cs="宋体"/>
                <w:sz w:val="18"/>
                <w:szCs w:val="18"/>
              </w:rPr>
              <w:t>1524～1829</w:t>
            </w:r>
          </w:p>
        </w:tc>
        <w:tc>
          <w:tcPr>
            <w:tcW w:w="3128" w:type="dxa"/>
            <w:tcBorders>
              <w:tl2br w:val="nil"/>
              <w:tr2bl w:val="nil"/>
            </w:tcBorders>
            <w:vAlign w:val="center"/>
          </w:tcPr>
          <w:p w14:paraId="7B56789E">
            <w:pPr>
              <w:autoSpaceDE w:val="0"/>
              <w:autoSpaceDN w:val="0"/>
              <w:jc w:val="center"/>
              <w:rPr>
                <w:rFonts w:hint="eastAsia" w:ascii="宋体" w:hAnsi="宋体" w:cs="宋体"/>
                <w:sz w:val="18"/>
                <w:szCs w:val="18"/>
                <w:lang w:val="zh-TW" w:eastAsia="zh-TW"/>
              </w:rPr>
            </w:pPr>
            <w:r>
              <w:rPr>
                <w:rFonts w:hint="eastAsia" w:ascii="宋体" w:hAnsi="宋体" w:cs="宋体"/>
                <w:sz w:val="18"/>
                <w:szCs w:val="18"/>
              </w:rPr>
              <w:t>95</w:t>
            </w:r>
          </w:p>
        </w:tc>
        <w:tc>
          <w:tcPr>
            <w:tcW w:w="3128" w:type="dxa"/>
            <w:tcBorders>
              <w:tl2br w:val="nil"/>
              <w:tr2bl w:val="nil"/>
            </w:tcBorders>
            <w:vAlign w:val="center"/>
          </w:tcPr>
          <w:p w14:paraId="3F5E526A">
            <w:pPr>
              <w:autoSpaceDE w:val="0"/>
              <w:autoSpaceDN w:val="0"/>
              <w:jc w:val="center"/>
              <w:rPr>
                <w:rFonts w:hint="eastAsia" w:ascii="宋体" w:hAnsi="宋体" w:cs="宋体"/>
                <w:sz w:val="18"/>
                <w:szCs w:val="18"/>
                <w:lang w:val="zh-TW" w:eastAsia="zh-TW"/>
              </w:rPr>
            </w:pPr>
            <w:r>
              <w:rPr>
                <w:rFonts w:hint="eastAsia" w:ascii="宋体" w:hAnsi="宋体" w:cs="宋体"/>
                <w:sz w:val="18"/>
                <w:szCs w:val="18"/>
              </w:rPr>
              <w:t>88±3</w:t>
            </w:r>
          </w:p>
        </w:tc>
      </w:tr>
    </w:tbl>
    <w:p w14:paraId="49305FD5">
      <w:pPr>
        <w:spacing w:before="84" w:beforeLines="35" w:line="240" w:lineRule="auto"/>
        <w:ind w:firstLine="420" w:firstLineChars="200"/>
        <w:rPr>
          <w:rFonts w:hint="eastAsia" w:ascii="宋体" w:hAnsi="宋体" w:cs="宋体"/>
          <w:lang w:val="zh-TW" w:eastAsia="zh-TW"/>
        </w:rPr>
      </w:pPr>
      <w:r>
        <w:rPr>
          <w:rFonts w:ascii="Times New Roman" w:hAnsi="Times New Roman"/>
          <w:lang w:val="zh-TW" w:eastAsia="zh-TW"/>
        </w:rPr>
        <w:t>试验时</w:t>
      </w:r>
      <w:r>
        <w:rPr>
          <w:rFonts w:hint="eastAsia" w:ascii="宋体" w:hAnsi="宋体" w:cs="宋体"/>
          <w:lang w:val="zh-TW" w:eastAsia="zh-TW"/>
        </w:rPr>
        <w:t>，应使用</w:t>
      </w:r>
      <w:r>
        <w:rPr>
          <w:rFonts w:hint="eastAsia" w:ascii="宋体" w:hAnsi="宋体" w:cs="宋体"/>
          <w:lang w:eastAsia="zh-TW"/>
        </w:rPr>
        <w:t>Sn96.5Ag3.0Cu0.5</w:t>
      </w:r>
      <w:r>
        <w:rPr>
          <w:rFonts w:hint="eastAsia" w:ascii="宋体" w:hAnsi="宋体" w:cs="宋体"/>
          <w:lang w:val="zh-TW" w:eastAsia="zh-TW"/>
        </w:rPr>
        <w:t>（</w:t>
      </w:r>
      <w:r>
        <w:rPr>
          <w:rFonts w:hint="eastAsia" w:ascii="宋体" w:hAnsi="宋体" w:cs="宋体"/>
          <w:lang w:eastAsia="zh-TW"/>
        </w:rPr>
        <w:t>SAC305</w:t>
      </w:r>
      <w:r>
        <w:rPr>
          <w:rFonts w:hint="eastAsia" w:ascii="宋体" w:hAnsi="宋体" w:cs="宋体"/>
          <w:lang w:val="zh-TW" w:eastAsia="zh-TW"/>
        </w:rPr>
        <w:t>）焊料，允许</w:t>
      </w:r>
      <w:r>
        <w:rPr>
          <w:rFonts w:hint="eastAsia" w:ascii="宋体" w:hAnsi="宋体" w:cs="宋体"/>
          <w:lang w:eastAsia="zh-TW"/>
        </w:rPr>
        <w:t>Ag</w:t>
      </w:r>
      <w:r>
        <w:rPr>
          <w:rFonts w:hint="eastAsia" w:ascii="宋体" w:hAnsi="宋体" w:cs="宋体"/>
          <w:lang w:val="zh-TW" w:eastAsia="zh-TW"/>
        </w:rPr>
        <w:t>含量在</w:t>
      </w:r>
      <w:r>
        <w:rPr>
          <w:rFonts w:hint="eastAsia" w:ascii="宋体" w:hAnsi="宋体" w:cs="宋体"/>
          <w:lang w:eastAsia="zh-TW"/>
        </w:rPr>
        <w:t>3.0</w:t>
      </w:r>
      <w:r>
        <w:rPr>
          <w:rFonts w:hint="eastAsia" w:ascii="宋体" w:hAnsi="宋体" w:cs="宋体"/>
        </w:rPr>
        <w:t xml:space="preserve"> </w:t>
      </w:r>
      <w:r>
        <w:rPr>
          <w:rFonts w:hint="eastAsia" w:ascii="宋体" w:hAnsi="宋体" w:cs="宋体"/>
          <w:lang w:eastAsia="zh-TW"/>
        </w:rPr>
        <w:t>wt%</w:t>
      </w:r>
      <w:r>
        <w:rPr>
          <w:rFonts w:hint="eastAsia" w:ascii="宋体" w:hAnsi="宋体" w:cs="宋体"/>
        </w:rPr>
        <w:t>～</w:t>
      </w:r>
      <w:r>
        <w:rPr>
          <w:rFonts w:hint="eastAsia" w:ascii="宋体" w:hAnsi="宋体" w:cs="宋体"/>
          <w:lang w:eastAsia="zh-TW"/>
        </w:rPr>
        <w:t>4.0</w:t>
      </w:r>
      <w:r>
        <w:rPr>
          <w:rFonts w:hint="eastAsia" w:ascii="宋体" w:hAnsi="宋体" w:cs="宋体"/>
        </w:rPr>
        <w:t xml:space="preserve"> </w:t>
      </w:r>
      <w:r>
        <w:rPr>
          <w:rFonts w:hint="eastAsia" w:ascii="宋体" w:hAnsi="宋体" w:cs="宋体"/>
          <w:lang w:eastAsia="zh-TW"/>
        </w:rPr>
        <w:t>wt%</w:t>
      </w:r>
      <w:r>
        <w:rPr>
          <w:rFonts w:hint="eastAsia" w:ascii="宋体" w:hAnsi="宋体" w:cs="宋体"/>
          <w:lang w:val="zh-TW" w:eastAsia="zh-TW"/>
        </w:rPr>
        <w:t>之间、</w:t>
      </w:r>
      <w:r>
        <w:rPr>
          <w:rFonts w:hint="eastAsia" w:ascii="宋体" w:hAnsi="宋体" w:cs="宋体"/>
          <w:lang w:eastAsia="zh-TW"/>
        </w:rPr>
        <w:t>Cu0.5</w:t>
      </w:r>
      <w:r>
        <w:rPr>
          <w:rFonts w:hint="eastAsia" w:ascii="宋体" w:hAnsi="宋体" w:cs="宋体"/>
        </w:rPr>
        <w:t xml:space="preserve"> </w:t>
      </w:r>
      <w:r>
        <w:rPr>
          <w:rFonts w:hint="eastAsia" w:ascii="宋体" w:hAnsi="宋体" w:cs="宋体"/>
          <w:lang w:eastAsia="zh-TW"/>
        </w:rPr>
        <w:t>wt%</w:t>
      </w:r>
      <w:r>
        <w:rPr>
          <w:rFonts w:hint="eastAsia" w:ascii="宋体" w:hAnsi="宋体" w:cs="宋体"/>
        </w:rPr>
        <w:t>～</w:t>
      </w:r>
      <w:r>
        <w:rPr>
          <w:rFonts w:hint="eastAsia" w:ascii="宋体" w:hAnsi="宋体" w:cs="宋体"/>
          <w:lang w:eastAsia="zh-TW"/>
        </w:rPr>
        <w:t>1.0</w:t>
      </w:r>
      <w:r>
        <w:rPr>
          <w:rFonts w:hint="eastAsia" w:ascii="宋体" w:hAnsi="宋体" w:cs="宋体"/>
        </w:rPr>
        <w:t xml:space="preserve"> </w:t>
      </w:r>
      <w:r>
        <w:rPr>
          <w:rFonts w:hint="eastAsia" w:ascii="宋体" w:hAnsi="宋体" w:cs="宋体"/>
          <w:lang w:eastAsia="zh-TW"/>
        </w:rPr>
        <w:t>wt%</w:t>
      </w:r>
      <w:r>
        <w:rPr>
          <w:rFonts w:hint="eastAsia" w:ascii="宋体" w:hAnsi="宋体" w:cs="宋体"/>
          <w:lang w:val="zh-TW" w:eastAsia="zh-TW"/>
        </w:rPr>
        <w:t>之间变化；助焊剂成分应符合表</w:t>
      </w:r>
      <w:r>
        <w:rPr>
          <w:rFonts w:hint="eastAsia" w:ascii="宋体" w:hAnsi="宋体" w:cs="宋体"/>
        </w:rPr>
        <w:t>31</w:t>
      </w:r>
      <w:r>
        <w:rPr>
          <w:rFonts w:hint="eastAsia" w:ascii="宋体" w:hAnsi="宋体" w:cs="宋体"/>
          <w:lang w:val="zh-TW" w:eastAsia="zh-TW"/>
        </w:rPr>
        <w:t>的规定。对于不同类型的样品，使用下列不同的方法进行试验。</w:t>
      </w:r>
    </w:p>
    <w:p w14:paraId="5FD94E10">
      <w:pPr>
        <w:autoSpaceDE w:val="0"/>
        <w:autoSpaceDN w:val="0"/>
        <w:spacing w:line="240" w:lineRule="auto"/>
        <w:ind w:firstLine="420" w:firstLineChars="200"/>
        <w:rPr>
          <w:rFonts w:hint="eastAsia" w:ascii="宋体" w:hAnsi="宋体" w:cs="宋体"/>
        </w:rPr>
      </w:pPr>
      <w:r>
        <w:rPr>
          <w:rFonts w:hint="eastAsia" w:ascii="宋体" w:hAnsi="宋体" w:cs="宋体"/>
          <w:lang w:val="zh-TW" w:eastAsia="zh-TW"/>
        </w:rPr>
        <w:t>有引线元器件焊料槽浸焊观察试验：先将样品以</w:t>
      </w:r>
      <w:r>
        <w:rPr>
          <w:rFonts w:hint="eastAsia" w:ascii="宋体" w:hAnsi="宋体" w:cs="宋体"/>
        </w:rPr>
        <w:t>20°～45°</w:t>
      </w:r>
      <w:r>
        <w:rPr>
          <w:rFonts w:hint="eastAsia" w:ascii="宋体" w:hAnsi="宋体" w:cs="宋体"/>
          <w:lang w:val="zh-TW" w:eastAsia="zh-TW"/>
        </w:rPr>
        <w:t>的角度浸入助焊剂中，待样品表面浸没在助焊剂中保持</w:t>
      </w:r>
      <w:r>
        <w:rPr>
          <w:rFonts w:hint="eastAsia" w:ascii="宋体" w:hAnsi="宋体" w:cs="宋体"/>
        </w:rPr>
        <w:t>5s～10</w:t>
      </w:r>
      <w:r>
        <w:rPr>
          <w:rFonts w:hint="eastAsia" w:ascii="宋体" w:hAnsi="宋体" w:cs="宋体"/>
          <w:lang w:val="zh-TW" w:eastAsia="zh-TW"/>
        </w:rPr>
        <w:t>s后，将样品引线与焊料面呈</w:t>
      </w:r>
      <w:r>
        <w:rPr>
          <w:rFonts w:hint="eastAsia" w:ascii="宋体" w:hAnsi="宋体" w:cs="宋体"/>
        </w:rPr>
        <w:t>90°</w:t>
      </w:r>
      <w:r>
        <w:rPr>
          <w:rFonts w:hint="eastAsia" w:ascii="宋体" w:hAnsi="宋体" w:cs="宋体"/>
          <w:lang w:val="zh-TW" w:eastAsia="zh-TW"/>
        </w:rPr>
        <w:t>方向，以</w:t>
      </w:r>
      <w:r>
        <w:rPr>
          <w:rFonts w:hint="eastAsia" w:ascii="宋体" w:hAnsi="宋体" w:cs="宋体"/>
          <w:lang w:val="zh-TW"/>
        </w:rPr>
        <w:t>（</w:t>
      </w:r>
      <w:r>
        <w:rPr>
          <w:rFonts w:hint="eastAsia" w:ascii="宋体" w:hAnsi="宋体" w:cs="宋体"/>
        </w:rPr>
        <w:t>25±6）mm/s</w:t>
      </w:r>
      <w:r>
        <w:rPr>
          <w:rFonts w:hint="eastAsia" w:ascii="宋体" w:hAnsi="宋体" w:cs="宋体"/>
          <w:lang w:val="zh-TW" w:eastAsia="zh-TW"/>
        </w:rPr>
        <w:t>的速度浸入焊料槽，并在焊料面与样品本体在距离</w:t>
      </w:r>
      <w:r>
        <w:rPr>
          <w:rFonts w:hint="eastAsia" w:ascii="宋体" w:hAnsi="宋体" w:cs="宋体"/>
        </w:rPr>
        <w:t>1.27 mm</w:t>
      </w:r>
      <w:r>
        <w:rPr>
          <w:rFonts w:hint="eastAsia" w:ascii="宋体" w:hAnsi="宋体" w:cs="宋体"/>
          <w:lang w:val="zh-TW" w:eastAsia="zh-TW"/>
        </w:rPr>
        <w:t>以内停止，</w:t>
      </w:r>
      <w:r>
        <w:rPr>
          <w:rFonts w:hint="eastAsia" w:ascii="宋体" w:hAnsi="宋体" w:cs="宋体"/>
          <w:lang w:val="zh-TW"/>
        </w:rPr>
        <w:t>在（</w:t>
      </w:r>
      <w:r>
        <w:rPr>
          <w:rFonts w:hint="eastAsia" w:ascii="宋体" w:hAnsi="宋体" w:cs="宋体"/>
          <w:lang w:val="zh-TW" w:eastAsia="zh-TW"/>
        </w:rPr>
        <w:t>245±5</w:t>
      </w:r>
      <w:r>
        <w:rPr>
          <w:rFonts w:hint="eastAsia" w:ascii="宋体" w:hAnsi="宋体" w:cs="宋体"/>
          <w:lang w:val="zh-TW"/>
        </w:rPr>
        <w:t>）</w:t>
      </w:r>
      <w:r>
        <w:rPr>
          <w:rFonts w:hint="eastAsia" w:ascii="宋体" w:hAnsi="宋体" w:cs="宋体"/>
          <w:lang w:val="zh-TW" w:eastAsia="zh-TW"/>
        </w:rPr>
        <w:t>℃</w:t>
      </w:r>
      <w:r>
        <w:rPr>
          <w:rFonts w:hint="eastAsia" w:ascii="宋体" w:hAnsi="宋体" w:cs="宋体"/>
        </w:rPr>
        <w:t>条件下</w:t>
      </w:r>
      <w:r>
        <w:rPr>
          <w:rFonts w:hint="eastAsia" w:ascii="宋体" w:hAnsi="宋体" w:cs="宋体"/>
          <w:lang w:val="zh-TW" w:eastAsia="zh-TW"/>
        </w:rPr>
        <w:t>保持</w:t>
      </w:r>
      <w:r>
        <w:rPr>
          <w:rFonts w:hint="eastAsia" w:ascii="宋体" w:hAnsi="宋体" w:cs="宋体"/>
          <w:position w:val="-10"/>
          <w:lang w:val="zh-TW" w:eastAsia="zh-TW"/>
        </w:rPr>
        <w:object>
          <v:shape id="_x0000_i1042" o:spt="75" type="#_x0000_t75" style="height:17.1pt;width:22.15pt;" o:ole="t" filled="f" o:preferrelative="t" stroked="f" coordsize="21600,21600">
            <v:path/>
            <v:fill on="f" focussize="0,0"/>
            <v:stroke on="f" joinstyle="miter"/>
            <v:imagedata r:id="rId70" o:title=""/>
            <o:lock v:ext="edit" aspectratio="t"/>
            <w10:wrap type="none"/>
            <w10:anchorlock/>
          </v:shape>
          <o:OLEObject Type="Embed" ProgID="Equation.KSEE3" ShapeID="_x0000_i1042" DrawAspect="Content" ObjectID="_1468075742" r:id="rId69">
            <o:LockedField>false</o:LockedField>
          </o:OLEObject>
        </w:object>
      </w:r>
      <w:r>
        <w:rPr>
          <w:rFonts w:hint="eastAsia" w:ascii="宋体" w:hAnsi="宋体" w:cs="宋体"/>
          <w:lang w:val="zh-TW" w:eastAsia="zh-TW"/>
        </w:rPr>
        <w:t>s。将样品取出冷却</w:t>
      </w:r>
      <w:r>
        <w:rPr>
          <w:rFonts w:hint="eastAsia" w:ascii="宋体" w:hAnsi="宋体" w:cs="宋体"/>
        </w:rPr>
        <w:t>5</w:t>
      </w:r>
      <w:r>
        <w:rPr>
          <w:rFonts w:hint="eastAsia" w:ascii="宋体" w:hAnsi="宋体" w:cs="宋体"/>
          <w:lang w:val="zh-TW" w:eastAsia="zh-TW"/>
        </w:rPr>
        <w:t>s以上后，</w:t>
      </w:r>
      <w:r>
        <w:rPr>
          <w:rFonts w:hint="eastAsia" w:ascii="宋体" w:hAnsi="宋体" w:cs="宋体"/>
        </w:rPr>
        <w:t>在不低于30倍光学放大倍率下</w:t>
      </w:r>
      <w:r>
        <w:rPr>
          <w:rFonts w:hint="eastAsia" w:ascii="宋体" w:hAnsi="宋体" w:cs="宋体"/>
          <w:lang w:val="zh-TW" w:eastAsia="zh-TW"/>
        </w:rPr>
        <w:t>进行观察焊料层细节。</w:t>
      </w:r>
    </w:p>
    <w:p w14:paraId="2E9493EE">
      <w:pPr>
        <w:autoSpaceDE w:val="0"/>
        <w:autoSpaceDN w:val="0"/>
        <w:spacing w:line="240" w:lineRule="auto"/>
        <w:ind w:firstLine="420" w:firstLineChars="200"/>
        <w:rPr>
          <w:rFonts w:hint="eastAsia" w:ascii="宋体" w:hAnsi="宋体" w:cs="宋体"/>
          <w:lang w:eastAsia="zh-TW"/>
        </w:rPr>
      </w:pPr>
      <w:r>
        <w:rPr>
          <w:rFonts w:hint="eastAsia" w:ascii="宋体" w:hAnsi="宋体" w:cs="宋体"/>
          <w:lang w:val="zh-TW" w:eastAsia="zh-TW"/>
        </w:rPr>
        <w:t>无引线元器件焊料槽浸焊观察试验：先将样品以</w:t>
      </w:r>
      <w:r>
        <w:rPr>
          <w:rFonts w:hint="eastAsia" w:ascii="宋体" w:hAnsi="宋体" w:cs="宋体"/>
        </w:rPr>
        <w:t>20°～45°</w:t>
      </w:r>
      <w:r>
        <w:rPr>
          <w:rFonts w:hint="eastAsia" w:ascii="宋体" w:hAnsi="宋体" w:cs="宋体"/>
          <w:lang w:val="zh-TW" w:eastAsia="zh-TW"/>
        </w:rPr>
        <w:t>的角度浸入助焊剂中，待器件表面浸没在助焊剂中保持</w:t>
      </w:r>
      <w:r>
        <w:rPr>
          <w:rFonts w:hint="eastAsia" w:ascii="宋体" w:hAnsi="宋体" w:cs="宋体"/>
        </w:rPr>
        <w:t>5s～10</w:t>
      </w:r>
      <w:r>
        <w:rPr>
          <w:rFonts w:hint="eastAsia" w:ascii="宋体" w:hAnsi="宋体" w:cs="宋体"/>
          <w:lang w:val="zh-TW" w:eastAsia="zh-TW"/>
        </w:rPr>
        <w:t>s后，将样品与焊料面呈</w:t>
      </w:r>
      <w:r>
        <w:rPr>
          <w:rFonts w:hint="eastAsia" w:ascii="宋体" w:hAnsi="宋体" w:cs="宋体"/>
        </w:rPr>
        <w:t>20°～45°</w:t>
      </w:r>
      <w:r>
        <w:rPr>
          <w:rFonts w:hint="eastAsia" w:ascii="宋体" w:hAnsi="宋体" w:cs="宋体"/>
          <w:lang w:val="zh-TW" w:eastAsia="zh-TW"/>
        </w:rPr>
        <w:t>方向，以</w:t>
      </w:r>
      <w:r>
        <w:rPr>
          <w:rFonts w:hint="eastAsia" w:ascii="宋体" w:hAnsi="宋体" w:cs="宋体"/>
          <w:lang w:val="zh-TW"/>
        </w:rPr>
        <w:t>（</w:t>
      </w:r>
      <w:r>
        <w:rPr>
          <w:rFonts w:hint="eastAsia" w:ascii="宋体" w:hAnsi="宋体" w:cs="宋体"/>
        </w:rPr>
        <w:t>25±6）mm/s</w:t>
      </w:r>
      <w:r>
        <w:rPr>
          <w:rFonts w:hint="eastAsia" w:ascii="宋体" w:hAnsi="宋体" w:cs="宋体"/>
          <w:lang w:val="zh-TW" w:eastAsia="zh-TW"/>
        </w:rPr>
        <w:t>的速度浸入焊料槽，</w:t>
      </w:r>
      <w:r>
        <w:rPr>
          <w:rFonts w:hint="eastAsia" w:ascii="宋体" w:hAnsi="宋体" w:cs="宋体"/>
          <w:lang w:val="zh-TW"/>
        </w:rPr>
        <w:t>在（</w:t>
      </w:r>
      <w:r>
        <w:rPr>
          <w:rFonts w:hint="eastAsia" w:ascii="宋体" w:hAnsi="宋体" w:cs="宋体"/>
          <w:lang w:val="zh-TW" w:eastAsia="zh-TW"/>
        </w:rPr>
        <w:t>245±5</w:t>
      </w:r>
      <w:r>
        <w:rPr>
          <w:rFonts w:hint="eastAsia" w:ascii="宋体" w:hAnsi="宋体" w:cs="宋体"/>
          <w:lang w:val="zh-TW"/>
        </w:rPr>
        <w:t>）</w:t>
      </w:r>
      <w:r>
        <w:rPr>
          <w:rFonts w:hint="eastAsia" w:ascii="宋体" w:hAnsi="宋体" w:cs="宋体"/>
          <w:lang w:val="zh-TW" w:eastAsia="zh-TW"/>
        </w:rPr>
        <w:t>℃</w:t>
      </w:r>
      <w:r>
        <w:rPr>
          <w:rFonts w:hint="eastAsia" w:ascii="宋体" w:hAnsi="宋体" w:cs="宋体"/>
        </w:rPr>
        <w:t>条件下</w:t>
      </w:r>
      <w:r>
        <w:rPr>
          <w:rFonts w:hint="eastAsia" w:ascii="宋体" w:hAnsi="宋体" w:cs="宋体"/>
          <w:lang w:val="zh-TW" w:eastAsia="zh-TW"/>
        </w:rPr>
        <w:t>保持</w:t>
      </w:r>
      <w:r>
        <w:rPr>
          <w:rFonts w:hint="eastAsia" w:ascii="宋体" w:hAnsi="宋体" w:cs="宋体"/>
          <w:position w:val="-10"/>
          <w:lang w:val="zh-TW" w:eastAsia="zh-TW"/>
        </w:rPr>
        <w:object>
          <v:shape id="_x0000_i1043" o:spt="75" type="#_x0000_t75" style="height:17.1pt;width:22.15pt;" o:ole="t" filled="f" o:preferrelative="t" stroked="f" coordsize="21600,21600">
            <v:path/>
            <v:fill on="f" focussize="0,0"/>
            <v:stroke on="f" joinstyle="miter"/>
            <v:imagedata r:id="rId70" o:title=""/>
            <o:lock v:ext="edit" aspectratio="t"/>
            <w10:wrap type="none"/>
            <w10:anchorlock/>
          </v:shape>
          <o:OLEObject Type="Embed" ProgID="Equation.KSEE3" ShapeID="_x0000_i1043" DrawAspect="Content" ObjectID="_1468075743" r:id="rId71">
            <o:LockedField>false</o:LockedField>
          </o:OLEObject>
        </w:object>
      </w:r>
      <w:r>
        <w:rPr>
          <w:rFonts w:hint="eastAsia" w:ascii="宋体" w:hAnsi="宋体" w:cs="宋体"/>
        </w:rPr>
        <w:t>s</w:t>
      </w:r>
      <w:r>
        <w:rPr>
          <w:rFonts w:hint="eastAsia" w:ascii="宋体" w:hAnsi="宋体" w:cs="宋体"/>
          <w:lang w:val="zh-TW"/>
        </w:rPr>
        <w:t>。</w:t>
      </w:r>
      <w:r>
        <w:rPr>
          <w:rFonts w:hint="eastAsia" w:ascii="宋体" w:hAnsi="宋体" w:cs="宋体"/>
          <w:lang w:val="zh-TW" w:eastAsia="zh-TW"/>
        </w:rPr>
        <w:t>将样品取出冷却</w:t>
      </w:r>
      <w:r>
        <w:rPr>
          <w:rFonts w:hint="eastAsia" w:ascii="宋体" w:hAnsi="宋体" w:cs="宋体"/>
        </w:rPr>
        <w:t>5</w:t>
      </w:r>
      <w:r>
        <w:rPr>
          <w:rFonts w:hint="eastAsia" w:ascii="宋体" w:hAnsi="宋体" w:cs="宋体"/>
          <w:lang w:val="zh-TW" w:eastAsia="zh-TW"/>
        </w:rPr>
        <w:t>s以上后，</w:t>
      </w:r>
      <w:r>
        <w:rPr>
          <w:rFonts w:hint="eastAsia" w:ascii="宋体" w:hAnsi="宋体" w:cs="宋体"/>
        </w:rPr>
        <w:t>在不低于30倍光学放大倍率下</w:t>
      </w:r>
      <w:r>
        <w:rPr>
          <w:rFonts w:hint="eastAsia" w:ascii="宋体" w:hAnsi="宋体" w:cs="宋体"/>
          <w:lang w:val="zh-TW" w:eastAsia="zh-TW"/>
        </w:rPr>
        <w:t>进行观察焊料层细节。</w:t>
      </w:r>
    </w:p>
    <w:p w14:paraId="14FBDC51">
      <w:pPr>
        <w:autoSpaceDE w:val="0"/>
        <w:autoSpaceDN w:val="0"/>
        <w:spacing w:line="240" w:lineRule="auto"/>
        <w:ind w:firstLine="420" w:firstLineChars="200"/>
        <w:rPr>
          <w:rFonts w:ascii="宋体" w:hAnsi="Times New Roman" w:eastAsia="PMingLiU"/>
          <w:lang w:eastAsia="zh-TW"/>
        </w:rPr>
      </w:pPr>
      <w:r>
        <w:rPr>
          <w:rFonts w:hint="eastAsia" w:ascii="宋体" w:hAnsi="宋体" w:cs="宋体"/>
          <w:lang w:val="zh-TW" w:eastAsia="zh-TW"/>
        </w:rPr>
        <w:t>焊球、柱阵列封装器件表面贴装工艺模拟试验：使用开模丝网将锡膏印至试验基板，取下丝网后将样品置于印刷好的基板上，在确认样品位置无误后</w:t>
      </w:r>
      <w:r>
        <w:rPr>
          <w:rFonts w:ascii="Times New Roman" w:hAnsi="Times New Roman"/>
          <w:lang w:val="zh-TW" w:eastAsia="zh-TW"/>
        </w:rPr>
        <w:t>进行</w:t>
      </w:r>
      <w:r>
        <w:rPr>
          <w:rFonts w:ascii="Times New Roman" w:hAnsi="Times New Roman"/>
        </w:rPr>
        <w:t>再</w:t>
      </w:r>
      <w:r>
        <w:rPr>
          <w:rFonts w:ascii="Times New Roman" w:hAnsi="Times New Roman"/>
          <w:lang w:val="zh-TW" w:eastAsia="zh-TW"/>
        </w:rPr>
        <w:t>流焊接，待冷却后将样品从基板上取下，</w:t>
      </w:r>
      <w:r>
        <w:rPr>
          <w:rFonts w:ascii="Times New Roman" w:hAnsi="Times New Roman"/>
        </w:rPr>
        <w:t>在不低于30倍光学放大倍率下</w:t>
      </w:r>
      <w:r>
        <w:rPr>
          <w:rFonts w:ascii="Times New Roman" w:hAnsi="Times New Roman"/>
          <w:lang w:val="zh-TW" w:eastAsia="zh-TW"/>
        </w:rPr>
        <w:t>进行观察焊料层细节</w:t>
      </w:r>
      <w:r>
        <w:rPr>
          <w:rFonts w:ascii="宋体" w:hAnsi="Times New Roman"/>
          <w:lang w:val="zh-TW" w:eastAsia="zh-TW"/>
        </w:rPr>
        <w:t>。</w:t>
      </w:r>
    </w:p>
    <w:p w14:paraId="1D3FD483">
      <w:pPr>
        <w:adjustRightInd/>
        <w:spacing w:before="120" w:beforeLines="50" w:after="120" w:afterLines="50" w:line="240" w:lineRule="auto"/>
        <w:jc w:val="center"/>
        <w:rPr>
          <w:rFonts w:hint="eastAsia" w:ascii="黑体" w:hAnsi="黑体" w:eastAsia="黑体" w:cs="黑体"/>
        </w:rPr>
      </w:pPr>
      <w:r>
        <w:rPr>
          <w:rFonts w:hint="eastAsia" w:ascii="黑体" w:hAnsi="黑体" w:eastAsia="黑体" w:cs="黑体"/>
        </w:rPr>
        <w:t>表 31  助焊剂成分</w:t>
      </w:r>
    </w:p>
    <w:tbl>
      <w:tblPr>
        <w:tblStyle w:val="29"/>
        <w:tblW w:w="9400"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4700"/>
        <w:gridCol w:w="4700"/>
      </w:tblGrid>
      <w:tr w14:paraId="382321C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80" w:hRule="atLeast"/>
          <w:tblHeader/>
          <w:jc w:val="center"/>
        </w:trPr>
        <w:tc>
          <w:tcPr>
            <w:tcW w:w="4700" w:type="dxa"/>
            <w:tcBorders>
              <w:tl2br w:val="nil"/>
              <w:tr2bl w:val="nil"/>
            </w:tcBorders>
            <w:vAlign w:val="center"/>
          </w:tcPr>
          <w:p w14:paraId="34C86B33">
            <w:pPr>
              <w:autoSpaceDE w:val="0"/>
              <w:autoSpaceDN w:val="0"/>
              <w:jc w:val="center"/>
              <w:rPr>
                <w:rFonts w:hint="eastAsia" w:ascii="宋体" w:hAnsi="宋体" w:cs="宋体"/>
                <w:sz w:val="18"/>
                <w:szCs w:val="18"/>
              </w:rPr>
            </w:pPr>
            <w:r>
              <w:rPr>
                <w:rFonts w:hint="eastAsia" w:ascii="宋体" w:hAnsi="宋体" w:cs="宋体"/>
                <w:sz w:val="18"/>
                <w:szCs w:val="18"/>
                <w:lang w:val="zh-TW" w:eastAsia="zh-TW"/>
              </w:rPr>
              <w:t>成分</w:t>
            </w:r>
          </w:p>
        </w:tc>
        <w:tc>
          <w:tcPr>
            <w:tcW w:w="4700" w:type="dxa"/>
            <w:tcBorders>
              <w:tl2br w:val="nil"/>
              <w:tr2bl w:val="nil"/>
            </w:tcBorders>
            <w:vAlign w:val="center"/>
          </w:tcPr>
          <w:p w14:paraId="07C5538E">
            <w:pPr>
              <w:autoSpaceDE w:val="0"/>
              <w:autoSpaceDN w:val="0"/>
              <w:jc w:val="center"/>
              <w:rPr>
                <w:rFonts w:hint="eastAsia" w:ascii="宋体" w:hAnsi="宋体" w:cs="宋体"/>
                <w:sz w:val="18"/>
                <w:szCs w:val="18"/>
              </w:rPr>
            </w:pPr>
            <w:r>
              <w:rPr>
                <w:rFonts w:hint="eastAsia" w:ascii="宋体" w:hAnsi="宋体" w:cs="宋体"/>
                <w:sz w:val="18"/>
                <w:szCs w:val="18"/>
                <w:lang w:val="zh-TW" w:eastAsia="zh-TW"/>
              </w:rPr>
              <w:t>质量分数（</w:t>
            </w:r>
            <w:r>
              <w:rPr>
                <w:rFonts w:hint="eastAsia" w:ascii="宋体" w:hAnsi="宋体" w:cs="宋体"/>
                <w:sz w:val="18"/>
                <w:szCs w:val="18"/>
              </w:rPr>
              <w:t>2</w:t>
            </w:r>
            <w:r>
              <w:rPr>
                <w:rFonts w:hint="eastAsia" w:ascii="宋体" w:hAnsi="宋体" w:cs="宋体"/>
                <w:sz w:val="18"/>
                <w:szCs w:val="18"/>
                <w:lang w:val="zh-TW" w:eastAsia="zh-TW"/>
              </w:rPr>
              <w:t>号助焊剂）</w:t>
            </w:r>
          </w:p>
        </w:tc>
      </w:tr>
      <w:tr w14:paraId="2778251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21" w:hRule="atLeast"/>
          <w:jc w:val="center"/>
        </w:trPr>
        <w:tc>
          <w:tcPr>
            <w:tcW w:w="4700" w:type="dxa"/>
            <w:tcBorders>
              <w:tl2br w:val="nil"/>
              <w:tr2bl w:val="nil"/>
            </w:tcBorders>
            <w:vAlign w:val="center"/>
          </w:tcPr>
          <w:p w14:paraId="36D31201">
            <w:pPr>
              <w:autoSpaceDE w:val="0"/>
              <w:autoSpaceDN w:val="0"/>
              <w:jc w:val="center"/>
              <w:rPr>
                <w:rFonts w:hint="eastAsia" w:ascii="宋体" w:hAnsi="宋体" w:cs="宋体"/>
                <w:sz w:val="18"/>
                <w:szCs w:val="18"/>
              </w:rPr>
            </w:pPr>
            <w:r>
              <w:rPr>
                <w:rFonts w:hint="eastAsia" w:ascii="宋体" w:hAnsi="宋体" w:cs="宋体"/>
                <w:sz w:val="18"/>
                <w:szCs w:val="18"/>
                <w:lang w:val="zh-TW" w:eastAsia="zh-TW"/>
              </w:rPr>
              <w:t>松香</w:t>
            </w:r>
          </w:p>
        </w:tc>
        <w:tc>
          <w:tcPr>
            <w:tcW w:w="4700" w:type="dxa"/>
            <w:tcBorders>
              <w:tl2br w:val="nil"/>
              <w:tr2bl w:val="nil"/>
            </w:tcBorders>
            <w:vAlign w:val="center"/>
          </w:tcPr>
          <w:p w14:paraId="5A6673DF">
            <w:pPr>
              <w:autoSpaceDE w:val="0"/>
              <w:autoSpaceDN w:val="0"/>
              <w:jc w:val="center"/>
              <w:rPr>
                <w:rFonts w:hint="eastAsia" w:ascii="宋体" w:hAnsi="宋体" w:cs="宋体"/>
                <w:sz w:val="18"/>
                <w:szCs w:val="18"/>
              </w:rPr>
            </w:pPr>
            <w:r>
              <w:rPr>
                <w:rFonts w:hint="eastAsia" w:ascii="宋体" w:hAnsi="宋体" w:cs="宋体"/>
                <w:sz w:val="18"/>
                <w:szCs w:val="18"/>
              </w:rPr>
              <w:t>25±0.5</w:t>
            </w:r>
          </w:p>
        </w:tc>
      </w:tr>
      <w:tr w14:paraId="38EB5B3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21" w:hRule="atLeast"/>
          <w:jc w:val="center"/>
        </w:trPr>
        <w:tc>
          <w:tcPr>
            <w:tcW w:w="4700" w:type="dxa"/>
            <w:tcBorders>
              <w:tl2br w:val="nil"/>
              <w:tr2bl w:val="nil"/>
            </w:tcBorders>
            <w:vAlign w:val="center"/>
          </w:tcPr>
          <w:p w14:paraId="47343049">
            <w:pPr>
              <w:autoSpaceDE w:val="0"/>
              <w:autoSpaceDN w:val="0"/>
              <w:jc w:val="center"/>
              <w:rPr>
                <w:rFonts w:hint="eastAsia" w:ascii="宋体" w:hAnsi="宋体" w:cs="宋体"/>
                <w:sz w:val="18"/>
                <w:szCs w:val="18"/>
                <w:lang w:val="zh-TW" w:eastAsia="zh-TW"/>
              </w:rPr>
            </w:pPr>
            <w:r>
              <w:rPr>
                <w:rFonts w:hint="eastAsia" w:ascii="宋体" w:hAnsi="宋体" w:cs="宋体"/>
                <w:sz w:val="18"/>
                <w:szCs w:val="18"/>
                <w:lang w:val="zh-TW" w:eastAsia="zh-TW"/>
              </w:rPr>
              <w:t>二乙胺盐酸盐（</w:t>
            </w:r>
            <w:r>
              <w:rPr>
                <w:rFonts w:hint="eastAsia" w:ascii="宋体" w:hAnsi="宋体" w:cs="宋体"/>
                <w:sz w:val="18"/>
                <w:szCs w:val="18"/>
              </w:rPr>
              <w:t>CAS 660-68-4</w:t>
            </w:r>
            <w:r>
              <w:rPr>
                <w:rFonts w:hint="eastAsia" w:ascii="宋体" w:hAnsi="宋体" w:cs="宋体"/>
                <w:sz w:val="18"/>
                <w:szCs w:val="18"/>
                <w:lang w:val="zh-TW" w:eastAsia="zh-TW"/>
              </w:rPr>
              <w:t>）</w:t>
            </w:r>
          </w:p>
        </w:tc>
        <w:tc>
          <w:tcPr>
            <w:tcW w:w="4700" w:type="dxa"/>
            <w:tcBorders>
              <w:tl2br w:val="nil"/>
              <w:tr2bl w:val="nil"/>
            </w:tcBorders>
            <w:vAlign w:val="center"/>
          </w:tcPr>
          <w:p w14:paraId="382D3231">
            <w:pPr>
              <w:autoSpaceDE w:val="0"/>
              <w:autoSpaceDN w:val="0"/>
              <w:jc w:val="center"/>
              <w:rPr>
                <w:rFonts w:hint="eastAsia" w:ascii="宋体" w:hAnsi="宋体" w:cs="宋体"/>
                <w:sz w:val="18"/>
                <w:szCs w:val="18"/>
              </w:rPr>
            </w:pPr>
            <w:r>
              <w:rPr>
                <w:rFonts w:hint="eastAsia" w:ascii="宋体" w:hAnsi="宋体" w:cs="宋体"/>
                <w:sz w:val="18"/>
                <w:szCs w:val="18"/>
              </w:rPr>
              <w:t>0.39±0.01</w:t>
            </w:r>
          </w:p>
        </w:tc>
      </w:tr>
      <w:tr w14:paraId="76C0449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55" w:hRule="atLeast"/>
          <w:jc w:val="center"/>
        </w:trPr>
        <w:tc>
          <w:tcPr>
            <w:tcW w:w="4700" w:type="dxa"/>
            <w:tcBorders>
              <w:tl2br w:val="nil"/>
              <w:tr2bl w:val="nil"/>
            </w:tcBorders>
            <w:vAlign w:val="center"/>
          </w:tcPr>
          <w:p w14:paraId="38163507">
            <w:pPr>
              <w:autoSpaceDE w:val="0"/>
              <w:autoSpaceDN w:val="0"/>
              <w:jc w:val="center"/>
              <w:rPr>
                <w:rFonts w:hint="eastAsia" w:ascii="宋体" w:hAnsi="宋体" w:cs="宋体"/>
                <w:sz w:val="18"/>
                <w:szCs w:val="18"/>
                <w:lang w:val="zh-TW" w:eastAsia="zh-TW"/>
              </w:rPr>
            </w:pPr>
            <w:r>
              <w:rPr>
                <w:rFonts w:hint="eastAsia" w:ascii="宋体" w:hAnsi="宋体" w:cs="宋体"/>
                <w:sz w:val="18"/>
                <w:szCs w:val="18"/>
                <w:lang w:val="zh-TW" w:eastAsia="zh-TW"/>
              </w:rPr>
              <w:t>氯当量</w:t>
            </w:r>
          </w:p>
        </w:tc>
        <w:tc>
          <w:tcPr>
            <w:tcW w:w="4700" w:type="dxa"/>
            <w:tcBorders>
              <w:tl2br w:val="nil"/>
              <w:tr2bl w:val="nil"/>
            </w:tcBorders>
            <w:vAlign w:val="center"/>
          </w:tcPr>
          <w:p w14:paraId="46FD194C">
            <w:pPr>
              <w:autoSpaceDE w:val="0"/>
              <w:autoSpaceDN w:val="0"/>
              <w:jc w:val="center"/>
              <w:rPr>
                <w:rFonts w:hint="eastAsia" w:ascii="宋体" w:hAnsi="宋体" w:cs="宋体"/>
                <w:sz w:val="18"/>
                <w:szCs w:val="18"/>
              </w:rPr>
            </w:pPr>
            <w:r>
              <w:rPr>
                <w:rFonts w:hint="eastAsia" w:ascii="宋体" w:hAnsi="宋体" w:cs="宋体"/>
                <w:sz w:val="18"/>
                <w:szCs w:val="18"/>
              </w:rPr>
              <w:t>0.5</w:t>
            </w:r>
          </w:p>
        </w:tc>
      </w:tr>
      <w:tr w14:paraId="5EFE9A3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55" w:hRule="atLeast"/>
          <w:jc w:val="center"/>
        </w:trPr>
        <w:tc>
          <w:tcPr>
            <w:tcW w:w="4700" w:type="dxa"/>
            <w:tcBorders>
              <w:tl2br w:val="nil"/>
              <w:tr2bl w:val="nil"/>
            </w:tcBorders>
            <w:vAlign w:val="center"/>
          </w:tcPr>
          <w:p w14:paraId="49140F60">
            <w:pPr>
              <w:autoSpaceDE w:val="0"/>
              <w:autoSpaceDN w:val="0"/>
              <w:jc w:val="center"/>
              <w:rPr>
                <w:rFonts w:hint="eastAsia" w:ascii="宋体" w:hAnsi="宋体" w:cs="宋体"/>
                <w:sz w:val="18"/>
                <w:szCs w:val="18"/>
                <w:lang w:val="zh-TW" w:eastAsia="zh-TW"/>
              </w:rPr>
            </w:pPr>
            <w:r>
              <w:rPr>
                <w:rFonts w:hint="eastAsia" w:ascii="宋体" w:hAnsi="宋体" w:cs="宋体"/>
                <w:sz w:val="18"/>
                <w:szCs w:val="18"/>
                <w:lang w:val="zh-TW" w:eastAsia="zh-TW"/>
              </w:rPr>
              <w:t>异丙醇（</w:t>
            </w:r>
            <w:r>
              <w:rPr>
                <w:rFonts w:hint="eastAsia" w:ascii="宋体" w:hAnsi="宋体" w:cs="宋体"/>
                <w:sz w:val="18"/>
                <w:szCs w:val="18"/>
              </w:rPr>
              <w:t>IPA</w:t>
            </w:r>
            <w:r>
              <w:rPr>
                <w:rFonts w:hint="eastAsia" w:ascii="宋体" w:hAnsi="宋体" w:cs="宋体"/>
                <w:sz w:val="18"/>
                <w:szCs w:val="18"/>
                <w:lang w:val="zh-TW" w:eastAsia="zh-TW"/>
              </w:rPr>
              <w:t>）</w:t>
            </w:r>
            <w:r>
              <w:rPr>
                <w:rFonts w:hint="eastAsia" w:ascii="宋体" w:hAnsi="宋体" w:cs="宋体"/>
                <w:sz w:val="18"/>
                <w:szCs w:val="18"/>
              </w:rPr>
              <w:t>(CAS67-63-0)</w:t>
            </w:r>
          </w:p>
        </w:tc>
        <w:tc>
          <w:tcPr>
            <w:tcW w:w="4700" w:type="dxa"/>
            <w:tcBorders>
              <w:tl2br w:val="nil"/>
              <w:tr2bl w:val="nil"/>
            </w:tcBorders>
            <w:vAlign w:val="center"/>
          </w:tcPr>
          <w:p w14:paraId="219EAA79">
            <w:pPr>
              <w:autoSpaceDE w:val="0"/>
              <w:autoSpaceDN w:val="0"/>
              <w:jc w:val="center"/>
              <w:rPr>
                <w:rFonts w:hint="eastAsia" w:ascii="宋体" w:hAnsi="宋体" w:cs="宋体"/>
                <w:sz w:val="18"/>
                <w:szCs w:val="18"/>
              </w:rPr>
            </w:pPr>
            <w:r>
              <w:rPr>
                <w:rFonts w:hint="eastAsia" w:ascii="宋体" w:hAnsi="宋体" w:cs="宋体"/>
                <w:sz w:val="18"/>
                <w:szCs w:val="18"/>
                <w:lang w:val="zh-TW" w:eastAsia="zh-TW"/>
              </w:rPr>
              <w:t>余量</w:t>
            </w:r>
          </w:p>
        </w:tc>
      </w:tr>
    </w:tbl>
    <w:p w14:paraId="686EAA35">
      <w:pPr>
        <w:widowControl/>
        <w:numPr>
          <w:ilvl w:val="4"/>
          <w:numId w:val="0"/>
        </w:numPr>
        <w:spacing w:before="120" w:beforeLines="50" w:after="120" w:afterLines="50" w:line="240" w:lineRule="auto"/>
        <w:outlineLvl w:val="4"/>
        <w:rPr>
          <w:rFonts w:ascii="黑体" w:hAnsi="Times New Roman" w:eastAsia="黑体"/>
        </w:rPr>
      </w:pPr>
      <w:r>
        <w:rPr>
          <w:rFonts w:hint="eastAsia" w:ascii="黑体" w:hAnsi="Times New Roman" w:eastAsia="黑体"/>
        </w:rPr>
        <w:t>6.3.4.4  物理尺寸量测</w:t>
      </w:r>
    </w:p>
    <w:p w14:paraId="7884B3FA">
      <w:pPr>
        <w:autoSpaceDE w:val="0"/>
        <w:autoSpaceDN w:val="0"/>
        <w:spacing w:line="240" w:lineRule="auto"/>
        <w:ind w:firstLine="420" w:firstLineChars="200"/>
        <w:rPr>
          <w:rFonts w:ascii="宋体" w:hAnsi="Times New Roman"/>
        </w:rPr>
      </w:pPr>
      <w:r>
        <w:rPr>
          <w:rFonts w:hint="eastAsia" w:ascii="宋体" w:hAnsi="Times New Roman"/>
        </w:rPr>
        <w:t>本试验包括物理尺寸量测和共面性测量两个部分。使用3个不连续批次的样品，每批次样品数量不应少于1</w:t>
      </w:r>
      <w:r>
        <w:rPr>
          <w:rFonts w:ascii="宋体" w:hAnsi="Times New Roman"/>
        </w:rPr>
        <w:t>0</w:t>
      </w:r>
      <w:r>
        <w:rPr>
          <w:rFonts w:hint="eastAsia" w:ascii="宋体" w:hAnsi="Times New Roman"/>
        </w:rPr>
        <w:t>片。使用千分尺、卡尺、量规、轮廓投影仪或其他能够确定实际设备尺寸的测量设备对样品进行尺寸量测。对于焊柱阵列（CGA）封装产品按照GB/T 36479—</w:t>
      </w:r>
      <w:r>
        <w:rPr>
          <w:rFonts w:ascii="宋体" w:hAnsi="Times New Roman"/>
        </w:rPr>
        <w:t>201</w:t>
      </w:r>
      <w:r>
        <w:rPr>
          <w:rFonts w:hint="eastAsia" w:ascii="宋体" w:hAnsi="Times New Roman"/>
        </w:rPr>
        <w:t>8中5.1的方法对样品进行共面度测量。对于BGA封装产品采用基准平面法测量，具体步骤如下：</w:t>
      </w:r>
    </w:p>
    <w:p w14:paraId="15F98046">
      <w:pPr>
        <w:numPr>
          <w:ilvl w:val="0"/>
          <w:numId w:val="63"/>
        </w:numPr>
        <w:spacing w:line="240" w:lineRule="auto"/>
        <w:rPr>
          <w:rFonts w:ascii="宋体" w:hAnsi="Times New Roman"/>
        </w:rPr>
      </w:pPr>
      <w:r>
        <w:rPr>
          <w:rFonts w:hint="eastAsia" w:ascii="宋体" w:hAnsi="Times New Roman"/>
        </w:rPr>
        <w:t>应小心处置器件，确保不会损伤焊球；</w:t>
      </w:r>
    </w:p>
    <w:p w14:paraId="1FBABA0D">
      <w:pPr>
        <w:numPr>
          <w:ilvl w:val="0"/>
          <w:numId w:val="63"/>
        </w:numPr>
        <w:spacing w:line="240" w:lineRule="auto"/>
        <w:rPr>
          <w:rFonts w:ascii="宋体" w:hAnsi="Times New Roman"/>
        </w:rPr>
      </w:pPr>
      <w:r>
        <w:rPr>
          <w:rFonts w:hint="eastAsia" w:ascii="宋体" w:hAnsi="Times New Roman"/>
        </w:rPr>
        <w:t>器件水平放置，焊球朝上，如图4所示；</w:t>
      </w:r>
    </w:p>
    <w:p w14:paraId="5980362D">
      <w:pPr>
        <w:numPr>
          <w:ilvl w:val="0"/>
          <w:numId w:val="63"/>
        </w:numPr>
        <w:spacing w:line="240" w:lineRule="auto"/>
        <w:rPr>
          <w:rFonts w:ascii="宋体" w:hAnsi="Times New Roman"/>
        </w:rPr>
      </w:pPr>
      <w:r>
        <w:rPr>
          <w:rFonts w:hint="eastAsia" w:ascii="宋体" w:hAnsi="Times New Roman"/>
        </w:rPr>
        <w:t>测量时，不允许对器件施加外力；</w:t>
      </w:r>
    </w:p>
    <w:p w14:paraId="26AB31B1">
      <w:pPr>
        <w:numPr>
          <w:ilvl w:val="0"/>
          <w:numId w:val="63"/>
        </w:numPr>
        <w:spacing w:line="240" w:lineRule="auto"/>
        <w:rPr>
          <w:rFonts w:ascii="宋体" w:hAnsi="Times New Roman"/>
        </w:rPr>
      </w:pPr>
      <w:r>
        <w:rPr>
          <w:rFonts w:hint="eastAsia" w:ascii="宋体" w:hAnsi="Times New Roman"/>
        </w:rPr>
        <w:t>测量每一个焊球顶点；</w:t>
      </w:r>
    </w:p>
    <w:p w14:paraId="109E28DF">
      <w:pPr>
        <w:numPr>
          <w:ilvl w:val="0"/>
          <w:numId w:val="63"/>
        </w:numPr>
        <w:spacing w:line="240" w:lineRule="auto"/>
        <w:rPr>
          <w:rFonts w:ascii="宋体" w:hAnsi="Times New Roman"/>
        </w:rPr>
      </w:pPr>
      <w:r>
        <w:rPr>
          <w:rFonts w:hint="eastAsia" w:ascii="宋体" w:hAnsi="Times New Roman"/>
        </w:rPr>
        <w:t>测定三个具有到植球面最大的垂直距离的焊球顶点，这三个点形成基准平面，如图4所示；</w:t>
      </w:r>
    </w:p>
    <w:p w14:paraId="1E92B720">
      <w:pPr>
        <w:numPr>
          <w:ilvl w:val="0"/>
          <w:numId w:val="63"/>
        </w:numPr>
        <w:spacing w:line="240" w:lineRule="auto"/>
        <w:rPr>
          <w:rFonts w:ascii="宋体" w:hAnsi="Times New Roman"/>
        </w:rPr>
      </w:pPr>
      <w:r>
        <w:rPr>
          <w:rFonts w:hint="eastAsia" w:ascii="宋体" w:hAnsi="Times New Roman"/>
        </w:rPr>
        <w:t>由焊球形成的三角形基准平面应包括器件重心。如果构建的基准平面不包括器件重心，则使用下一个和植球面具有最大的垂直距离的焊球来构建有效的基准平面。如果基准平面三角形包括了器件重心，则认为此基准平面是有效的。但也可能存在多个基准平面。如果存在多个基准平面，应使用能产生最坏测量结果的基准平面来进行共面度测量；</w:t>
      </w:r>
    </w:p>
    <w:p w14:paraId="7D87FE5E">
      <w:pPr>
        <w:numPr>
          <w:ilvl w:val="0"/>
          <w:numId w:val="63"/>
        </w:numPr>
        <w:spacing w:after="120" w:afterLines="50" w:line="240" w:lineRule="auto"/>
        <w:ind w:left="850" w:hanging="425"/>
        <w:rPr>
          <w:rFonts w:ascii="宋体" w:hAnsi="Times New Roman"/>
        </w:rPr>
      </w:pPr>
      <w:r>
        <w:rPr>
          <w:rFonts w:hint="eastAsia" w:ascii="宋体" w:hAnsi="Times New Roman"/>
        </w:rPr>
        <w:t>测量每个焊球顶点和基准平面之间的距离，其最大测量差值就是共面度，如图5所示。</w:t>
      </w:r>
    </w:p>
    <w:p w14:paraId="653661BE">
      <w:pPr>
        <w:pStyle w:val="58"/>
        <w:ind w:firstLine="420"/>
        <w:jc w:val="center"/>
      </w:pPr>
      <w:r>
        <w:rPr>
          <w:rFonts w:hint="eastAsia"/>
        </w:rPr>
        <w:drawing>
          <wp:inline distT="0" distB="0" distL="114300" distR="114300">
            <wp:extent cx="2433955" cy="1850390"/>
            <wp:effectExtent l="0" t="0" r="4445" b="3810"/>
            <wp:docPr id="103" name="图片 52" descr="5b6008ca73d3f3cee69b3dc7596a8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52" descr="5b6008ca73d3f3cee69b3dc7596a89b"/>
                    <pic:cNvPicPr>
                      <a:picLocks noChangeAspect="1"/>
                    </pic:cNvPicPr>
                  </pic:nvPicPr>
                  <pic:blipFill>
                    <a:blip r:embed="rId72"/>
                    <a:stretch>
                      <a:fillRect/>
                    </a:stretch>
                  </pic:blipFill>
                  <pic:spPr>
                    <a:xfrm>
                      <a:off x="0" y="0"/>
                      <a:ext cx="2433955" cy="1850390"/>
                    </a:xfrm>
                    <a:prstGeom prst="rect">
                      <a:avLst/>
                    </a:prstGeom>
                    <a:noFill/>
                    <a:ln>
                      <a:noFill/>
                    </a:ln>
                  </pic:spPr>
                </pic:pic>
              </a:graphicData>
            </a:graphic>
          </wp:inline>
        </w:drawing>
      </w:r>
    </w:p>
    <w:p w14:paraId="7250B121">
      <w:pPr>
        <w:pStyle w:val="85"/>
        <w:numPr>
          <w:ilvl w:val="0"/>
          <w:numId w:val="0"/>
        </w:numPr>
        <w:spacing w:before="120" w:after="120"/>
      </w:pPr>
      <w:r>
        <w:rPr>
          <w:rFonts w:hint="eastAsia"/>
        </w:rPr>
        <w:t>图 4  基准平面</w:t>
      </w:r>
    </w:p>
    <w:p w14:paraId="1CA8298A">
      <w:pPr>
        <w:pStyle w:val="58"/>
        <w:ind w:firstLine="420"/>
        <w:jc w:val="center"/>
      </w:pPr>
    </w:p>
    <w:p w14:paraId="7A4E51FF">
      <w:pPr>
        <w:pStyle w:val="58"/>
        <w:ind w:firstLine="420"/>
        <w:jc w:val="center"/>
      </w:pPr>
      <w:r>
        <w:rPr>
          <w:rFonts w:hint="eastAsia"/>
        </w:rPr>
        <w:drawing>
          <wp:inline distT="0" distB="0" distL="114300" distR="114300">
            <wp:extent cx="4057650" cy="1341120"/>
            <wp:effectExtent l="0" t="0" r="6350" b="5080"/>
            <wp:docPr id="70" name="图片 53" descr="79815497e62567f50d78471aef677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53" descr="79815497e62567f50d78471aef6778d"/>
                    <pic:cNvPicPr>
                      <a:picLocks noChangeAspect="1"/>
                    </pic:cNvPicPr>
                  </pic:nvPicPr>
                  <pic:blipFill>
                    <a:blip r:embed="rId73"/>
                    <a:stretch>
                      <a:fillRect/>
                    </a:stretch>
                  </pic:blipFill>
                  <pic:spPr>
                    <a:xfrm>
                      <a:off x="0" y="0"/>
                      <a:ext cx="4057650" cy="1341120"/>
                    </a:xfrm>
                    <a:prstGeom prst="rect">
                      <a:avLst/>
                    </a:prstGeom>
                    <a:noFill/>
                    <a:ln>
                      <a:noFill/>
                    </a:ln>
                  </pic:spPr>
                </pic:pic>
              </a:graphicData>
            </a:graphic>
          </wp:inline>
        </w:drawing>
      </w:r>
    </w:p>
    <w:p w14:paraId="29AC8CB0">
      <w:pPr>
        <w:pStyle w:val="85"/>
        <w:numPr>
          <w:ilvl w:val="0"/>
          <w:numId w:val="0"/>
        </w:numPr>
        <w:spacing w:before="120" w:after="120"/>
      </w:pPr>
      <w:r>
        <w:rPr>
          <w:rFonts w:hint="eastAsia"/>
        </w:rPr>
        <w:t>图 5  BGA共面度</w:t>
      </w:r>
    </w:p>
    <w:p w14:paraId="5B9E08E3">
      <w:pPr>
        <w:widowControl/>
        <w:numPr>
          <w:ilvl w:val="4"/>
          <w:numId w:val="0"/>
        </w:numPr>
        <w:spacing w:before="120" w:beforeLines="50" w:after="120" w:afterLines="50" w:line="240" w:lineRule="auto"/>
        <w:outlineLvl w:val="4"/>
        <w:rPr>
          <w:rFonts w:ascii="黑体" w:hAnsi="Times New Roman" w:eastAsia="黑体"/>
        </w:rPr>
      </w:pPr>
      <w:r>
        <w:rPr>
          <w:rFonts w:hint="eastAsia" w:ascii="黑体" w:hAnsi="Times New Roman" w:eastAsia="黑体"/>
        </w:rPr>
        <w:t>6.3.4.5  焊球剪切试验</w:t>
      </w:r>
    </w:p>
    <w:p w14:paraId="58C7DB35">
      <w:pPr>
        <w:autoSpaceDE w:val="0"/>
        <w:autoSpaceDN w:val="0"/>
        <w:spacing w:line="240" w:lineRule="auto"/>
        <w:ind w:firstLine="420" w:firstLineChars="200"/>
        <w:rPr>
          <w:rFonts w:ascii="宋体" w:hAnsi="Times New Roman"/>
        </w:rPr>
      </w:pPr>
      <w:r>
        <w:rPr>
          <w:rFonts w:hint="eastAsia" w:ascii="宋体" w:hAnsi="Times New Roman"/>
        </w:rPr>
        <w:t>使用3个不连续批次的样品，每批次样品数量不应少于1</w:t>
      </w:r>
      <w:r>
        <w:rPr>
          <w:rFonts w:ascii="宋体" w:hAnsi="Times New Roman"/>
        </w:rPr>
        <w:t>0</w:t>
      </w:r>
      <w:r>
        <w:rPr>
          <w:rFonts w:hint="eastAsia" w:ascii="宋体" w:hAnsi="Times New Roman"/>
        </w:rPr>
        <w:t>片，每片样品选择不少于5个位置进行试验。试验前应先按照6.3.2</w:t>
      </w:r>
      <w:r>
        <w:rPr>
          <w:rFonts w:ascii="宋体" w:hAnsi="Times New Roman"/>
        </w:rPr>
        <w:t>.1</w:t>
      </w:r>
      <w:r>
        <w:rPr>
          <w:rFonts w:hint="eastAsia" w:ascii="宋体" w:hAnsi="Times New Roman"/>
        </w:rPr>
        <w:t>步骤g）的方法进行两次</w:t>
      </w:r>
      <w:r>
        <w:rPr>
          <w:rFonts w:ascii="Times New Roman" w:hAnsi="Times New Roman"/>
          <w:color w:val="231F20"/>
          <w:lang w:bidi="ar"/>
        </w:rPr>
        <w:t>封装体峰值温度（T</w:t>
      </w:r>
      <w:r>
        <w:rPr>
          <w:rFonts w:ascii="Times New Roman" w:hAnsi="Times New Roman"/>
          <w:color w:val="231F20"/>
          <w:vertAlign w:val="subscript"/>
          <w:lang w:bidi="ar"/>
        </w:rPr>
        <w:t>P</w:t>
      </w:r>
      <w:r>
        <w:rPr>
          <w:rFonts w:ascii="Times New Roman" w:hAnsi="Times New Roman"/>
          <w:color w:val="231F20"/>
          <w:lang w:bidi="ar"/>
        </w:rPr>
        <w:t>）</w:t>
      </w:r>
      <w:r>
        <w:rPr>
          <w:rFonts w:hint="eastAsia" w:ascii="宋体" w:hAnsi="Times New Roman"/>
        </w:rPr>
        <w:t>为2</w:t>
      </w:r>
      <w:r>
        <w:rPr>
          <w:rFonts w:ascii="宋体" w:hAnsi="Times New Roman"/>
        </w:rPr>
        <w:t>20</w:t>
      </w:r>
      <w:r>
        <w:rPr>
          <w:rFonts w:hint="eastAsia" w:ascii="宋体" w:hAnsi="Times New Roman"/>
        </w:rPr>
        <w:t xml:space="preserve"> ℃的再流焊试验，待样品冷却恢复常温后进行试验。</w:t>
      </w:r>
    </w:p>
    <w:p w14:paraId="06316BEE">
      <w:pPr>
        <w:autoSpaceDE w:val="0"/>
        <w:autoSpaceDN w:val="0"/>
        <w:spacing w:line="240" w:lineRule="auto"/>
        <w:ind w:firstLine="315" w:firstLineChars="150"/>
        <w:rPr>
          <w:rFonts w:hint="eastAsia" w:ascii="宋体" w:hAnsi="宋体" w:cs="宋体"/>
        </w:rPr>
      </w:pPr>
      <w:r>
        <w:rPr>
          <w:rFonts w:hint="eastAsia" w:ascii="宋体" w:hAnsi="宋体" w:cs="宋体"/>
        </w:rPr>
        <w:t>本试验的示意图见图6。推刀抬高高度为待测焊球的1/3处，剪切速度在280 μm/s～500 μm/s范围内选取，试验后在不低于40倍光学放大倍率下进行分离模式的判定，分离模式见表32。</w:t>
      </w:r>
    </w:p>
    <w:p w14:paraId="31063D9D">
      <w:pPr>
        <w:pStyle w:val="58"/>
        <w:ind w:firstLine="420"/>
        <w:jc w:val="center"/>
      </w:pPr>
      <w:r>
        <w:drawing>
          <wp:inline distT="0" distB="0" distL="114300" distR="114300">
            <wp:extent cx="3361055" cy="2247265"/>
            <wp:effectExtent l="0" t="0" r="4445" b="635"/>
            <wp:docPr id="76"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54"/>
                    <pic:cNvPicPr>
                      <a:picLocks noChangeAspect="1"/>
                    </pic:cNvPicPr>
                  </pic:nvPicPr>
                  <pic:blipFill>
                    <a:blip r:embed="rId74"/>
                    <a:stretch>
                      <a:fillRect/>
                    </a:stretch>
                  </pic:blipFill>
                  <pic:spPr>
                    <a:xfrm>
                      <a:off x="0" y="0"/>
                      <a:ext cx="3361055" cy="2247265"/>
                    </a:xfrm>
                    <a:prstGeom prst="rect">
                      <a:avLst/>
                    </a:prstGeom>
                    <a:noFill/>
                    <a:ln>
                      <a:noFill/>
                    </a:ln>
                  </pic:spPr>
                </pic:pic>
              </a:graphicData>
            </a:graphic>
          </wp:inline>
        </w:drawing>
      </w:r>
    </w:p>
    <w:p w14:paraId="577673B2">
      <w:pPr>
        <w:pStyle w:val="116"/>
        <w:numPr>
          <w:ilvl w:val="0"/>
          <w:numId w:val="0"/>
        </w:numPr>
        <w:spacing w:before="120" w:after="120"/>
        <w:rPr>
          <w:rFonts w:hint="eastAsia" w:hAnsi="黑体"/>
        </w:rPr>
      </w:pPr>
      <w:r>
        <w:rPr>
          <w:rFonts w:hint="eastAsia" w:hAnsi="黑体"/>
        </w:rPr>
        <w:t>图 6  锡球剪切试验示意图</w:t>
      </w:r>
    </w:p>
    <w:p w14:paraId="76414E53">
      <w:pPr>
        <w:adjustRightInd/>
        <w:spacing w:before="120" w:beforeLines="50" w:after="120" w:afterLines="50"/>
        <w:jc w:val="center"/>
        <w:rPr>
          <w:rFonts w:hint="eastAsia" w:ascii="黑体" w:hAnsi="黑体" w:eastAsia="黑体" w:cs="黑体"/>
        </w:rPr>
      </w:pPr>
      <w:r>
        <w:rPr>
          <w:rFonts w:hint="eastAsia" w:ascii="黑体" w:hAnsi="黑体" w:eastAsia="黑体" w:cs="黑体"/>
        </w:rPr>
        <w:t>表 32  分离模式</w:t>
      </w:r>
    </w:p>
    <w:tbl>
      <w:tblPr>
        <w:tblStyle w:val="29"/>
        <w:tblW w:w="5113" w:type="pct"/>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1790"/>
        <w:gridCol w:w="3283"/>
        <w:gridCol w:w="4523"/>
      </w:tblGrid>
      <w:tr w14:paraId="31A326F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87" w:hRule="atLeast"/>
          <w:jc w:val="center"/>
        </w:trPr>
        <w:tc>
          <w:tcPr>
            <w:tcW w:w="933" w:type="pct"/>
            <w:tcBorders>
              <w:tl2br w:val="nil"/>
              <w:tr2bl w:val="nil"/>
            </w:tcBorders>
            <w:vAlign w:val="center"/>
          </w:tcPr>
          <w:p w14:paraId="4266BE1D">
            <w:pPr>
              <w:pStyle w:val="58"/>
              <w:adjustRightInd w:val="0"/>
              <w:ind w:firstLine="0" w:firstLineChars="0"/>
              <w:jc w:val="center"/>
              <w:rPr>
                <w:sz w:val="18"/>
                <w:szCs w:val="18"/>
              </w:rPr>
            </w:pPr>
            <w:r>
              <w:rPr>
                <w:rFonts w:hint="eastAsia"/>
                <w:sz w:val="18"/>
                <w:szCs w:val="18"/>
              </w:rPr>
              <w:t>分离模式</w:t>
            </w:r>
          </w:p>
        </w:tc>
        <w:tc>
          <w:tcPr>
            <w:tcW w:w="1710" w:type="pct"/>
            <w:tcBorders>
              <w:tl2br w:val="nil"/>
              <w:tr2bl w:val="nil"/>
            </w:tcBorders>
            <w:vAlign w:val="center"/>
          </w:tcPr>
          <w:p w14:paraId="7A983107">
            <w:pPr>
              <w:pStyle w:val="58"/>
              <w:adjustRightInd w:val="0"/>
              <w:ind w:firstLine="0" w:firstLineChars="0"/>
              <w:jc w:val="center"/>
              <w:rPr>
                <w:sz w:val="18"/>
                <w:szCs w:val="18"/>
              </w:rPr>
            </w:pPr>
            <w:r>
              <w:rPr>
                <w:rFonts w:hint="eastAsia"/>
                <w:sz w:val="18"/>
                <w:szCs w:val="18"/>
              </w:rPr>
              <w:t>类别</w:t>
            </w:r>
          </w:p>
        </w:tc>
        <w:tc>
          <w:tcPr>
            <w:tcW w:w="2356" w:type="pct"/>
            <w:tcBorders>
              <w:tl2br w:val="nil"/>
              <w:tr2bl w:val="nil"/>
            </w:tcBorders>
            <w:vAlign w:val="center"/>
          </w:tcPr>
          <w:p w14:paraId="3B9DD939">
            <w:pPr>
              <w:pStyle w:val="58"/>
              <w:adjustRightInd w:val="0"/>
              <w:ind w:firstLine="0" w:firstLineChars="0"/>
              <w:jc w:val="center"/>
              <w:rPr>
                <w:sz w:val="18"/>
                <w:szCs w:val="18"/>
              </w:rPr>
            </w:pPr>
            <w:r>
              <w:rPr>
                <w:rFonts w:hint="eastAsia"/>
                <w:sz w:val="18"/>
                <w:szCs w:val="18"/>
              </w:rPr>
              <w:t>图示</w:t>
            </w:r>
          </w:p>
        </w:tc>
      </w:tr>
      <w:tr w14:paraId="7E6CFA7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304" w:hRule="atLeast"/>
          <w:jc w:val="center"/>
        </w:trPr>
        <w:tc>
          <w:tcPr>
            <w:tcW w:w="933" w:type="pct"/>
            <w:tcBorders>
              <w:tl2br w:val="nil"/>
              <w:tr2bl w:val="nil"/>
            </w:tcBorders>
            <w:vAlign w:val="center"/>
          </w:tcPr>
          <w:p w14:paraId="5B1AA19A">
            <w:pPr>
              <w:pStyle w:val="58"/>
              <w:adjustRightInd w:val="0"/>
              <w:ind w:firstLine="0" w:firstLineChars="0"/>
              <w:jc w:val="center"/>
              <w:rPr>
                <w:sz w:val="18"/>
                <w:szCs w:val="18"/>
              </w:rPr>
            </w:pPr>
            <w:r>
              <w:rPr>
                <w:rFonts w:hint="eastAsia"/>
                <w:sz w:val="18"/>
                <w:szCs w:val="18"/>
              </w:rPr>
              <w:t>1</w:t>
            </w:r>
          </w:p>
        </w:tc>
        <w:tc>
          <w:tcPr>
            <w:tcW w:w="1710" w:type="pct"/>
            <w:tcBorders>
              <w:tl2br w:val="nil"/>
              <w:tr2bl w:val="nil"/>
            </w:tcBorders>
            <w:vAlign w:val="center"/>
          </w:tcPr>
          <w:p w14:paraId="27B682EA">
            <w:pPr>
              <w:pStyle w:val="58"/>
              <w:adjustRightInd w:val="0"/>
              <w:ind w:firstLine="0" w:firstLineChars="0"/>
              <w:jc w:val="center"/>
              <w:rPr>
                <w:sz w:val="18"/>
                <w:szCs w:val="18"/>
              </w:rPr>
            </w:pPr>
            <w:r>
              <w:rPr>
                <w:rFonts w:hint="eastAsia"/>
                <w:sz w:val="18"/>
                <w:szCs w:val="18"/>
              </w:rPr>
              <w:t>焊球分离</w:t>
            </w:r>
          </w:p>
        </w:tc>
        <w:tc>
          <w:tcPr>
            <w:tcW w:w="2356" w:type="pct"/>
            <w:tcBorders>
              <w:tl2br w:val="nil"/>
              <w:tr2bl w:val="nil"/>
            </w:tcBorders>
            <w:vAlign w:val="center"/>
          </w:tcPr>
          <w:p w14:paraId="1FC9090D">
            <w:pPr>
              <w:pStyle w:val="58"/>
              <w:adjustRightInd w:val="0"/>
              <w:ind w:firstLine="0" w:firstLineChars="0"/>
              <w:jc w:val="center"/>
              <w:rPr>
                <w:sz w:val="18"/>
                <w:szCs w:val="18"/>
              </w:rPr>
            </w:pPr>
            <w:r>
              <w:rPr>
                <w:sz w:val="18"/>
                <w:szCs w:val="18"/>
              </w:rPr>
              <w:drawing>
                <wp:inline distT="0" distB="0" distL="114300" distR="114300">
                  <wp:extent cx="1028065" cy="678815"/>
                  <wp:effectExtent l="0" t="0" r="635" b="6985"/>
                  <wp:docPr id="18" name="图片 55" descr="1681347990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55" descr="1681347990310"/>
                          <pic:cNvPicPr>
                            <a:picLocks noChangeAspect="1"/>
                          </pic:cNvPicPr>
                        </pic:nvPicPr>
                        <pic:blipFill>
                          <a:blip r:embed="rId75"/>
                          <a:stretch>
                            <a:fillRect/>
                          </a:stretch>
                        </pic:blipFill>
                        <pic:spPr>
                          <a:xfrm>
                            <a:off x="0" y="0"/>
                            <a:ext cx="1028065" cy="678815"/>
                          </a:xfrm>
                          <a:prstGeom prst="rect">
                            <a:avLst/>
                          </a:prstGeom>
                          <a:noFill/>
                          <a:ln>
                            <a:noFill/>
                          </a:ln>
                        </pic:spPr>
                      </pic:pic>
                    </a:graphicData>
                  </a:graphic>
                </wp:inline>
              </w:drawing>
            </w:r>
          </w:p>
        </w:tc>
      </w:tr>
      <w:tr w14:paraId="167A4B6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236" w:hRule="atLeast"/>
          <w:jc w:val="center"/>
        </w:trPr>
        <w:tc>
          <w:tcPr>
            <w:tcW w:w="933" w:type="pct"/>
            <w:tcBorders>
              <w:tl2br w:val="nil"/>
              <w:tr2bl w:val="nil"/>
            </w:tcBorders>
            <w:vAlign w:val="center"/>
          </w:tcPr>
          <w:p w14:paraId="35D23AD1">
            <w:pPr>
              <w:pStyle w:val="58"/>
              <w:adjustRightInd w:val="0"/>
              <w:ind w:firstLine="0" w:firstLineChars="0"/>
              <w:jc w:val="center"/>
              <w:rPr>
                <w:sz w:val="18"/>
                <w:szCs w:val="18"/>
              </w:rPr>
            </w:pPr>
            <w:r>
              <w:rPr>
                <w:sz w:val="18"/>
                <w:szCs w:val="18"/>
              </w:rPr>
              <w:t>2</w:t>
            </w:r>
          </w:p>
        </w:tc>
        <w:tc>
          <w:tcPr>
            <w:tcW w:w="1710" w:type="pct"/>
            <w:tcBorders>
              <w:tl2br w:val="nil"/>
              <w:tr2bl w:val="nil"/>
            </w:tcBorders>
            <w:vAlign w:val="center"/>
          </w:tcPr>
          <w:p w14:paraId="5D2740C3">
            <w:pPr>
              <w:pStyle w:val="58"/>
              <w:adjustRightInd w:val="0"/>
              <w:ind w:firstLine="0" w:firstLineChars="0"/>
              <w:jc w:val="center"/>
              <w:rPr>
                <w:sz w:val="18"/>
                <w:szCs w:val="18"/>
              </w:rPr>
            </w:pPr>
            <w:r>
              <w:rPr>
                <w:rFonts w:hint="eastAsia"/>
                <w:sz w:val="18"/>
                <w:szCs w:val="18"/>
              </w:rPr>
              <w:t>锡镍或锡金分离</w:t>
            </w:r>
          </w:p>
        </w:tc>
        <w:tc>
          <w:tcPr>
            <w:tcW w:w="2356" w:type="pct"/>
            <w:tcBorders>
              <w:tl2br w:val="nil"/>
              <w:tr2bl w:val="nil"/>
            </w:tcBorders>
            <w:vAlign w:val="center"/>
          </w:tcPr>
          <w:p w14:paraId="45EC54B4">
            <w:pPr>
              <w:pStyle w:val="58"/>
              <w:adjustRightInd w:val="0"/>
              <w:ind w:firstLine="0" w:firstLineChars="0"/>
              <w:jc w:val="center"/>
              <w:rPr>
                <w:sz w:val="18"/>
                <w:szCs w:val="18"/>
              </w:rPr>
            </w:pPr>
            <w:r>
              <w:rPr>
                <w:sz w:val="18"/>
                <w:szCs w:val="18"/>
              </w:rPr>
              <w:drawing>
                <wp:inline distT="0" distB="0" distL="114300" distR="114300">
                  <wp:extent cx="1044575" cy="838835"/>
                  <wp:effectExtent l="0" t="0" r="9525" b="12065"/>
                  <wp:docPr id="19" name="图片 56" descr="1681349279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6" descr="1681349279499"/>
                          <pic:cNvPicPr>
                            <a:picLocks noChangeAspect="1"/>
                          </pic:cNvPicPr>
                        </pic:nvPicPr>
                        <pic:blipFill>
                          <a:blip r:embed="rId76"/>
                          <a:stretch>
                            <a:fillRect/>
                          </a:stretch>
                        </pic:blipFill>
                        <pic:spPr>
                          <a:xfrm>
                            <a:off x="0" y="0"/>
                            <a:ext cx="1044575" cy="838835"/>
                          </a:xfrm>
                          <a:prstGeom prst="rect">
                            <a:avLst/>
                          </a:prstGeom>
                          <a:noFill/>
                          <a:ln>
                            <a:noFill/>
                          </a:ln>
                        </pic:spPr>
                      </pic:pic>
                    </a:graphicData>
                  </a:graphic>
                </wp:inline>
              </w:drawing>
            </w:r>
          </w:p>
        </w:tc>
      </w:tr>
      <w:tr w14:paraId="28EC368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244" w:hRule="atLeast"/>
          <w:jc w:val="center"/>
        </w:trPr>
        <w:tc>
          <w:tcPr>
            <w:tcW w:w="933" w:type="pct"/>
            <w:tcBorders>
              <w:tl2br w:val="nil"/>
              <w:tr2bl w:val="nil"/>
            </w:tcBorders>
            <w:vAlign w:val="center"/>
          </w:tcPr>
          <w:p w14:paraId="6CAB1889">
            <w:pPr>
              <w:pStyle w:val="58"/>
              <w:adjustRightInd w:val="0"/>
              <w:ind w:firstLine="0" w:firstLineChars="0"/>
              <w:jc w:val="center"/>
              <w:rPr>
                <w:sz w:val="18"/>
                <w:szCs w:val="18"/>
              </w:rPr>
            </w:pPr>
            <w:r>
              <w:rPr>
                <w:sz w:val="18"/>
                <w:szCs w:val="18"/>
              </w:rPr>
              <w:t>3</w:t>
            </w:r>
          </w:p>
        </w:tc>
        <w:tc>
          <w:tcPr>
            <w:tcW w:w="1710" w:type="pct"/>
            <w:tcBorders>
              <w:tl2br w:val="nil"/>
              <w:tr2bl w:val="nil"/>
            </w:tcBorders>
            <w:vAlign w:val="center"/>
          </w:tcPr>
          <w:p w14:paraId="7AD93E78">
            <w:pPr>
              <w:pStyle w:val="58"/>
              <w:adjustRightInd w:val="0"/>
              <w:ind w:firstLine="0" w:firstLineChars="0"/>
              <w:jc w:val="center"/>
              <w:rPr>
                <w:sz w:val="18"/>
                <w:szCs w:val="18"/>
              </w:rPr>
            </w:pPr>
            <w:r>
              <w:rPr>
                <w:rFonts w:hint="eastAsia"/>
                <w:sz w:val="18"/>
                <w:szCs w:val="18"/>
              </w:rPr>
              <w:t>铜镍分离</w:t>
            </w:r>
          </w:p>
        </w:tc>
        <w:tc>
          <w:tcPr>
            <w:tcW w:w="2356" w:type="pct"/>
            <w:tcBorders>
              <w:tl2br w:val="nil"/>
              <w:tr2bl w:val="nil"/>
            </w:tcBorders>
            <w:vAlign w:val="center"/>
          </w:tcPr>
          <w:p w14:paraId="7B3E87C9">
            <w:pPr>
              <w:pStyle w:val="58"/>
              <w:adjustRightInd w:val="0"/>
              <w:ind w:firstLine="0" w:firstLineChars="0"/>
              <w:jc w:val="center"/>
              <w:rPr>
                <w:sz w:val="18"/>
                <w:szCs w:val="18"/>
              </w:rPr>
            </w:pPr>
            <w:r>
              <w:rPr>
                <w:sz w:val="18"/>
                <w:szCs w:val="18"/>
              </w:rPr>
              <w:drawing>
                <wp:inline distT="0" distB="0" distL="114300" distR="114300">
                  <wp:extent cx="1026795" cy="824230"/>
                  <wp:effectExtent l="0" t="0" r="1905" b="1270"/>
                  <wp:docPr id="20" name="图片 57" descr="1681349279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7" descr="1681349279499"/>
                          <pic:cNvPicPr>
                            <a:picLocks noChangeAspect="1"/>
                          </pic:cNvPicPr>
                        </pic:nvPicPr>
                        <pic:blipFill>
                          <a:blip r:embed="rId76"/>
                          <a:stretch>
                            <a:fillRect/>
                          </a:stretch>
                        </pic:blipFill>
                        <pic:spPr>
                          <a:xfrm>
                            <a:off x="0" y="0"/>
                            <a:ext cx="1026795" cy="824230"/>
                          </a:xfrm>
                          <a:prstGeom prst="rect">
                            <a:avLst/>
                          </a:prstGeom>
                          <a:noFill/>
                          <a:ln>
                            <a:noFill/>
                          </a:ln>
                        </pic:spPr>
                      </pic:pic>
                    </a:graphicData>
                  </a:graphic>
                </wp:inline>
              </w:drawing>
            </w:r>
          </w:p>
        </w:tc>
      </w:tr>
      <w:tr w14:paraId="0C15FEF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075" w:hRule="atLeast"/>
          <w:jc w:val="center"/>
        </w:trPr>
        <w:tc>
          <w:tcPr>
            <w:tcW w:w="933" w:type="pct"/>
            <w:tcBorders>
              <w:tl2br w:val="nil"/>
              <w:tr2bl w:val="nil"/>
            </w:tcBorders>
            <w:vAlign w:val="center"/>
          </w:tcPr>
          <w:p w14:paraId="08F4093F">
            <w:pPr>
              <w:pStyle w:val="58"/>
              <w:adjustRightInd w:val="0"/>
              <w:ind w:firstLine="0" w:firstLineChars="0"/>
              <w:jc w:val="center"/>
              <w:rPr>
                <w:sz w:val="18"/>
                <w:szCs w:val="18"/>
              </w:rPr>
            </w:pPr>
            <w:r>
              <w:rPr>
                <w:sz w:val="18"/>
                <w:szCs w:val="18"/>
              </w:rPr>
              <w:t>4</w:t>
            </w:r>
          </w:p>
        </w:tc>
        <w:tc>
          <w:tcPr>
            <w:tcW w:w="1710" w:type="pct"/>
            <w:tcBorders>
              <w:tl2br w:val="nil"/>
              <w:tr2bl w:val="nil"/>
            </w:tcBorders>
            <w:vAlign w:val="center"/>
          </w:tcPr>
          <w:p w14:paraId="15137E92">
            <w:pPr>
              <w:pStyle w:val="58"/>
              <w:adjustRightInd w:val="0"/>
              <w:ind w:firstLine="0" w:firstLineChars="0"/>
              <w:jc w:val="center"/>
              <w:rPr>
                <w:sz w:val="18"/>
                <w:szCs w:val="18"/>
              </w:rPr>
            </w:pPr>
            <w:r>
              <w:rPr>
                <w:rFonts w:hint="eastAsia"/>
                <w:sz w:val="18"/>
                <w:szCs w:val="18"/>
              </w:rPr>
              <w:t>焊盘分离</w:t>
            </w:r>
          </w:p>
        </w:tc>
        <w:tc>
          <w:tcPr>
            <w:tcW w:w="2356" w:type="pct"/>
            <w:tcBorders>
              <w:tl2br w:val="nil"/>
              <w:tr2bl w:val="nil"/>
            </w:tcBorders>
            <w:vAlign w:val="center"/>
          </w:tcPr>
          <w:p w14:paraId="27EB61DC">
            <w:pPr>
              <w:pStyle w:val="58"/>
              <w:adjustRightInd w:val="0"/>
              <w:ind w:firstLine="0" w:firstLineChars="0"/>
              <w:jc w:val="center"/>
              <w:rPr>
                <w:sz w:val="18"/>
                <w:szCs w:val="18"/>
              </w:rPr>
            </w:pPr>
            <w:r>
              <w:rPr>
                <w:sz w:val="18"/>
                <w:szCs w:val="18"/>
              </w:rPr>
              <w:drawing>
                <wp:inline distT="0" distB="0" distL="114300" distR="114300">
                  <wp:extent cx="958850" cy="735965"/>
                  <wp:effectExtent l="0" t="0" r="6350" b="635"/>
                  <wp:docPr id="21" name="图片 58" descr="1681348995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8" descr="1681348995651"/>
                          <pic:cNvPicPr>
                            <a:picLocks noChangeAspect="1"/>
                          </pic:cNvPicPr>
                        </pic:nvPicPr>
                        <pic:blipFill>
                          <a:blip r:embed="rId77"/>
                          <a:stretch>
                            <a:fillRect/>
                          </a:stretch>
                        </pic:blipFill>
                        <pic:spPr>
                          <a:xfrm>
                            <a:off x="0" y="0"/>
                            <a:ext cx="958850" cy="735965"/>
                          </a:xfrm>
                          <a:prstGeom prst="rect">
                            <a:avLst/>
                          </a:prstGeom>
                          <a:noFill/>
                          <a:ln>
                            <a:noFill/>
                          </a:ln>
                        </pic:spPr>
                      </pic:pic>
                    </a:graphicData>
                  </a:graphic>
                </wp:inline>
              </w:drawing>
            </w:r>
          </w:p>
        </w:tc>
      </w:tr>
      <w:tr w14:paraId="69954E0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1180" w:hRule="atLeast"/>
          <w:jc w:val="center"/>
        </w:trPr>
        <w:tc>
          <w:tcPr>
            <w:tcW w:w="933" w:type="pct"/>
            <w:tcBorders>
              <w:tl2br w:val="nil"/>
              <w:tr2bl w:val="nil"/>
            </w:tcBorders>
            <w:vAlign w:val="center"/>
          </w:tcPr>
          <w:p w14:paraId="42E29BCD">
            <w:pPr>
              <w:pStyle w:val="58"/>
              <w:adjustRightInd w:val="0"/>
              <w:ind w:firstLine="0" w:firstLineChars="0"/>
              <w:jc w:val="center"/>
              <w:rPr>
                <w:sz w:val="18"/>
                <w:szCs w:val="18"/>
              </w:rPr>
            </w:pPr>
            <w:r>
              <w:rPr>
                <w:sz w:val="18"/>
                <w:szCs w:val="18"/>
              </w:rPr>
              <w:t>5</w:t>
            </w:r>
          </w:p>
        </w:tc>
        <w:tc>
          <w:tcPr>
            <w:tcW w:w="1710" w:type="pct"/>
            <w:tcBorders>
              <w:tl2br w:val="nil"/>
              <w:tr2bl w:val="nil"/>
            </w:tcBorders>
            <w:vAlign w:val="center"/>
          </w:tcPr>
          <w:p w14:paraId="0A7FD40E">
            <w:pPr>
              <w:pStyle w:val="58"/>
              <w:adjustRightInd w:val="0"/>
              <w:ind w:firstLine="0" w:firstLineChars="0"/>
              <w:jc w:val="center"/>
              <w:rPr>
                <w:sz w:val="18"/>
                <w:szCs w:val="18"/>
              </w:rPr>
            </w:pPr>
            <w:r>
              <w:rPr>
                <w:rFonts w:hint="eastAsia"/>
                <w:sz w:val="18"/>
                <w:szCs w:val="18"/>
              </w:rPr>
              <w:t>焊球抬起分离</w:t>
            </w:r>
          </w:p>
        </w:tc>
        <w:tc>
          <w:tcPr>
            <w:tcW w:w="2356" w:type="pct"/>
            <w:tcBorders>
              <w:tl2br w:val="nil"/>
              <w:tr2bl w:val="nil"/>
            </w:tcBorders>
            <w:vAlign w:val="center"/>
          </w:tcPr>
          <w:p w14:paraId="64F6C2A0">
            <w:pPr>
              <w:pStyle w:val="58"/>
              <w:adjustRightInd w:val="0"/>
              <w:ind w:firstLine="0" w:firstLineChars="0"/>
              <w:jc w:val="center"/>
              <w:rPr>
                <w:sz w:val="18"/>
                <w:szCs w:val="18"/>
              </w:rPr>
            </w:pPr>
            <w:r>
              <w:rPr>
                <w:sz w:val="18"/>
                <w:szCs w:val="18"/>
              </w:rPr>
              <w:drawing>
                <wp:inline distT="0" distB="0" distL="114300" distR="114300">
                  <wp:extent cx="973455" cy="710565"/>
                  <wp:effectExtent l="0" t="0" r="4445" b="635"/>
                  <wp:docPr id="22" name="图片 59" descr="1681349031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59" descr="1681349031996"/>
                          <pic:cNvPicPr>
                            <a:picLocks noChangeAspect="1"/>
                          </pic:cNvPicPr>
                        </pic:nvPicPr>
                        <pic:blipFill>
                          <a:blip r:embed="rId78"/>
                          <a:stretch>
                            <a:fillRect/>
                          </a:stretch>
                        </pic:blipFill>
                        <pic:spPr>
                          <a:xfrm>
                            <a:off x="0" y="0"/>
                            <a:ext cx="973455" cy="710565"/>
                          </a:xfrm>
                          <a:prstGeom prst="rect">
                            <a:avLst/>
                          </a:prstGeom>
                          <a:noFill/>
                          <a:ln>
                            <a:noFill/>
                          </a:ln>
                        </pic:spPr>
                      </pic:pic>
                    </a:graphicData>
                  </a:graphic>
                </wp:inline>
              </w:drawing>
            </w:r>
          </w:p>
        </w:tc>
      </w:tr>
    </w:tbl>
    <w:p w14:paraId="1FDFAE46">
      <w:pPr>
        <w:autoSpaceDE w:val="0"/>
        <w:autoSpaceDN w:val="0"/>
        <w:spacing w:before="120" w:beforeLines="50" w:after="120" w:afterLines="50" w:line="240" w:lineRule="auto"/>
        <w:outlineLvl w:val="4"/>
        <w:rPr>
          <w:rFonts w:ascii="黑体" w:hAnsi="Times New Roman" w:eastAsia="黑体"/>
          <w:kern w:val="21"/>
        </w:rPr>
      </w:pPr>
      <w:r>
        <w:rPr>
          <w:rFonts w:hint="eastAsia" w:ascii="黑体" w:hAnsi="黑体" w:eastAsia="黑体" w:cs="黑体"/>
        </w:rPr>
        <w:t xml:space="preserve">6.3.4.6 </w:t>
      </w:r>
      <w:r>
        <w:rPr>
          <w:rFonts w:hint="eastAsia" w:ascii="宋体" w:hAnsi="宋体"/>
        </w:rPr>
        <w:t xml:space="preserve"> </w:t>
      </w:r>
      <w:r>
        <w:rPr>
          <w:rFonts w:hint="eastAsia" w:ascii="黑体" w:hAnsi="Times New Roman" w:eastAsia="黑体"/>
          <w:kern w:val="21"/>
        </w:rPr>
        <w:t>凸块剪切试验</w:t>
      </w:r>
    </w:p>
    <w:p w14:paraId="632D88B2">
      <w:pPr>
        <w:autoSpaceDE w:val="0"/>
        <w:autoSpaceDN w:val="0"/>
        <w:spacing w:line="240" w:lineRule="auto"/>
        <w:rPr>
          <w:rFonts w:hint="eastAsia" w:ascii="宋体" w:hAnsi="宋体" w:cs="宋体"/>
          <w:kern w:val="21"/>
        </w:rPr>
      </w:pPr>
      <w:r>
        <w:rPr>
          <w:rFonts w:hint="eastAsia" w:ascii="宋体" w:hAnsi="宋体" w:cs="宋体"/>
          <w:kern w:val="21"/>
        </w:rPr>
        <w:t xml:space="preserve">    本试验使用1个批次的样品，样品数量不应少于5片，每片样品选择不少于4个凸块进行试验。按照6.3.4.5焊球剪切试验的方法进行试验，测试有效载荷由供需双方协商确定，试验前后测量样品C</w:t>
      </w:r>
      <w:r>
        <w:rPr>
          <w:rFonts w:hint="eastAsia" w:ascii="宋体" w:hAnsi="宋体" w:cs="宋体"/>
          <w:kern w:val="21"/>
          <w:vertAlign w:val="subscript"/>
        </w:rPr>
        <w:t>pk</w:t>
      </w:r>
      <w:r>
        <w:rPr>
          <w:rFonts w:hint="eastAsia" w:ascii="宋体" w:hAnsi="宋体" w:cs="宋体"/>
          <w:kern w:val="21"/>
        </w:rPr>
        <w:t>参数。</w:t>
      </w:r>
    </w:p>
    <w:p w14:paraId="64E209A0">
      <w:pPr>
        <w:numPr>
          <w:ilvl w:val="255"/>
          <w:numId w:val="0"/>
        </w:numPr>
        <w:spacing w:before="120" w:beforeLines="50" w:after="120" w:afterLines="50" w:line="240" w:lineRule="auto"/>
        <w:outlineLvl w:val="2"/>
        <w:rPr>
          <w:rFonts w:hint="eastAsia" w:ascii="黑体" w:hAnsi="黑体" w:eastAsia="黑体" w:cs="黑体"/>
        </w:rPr>
      </w:pPr>
      <w:r>
        <w:rPr>
          <w:rFonts w:hint="eastAsia" w:ascii="黑体" w:hAnsi="黑体" w:eastAsia="黑体" w:cs="黑体"/>
        </w:rPr>
        <w:t>6.3.5  晶圆工艺可靠性试验</w:t>
      </w:r>
    </w:p>
    <w:p w14:paraId="4E982DB8">
      <w:pPr>
        <w:numPr>
          <w:ilvl w:val="255"/>
          <w:numId w:val="0"/>
        </w:numPr>
        <w:spacing w:before="120" w:beforeLines="50" w:after="120" w:afterLines="50" w:line="240" w:lineRule="auto"/>
        <w:outlineLvl w:val="5"/>
        <w:rPr>
          <w:rFonts w:hint="eastAsia" w:ascii="黑体" w:hAnsi="黑体" w:eastAsia="黑体" w:cs="黑体"/>
          <w:szCs w:val="20"/>
        </w:rPr>
      </w:pPr>
      <w:r>
        <w:rPr>
          <w:rFonts w:hint="eastAsia" w:ascii="黑体" w:hAnsi="黑体" w:eastAsia="黑体" w:cs="黑体"/>
          <w:szCs w:val="20"/>
        </w:rPr>
        <w:t>6.3.5.1  电迁移试验</w:t>
      </w:r>
    </w:p>
    <w:p w14:paraId="3F1EC994">
      <w:pPr>
        <w:autoSpaceDE w:val="0"/>
        <w:autoSpaceDN w:val="0"/>
        <w:spacing w:line="240" w:lineRule="auto"/>
        <w:ind w:firstLine="420" w:firstLineChars="200"/>
        <w:rPr>
          <w:rFonts w:hint="eastAsia" w:ascii="宋体" w:hAnsi="宋体" w:cs="宋体"/>
        </w:rPr>
      </w:pPr>
      <w:r>
        <w:rPr>
          <w:rFonts w:hint="eastAsia" w:ascii="宋体" w:hAnsi="宋体"/>
        </w:rPr>
        <w:t>参考GB/T 45722的方法进行试验</w:t>
      </w:r>
      <w:r>
        <w:rPr>
          <w:rFonts w:hint="eastAsia" w:ascii="宋体" w:hAnsi="宋体" w:cs="宋体"/>
        </w:rPr>
        <w:t>。</w:t>
      </w:r>
    </w:p>
    <w:p w14:paraId="1B281586">
      <w:pPr>
        <w:numPr>
          <w:ilvl w:val="255"/>
          <w:numId w:val="0"/>
        </w:numPr>
        <w:spacing w:before="120" w:beforeLines="50" w:after="120" w:afterLines="50" w:line="240" w:lineRule="auto"/>
        <w:outlineLvl w:val="5"/>
        <w:rPr>
          <w:rFonts w:hint="eastAsia" w:ascii="黑体" w:hAnsi="黑体" w:eastAsia="黑体" w:cs="黑体"/>
          <w:szCs w:val="20"/>
        </w:rPr>
      </w:pPr>
      <w:r>
        <w:rPr>
          <w:rFonts w:hint="eastAsia" w:ascii="黑体" w:hAnsi="黑体" w:eastAsia="黑体" w:cs="黑体"/>
          <w:szCs w:val="20"/>
        </w:rPr>
        <w:t>6.3.5.2  电介质击穿试验</w:t>
      </w:r>
    </w:p>
    <w:p w14:paraId="6BCE7897">
      <w:pPr>
        <w:autoSpaceDE w:val="0"/>
        <w:autoSpaceDN w:val="0"/>
        <w:spacing w:line="240" w:lineRule="auto"/>
        <w:ind w:firstLine="420" w:firstLineChars="200"/>
        <w:rPr>
          <w:rFonts w:hint="eastAsia" w:ascii="宋体" w:hAnsi="宋体"/>
        </w:rPr>
      </w:pPr>
      <w:r>
        <w:rPr>
          <w:rFonts w:hint="eastAsia" w:ascii="宋体" w:hAnsi="宋体"/>
        </w:rPr>
        <w:t>参考GB/T 45718、GB/T 45720的方法进行试验。</w:t>
      </w:r>
    </w:p>
    <w:p w14:paraId="6AF51A8F">
      <w:pPr>
        <w:numPr>
          <w:ilvl w:val="255"/>
          <w:numId w:val="0"/>
        </w:numPr>
        <w:spacing w:before="120" w:beforeLines="50" w:after="120" w:afterLines="50" w:line="240" w:lineRule="auto"/>
        <w:outlineLvl w:val="5"/>
        <w:rPr>
          <w:rFonts w:hint="eastAsia" w:ascii="黑体" w:hAnsi="黑体" w:eastAsia="黑体" w:cs="黑体"/>
          <w:szCs w:val="20"/>
        </w:rPr>
      </w:pPr>
      <w:r>
        <w:rPr>
          <w:rFonts w:hint="eastAsia" w:ascii="黑体" w:hAnsi="黑体" w:eastAsia="黑体" w:cs="黑体"/>
          <w:szCs w:val="20"/>
        </w:rPr>
        <w:t>6.3.5.3  热载流子注入效应试验</w:t>
      </w:r>
    </w:p>
    <w:p w14:paraId="5808DAC1">
      <w:pPr>
        <w:autoSpaceDE w:val="0"/>
        <w:autoSpaceDN w:val="0"/>
        <w:spacing w:line="240" w:lineRule="auto"/>
        <w:ind w:firstLine="420" w:firstLineChars="200"/>
        <w:rPr>
          <w:rFonts w:hint="eastAsia" w:ascii="宋体" w:hAnsi="宋体"/>
        </w:rPr>
      </w:pPr>
      <w:r>
        <w:rPr>
          <w:rFonts w:ascii="宋体" w:hAnsi="宋体"/>
        </w:rPr>
        <w:t>参考</w:t>
      </w:r>
      <w:r>
        <w:rPr>
          <w:rFonts w:hint="eastAsia" w:ascii="宋体" w:hAnsi="宋体"/>
        </w:rPr>
        <w:t>GB/T 45719</w:t>
      </w:r>
      <w:r>
        <w:rPr>
          <w:rFonts w:ascii="宋体" w:hAnsi="宋体"/>
        </w:rPr>
        <w:t>的方法进行试验</w:t>
      </w:r>
      <w:r>
        <w:rPr>
          <w:rFonts w:hint="eastAsia" w:ascii="宋体" w:hAnsi="宋体"/>
        </w:rPr>
        <w:t>。</w:t>
      </w:r>
    </w:p>
    <w:p w14:paraId="66BD1339">
      <w:pPr>
        <w:numPr>
          <w:ilvl w:val="255"/>
          <w:numId w:val="0"/>
        </w:numPr>
        <w:spacing w:before="120" w:beforeLines="50" w:after="120" w:afterLines="50" w:line="240" w:lineRule="auto"/>
        <w:outlineLvl w:val="5"/>
        <w:rPr>
          <w:rFonts w:hint="eastAsia" w:ascii="黑体" w:hAnsi="黑体" w:eastAsia="黑体" w:cs="黑体"/>
          <w:szCs w:val="20"/>
        </w:rPr>
      </w:pPr>
      <w:r>
        <w:rPr>
          <w:rFonts w:hint="eastAsia" w:ascii="黑体" w:hAnsi="黑体" w:eastAsia="黑体" w:cs="黑体"/>
          <w:szCs w:val="20"/>
        </w:rPr>
        <w:t>6.3.5.4  负偏压温度不稳定试验</w:t>
      </w:r>
    </w:p>
    <w:p w14:paraId="7E976E3C">
      <w:pPr>
        <w:autoSpaceDE w:val="0"/>
        <w:autoSpaceDN w:val="0"/>
        <w:spacing w:line="240" w:lineRule="auto"/>
        <w:ind w:firstLine="420" w:firstLineChars="200"/>
        <w:rPr>
          <w:rFonts w:hint="eastAsia" w:ascii="宋体" w:hAnsi="宋体"/>
        </w:rPr>
      </w:pPr>
      <w:r>
        <w:rPr>
          <w:rFonts w:ascii="宋体" w:hAnsi="宋体"/>
        </w:rPr>
        <w:t>参考IEC</w:t>
      </w:r>
      <w:r>
        <w:rPr>
          <w:rFonts w:ascii="宋体" w:hAnsi="宋体"/>
          <w:spacing w:val="8"/>
        </w:rPr>
        <w:t xml:space="preserve"> </w:t>
      </w:r>
      <w:r>
        <w:rPr>
          <w:rFonts w:ascii="宋体" w:hAnsi="宋体"/>
        </w:rPr>
        <w:t>62373-1</w:t>
      </w:r>
      <w:r>
        <w:rPr>
          <w:rFonts w:ascii="宋体" w:hAnsi="宋体"/>
          <w:spacing w:val="-3"/>
        </w:rPr>
        <w:t>的方法进行试验</w:t>
      </w:r>
      <w:r>
        <w:rPr>
          <w:rFonts w:hint="eastAsia" w:ascii="宋体" w:hAnsi="宋体"/>
        </w:rPr>
        <w:t>。</w:t>
      </w:r>
    </w:p>
    <w:p w14:paraId="126CEFA8">
      <w:pPr>
        <w:numPr>
          <w:ilvl w:val="255"/>
          <w:numId w:val="0"/>
        </w:numPr>
        <w:spacing w:before="120" w:beforeLines="50" w:after="120" w:afterLines="50" w:line="240" w:lineRule="auto"/>
        <w:outlineLvl w:val="5"/>
        <w:rPr>
          <w:rFonts w:hint="eastAsia" w:ascii="黑体" w:hAnsi="黑体" w:eastAsia="黑体" w:cs="黑体"/>
          <w:szCs w:val="20"/>
        </w:rPr>
      </w:pPr>
      <w:r>
        <w:rPr>
          <w:rFonts w:hint="eastAsia" w:ascii="黑体" w:hAnsi="黑体" w:eastAsia="黑体" w:cs="黑体"/>
          <w:szCs w:val="20"/>
        </w:rPr>
        <w:t>6.3.5.5  应力迁移试验</w:t>
      </w:r>
    </w:p>
    <w:p w14:paraId="7832BD3F">
      <w:pPr>
        <w:autoSpaceDE w:val="0"/>
        <w:autoSpaceDN w:val="0"/>
        <w:spacing w:line="240" w:lineRule="auto"/>
        <w:ind w:firstLine="420" w:firstLineChars="200"/>
        <w:rPr>
          <w:rFonts w:hint="eastAsia" w:ascii="宋体" w:hAnsi="宋体"/>
        </w:rPr>
      </w:pPr>
      <w:r>
        <w:rPr>
          <w:rFonts w:ascii="宋体" w:hAnsi="宋体"/>
        </w:rPr>
        <w:t>参考</w:t>
      </w:r>
      <w:r>
        <w:rPr>
          <w:rFonts w:hint="eastAsia" w:ascii="宋体" w:hAnsi="宋体"/>
        </w:rPr>
        <w:t>GB/T 45721.1</w:t>
      </w:r>
      <w:r>
        <w:rPr>
          <w:rFonts w:ascii="宋体" w:hAnsi="宋体"/>
        </w:rPr>
        <w:t>的方法进行试验</w:t>
      </w:r>
      <w:r>
        <w:rPr>
          <w:rFonts w:hint="eastAsia" w:ascii="宋体" w:hAnsi="宋体"/>
        </w:rPr>
        <w:t>。</w:t>
      </w:r>
    </w:p>
    <w:p w14:paraId="4D930316">
      <w:pPr>
        <w:numPr>
          <w:ilvl w:val="255"/>
          <w:numId w:val="0"/>
        </w:numPr>
        <w:spacing w:before="120" w:beforeLines="50" w:after="120" w:afterLines="50" w:line="240" w:lineRule="auto"/>
        <w:outlineLvl w:val="2"/>
        <w:rPr>
          <w:rFonts w:hint="eastAsia" w:ascii="黑体" w:hAnsi="黑体" w:eastAsia="黑体" w:cs="黑体"/>
        </w:rPr>
      </w:pPr>
      <w:r>
        <w:rPr>
          <w:rFonts w:hint="eastAsia" w:ascii="黑体" w:hAnsi="黑体" w:eastAsia="黑体" w:cs="黑体"/>
        </w:rPr>
        <w:t>6.3.6 电性能验证试验</w:t>
      </w:r>
    </w:p>
    <w:p w14:paraId="1BEA3DBC">
      <w:pPr>
        <w:widowControl/>
        <w:numPr>
          <w:ilvl w:val="255"/>
          <w:numId w:val="0"/>
        </w:numPr>
        <w:wordWrap w:val="0"/>
        <w:overflowPunct w:val="0"/>
        <w:autoSpaceDE w:val="0"/>
        <w:autoSpaceDN w:val="0"/>
        <w:spacing w:before="120" w:beforeLines="50" w:after="120" w:afterLines="50" w:line="240" w:lineRule="auto"/>
        <w:textAlignment w:val="baseline"/>
        <w:outlineLvl w:val="3"/>
        <w:rPr>
          <w:rFonts w:ascii="黑体" w:hAnsi="Times New Roman" w:eastAsia="黑体"/>
          <w:kern w:val="21"/>
        </w:rPr>
      </w:pPr>
      <w:bookmarkStart w:id="81" w:name="_Hlk174626495"/>
      <w:r>
        <w:rPr>
          <w:rFonts w:hint="eastAsia" w:ascii="黑体" w:hAnsi="Times New Roman" w:eastAsia="黑体"/>
          <w:kern w:val="21"/>
        </w:rPr>
        <w:t>6.3.6.1  功能/电气参数试验</w:t>
      </w:r>
      <w:bookmarkEnd w:id="81"/>
    </w:p>
    <w:p w14:paraId="044F0781">
      <w:pPr>
        <w:spacing w:line="240" w:lineRule="auto"/>
        <w:ind w:firstLine="420" w:firstLineChars="200"/>
        <w:jc w:val="left"/>
        <w:rPr>
          <w:rFonts w:hint="eastAsia" w:ascii="宋体" w:hAnsi="宋体" w:cs="宋体"/>
        </w:rPr>
      </w:pPr>
      <w:r>
        <w:rPr>
          <w:rFonts w:hint="eastAsia" w:ascii="宋体" w:hAnsi="宋体" w:cs="宋体"/>
        </w:rPr>
        <w:t xml:space="preserve">宜使用自动化测试设备（ATE）对样品的功能/电气参数进行检查。自动化测试设备的测试程序参考供应商数据手册或者产品规格书，并且测试覆盖率宜满足下列故障等级要求： </w:t>
      </w:r>
    </w:p>
    <w:p w14:paraId="66DF87CC">
      <w:pPr>
        <w:numPr>
          <w:ilvl w:val="0"/>
          <w:numId w:val="64"/>
        </w:numPr>
        <w:snapToGrid w:val="0"/>
        <w:spacing w:line="240" w:lineRule="auto"/>
        <w:ind w:left="850"/>
        <w:rPr>
          <w:rFonts w:hint="eastAsia" w:ascii="宋体" w:hAnsi="宋体" w:cs="宋体"/>
        </w:rPr>
      </w:pPr>
      <w:r>
        <w:rPr>
          <w:rFonts w:hint="eastAsia" w:ascii="宋体" w:hAnsi="宋体" w:cs="宋体"/>
        </w:rPr>
        <w:t>模拟电路或混合模式电路的模拟电路块：100%；</w:t>
      </w:r>
    </w:p>
    <w:p w14:paraId="28699632">
      <w:pPr>
        <w:numPr>
          <w:ilvl w:val="0"/>
          <w:numId w:val="64"/>
        </w:numPr>
        <w:snapToGrid w:val="0"/>
        <w:spacing w:line="240" w:lineRule="auto"/>
        <w:ind w:left="420" w:leftChars="200"/>
        <w:rPr>
          <w:rFonts w:hint="eastAsia" w:ascii="宋体" w:hAnsi="宋体" w:cs="宋体"/>
        </w:rPr>
      </w:pPr>
      <w:r>
        <w:rPr>
          <w:rFonts w:hint="eastAsia" w:ascii="宋体" w:hAnsi="宋体" w:cs="宋体"/>
        </w:rPr>
        <w:t>数字电路或混合模式电路的数字电路块逻辑翻转故障模型测试覆盖率：不低于98%；</w:t>
      </w:r>
    </w:p>
    <w:p w14:paraId="75B3C404">
      <w:pPr>
        <w:widowControl/>
        <w:numPr>
          <w:ilvl w:val="0"/>
          <w:numId w:val="64"/>
        </w:numPr>
        <w:snapToGrid w:val="0"/>
        <w:spacing w:line="240" w:lineRule="auto"/>
        <w:ind w:left="420" w:leftChars="200" w:firstLine="0"/>
        <w:jc w:val="left"/>
        <w:rPr>
          <w:rFonts w:hint="eastAsia" w:ascii="宋体" w:hAnsi="宋体" w:cs="宋体"/>
        </w:rPr>
      </w:pPr>
      <w:r>
        <w:rPr>
          <w:rFonts w:hint="eastAsia" w:ascii="宋体" w:hAnsi="宋体" w:cs="宋体"/>
        </w:rPr>
        <w:t>具有IDDQ或ISSQ的数字电路或数字电路块辑翻转故障模型测试覆盖率：不低于97%；</w:t>
      </w:r>
    </w:p>
    <w:p w14:paraId="0C73D514">
      <w:pPr>
        <w:widowControl/>
        <w:numPr>
          <w:ilvl w:val="0"/>
          <w:numId w:val="64"/>
        </w:numPr>
        <w:snapToGrid w:val="0"/>
        <w:spacing w:line="240" w:lineRule="auto"/>
        <w:ind w:left="420" w:leftChars="200" w:firstLine="0"/>
        <w:jc w:val="left"/>
        <w:rPr>
          <w:rFonts w:hint="eastAsia" w:ascii="宋体" w:hAnsi="宋体" w:cs="宋体"/>
        </w:rPr>
      </w:pPr>
      <w:r>
        <w:rPr>
          <w:rFonts w:hint="eastAsia" w:ascii="宋体" w:hAnsi="宋体" w:cs="宋体"/>
        </w:rPr>
        <w:t>利用扫描设计的数字电路或数字电路块的转换延迟故障覆盖率：不低于80%；</w:t>
      </w:r>
    </w:p>
    <w:p w14:paraId="52C20B0D">
      <w:pPr>
        <w:widowControl/>
        <w:numPr>
          <w:ilvl w:val="0"/>
          <w:numId w:val="64"/>
        </w:numPr>
        <w:snapToGrid w:val="0"/>
        <w:spacing w:line="240" w:lineRule="auto"/>
        <w:ind w:left="420" w:leftChars="200" w:firstLine="0"/>
        <w:jc w:val="left"/>
        <w:rPr>
          <w:rFonts w:hint="eastAsia" w:ascii="宋体" w:hAnsi="宋体" w:cs="宋体"/>
        </w:rPr>
      </w:pPr>
      <w:r>
        <w:rPr>
          <w:rFonts w:hint="eastAsia" w:ascii="宋体" w:hAnsi="宋体" w:cs="宋体"/>
        </w:rPr>
        <w:t>在IDDQ故障覆盖范围内使用伪固定的数字电路或数字电路块：不低于70%。</w:t>
      </w:r>
    </w:p>
    <w:p w14:paraId="792EC0B2">
      <w:pPr>
        <w:widowControl/>
        <w:numPr>
          <w:ilvl w:val="0"/>
          <w:numId w:val="64"/>
        </w:numPr>
        <w:snapToGrid w:val="0"/>
        <w:spacing w:line="240" w:lineRule="auto"/>
        <w:ind w:left="420" w:leftChars="200" w:firstLine="0"/>
        <w:jc w:val="left"/>
        <w:rPr>
          <w:rFonts w:hint="eastAsia" w:ascii="宋体" w:hAnsi="宋体" w:cs="宋体"/>
        </w:rPr>
      </w:pPr>
      <w:r>
        <w:rPr>
          <w:rFonts w:hint="eastAsia" w:ascii="宋体" w:hAnsi="宋体" w:cs="宋体"/>
        </w:rPr>
        <w:t>不满足以上测试覆盖率的技术要求时，由供需双方协商确定测试覆盖率要求并说明。</w:t>
      </w:r>
    </w:p>
    <w:p w14:paraId="11A357BD">
      <w:pPr>
        <w:widowControl/>
        <w:numPr>
          <w:ilvl w:val="255"/>
          <w:numId w:val="0"/>
        </w:numPr>
        <w:wordWrap w:val="0"/>
        <w:overflowPunct w:val="0"/>
        <w:autoSpaceDE w:val="0"/>
        <w:autoSpaceDN w:val="0"/>
        <w:spacing w:before="120" w:beforeLines="50" w:after="120" w:afterLines="50" w:line="240" w:lineRule="auto"/>
        <w:textAlignment w:val="baseline"/>
        <w:outlineLvl w:val="3"/>
        <w:rPr>
          <w:rFonts w:ascii="黑体" w:hAnsi="Times New Roman" w:eastAsia="黑体"/>
          <w:kern w:val="21"/>
        </w:rPr>
      </w:pPr>
      <w:bookmarkStart w:id="82" w:name="_Hlk174626513"/>
      <w:r>
        <w:rPr>
          <w:rFonts w:hint="eastAsia" w:ascii="黑体" w:hAnsi="Times New Roman" w:eastAsia="黑体"/>
          <w:kern w:val="21"/>
        </w:rPr>
        <w:t>6.3.6.2  人体模型静电放电试验</w:t>
      </w:r>
      <w:bookmarkEnd w:id="82"/>
    </w:p>
    <w:p w14:paraId="4269B6DE">
      <w:pPr>
        <w:autoSpaceDE w:val="0"/>
        <w:autoSpaceDN w:val="0"/>
        <w:spacing w:line="240" w:lineRule="auto"/>
        <w:ind w:firstLine="420" w:firstLineChars="200"/>
        <w:rPr>
          <w:rFonts w:ascii="宋体" w:hAnsi="Times New Roman"/>
        </w:rPr>
      </w:pPr>
      <w:r>
        <w:rPr>
          <w:rFonts w:hint="eastAsia" w:ascii="宋体" w:hAnsi="Times New Roman"/>
        </w:rPr>
        <w:t>每个电压点至少使用</w:t>
      </w:r>
      <w:r>
        <w:rPr>
          <w:rFonts w:ascii="宋体" w:hAnsi="Times New Roman"/>
        </w:rPr>
        <w:t>3</w:t>
      </w:r>
      <w:r>
        <w:rPr>
          <w:rFonts w:hint="eastAsia" w:ascii="宋体" w:hAnsi="Times New Roman"/>
        </w:rPr>
        <w:t>个样品进行试验。不同组合同一电压可使用同一个样品进行试验。按照GB/T 4937.26的方法进行试验。试验前后进行外观检查，按照6.3.6.1的方法进依次在室温和表5规定的最高工作温度下进行功能/电气参数检查，功能检查应在试验结束后96h内进行。</w:t>
      </w:r>
    </w:p>
    <w:p w14:paraId="6C9927E1">
      <w:pPr>
        <w:widowControl/>
        <w:numPr>
          <w:ilvl w:val="255"/>
          <w:numId w:val="0"/>
        </w:numPr>
        <w:wordWrap w:val="0"/>
        <w:overflowPunct w:val="0"/>
        <w:autoSpaceDE w:val="0"/>
        <w:autoSpaceDN w:val="0"/>
        <w:spacing w:before="120" w:beforeLines="50" w:after="120" w:afterLines="50" w:line="240" w:lineRule="auto"/>
        <w:textAlignment w:val="baseline"/>
        <w:outlineLvl w:val="3"/>
        <w:rPr>
          <w:rFonts w:ascii="黑体" w:hAnsi="Times New Roman" w:eastAsia="黑体"/>
          <w:kern w:val="21"/>
        </w:rPr>
      </w:pPr>
      <w:bookmarkStart w:id="83" w:name="_Hlk174626521"/>
      <w:r>
        <w:rPr>
          <w:rFonts w:hint="eastAsia" w:ascii="黑体" w:hAnsi="Times New Roman" w:eastAsia="黑体"/>
          <w:kern w:val="21"/>
        </w:rPr>
        <w:t>6.3.6.3  带电器件模型静电放电试验</w:t>
      </w:r>
      <w:bookmarkEnd w:id="83"/>
    </w:p>
    <w:p w14:paraId="4A9BDCA5">
      <w:pPr>
        <w:autoSpaceDE w:val="0"/>
        <w:autoSpaceDN w:val="0"/>
        <w:spacing w:line="240" w:lineRule="auto"/>
        <w:ind w:firstLine="420" w:firstLineChars="200"/>
        <w:rPr>
          <w:rFonts w:ascii="宋体" w:hAnsi="Times New Roman"/>
        </w:rPr>
      </w:pPr>
      <w:r>
        <w:rPr>
          <w:rFonts w:hint="eastAsia" w:ascii="宋体" w:hAnsi="Times New Roman"/>
          <w:szCs w:val="24"/>
        </w:rPr>
        <w:t>应对所有引脚进行试验，</w:t>
      </w:r>
      <w:r>
        <w:rPr>
          <w:rFonts w:hint="eastAsia" w:ascii="宋体" w:hAnsi="Times New Roman"/>
        </w:rPr>
        <w:t>试验电压依次为±2</w:t>
      </w:r>
      <w:r>
        <w:rPr>
          <w:rFonts w:ascii="宋体" w:hAnsi="Times New Roman"/>
        </w:rPr>
        <w:t>50</w:t>
      </w:r>
      <w:r>
        <w:rPr>
          <w:rFonts w:hint="eastAsia" w:ascii="宋体" w:hAnsi="Times New Roman"/>
        </w:rPr>
        <w:t xml:space="preserve"> V、±5</w:t>
      </w:r>
      <w:r>
        <w:rPr>
          <w:rFonts w:ascii="宋体" w:hAnsi="Times New Roman"/>
        </w:rPr>
        <w:t>00</w:t>
      </w:r>
      <w:r>
        <w:rPr>
          <w:rFonts w:hint="eastAsia" w:ascii="宋体" w:hAnsi="Times New Roman"/>
        </w:rPr>
        <w:t xml:space="preserve"> V、±7</w:t>
      </w:r>
      <w:r>
        <w:rPr>
          <w:rFonts w:ascii="宋体" w:hAnsi="Times New Roman"/>
        </w:rPr>
        <w:t>50</w:t>
      </w:r>
      <w:r>
        <w:rPr>
          <w:rFonts w:hint="eastAsia" w:ascii="宋体" w:hAnsi="Times New Roman"/>
        </w:rPr>
        <w:t xml:space="preserve"> V，也可由供需双方协商确定试验电压。每个引脚至少进行3次正电压和3次负电压的试验，施加电压的时间间隔不应少于0.3s。每个电压点至少使用</w:t>
      </w:r>
      <w:r>
        <w:rPr>
          <w:rFonts w:ascii="宋体" w:hAnsi="Times New Roman"/>
        </w:rPr>
        <w:t>3</w:t>
      </w:r>
      <w:r>
        <w:rPr>
          <w:rFonts w:hint="eastAsia" w:ascii="宋体" w:hAnsi="Times New Roman"/>
        </w:rPr>
        <w:t>个样品进行试验，不同电压可使用同一个样品进行试验。器件ESD失效阈值等级见表33。试验前后进行外观检查，按照6.3.6.1的方法进依次在室温和表5规定的最高工作温度下进行功能/电气参数检查，功能检查应在试验结束后96 h内进行。</w:t>
      </w:r>
    </w:p>
    <w:p w14:paraId="586C9429">
      <w:pPr>
        <w:spacing w:before="120" w:beforeLines="50" w:after="120" w:afterLines="50" w:line="240" w:lineRule="auto"/>
        <w:jc w:val="center"/>
        <w:rPr>
          <w:rFonts w:hint="eastAsia" w:ascii="黑体" w:hAnsi="黑体" w:eastAsia="黑体" w:cs="黑体"/>
        </w:rPr>
      </w:pPr>
      <w:r>
        <w:rPr>
          <w:rFonts w:hint="eastAsia" w:ascii="黑体" w:hAnsi="黑体" w:eastAsia="黑体" w:cs="黑体"/>
        </w:rPr>
        <w:t>表 33  带电器件模型静电放电试验条件</w:t>
      </w:r>
    </w:p>
    <w:tbl>
      <w:tblPr>
        <w:tblStyle w:val="28"/>
        <w:tblW w:w="493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4173"/>
        <w:gridCol w:w="5095"/>
      </w:tblGrid>
      <w:tr w14:paraId="070D31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6" w:hRule="atLeast"/>
          <w:jc w:val="center"/>
        </w:trPr>
        <w:tc>
          <w:tcPr>
            <w:tcW w:w="2251" w:type="pct"/>
            <w:tcBorders>
              <w:tl2br w:val="nil"/>
              <w:tr2bl w:val="nil"/>
            </w:tcBorders>
            <w:vAlign w:val="center"/>
          </w:tcPr>
          <w:p w14:paraId="587CCA26">
            <w:pPr>
              <w:pStyle w:val="242"/>
              <w:spacing w:line="240" w:lineRule="auto"/>
              <w:ind w:firstLine="0" w:firstLineChars="0"/>
              <w:rPr>
                <w:rFonts w:hint="eastAsia" w:ascii="宋体" w:hAnsi="宋体"/>
                <w:sz w:val="18"/>
                <w:szCs w:val="18"/>
              </w:rPr>
            </w:pPr>
            <w:r>
              <w:rPr>
                <w:rFonts w:ascii="宋体" w:hAnsi="宋体"/>
                <w:sz w:val="18"/>
                <w:szCs w:val="18"/>
              </w:rPr>
              <w:t>级别</w:t>
            </w:r>
          </w:p>
        </w:tc>
        <w:tc>
          <w:tcPr>
            <w:tcW w:w="2748" w:type="pct"/>
            <w:tcBorders>
              <w:tl2br w:val="nil"/>
              <w:tr2bl w:val="nil"/>
            </w:tcBorders>
            <w:vAlign w:val="center"/>
          </w:tcPr>
          <w:p w14:paraId="46640B2A">
            <w:pPr>
              <w:pStyle w:val="242"/>
              <w:spacing w:line="240" w:lineRule="auto"/>
              <w:ind w:firstLine="0" w:firstLineChars="0"/>
              <w:rPr>
                <w:rFonts w:hint="eastAsia" w:ascii="宋体" w:hAnsi="宋体"/>
                <w:sz w:val="18"/>
                <w:szCs w:val="18"/>
              </w:rPr>
            </w:pPr>
            <w:r>
              <w:rPr>
                <w:rFonts w:ascii="宋体" w:hAnsi="宋体"/>
                <w:sz w:val="18"/>
                <w:szCs w:val="18"/>
              </w:rPr>
              <w:t>电压范围U</w:t>
            </w:r>
          </w:p>
        </w:tc>
      </w:tr>
      <w:tr w14:paraId="7F322C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64" w:hRule="atLeast"/>
          <w:jc w:val="center"/>
        </w:trPr>
        <w:tc>
          <w:tcPr>
            <w:tcW w:w="2251" w:type="pct"/>
            <w:tcBorders>
              <w:tl2br w:val="nil"/>
              <w:tr2bl w:val="nil"/>
            </w:tcBorders>
            <w:vAlign w:val="center"/>
          </w:tcPr>
          <w:p w14:paraId="2036ED59">
            <w:pPr>
              <w:pStyle w:val="242"/>
              <w:spacing w:line="240" w:lineRule="auto"/>
              <w:ind w:firstLine="0" w:firstLineChars="0"/>
              <w:rPr>
                <w:rFonts w:hint="eastAsia" w:ascii="宋体" w:hAnsi="宋体"/>
                <w:sz w:val="18"/>
                <w:szCs w:val="18"/>
              </w:rPr>
            </w:pPr>
            <w:r>
              <w:rPr>
                <w:rFonts w:hint="eastAsia" w:ascii="宋体" w:hAnsi="宋体"/>
                <w:sz w:val="18"/>
                <w:szCs w:val="18"/>
              </w:rPr>
              <w:t>C</w:t>
            </w:r>
            <w:r>
              <w:rPr>
                <w:rFonts w:ascii="宋体" w:hAnsi="宋体"/>
                <w:sz w:val="18"/>
                <w:szCs w:val="18"/>
              </w:rPr>
              <w:t>0a</w:t>
            </w:r>
          </w:p>
        </w:tc>
        <w:tc>
          <w:tcPr>
            <w:tcW w:w="2748" w:type="pct"/>
            <w:tcBorders>
              <w:tl2br w:val="nil"/>
              <w:tr2bl w:val="nil"/>
            </w:tcBorders>
            <w:vAlign w:val="center"/>
          </w:tcPr>
          <w:p w14:paraId="763C37B6">
            <w:pPr>
              <w:pStyle w:val="242"/>
              <w:spacing w:line="240" w:lineRule="auto"/>
              <w:ind w:firstLine="0" w:firstLineChars="0"/>
              <w:rPr>
                <w:rFonts w:hint="eastAsia" w:ascii="宋体" w:hAnsi="宋体"/>
                <w:sz w:val="18"/>
                <w:szCs w:val="18"/>
              </w:rPr>
            </w:pPr>
            <w:r>
              <w:rPr>
                <w:rFonts w:ascii="宋体" w:hAnsi="宋体"/>
                <w:sz w:val="18"/>
                <w:szCs w:val="18"/>
              </w:rPr>
              <w:t>U</w:t>
            </w:r>
            <w:r>
              <w:rPr>
                <w:rFonts w:hint="eastAsia" w:ascii="宋体" w:hAnsi="宋体"/>
                <w:sz w:val="18"/>
                <w:szCs w:val="18"/>
              </w:rPr>
              <w:t>＜</w:t>
            </w:r>
            <w:r>
              <w:rPr>
                <w:rFonts w:ascii="宋体" w:hAnsi="宋体"/>
                <w:sz w:val="18"/>
                <w:szCs w:val="18"/>
              </w:rPr>
              <w:t>125</w:t>
            </w:r>
            <w:r>
              <w:rPr>
                <w:rFonts w:hint="eastAsia" w:ascii="宋体" w:hAnsi="宋体"/>
                <w:sz w:val="18"/>
                <w:szCs w:val="18"/>
              </w:rPr>
              <w:t xml:space="preserve"> </w:t>
            </w:r>
            <w:r>
              <w:rPr>
                <w:rFonts w:ascii="宋体" w:hAnsi="宋体"/>
                <w:sz w:val="18"/>
                <w:szCs w:val="18"/>
              </w:rPr>
              <w:t>V</w:t>
            </w:r>
          </w:p>
        </w:tc>
      </w:tr>
      <w:tr w14:paraId="2A6204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64" w:hRule="atLeast"/>
          <w:jc w:val="center"/>
        </w:trPr>
        <w:tc>
          <w:tcPr>
            <w:tcW w:w="2251" w:type="pct"/>
            <w:tcBorders>
              <w:tl2br w:val="nil"/>
              <w:tr2bl w:val="nil"/>
            </w:tcBorders>
            <w:vAlign w:val="center"/>
          </w:tcPr>
          <w:p w14:paraId="42ED1BF9">
            <w:pPr>
              <w:pStyle w:val="242"/>
              <w:spacing w:line="240" w:lineRule="auto"/>
              <w:ind w:firstLine="0" w:firstLineChars="0"/>
              <w:rPr>
                <w:rFonts w:hint="eastAsia" w:ascii="宋体" w:hAnsi="宋体"/>
                <w:sz w:val="18"/>
                <w:szCs w:val="18"/>
              </w:rPr>
            </w:pPr>
            <w:r>
              <w:rPr>
                <w:rFonts w:hint="eastAsia" w:ascii="宋体" w:hAnsi="宋体"/>
                <w:sz w:val="18"/>
                <w:szCs w:val="18"/>
              </w:rPr>
              <w:t>C</w:t>
            </w:r>
            <w:r>
              <w:rPr>
                <w:rFonts w:ascii="宋体" w:hAnsi="宋体"/>
                <w:sz w:val="18"/>
                <w:szCs w:val="18"/>
              </w:rPr>
              <w:t>0b</w:t>
            </w:r>
          </w:p>
        </w:tc>
        <w:tc>
          <w:tcPr>
            <w:tcW w:w="2748" w:type="pct"/>
            <w:tcBorders>
              <w:tl2br w:val="nil"/>
              <w:tr2bl w:val="nil"/>
            </w:tcBorders>
            <w:vAlign w:val="center"/>
          </w:tcPr>
          <w:p w14:paraId="1D56EA2A">
            <w:pPr>
              <w:pStyle w:val="242"/>
              <w:spacing w:line="240" w:lineRule="auto"/>
              <w:ind w:firstLine="0" w:firstLineChars="0"/>
              <w:rPr>
                <w:rFonts w:hint="eastAsia" w:ascii="宋体" w:hAnsi="宋体"/>
                <w:sz w:val="18"/>
                <w:szCs w:val="18"/>
              </w:rPr>
            </w:pPr>
            <w:r>
              <w:rPr>
                <w:rFonts w:ascii="宋体" w:hAnsi="宋体"/>
                <w:sz w:val="18"/>
                <w:szCs w:val="18"/>
              </w:rPr>
              <w:t>125V≤U</w:t>
            </w:r>
            <w:r>
              <w:rPr>
                <w:rFonts w:hint="eastAsia" w:ascii="宋体" w:hAnsi="宋体"/>
                <w:sz w:val="18"/>
                <w:szCs w:val="18"/>
              </w:rPr>
              <w:t>＜</w:t>
            </w:r>
            <w:r>
              <w:rPr>
                <w:rFonts w:ascii="宋体" w:hAnsi="宋体"/>
                <w:sz w:val="18"/>
                <w:szCs w:val="18"/>
              </w:rPr>
              <w:t>250</w:t>
            </w:r>
            <w:r>
              <w:rPr>
                <w:rFonts w:hint="eastAsia" w:ascii="宋体" w:hAnsi="宋体"/>
                <w:sz w:val="18"/>
                <w:szCs w:val="18"/>
              </w:rPr>
              <w:t xml:space="preserve"> </w:t>
            </w:r>
            <w:r>
              <w:rPr>
                <w:rFonts w:ascii="宋体" w:hAnsi="宋体"/>
                <w:sz w:val="18"/>
                <w:szCs w:val="18"/>
              </w:rPr>
              <w:t>V</w:t>
            </w:r>
          </w:p>
        </w:tc>
      </w:tr>
      <w:tr w14:paraId="473979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64" w:hRule="atLeast"/>
          <w:jc w:val="center"/>
        </w:trPr>
        <w:tc>
          <w:tcPr>
            <w:tcW w:w="2251" w:type="pct"/>
            <w:tcBorders>
              <w:tl2br w:val="nil"/>
              <w:tr2bl w:val="nil"/>
            </w:tcBorders>
            <w:vAlign w:val="center"/>
          </w:tcPr>
          <w:p w14:paraId="0D4FD7A3">
            <w:pPr>
              <w:pStyle w:val="242"/>
              <w:spacing w:line="240" w:lineRule="auto"/>
              <w:ind w:firstLine="0" w:firstLineChars="0"/>
              <w:rPr>
                <w:rFonts w:hint="eastAsia" w:ascii="宋体" w:hAnsi="宋体"/>
                <w:sz w:val="18"/>
                <w:szCs w:val="18"/>
              </w:rPr>
            </w:pPr>
            <w:r>
              <w:rPr>
                <w:rFonts w:hint="eastAsia" w:ascii="宋体" w:hAnsi="宋体"/>
                <w:sz w:val="18"/>
                <w:szCs w:val="18"/>
              </w:rPr>
              <w:t>C</w:t>
            </w:r>
            <w:r>
              <w:rPr>
                <w:rFonts w:ascii="宋体" w:hAnsi="宋体"/>
                <w:sz w:val="18"/>
                <w:szCs w:val="18"/>
              </w:rPr>
              <w:t>1</w:t>
            </w:r>
          </w:p>
        </w:tc>
        <w:tc>
          <w:tcPr>
            <w:tcW w:w="2748" w:type="pct"/>
            <w:tcBorders>
              <w:tl2br w:val="nil"/>
              <w:tr2bl w:val="nil"/>
            </w:tcBorders>
            <w:vAlign w:val="center"/>
          </w:tcPr>
          <w:p w14:paraId="4B103120">
            <w:pPr>
              <w:pStyle w:val="242"/>
              <w:spacing w:line="240" w:lineRule="auto"/>
              <w:ind w:firstLine="0" w:firstLineChars="0"/>
              <w:rPr>
                <w:rFonts w:hint="eastAsia" w:ascii="宋体" w:hAnsi="宋体"/>
                <w:sz w:val="18"/>
                <w:szCs w:val="18"/>
              </w:rPr>
            </w:pPr>
            <w:r>
              <w:rPr>
                <w:rFonts w:ascii="宋体" w:hAnsi="宋体"/>
                <w:sz w:val="18"/>
                <w:szCs w:val="18"/>
              </w:rPr>
              <w:t>250 V≤U</w:t>
            </w:r>
            <w:r>
              <w:rPr>
                <w:rFonts w:hint="eastAsia" w:ascii="宋体" w:hAnsi="宋体"/>
                <w:sz w:val="18"/>
                <w:szCs w:val="18"/>
              </w:rPr>
              <w:t>＜</w:t>
            </w:r>
            <w:r>
              <w:rPr>
                <w:rFonts w:ascii="宋体" w:hAnsi="宋体"/>
                <w:sz w:val="18"/>
                <w:szCs w:val="18"/>
              </w:rPr>
              <w:t>500</w:t>
            </w:r>
            <w:r>
              <w:rPr>
                <w:rFonts w:hint="eastAsia" w:ascii="宋体" w:hAnsi="宋体"/>
                <w:sz w:val="18"/>
                <w:szCs w:val="18"/>
              </w:rPr>
              <w:t xml:space="preserve"> </w:t>
            </w:r>
            <w:r>
              <w:rPr>
                <w:rFonts w:ascii="宋体" w:hAnsi="宋体"/>
                <w:sz w:val="18"/>
                <w:szCs w:val="18"/>
              </w:rPr>
              <w:t>V</w:t>
            </w:r>
          </w:p>
        </w:tc>
      </w:tr>
      <w:tr w14:paraId="30A2A2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64" w:hRule="atLeast"/>
          <w:jc w:val="center"/>
        </w:trPr>
        <w:tc>
          <w:tcPr>
            <w:tcW w:w="2251" w:type="pct"/>
            <w:tcBorders>
              <w:tl2br w:val="nil"/>
              <w:tr2bl w:val="nil"/>
            </w:tcBorders>
            <w:vAlign w:val="center"/>
          </w:tcPr>
          <w:p w14:paraId="02EBC544">
            <w:pPr>
              <w:pStyle w:val="242"/>
              <w:spacing w:line="240" w:lineRule="auto"/>
              <w:ind w:firstLine="0" w:firstLineChars="0"/>
              <w:rPr>
                <w:rFonts w:hint="eastAsia" w:ascii="宋体" w:hAnsi="宋体"/>
                <w:sz w:val="18"/>
                <w:szCs w:val="18"/>
              </w:rPr>
            </w:pPr>
            <w:r>
              <w:rPr>
                <w:rFonts w:hint="eastAsia" w:ascii="宋体" w:hAnsi="宋体"/>
                <w:sz w:val="18"/>
                <w:szCs w:val="18"/>
              </w:rPr>
              <w:t>C</w:t>
            </w:r>
            <w:r>
              <w:rPr>
                <w:rFonts w:ascii="宋体" w:hAnsi="宋体"/>
                <w:sz w:val="18"/>
                <w:szCs w:val="18"/>
              </w:rPr>
              <w:t>2</w:t>
            </w:r>
          </w:p>
        </w:tc>
        <w:tc>
          <w:tcPr>
            <w:tcW w:w="2748" w:type="pct"/>
            <w:tcBorders>
              <w:tl2br w:val="nil"/>
              <w:tr2bl w:val="nil"/>
            </w:tcBorders>
            <w:vAlign w:val="center"/>
          </w:tcPr>
          <w:p w14:paraId="29FB8178">
            <w:pPr>
              <w:pStyle w:val="242"/>
              <w:spacing w:line="240" w:lineRule="auto"/>
              <w:ind w:firstLine="0" w:firstLineChars="0"/>
              <w:rPr>
                <w:rFonts w:hint="eastAsia" w:ascii="宋体" w:hAnsi="宋体"/>
                <w:sz w:val="18"/>
                <w:szCs w:val="18"/>
              </w:rPr>
            </w:pPr>
            <w:r>
              <w:rPr>
                <w:rFonts w:ascii="宋体" w:hAnsi="宋体"/>
                <w:sz w:val="18"/>
                <w:szCs w:val="18"/>
              </w:rPr>
              <w:t>500 V≤U</w:t>
            </w:r>
            <w:r>
              <w:rPr>
                <w:rFonts w:hint="eastAsia" w:ascii="宋体" w:hAnsi="宋体"/>
                <w:sz w:val="18"/>
                <w:szCs w:val="18"/>
              </w:rPr>
              <w:t>＜</w:t>
            </w:r>
            <w:r>
              <w:rPr>
                <w:rFonts w:ascii="宋体" w:hAnsi="宋体"/>
                <w:sz w:val="18"/>
                <w:szCs w:val="18"/>
              </w:rPr>
              <w:t>750</w:t>
            </w:r>
            <w:r>
              <w:rPr>
                <w:rFonts w:hint="eastAsia" w:ascii="宋体" w:hAnsi="宋体"/>
                <w:sz w:val="18"/>
                <w:szCs w:val="18"/>
              </w:rPr>
              <w:t xml:space="preserve"> </w:t>
            </w:r>
            <w:r>
              <w:rPr>
                <w:rFonts w:ascii="宋体" w:hAnsi="宋体"/>
                <w:sz w:val="18"/>
                <w:szCs w:val="18"/>
              </w:rPr>
              <w:t>V</w:t>
            </w:r>
          </w:p>
        </w:tc>
      </w:tr>
      <w:tr w14:paraId="0E804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18" w:hRule="atLeast"/>
          <w:jc w:val="center"/>
        </w:trPr>
        <w:tc>
          <w:tcPr>
            <w:tcW w:w="2251" w:type="pct"/>
            <w:tcBorders>
              <w:tl2br w:val="nil"/>
              <w:tr2bl w:val="nil"/>
            </w:tcBorders>
            <w:vAlign w:val="center"/>
          </w:tcPr>
          <w:p w14:paraId="6A34710F">
            <w:pPr>
              <w:pStyle w:val="242"/>
              <w:spacing w:line="240" w:lineRule="auto"/>
              <w:ind w:firstLine="0" w:firstLineChars="0"/>
              <w:rPr>
                <w:rFonts w:hint="eastAsia" w:ascii="宋体" w:hAnsi="宋体"/>
                <w:sz w:val="18"/>
                <w:szCs w:val="18"/>
              </w:rPr>
            </w:pPr>
            <w:r>
              <w:rPr>
                <w:rFonts w:hint="eastAsia" w:ascii="宋体" w:hAnsi="宋体"/>
                <w:sz w:val="18"/>
                <w:szCs w:val="18"/>
              </w:rPr>
              <w:t>C</w:t>
            </w:r>
            <w:r>
              <w:rPr>
                <w:rFonts w:ascii="宋体" w:hAnsi="宋体"/>
                <w:sz w:val="18"/>
                <w:szCs w:val="18"/>
              </w:rPr>
              <w:t>2a</w:t>
            </w:r>
          </w:p>
        </w:tc>
        <w:tc>
          <w:tcPr>
            <w:tcW w:w="2748" w:type="pct"/>
            <w:tcBorders>
              <w:tl2br w:val="nil"/>
              <w:tr2bl w:val="nil"/>
            </w:tcBorders>
            <w:vAlign w:val="center"/>
          </w:tcPr>
          <w:p w14:paraId="78E24F0C">
            <w:pPr>
              <w:pStyle w:val="242"/>
              <w:spacing w:line="240" w:lineRule="auto"/>
              <w:ind w:firstLine="0" w:firstLineChars="0"/>
              <w:rPr>
                <w:rFonts w:hint="eastAsia" w:ascii="宋体" w:hAnsi="宋体"/>
                <w:sz w:val="18"/>
                <w:szCs w:val="18"/>
              </w:rPr>
            </w:pPr>
            <w:r>
              <w:rPr>
                <w:rFonts w:hint="eastAsia" w:ascii="宋体" w:hAnsi="宋体"/>
                <w:sz w:val="18"/>
                <w:szCs w:val="18"/>
              </w:rPr>
              <w:t>角引脚7</w:t>
            </w:r>
            <w:r>
              <w:rPr>
                <w:rFonts w:ascii="宋体" w:hAnsi="宋体"/>
                <w:sz w:val="18"/>
                <w:szCs w:val="18"/>
              </w:rPr>
              <w:t>50 V≤U</w:t>
            </w:r>
            <w:r>
              <w:rPr>
                <w:rFonts w:hint="eastAsia" w:ascii="宋体" w:hAnsi="宋体"/>
                <w:sz w:val="18"/>
                <w:szCs w:val="18"/>
              </w:rPr>
              <w:t>＜</w:t>
            </w:r>
            <w:r>
              <w:rPr>
                <w:rFonts w:ascii="宋体" w:hAnsi="宋体"/>
                <w:sz w:val="18"/>
                <w:szCs w:val="18"/>
              </w:rPr>
              <w:t>1000</w:t>
            </w:r>
            <w:r>
              <w:rPr>
                <w:rFonts w:hint="eastAsia" w:ascii="宋体" w:hAnsi="宋体"/>
                <w:sz w:val="18"/>
                <w:szCs w:val="18"/>
              </w:rPr>
              <w:t xml:space="preserve"> </w:t>
            </w:r>
            <w:r>
              <w:rPr>
                <w:rFonts w:ascii="宋体" w:hAnsi="宋体"/>
                <w:sz w:val="18"/>
                <w:szCs w:val="18"/>
              </w:rPr>
              <w:t xml:space="preserve">V </w:t>
            </w:r>
          </w:p>
          <w:p w14:paraId="1CFF7034">
            <w:pPr>
              <w:adjustRightInd/>
              <w:spacing w:line="240" w:lineRule="auto"/>
              <w:jc w:val="center"/>
              <w:rPr>
                <w:rFonts w:hint="eastAsia" w:ascii="宋体" w:hAnsi="宋体"/>
                <w:kern w:val="0"/>
                <w:sz w:val="18"/>
                <w:szCs w:val="18"/>
              </w:rPr>
            </w:pPr>
            <w:r>
              <w:rPr>
                <w:rFonts w:hint="eastAsia" w:ascii="宋体" w:hAnsi="宋体"/>
                <w:kern w:val="0"/>
                <w:sz w:val="18"/>
                <w:szCs w:val="18"/>
              </w:rPr>
              <w:t>其他引脚</w:t>
            </w:r>
            <w:r>
              <w:rPr>
                <w:rFonts w:ascii="宋体" w:hAnsi="宋体"/>
                <w:sz w:val="18"/>
                <w:szCs w:val="18"/>
              </w:rPr>
              <w:t>500 V≤U</w:t>
            </w:r>
            <w:r>
              <w:rPr>
                <w:rFonts w:hint="eastAsia" w:ascii="宋体" w:hAnsi="宋体"/>
                <w:sz w:val="18"/>
                <w:szCs w:val="18"/>
              </w:rPr>
              <w:t>＜</w:t>
            </w:r>
            <w:r>
              <w:rPr>
                <w:rFonts w:ascii="宋体" w:hAnsi="宋体"/>
                <w:sz w:val="18"/>
                <w:szCs w:val="18"/>
              </w:rPr>
              <w:t>750</w:t>
            </w:r>
            <w:r>
              <w:rPr>
                <w:rFonts w:hint="eastAsia" w:ascii="宋体" w:hAnsi="宋体"/>
                <w:sz w:val="18"/>
                <w:szCs w:val="18"/>
              </w:rPr>
              <w:t xml:space="preserve"> </w:t>
            </w:r>
            <w:r>
              <w:rPr>
                <w:rFonts w:ascii="宋体" w:hAnsi="宋体"/>
                <w:sz w:val="18"/>
                <w:szCs w:val="18"/>
              </w:rPr>
              <w:t>V</w:t>
            </w:r>
          </w:p>
        </w:tc>
      </w:tr>
      <w:tr w14:paraId="0B0A8D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64" w:hRule="atLeast"/>
          <w:jc w:val="center"/>
        </w:trPr>
        <w:tc>
          <w:tcPr>
            <w:tcW w:w="2251" w:type="pct"/>
            <w:tcBorders>
              <w:tl2br w:val="nil"/>
              <w:tr2bl w:val="nil"/>
            </w:tcBorders>
            <w:vAlign w:val="center"/>
          </w:tcPr>
          <w:p w14:paraId="69AFF917">
            <w:pPr>
              <w:pStyle w:val="242"/>
              <w:spacing w:line="240" w:lineRule="auto"/>
              <w:ind w:firstLine="0" w:firstLineChars="0"/>
              <w:rPr>
                <w:rFonts w:hint="eastAsia" w:ascii="宋体" w:hAnsi="宋体"/>
                <w:sz w:val="18"/>
                <w:szCs w:val="18"/>
              </w:rPr>
            </w:pPr>
            <w:r>
              <w:rPr>
                <w:rFonts w:hint="eastAsia" w:ascii="宋体" w:hAnsi="宋体"/>
                <w:sz w:val="18"/>
                <w:szCs w:val="18"/>
              </w:rPr>
              <w:t>C</w:t>
            </w:r>
            <w:r>
              <w:rPr>
                <w:rFonts w:ascii="宋体" w:hAnsi="宋体"/>
                <w:sz w:val="18"/>
                <w:szCs w:val="18"/>
              </w:rPr>
              <w:t>2b</w:t>
            </w:r>
          </w:p>
        </w:tc>
        <w:tc>
          <w:tcPr>
            <w:tcW w:w="2748" w:type="pct"/>
            <w:tcBorders>
              <w:tl2br w:val="nil"/>
              <w:tr2bl w:val="nil"/>
            </w:tcBorders>
            <w:vAlign w:val="center"/>
          </w:tcPr>
          <w:p w14:paraId="1EF3D3A1">
            <w:pPr>
              <w:pStyle w:val="242"/>
              <w:spacing w:line="240" w:lineRule="auto"/>
              <w:ind w:firstLine="0" w:firstLineChars="0"/>
              <w:rPr>
                <w:rFonts w:hint="eastAsia" w:ascii="宋体" w:hAnsi="宋体"/>
                <w:sz w:val="18"/>
                <w:szCs w:val="18"/>
              </w:rPr>
            </w:pPr>
            <w:r>
              <w:rPr>
                <w:rFonts w:ascii="宋体" w:hAnsi="宋体"/>
                <w:sz w:val="18"/>
                <w:szCs w:val="18"/>
              </w:rPr>
              <w:t>750 V≤U</w:t>
            </w:r>
            <w:r>
              <w:rPr>
                <w:rFonts w:hint="eastAsia" w:ascii="宋体" w:hAnsi="宋体"/>
                <w:sz w:val="18"/>
                <w:szCs w:val="18"/>
              </w:rPr>
              <w:t>＜</w:t>
            </w:r>
            <w:r>
              <w:rPr>
                <w:rFonts w:ascii="宋体" w:hAnsi="宋体"/>
                <w:sz w:val="18"/>
                <w:szCs w:val="18"/>
              </w:rPr>
              <w:t>1000</w:t>
            </w:r>
            <w:r>
              <w:rPr>
                <w:rFonts w:hint="eastAsia" w:ascii="宋体" w:hAnsi="宋体"/>
                <w:sz w:val="18"/>
                <w:szCs w:val="18"/>
              </w:rPr>
              <w:t xml:space="preserve"> </w:t>
            </w:r>
            <w:r>
              <w:rPr>
                <w:rFonts w:ascii="宋体" w:hAnsi="宋体"/>
                <w:sz w:val="18"/>
                <w:szCs w:val="18"/>
              </w:rPr>
              <w:t>V</w:t>
            </w:r>
          </w:p>
        </w:tc>
      </w:tr>
      <w:tr w14:paraId="45DF1B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97" w:hRule="atLeast"/>
          <w:jc w:val="center"/>
        </w:trPr>
        <w:tc>
          <w:tcPr>
            <w:tcW w:w="2251" w:type="pct"/>
            <w:tcBorders>
              <w:tl2br w:val="nil"/>
              <w:tr2bl w:val="nil"/>
            </w:tcBorders>
            <w:vAlign w:val="center"/>
          </w:tcPr>
          <w:p w14:paraId="2ED0E83C">
            <w:pPr>
              <w:pStyle w:val="242"/>
              <w:spacing w:line="240" w:lineRule="auto"/>
              <w:ind w:firstLine="0" w:firstLineChars="0"/>
              <w:rPr>
                <w:rFonts w:hint="eastAsia" w:ascii="宋体" w:hAnsi="宋体"/>
                <w:sz w:val="18"/>
                <w:szCs w:val="18"/>
              </w:rPr>
            </w:pPr>
            <w:r>
              <w:rPr>
                <w:rFonts w:hint="eastAsia" w:ascii="宋体" w:hAnsi="宋体"/>
                <w:sz w:val="18"/>
                <w:szCs w:val="18"/>
              </w:rPr>
              <w:t>C</w:t>
            </w:r>
            <w:r>
              <w:rPr>
                <w:rFonts w:ascii="宋体" w:hAnsi="宋体"/>
                <w:sz w:val="18"/>
                <w:szCs w:val="18"/>
              </w:rPr>
              <w:t>3</w:t>
            </w:r>
          </w:p>
        </w:tc>
        <w:tc>
          <w:tcPr>
            <w:tcW w:w="2748" w:type="pct"/>
            <w:tcBorders>
              <w:tl2br w:val="nil"/>
              <w:tr2bl w:val="nil"/>
            </w:tcBorders>
            <w:vAlign w:val="center"/>
          </w:tcPr>
          <w:p w14:paraId="1F6A2376">
            <w:pPr>
              <w:pStyle w:val="242"/>
              <w:spacing w:line="240" w:lineRule="auto"/>
              <w:ind w:firstLine="0" w:firstLineChars="0"/>
              <w:rPr>
                <w:rFonts w:hint="eastAsia" w:ascii="宋体" w:hAnsi="宋体"/>
                <w:sz w:val="18"/>
                <w:szCs w:val="18"/>
              </w:rPr>
            </w:pPr>
            <w:r>
              <w:rPr>
                <w:rFonts w:ascii="宋体" w:hAnsi="宋体"/>
                <w:sz w:val="18"/>
                <w:szCs w:val="18"/>
              </w:rPr>
              <w:t>U</w:t>
            </w:r>
            <w:r>
              <w:rPr>
                <w:rFonts w:hint="eastAsia" w:ascii="宋体" w:hAnsi="宋体"/>
                <w:sz w:val="18"/>
                <w:szCs w:val="18"/>
              </w:rPr>
              <w:t>≥</w:t>
            </w:r>
            <w:r>
              <w:rPr>
                <w:rFonts w:ascii="宋体" w:hAnsi="宋体"/>
                <w:sz w:val="18"/>
                <w:szCs w:val="18"/>
              </w:rPr>
              <w:t>1000</w:t>
            </w:r>
            <w:r>
              <w:rPr>
                <w:rFonts w:hint="eastAsia" w:ascii="宋体" w:hAnsi="宋体"/>
                <w:sz w:val="18"/>
                <w:szCs w:val="18"/>
              </w:rPr>
              <w:t xml:space="preserve"> </w:t>
            </w:r>
            <w:r>
              <w:rPr>
                <w:rFonts w:ascii="宋体" w:hAnsi="宋体"/>
                <w:sz w:val="18"/>
                <w:szCs w:val="18"/>
              </w:rPr>
              <w:t>V</w:t>
            </w:r>
          </w:p>
        </w:tc>
      </w:tr>
    </w:tbl>
    <w:p w14:paraId="1B26D348">
      <w:pPr>
        <w:widowControl/>
        <w:numPr>
          <w:ilvl w:val="255"/>
          <w:numId w:val="0"/>
        </w:numPr>
        <w:wordWrap w:val="0"/>
        <w:overflowPunct w:val="0"/>
        <w:autoSpaceDE w:val="0"/>
        <w:autoSpaceDN w:val="0"/>
        <w:spacing w:before="120" w:beforeLines="50" w:after="120" w:afterLines="50" w:line="240" w:lineRule="auto"/>
        <w:textAlignment w:val="baseline"/>
        <w:outlineLvl w:val="3"/>
        <w:rPr>
          <w:rFonts w:ascii="黑体" w:hAnsi="Times New Roman" w:eastAsia="黑体"/>
          <w:kern w:val="21"/>
        </w:rPr>
      </w:pPr>
      <w:r>
        <w:rPr>
          <w:rFonts w:hint="eastAsia" w:ascii="黑体" w:hAnsi="Times New Roman" w:eastAsia="黑体"/>
          <w:kern w:val="21"/>
        </w:rPr>
        <w:t>6.3.6.4  闩锁效应试验</w:t>
      </w:r>
    </w:p>
    <w:p w14:paraId="3B842C20">
      <w:pPr>
        <w:autoSpaceDE w:val="0"/>
        <w:autoSpaceDN w:val="0"/>
        <w:spacing w:line="240" w:lineRule="auto"/>
        <w:ind w:firstLine="420" w:firstLineChars="200"/>
        <w:rPr>
          <w:rFonts w:ascii="宋体" w:hAnsi="Times New Roman"/>
        </w:rPr>
      </w:pPr>
      <w:r>
        <w:rPr>
          <w:rFonts w:hint="eastAsia" w:ascii="宋体" w:hAnsi="Times New Roman"/>
        </w:rPr>
        <w:t>使用1个批次的3个样品进行试验。本试验包括电流试验和电压试验两个部分，其中所有电源引脚应进行电压试验，非电源、地引脚可进行电流试验或电压试验。</w:t>
      </w:r>
    </w:p>
    <w:p w14:paraId="589D9F97">
      <w:pPr>
        <w:autoSpaceDE w:val="0"/>
        <w:autoSpaceDN w:val="0"/>
        <w:spacing w:line="240" w:lineRule="auto"/>
        <w:ind w:firstLine="420" w:firstLineChars="200"/>
        <w:rPr>
          <w:rFonts w:ascii="宋体" w:hAnsi="Times New Roman"/>
        </w:rPr>
      </w:pPr>
      <w:r>
        <w:rPr>
          <w:rFonts w:hint="eastAsia" w:ascii="宋体" w:hAnsi="Times New Roman"/>
        </w:rPr>
        <w:t>在表5规定的最高工作温度下进行试验，对样品施加产品规定的最大工作电压，测量纯电动客车用电源管理芯片的</w:t>
      </w:r>
      <w:r>
        <w:rPr>
          <w:rFonts w:ascii="宋体" w:hAnsi="Times New Roman"/>
        </w:rPr>
        <w:t>I</w:t>
      </w:r>
      <w:r>
        <w:rPr>
          <w:rFonts w:ascii="宋体" w:hAnsi="Times New Roman"/>
          <w:vertAlign w:val="subscript"/>
        </w:rPr>
        <w:t>nor</w:t>
      </w:r>
      <w:r>
        <w:rPr>
          <w:rFonts w:hint="eastAsia" w:ascii="宋体" w:hAnsi="Times New Roman"/>
        </w:rPr>
        <w:t>，随后按照表34的条件施加1</w:t>
      </w:r>
      <w:r>
        <w:rPr>
          <w:rFonts w:ascii="宋体" w:hAnsi="Times New Roman"/>
        </w:rPr>
        <w:t>0</w:t>
      </w:r>
      <w:r>
        <w:rPr>
          <w:rFonts w:hint="eastAsia" w:ascii="宋体" w:hAnsi="Times New Roman"/>
        </w:rPr>
        <w:t xml:space="preserve"> ms电压或电流，测量施加电压或电流后电源引脚的电流值。对于传感器，还应在传感器电源管理芯片输入的最大、最小值（或最恶劣的输入情况）的条件下进行闩锁效应试验。试验前后进行外观检查，按照6.3.6.1的方法进依次在室温和表5规定的最高工作温度下进行功能/电气参数检查。</w:t>
      </w:r>
    </w:p>
    <w:p w14:paraId="32004723">
      <w:pPr>
        <w:numPr>
          <w:ilvl w:val="255"/>
          <w:numId w:val="0"/>
        </w:numPr>
        <w:snapToGrid w:val="0"/>
        <w:spacing w:before="120" w:beforeLines="50" w:after="120" w:afterLines="50" w:line="240" w:lineRule="auto"/>
        <w:jc w:val="center"/>
        <w:textAlignment w:val="baseline"/>
        <w:rPr>
          <w:rFonts w:ascii="黑体" w:hAnsi="Times New Roman" w:eastAsia="黑体"/>
          <w:kern w:val="21"/>
        </w:rPr>
      </w:pPr>
      <w:r>
        <w:rPr>
          <w:rFonts w:hint="eastAsia" w:ascii="黑体" w:hAnsi="Times New Roman" w:eastAsia="黑体"/>
          <w:kern w:val="21"/>
        </w:rPr>
        <w:t>表 34  闩锁试验条件</w:t>
      </w:r>
    </w:p>
    <w:tbl>
      <w:tblPr>
        <w:tblStyle w:val="29"/>
        <w:tblW w:w="9378" w:type="dxa"/>
        <w:jc w:val="center"/>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1271"/>
        <w:gridCol w:w="1852"/>
        <w:gridCol w:w="1709"/>
        <w:gridCol w:w="2670"/>
        <w:gridCol w:w="1876"/>
      </w:tblGrid>
      <w:tr w14:paraId="39AA421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38" w:hRule="atLeast"/>
          <w:tblHeader/>
          <w:jc w:val="center"/>
        </w:trPr>
        <w:tc>
          <w:tcPr>
            <w:tcW w:w="1271" w:type="dxa"/>
            <w:tcBorders>
              <w:tl2br w:val="nil"/>
              <w:tr2bl w:val="nil"/>
            </w:tcBorders>
            <w:vAlign w:val="center"/>
          </w:tcPr>
          <w:p w14:paraId="4FB5D70A">
            <w:pPr>
              <w:autoSpaceDE w:val="0"/>
              <w:autoSpaceDN w:val="0"/>
              <w:jc w:val="center"/>
              <w:rPr>
                <w:rFonts w:ascii="宋体" w:hAnsi="Times New Roman"/>
                <w:sz w:val="18"/>
              </w:rPr>
            </w:pPr>
            <w:r>
              <w:rPr>
                <w:rFonts w:ascii="宋体" w:hAnsi="Times New Roman"/>
                <w:sz w:val="18"/>
              </w:rPr>
              <w:t>试验类型</w:t>
            </w:r>
          </w:p>
        </w:tc>
        <w:tc>
          <w:tcPr>
            <w:tcW w:w="1852" w:type="dxa"/>
            <w:tcBorders>
              <w:tl2br w:val="nil"/>
              <w:tr2bl w:val="nil"/>
            </w:tcBorders>
            <w:vAlign w:val="center"/>
          </w:tcPr>
          <w:p w14:paraId="0E0785DC">
            <w:pPr>
              <w:autoSpaceDE w:val="0"/>
              <w:autoSpaceDN w:val="0"/>
              <w:jc w:val="center"/>
              <w:rPr>
                <w:rFonts w:ascii="宋体" w:hAnsi="Times New Roman"/>
                <w:sz w:val="18"/>
              </w:rPr>
            </w:pPr>
            <w:r>
              <w:rPr>
                <w:rFonts w:ascii="宋体" w:hAnsi="Times New Roman"/>
                <w:sz w:val="18"/>
              </w:rPr>
              <w:t>试验极性</w:t>
            </w:r>
          </w:p>
        </w:tc>
        <w:tc>
          <w:tcPr>
            <w:tcW w:w="1709" w:type="dxa"/>
            <w:tcBorders>
              <w:tl2br w:val="nil"/>
              <w:tr2bl w:val="nil"/>
            </w:tcBorders>
            <w:vAlign w:val="center"/>
          </w:tcPr>
          <w:p w14:paraId="51A6F9A0">
            <w:pPr>
              <w:autoSpaceDE w:val="0"/>
              <w:autoSpaceDN w:val="0"/>
              <w:jc w:val="center"/>
              <w:rPr>
                <w:rFonts w:ascii="宋体" w:hAnsi="Times New Roman"/>
                <w:sz w:val="18"/>
              </w:rPr>
            </w:pPr>
            <w:r>
              <w:rPr>
                <w:rFonts w:ascii="宋体" w:hAnsi="Times New Roman"/>
                <w:sz w:val="18"/>
              </w:rPr>
              <w:t>输入引脚供电电压</w:t>
            </w:r>
          </w:p>
        </w:tc>
        <w:tc>
          <w:tcPr>
            <w:tcW w:w="2670" w:type="dxa"/>
            <w:tcBorders>
              <w:tl2br w:val="nil"/>
              <w:tr2bl w:val="nil"/>
            </w:tcBorders>
            <w:vAlign w:val="center"/>
          </w:tcPr>
          <w:p w14:paraId="0DC34B84">
            <w:pPr>
              <w:autoSpaceDE w:val="0"/>
              <w:autoSpaceDN w:val="0"/>
              <w:jc w:val="center"/>
              <w:rPr>
                <w:rFonts w:ascii="宋体" w:hAnsi="Times New Roman"/>
                <w:sz w:val="18"/>
              </w:rPr>
            </w:pPr>
            <w:r>
              <w:rPr>
                <w:rFonts w:ascii="宋体" w:hAnsi="Times New Roman"/>
                <w:sz w:val="18"/>
              </w:rPr>
              <w:t>电源引脚供电压</w:t>
            </w:r>
          </w:p>
        </w:tc>
        <w:tc>
          <w:tcPr>
            <w:tcW w:w="1876" w:type="dxa"/>
            <w:tcBorders>
              <w:tl2br w:val="nil"/>
              <w:tr2bl w:val="nil"/>
            </w:tcBorders>
            <w:vAlign w:val="center"/>
          </w:tcPr>
          <w:p w14:paraId="1834B902">
            <w:pPr>
              <w:autoSpaceDE w:val="0"/>
              <w:autoSpaceDN w:val="0"/>
              <w:jc w:val="center"/>
              <w:rPr>
                <w:rFonts w:ascii="宋体" w:hAnsi="Times New Roman"/>
                <w:sz w:val="18"/>
              </w:rPr>
            </w:pPr>
            <w:r>
              <w:rPr>
                <w:rFonts w:ascii="宋体" w:hAnsi="Times New Roman"/>
                <w:sz w:val="18"/>
              </w:rPr>
              <w:t>试验条件</w:t>
            </w:r>
          </w:p>
        </w:tc>
      </w:tr>
      <w:tr w14:paraId="5EA474C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38" w:hRule="atLeast"/>
          <w:jc w:val="center"/>
        </w:trPr>
        <w:tc>
          <w:tcPr>
            <w:tcW w:w="1271" w:type="dxa"/>
            <w:vMerge w:val="restart"/>
            <w:tcBorders>
              <w:tl2br w:val="nil"/>
              <w:tr2bl w:val="nil"/>
            </w:tcBorders>
            <w:vAlign w:val="center"/>
          </w:tcPr>
          <w:p w14:paraId="53B64751">
            <w:pPr>
              <w:autoSpaceDE w:val="0"/>
              <w:autoSpaceDN w:val="0"/>
              <w:jc w:val="center"/>
              <w:rPr>
                <w:rFonts w:ascii="宋体" w:hAnsi="Times New Roman"/>
                <w:sz w:val="18"/>
              </w:rPr>
            </w:pPr>
            <w:r>
              <w:rPr>
                <w:rFonts w:ascii="宋体" w:hAnsi="Times New Roman"/>
                <w:sz w:val="18"/>
              </w:rPr>
              <w:t>电流试验</w:t>
            </w:r>
          </w:p>
        </w:tc>
        <w:tc>
          <w:tcPr>
            <w:tcW w:w="1852" w:type="dxa"/>
            <w:vMerge w:val="restart"/>
            <w:tcBorders>
              <w:tl2br w:val="nil"/>
              <w:tr2bl w:val="nil"/>
            </w:tcBorders>
            <w:vAlign w:val="center"/>
          </w:tcPr>
          <w:p w14:paraId="12DADBE6">
            <w:pPr>
              <w:autoSpaceDE w:val="0"/>
              <w:autoSpaceDN w:val="0"/>
              <w:jc w:val="center"/>
              <w:rPr>
                <w:rFonts w:ascii="宋体" w:hAnsi="Times New Roman"/>
                <w:sz w:val="18"/>
              </w:rPr>
            </w:pPr>
            <w:r>
              <w:rPr>
                <w:rFonts w:ascii="宋体" w:hAnsi="Times New Roman"/>
                <w:sz w:val="18"/>
              </w:rPr>
              <w:t>正电流</w:t>
            </w:r>
          </w:p>
        </w:tc>
        <w:tc>
          <w:tcPr>
            <w:tcW w:w="1709" w:type="dxa"/>
            <w:tcBorders>
              <w:tl2br w:val="nil"/>
              <w:tr2bl w:val="nil"/>
            </w:tcBorders>
            <w:vAlign w:val="center"/>
          </w:tcPr>
          <w:p w14:paraId="7132C87D">
            <w:pPr>
              <w:autoSpaceDE w:val="0"/>
              <w:autoSpaceDN w:val="0"/>
              <w:jc w:val="center"/>
              <w:rPr>
                <w:rFonts w:ascii="宋体" w:hAnsi="Times New Roman"/>
                <w:sz w:val="18"/>
              </w:rPr>
            </w:pPr>
            <w:r>
              <w:rPr>
                <w:rFonts w:ascii="宋体" w:hAnsi="Times New Roman"/>
                <w:sz w:val="18"/>
              </w:rPr>
              <w:t>最大工作电压</w:t>
            </w:r>
          </w:p>
        </w:tc>
        <w:tc>
          <w:tcPr>
            <w:tcW w:w="2670" w:type="dxa"/>
            <w:tcBorders>
              <w:tl2br w:val="nil"/>
              <w:tr2bl w:val="nil"/>
            </w:tcBorders>
            <w:vAlign w:val="center"/>
          </w:tcPr>
          <w:p w14:paraId="44425D9E">
            <w:pPr>
              <w:autoSpaceDE w:val="0"/>
              <w:autoSpaceDN w:val="0"/>
              <w:jc w:val="center"/>
              <w:rPr>
                <w:rFonts w:ascii="宋体" w:hAnsi="Times New Roman"/>
                <w:sz w:val="18"/>
              </w:rPr>
            </w:pPr>
            <w:r>
              <w:rPr>
                <w:rFonts w:ascii="宋体" w:hAnsi="Times New Roman"/>
                <w:sz w:val="18"/>
              </w:rPr>
              <w:t>产品规定的最大工作电压V</w:t>
            </w:r>
            <w:r>
              <w:rPr>
                <w:rFonts w:ascii="宋体" w:hAnsi="Times New Roman"/>
                <w:sz w:val="18"/>
                <w:vertAlign w:val="subscript"/>
              </w:rPr>
              <w:t>max</w:t>
            </w:r>
          </w:p>
        </w:tc>
        <w:tc>
          <w:tcPr>
            <w:tcW w:w="1876" w:type="dxa"/>
            <w:tcBorders>
              <w:tl2br w:val="nil"/>
              <w:tr2bl w:val="nil"/>
            </w:tcBorders>
            <w:vAlign w:val="center"/>
          </w:tcPr>
          <w:p w14:paraId="410E5A21">
            <w:pPr>
              <w:autoSpaceDE w:val="0"/>
              <w:autoSpaceDN w:val="0"/>
              <w:jc w:val="center"/>
              <w:rPr>
                <w:rFonts w:ascii="宋体" w:hAnsi="Times New Roman"/>
                <w:sz w:val="18"/>
              </w:rPr>
            </w:pPr>
            <w:r>
              <w:rPr>
                <w:rFonts w:ascii="宋体" w:hAnsi="宋体"/>
                <w:sz w:val="18"/>
              </w:rPr>
              <w:t>≥</w:t>
            </w:r>
            <w:r>
              <w:rPr>
                <w:rFonts w:ascii="宋体" w:hAnsi="Times New Roman"/>
                <w:sz w:val="18"/>
              </w:rPr>
              <w:t>100</w:t>
            </w:r>
            <w:r>
              <w:rPr>
                <w:rFonts w:hint="eastAsia" w:ascii="宋体" w:hAnsi="Times New Roman"/>
                <w:sz w:val="18"/>
              </w:rPr>
              <w:t xml:space="preserve"> </w:t>
            </w:r>
            <w:r>
              <w:rPr>
                <w:rFonts w:ascii="宋体" w:hAnsi="Times New Roman"/>
                <w:sz w:val="18"/>
              </w:rPr>
              <w:t>mA</w:t>
            </w:r>
            <w:r>
              <w:rPr>
                <w:rFonts w:ascii="宋体" w:hAnsi="Times New Roman"/>
                <w:sz w:val="18"/>
                <w:vertAlign w:val="superscript"/>
              </w:rPr>
              <w:t>a</w:t>
            </w:r>
          </w:p>
        </w:tc>
      </w:tr>
      <w:tr w14:paraId="20BB294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3" w:hRule="atLeast"/>
          <w:jc w:val="center"/>
        </w:trPr>
        <w:tc>
          <w:tcPr>
            <w:tcW w:w="1271" w:type="dxa"/>
            <w:vMerge w:val="continue"/>
            <w:tcBorders>
              <w:tl2br w:val="nil"/>
              <w:tr2bl w:val="nil"/>
            </w:tcBorders>
            <w:vAlign w:val="center"/>
          </w:tcPr>
          <w:p w14:paraId="66202F55">
            <w:pPr>
              <w:autoSpaceDE w:val="0"/>
              <w:autoSpaceDN w:val="0"/>
              <w:jc w:val="center"/>
              <w:rPr>
                <w:rFonts w:ascii="宋体" w:hAnsi="Times New Roman"/>
                <w:sz w:val="18"/>
              </w:rPr>
            </w:pPr>
          </w:p>
        </w:tc>
        <w:tc>
          <w:tcPr>
            <w:tcW w:w="1852" w:type="dxa"/>
            <w:vMerge w:val="continue"/>
            <w:tcBorders>
              <w:tl2br w:val="nil"/>
              <w:tr2bl w:val="nil"/>
            </w:tcBorders>
            <w:vAlign w:val="center"/>
          </w:tcPr>
          <w:p w14:paraId="7BC4CF8E">
            <w:pPr>
              <w:autoSpaceDE w:val="0"/>
              <w:autoSpaceDN w:val="0"/>
              <w:jc w:val="center"/>
              <w:rPr>
                <w:rFonts w:ascii="宋体" w:hAnsi="Times New Roman"/>
                <w:sz w:val="18"/>
              </w:rPr>
            </w:pPr>
          </w:p>
        </w:tc>
        <w:tc>
          <w:tcPr>
            <w:tcW w:w="1709" w:type="dxa"/>
            <w:tcBorders>
              <w:tl2br w:val="nil"/>
              <w:tr2bl w:val="nil"/>
            </w:tcBorders>
            <w:vAlign w:val="center"/>
          </w:tcPr>
          <w:p w14:paraId="485B6835">
            <w:pPr>
              <w:autoSpaceDE w:val="0"/>
              <w:autoSpaceDN w:val="0"/>
              <w:jc w:val="center"/>
              <w:rPr>
                <w:rFonts w:ascii="宋体" w:hAnsi="Times New Roman"/>
                <w:sz w:val="18"/>
              </w:rPr>
            </w:pPr>
            <w:r>
              <w:rPr>
                <w:rFonts w:ascii="宋体" w:hAnsi="Times New Roman"/>
                <w:sz w:val="18"/>
              </w:rPr>
              <w:t>最小工作电压</w:t>
            </w:r>
          </w:p>
        </w:tc>
        <w:tc>
          <w:tcPr>
            <w:tcW w:w="2670" w:type="dxa"/>
            <w:tcBorders>
              <w:tl2br w:val="nil"/>
              <w:tr2bl w:val="nil"/>
            </w:tcBorders>
            <w:vAlign w:val="center"/>
          </w:tcPr>
          <w:p w14:paraId="75B98933">
            <w:pPr>
              <w:autoSpaceDE w:val="0"/>
              <w:autoSpaceDN w:val="0"/>
              <w:jc w:val="center"/>
              <w:rPr>
                <w:rFonts w:ascii="宋体" w:hAnsi="Times New Roman"/>
                <w:sz w:val="18"/>
              </w:rPr>
            </w:pPr>
            <w:r>
              <w:rPr>
                <w:rFonts w:ascii="宋体" w:hAnsi="Times New Roman"/>
                <w:sz w:val="18"/>
              </w:rPr>
              <w:t>产品规定的最大工作电压V</w:t>
            </w:r>
            <w:r>
              <w:rPr>
                <w:rFonts w:ascii="宋体" w:hAnsi="Times New Roman"/>
                <w:sz w:val="18"/>
                <w:vertAlign w:val="subscript"/>
              </w:rPr>
              <w:t>max</w:t>
            </w:r>
          </w:p>
        </w:tc>
        <w:tc>
          <w:tcPr>
            <w:tcW w:w="1876" w:type="dxa"/>
            <w:tcBorders>
              <w:tl2br w:val="nil"/>
              <w:tr2bl w:val="nil"/>
            </w:tcBorders>
            <w:vAlign w:val="center"/>
          </w:tcPr>
          <w:p w14:paraId="69D16276">
            <w:pPr>
              <w:autoSpaceDE w:val="0"/>
              <w:autoSpaceDN w:val="0"/>
              <w:jc w:val="center"/>
              <w:rPr>
                <w:rFonts w:ascii="宋体" w:hAnsi="Times New Roman"/>
                <w:sz w:val="18"/>
              </w:rPr>
            </w:pPr>
            <w:r>
              <w:rPr>
                <w:rFonts w:ascii="宋体" w:hAnsi="宋体"/>
                <w:sz w:val="18"/>
              </w:rPr>
              <w:t>≥</w:t>
            </w:r>
            <w:r>
              <w:rPr>
                <w:rFonts w:ascii="宋体" w:hAnsi="Times New Roman"/>
                <w:sz w:val="18"/>
              </w:rPr>
              <w:t>100</w:t>
            </w:r>
            <w:r>
              <w:rPr>
                <w:rFonts w:hint="eastAsia" w:ascii="宋体" w:hAnsi="Times New Roman"/>
                <w:sz w:val="18"/>
              </w:rPr>
              <w:t xml:space="preserve"> </w:t>
            </w:r>
            <w:r>
              <w:rPr>
                <w:rFonts w:ascii="宋体" w:hAnsi="Times New Roman"/>
                <w:sz w:val="18"/>
              </w:rPr>
              <w:t>mA</w:t>
            </w:r>
            <w:r>
              <w:rPr>
                <w:rFonts w:ascii="宋体" w:hAnsi="Times New Roman"/>
                <w:sz w:val="18"/>
                <w:vertAlign w:val="superscript"/>
              </w:rPr>
              <w:t>a</w:t>
            </w:r>
          </w:p>
        </w:tc>
      </w:tr>
      <w:tr w14:paraId="7D77898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26" w:hRule="atLeast"/>
          <w:jc w:val="center"/>
        </w:trPr>
        <w:tc>
          <w:tcPr>
            <w:tcW w:w="1271" w:type="dxa"/>
            <w:vMerge w:val="continue"/>
            <w:tcBorders>
              <w:tl2br w:val="nil"/>
              <w:tr2bl w:val="nil"/>
            </w:tcBorders>
            <w:vAlign w:val="center"/>
          </w:tcPr>
          <w:p w14:paraId="472C400C">
            <w:pPr>
              <w:autoSpaceDE w:val="0"/>
              <w:autoSpaceDN w:val="0"/>
              <w:jc w:val="center"/>
              <w:rPr>
                <w:rFonts w:ascii="宋体" w:hAnsi="Times New Roman"/>
                <w:sz w:val="18"/>
              </w:rPr>
            </w:pPr>
          </w:p>
        </w:tc>
        <w:tc>
          <w:tcPr>
            <w:tcW w:w="1852" w:type="dxa"/>
            <w:vMerge w:val="restart"/>
            <w:tcBorders>
              <w:tl2br w:val="nil"/>
              <w:tr2bl w:val="nil"/>
            </w:tcBorders>
            <w:vAlign w:val="center"/>
          </w:tcPr>
          <w:p w14:paraId="07A1D45F">
            <w:pPr>
              <w:autoSpaceDE w:val="0"/>
              <w:autoSpaceDN w:val="0"/>
              <w:jc w:val="center"/>
              <w:rPr>
                <w:rFonts w:ascii="宋体" w:hAnsi="Times New Roman"/>
                <w:sz w:val="18"/>
              </w:rPr>
            </w:pPr>
            <w:r>
              <w:rPr>
                <w:rFonts w:ascii="宋体" w:hAnsi="Times New Roman"/>
                <w:sz w:val="18"/>
              </w:rPr>
              <w:t>负电流</w:t>
            </w:r>
          </w:p>
        </w:tc>
        <w:tc>
          <w:tcPr>
            <w:tcW w:w="1709" w:type="dxa"/>
            <w:tcBorders>
              <w:tl2br w:val="nil"/>
              <w:tr2bl w:val="nil"/>
            </w:tcBorders>
            <w:vAlign w:val="center"/>
          </w:tcPr>
          <w:p w14:paraId="665CE2FA">
            <w:pPr>
              <w:autoSpaceDE w:val="0"/>
              <w:autoSpaceDN w:val="0"/>
              <w:jc w:val="center"/>
              <w:rPr>
                <w:rFonts w:ascii="宋体" w:hAnsi="Times New Roman"/>
                <w:sz w:val="18"/>
              </w:rPr>
            </w:pPr>
            <w:r>
              <w:rPr>
                <w:rFonts w:ascii="宋体" w:hAnsi="Times New Roman"/>
                <w:sz w:val="18"/>
              </w:rPr>
              <w:t>最大工作电压</w:t>
            </w:r>
          </w:p>
        </w:tc>
        <w:tc>
          <w:tcPr>
            <w:tcW w:w="2670" w:type="dxa"/>
            <w:tcBorders>
              <w:tl2br w:val="nil"/>
              <w:tr2bl w:val="nil"/>
            </w:tcBorders>
            <w:vAlign w:val="center"/>
          </w:tcPr>
          <w:p w14:paraId="147C7FF1">
            <w:pPr>
              <w:autoSpaceDE w:val="0"/>
              <w:autoSpaceDN w:val="0"/>
              <w:jc w:val="center"/>
              <w:rPr>
                <w:rFonts w:ascii="宋体" w:hAnsi="Times New Roman"/>
                <w:sz w:val="18"/>
              </w:rPr>
            </w:pPr>
            <w:r>
              <w:rPr>
                <w:rFonts w:ascii="宋体" w:hAnsi="Times New Roman"/>
                <w:sz w:val="18"/>
              </w:rPr>
              <w:t>产品规定的最大工作电压V</w:t>
            </w:r>
            <w:r>
              <w:rPr>
                <w:rFonts w:ascii="宋体" w:hAnsi="Times New Roman"/>
                <w:sz w:val="18"/>
                <w:vertAlign w:val="subscript"/>
              </w:rPr>
              <w:t>max</w:t>
            </w:r>
          </w:p>
        </w:tc>
        <w:tc>
          <w:tcPr>
            <w:tcW w:w="1876" w:type="dxa"/>
            <w:tcBorders>
              <w:tl2br w:val="nil"/>
              <w:tr2bl w:val="nil"/>
            </w:tcBorders>
            <w:vAlign w:val="center"/>
          </w:tcPr>
          <w:p w14:paraId="07450257">
            <w:pPr>
              <w:autoSpaceDE w:val="0"/>
              <w:autoSpaceDN w:val="0"/>
              <w:jc w:val="center"/>
              <w:rPr>
                <w:rFonts w:ascii="宋体" w:hAnsi="Times New Roman"/>
                <w:sz w:val="18"/>
              </w:rPr>
            </w:pPr>
            <w:r>
              <w:rPr>
                <w:rFonts w:ascii="宋体" w:hAnsi="宋体"/>
                <w:sz w:val="18"/>
              </w:rPr>
              <w:t>≤</w:t>
            </w:r>
            <w:r>
              <w:rPr>
                <w:rFonts w:ascii="宋体" w:hAnsi="Times New Roman"/>
                <w:sz w:val="18"/>
              </w:rPr>
              <w:t>-100</w:t>
            </w:r>
            <w:r>
              <w:rPr>
                <w:rFonts w:hint="eastAsia" w:ascii="宋体" w:hAnsi="Times New Roman"/>
                <w:sz w:val="18"/>
              </w:rPr>
              <w:t xml:space="preserve"> </w:t>
            </w:r>
            <w:r>
              <w:rPr>
                <w:rFonts w:ascii="宋体" w:hAnsi="Times New Roman"/>
                <w:sz w:val="18"/>
              </w:rPr>
              <w:t>mA</w:t>
            </w:r>
            <w:r>
              <w:rPr>
                <w:rFonts w:ascii="宋体" w:hAnsi="Times New Roman"/>
                <w:sz w:val="18"/>
                <w:vertAlign w:val="superscript"/>
              </w:rPr>
              <w:t>a</w:t>
            </w:r>
          </w:p>
        </w:tc>
      </w:tr>
      <w:tr w14:paraId="606A6F3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11" w:hRule="atLeast"/>
          <w:jc w:val="center"/>
        </w:trPr>
        <w:tc>
          <w:tcPr>
            <w:tcW w:w="1271" w:type="dxa"/>
            <w:vMerge w:val="continue"/>
            <w:tcBorders>
              <w:tl2br w:val="nil"/>
              <w:tr2bl w:val="nil"/>
            </w:tcBorders>
            <w:vAlign w:val="center"/>
          </w:tcPr>
          <w:p w14:paraId="6DE3527C">
            <w:pPr>
              <w:autoSpaceDE w:val="0"/>
              <w:autoSpaceDN w:val="0"/>
              <w:jc w:val="center"/>
              <w:rPr>
                <w:rFonts w:ascii="宋体" w:hAnsi="Times New Roman"/>
                <w:sz w:val="18"/>
              </w:rPr>
            </w:pPr>
          </w:p>
        </w:tc>
        <w:tc>
          <w:tcPr>
            <w:tcW w:w="1852" w:type="dxa"/>
            <w:vMerge w:val="continue"/>
            <w:tcBorders>
              <w:tl2br w:val="nil"/>
              <w:tr2bl w:val="nil"/>
            </w:tcBorders>
            <w:vAlign w:val="center"/>
          </w:tcPr>
          <w:p w14:paraId="44E04E77">
            <w:pPr>
              <w:autoSpaceDE w:val="0"/>
              <w:autoSpaceDN w:val="0"/>
              <w:jc w:val="center"/>
              <w:rPr>
                <w:rFonts w:ascii="宋体" w:hAnsi="Times New Roman"/>
                <w:sz w:val="18"/>
              </w:rPr>
            </w:pPr>
          </w:p>
        </w:tc>
        <w:tc>
          <w:tcPr>
            <w:tcW w:w="1709" w:type="dxa"/>
            <w:tcBorders>
              <w:tl2br w:val="nil"/>
              <w:tr2bl w:val="nil"/>
            </w:tcBorders>
            <w:vAlign w:val="center"/>
          </w:tcPr>
          <w:p w14:paraId="6C2F08F7">
            <w:pPr>
              <w:autoSpaceDE w:val="0"/>
              <w:autoSpaceDN w:val="0"/>
              <w:jc w:val="center"/>
              <w:rPr>
                <w:rFonts w:ascii="宋体" w:hAnsi="Times New Roman"/>
                <w:sz w:val="18"/>
              </w:rPr>
            </w:pPr>
            <w:r>
              <w:rPr>
                <w:rFonts w:ascii="宋体" w:hAnsi="Times New Roman"/>
                <w:sz w:val="18"/>
              </w:rPr>
              <w:t>最小工作电压</w:t>
            </w:r>
          </w:p>
        </w:tc>
        <w:tc>
          <w:tcPr>
            <w:tcW w:w="2670" w:type="dxa"/>
            <w:tcBorders>
              <w:tl2br w:val="nil"/>
              <w:tr2bl w:val="nil"/>
            </w:tcBorders>
            <w:vAlign w:val="center"/>
          </w:tcPr>
          <w:p w14:paraId="6377CE7C">
            <w:pPr>
              <w:autoSpaceDE w:val="0"/>
              <w:autoSpaceDN w:val="0"/>
              <w:jc w:val="center"/>
              <w:rPr>
                <w:rFonts w:ascii="宋体" w:hAnsi="Times New Roman"/>
                <w:sz w:val="18"/>
              </w:rPr>
            </w:pPr>
            <w:r>
              <w:rPr>
                <w:rFonts w:ascii="宋体" w:hAnsi="Times New Roman"/>
                <w:sz w:val="18"/>
              </w:rPr>
              <w:t>产品规定的最大工作电压V</w:t>
            </w:r>
            <w:r>
              <w:rPr>
                <w:rFonts w:ascii="宋体" w:hAnsi="Times New Roman"/>
                <w:sz w:val="18"/>
                <w:vertAlign w:val="subscript"/>
              </w:rPr>
              <w:t>max</w:t>
            </w:r>
          </w:p>
        </w:tc>
        <w:tc>
          <w:tcPr>
            <w:tcW w:w="1876" w:type="dxa"/>
            <w:tcBorders>
              <w:tl2br w:val="nil"/>
              <w:tr2bl w:val="nil"/>
            </w:tcBorders>
            <w:vAlign w:val="center"/>
          </w:tcPr>
          <w:p w14:paraId="0639547A">
            <w:pPr>
              <w:autoSpaceDE w:val="0"/>
              <w:autoSpaceDN w:val="0"/>
              <w:jc w:val="center"/>
              <w:rPr>
                <w:rFonts w:ascii="宋体" w:hAnsi="Times New Roman"/>
                <w:sz w:val="18"/>
              </w:rPr>
            </w:pPr>
            <w:r>
              <w:rPr>
                <w:rFonts w:ascii="宋体" w:hAnsi="宋体"/>
                <w:sz w:val="18"/>
              </w:rPr>
              <w:t>≤</w:t>
            </w:r>
            <w:r>
              <w:rPr>
                <w:rFonts w:ascii="宋体" w:hAnsi="Times New Roman"/>
                <w:sz w:val="18"/>
              </w:rPr>
              <w:t>-100</w:t>
            </w:r>
            <w:r>
              <w:rPr>
                <w:rFonts w:hint="eastAsia" w:ascii="宋体" w:hAnsi="Times New Roman"/>
                <w:sz w:val="18"/>
              </w:rPr>
              <w:t xml:space="preserve"> </w:t>
            </w:r>
            <w:r>
              <w:rPr>
                <w:rFonts w:ascii="宋体" w:hAnsi="Times New Roman"/>
                <w:sz w:val="18"/>
              </w:rPr>
              <w:t>mA</w:t>
            </w:r>
            <w:r>
              <w:rPr>
                <w:rFonts w:ascii="宋体" w:hAnsi="Times New Roman"/>
                <w:sz w:val="18"/>
                <w:vertAlign w:val="superscript"/>
              </w:rPr>
              <w:t>a</w:t>
            </w:r>
          </w:p>
        </w:tc>
      </w:tr>
      <w:tr w14:paraId="522720D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4" w:hRule="atLeast"/>
          <w:jc w:val="center"/>
        </w:trPr>
        <w:tc>
          <w:tcPr>
            <w:tcW w:w="1271" w:type="dxa"/>
            <w:vMerge w:val="restart"/>
            <w:tcBorders>
              <w:tl2br w:val="nil"/>
              <w:tr2bl w:val="nil"/>
            </w:tcBorders>
            <w:vAlign w:val="center"/>
          </w:tcPr>
          <w:p w14:paraId="6E3A435C">
            <w:pPr>
              <w:autoSpaceDE w:val="0"/>
              <w:autoSpaceDN w:val="0"/>
              <w:jc w:val="center"/>
              <w:rPr>
                <w:rFonts w:ascii="宋体" w:hAnsi="Times New Roman"/>
                <w:sz w:val="18"/>
              </w:rPr>
            </w:pPr>
            <w:r>
              <w:rPr>
                <w:rFonts w:ascii="宋体" w:hAnsi="Times New Roman"/>
                <w:sz w:val="18"/>
              </w:rPr>
              <w:t>电压试验</w:t>
            </w:r>
          </w:p>
        </w:tc>
        <w:tc>
          <w:tcPr>
            <w:tcW w:w="1852" w:type="dxa"/>
            <w:vMerge w:val="restart"/>
            <w:tcBorders>
              <w:tl2br w:val="nil"/>
              <w:tr2bl w:val="nil"/>
            </w:tcBorders>
            <w:vAlign w:val="center"/>
          </w:tcPr>
          <w:p w14:paraId="4C371635">
            <w:pPr>
              <w:autoSpaceDE w:val="0"/>
              <w:autoSpaceDN w:val="0"/>
              <w:jc w:val="center"/>
              <w:rPr>
                <w:rFonts w:ascii="宋体" w:hAnsi="Times New Roman"/>
                <w:sz w:val="18"/>
              </w:rPr>
            </w:pPr>
            <w:r>
              <w:rPr>
                <w:rFonts w:ascii="宋体" w:hAnsi="Times New Roman"/>
                <w:sz w:val="18"/>
              </w:rPr>
              <w:t>视电源极性而定</w:t>
            </w:r>
          </w:p>
        </w:tc>
        <w:tc>
          <w:tcPr>
            <w:tcW w:w="1709" w:type="dxa"/>
            <w:tcBorders>
              <w:tl2br w:val="nil"/>
              <w:tr2bl w:val="nil"/>
            </w:tcBorders>
            <w:vAlign w:val="center"/>
          </w:tcPr>
          <w:p w14:paraId="785BDDC5">
            <w:pPr>
              <w:autoSpaceDE w:val="0"/>
              <w:autoSpaceDN w:val="0"/>
              <w:jc w:val="center"/>
              <w:rPr>
                <w:rFonts w:ascii="宋体" w:hAnsi="Times New Roman"/>
                <w:sz w:val="18"/>
              </w:rPr>
            </w:pPr>
            <w:r>
              <w:rPr>
                <w:rFonts w:ascii="宋体" w:hAnsi="Times New Roman"/>
                <w:sz w:val="18"/>
              </w:rPr>
              <w:t>最大工作电压</w:t>
            </w:r>
          </w:p>
        </w:tc>
        <w:tc>
          <w:tcPr>
            <w:tcW w:w="2670" w:type="dxa"/>
            <w:tcBorders>
              <w:tl2br w:val="nil"/>
              <w:tr2bl w:val="nil"/>
            </w:tcBorders>
            <w:vAlign w:val="center"/>
          </w:tcPr>
          <w:p w14:paraId="7757CBB2">
            <w:pPr>
              <w:autoSpaceDE w:val="0"/>
              <w:autoSpaceDN w:val="0"/>
              <w:jc w:val="center"/>
              <w:rPr>
                <w:rFonts w:ascii="宋体" w:hAnsi="Times New Roman"/>
                <w:sz w:val="18"/>
              </w:rPr>
            </w:pPr>
            <w:r>
              <w:rPr>
                <w:rFonts w:ascii="宋体" w:hAnsi="Times New Roman"/>
                <w:sz w:val="18"/>
              </w:rPr>
              <w:t>产品规定的最大工作电压V</w:t>
            </w:r>
            <w:r>
              <w:rPr>
                <w:rFonts w:ascii="宋体" w:hAnsi="Times New Roman"/>
                <w:sz w:val="18"/>
                <w:vertAlign w:val="subscript"/>
              </w:rPr>
              <w:t>max</w:t>
            </w:r>
          </w:p>
        </w:tc>
        <w:tc>
          <w:tcPr>
            <w:tcW w:w="1876" w:type="dxa"/>
            <w:tcBorders>
              <w:tl2br w:val="nil"/>
              <w:tr2bl w:val="nil"/>
            </w:tcBorders>
            <w:vAlign w:val="center"/>
          </w:tcPr>
          <w:p w14:paraId="7E2E52B0">
            <w:pPr>
              <w:autoSpaceDE w:val="0"/>
              <w:autoSpaceDN w:val="0"/>
              <w:jc w:val="center"/>
              <w:rPr>
                <w:rFonts w:ascii="宋体" w:hAnsi="Times New Roman"/>
                <w:sz w:val="18"/>
              </w:rPr>
            </w:pPr>
            <w:r>
              <w:rPr>
                <w:rFonts w:ascii="宋体" w:hAnsi="Times New Roman"/>
                <w:sz w:val="18"/>
              </w:rPr>
              <w:t>1.5×V</w:t>
            </w:r>
            <w:r>
              <w:rPr>
                <w:rFonts w:ascii="宋体" w:hAnsi="Times New Roman"/>
                <w:sz w:val="18"/>
                <w:vertAlign w:val="subscript"/>
              </w:rPr>
              <w:t>max</w:t>
            </w:r>
            <w:r>
              <w:rPr>
                <w:rFonts w:hint="eastAsia" w:ascii="宋体" w:hAnsi="Times New Roman"/>
                <w:sz w:val="18"/>
              </w:rPr>
              <w:t>和最大应力电压的较小值</w:t>
            </w:r>
            <w:r>
              <w:rPr>
                <w:rFonts w:ascii="宋体" w:hAnsi="Times New Roman"/>
                <w:sz w:val="18"/>
                <w:vertAlign w:val="superscript"/>
              </w:rPr>
              <w:t>b</w:t>
            </w:r>
          </w:p>
        </w:tc>
      </w:tr>
      <w:tr w14:paraId="3136FF6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4" w:hRule="atLeast"/>
          <w:jc w:val="center"/>
        </w:trPr>
        <w:tc>
          <w:tcPr>
            <w:tcW w:w="1271" w:type="dxa"/>
            <w:vMerge w:val="continue"/>
            <w:tcBorders>
              <w:tl2br w:val="nil"/>
              <w:tr2bl w:val="nil"/>
            </w:tcBorders>
            <w:vAlign w:val="center"/>
          </w:tcPr>
          <w:p w14:paraId="422408DD">
            <w:pPr>
              <w:autoSpaceDE w:val="0"/>
              <w:autoSpaceDN w:val="0"/>
              <w:jc w:val="center"/>
              <w:rPr>
                <w:rFonts w:ascii="宋体" w:hAnsi="Times New Roman"/>
                <w:sz w:val="18"/>
              </w:rPr>
            </w:pPr>
          </w:p>
        </w:tc>
        <w:tc>
          <w:tcPr>
            <w:tcW w:w="1852" w:type="dxa"/>
            <w:vMerge w:val="continue"/>
            <w:tcBorders>
              <w:tl2br w:val="nil"/>
              <w:tr2bl w:val="nil"/>
            </w:tcBorders>
            <w:vAlign w:val="center"/>
          </w:tcPr>
          <w:p w14:paraId="7B74CC91">
            <w:pPr>
              <w:autoSpaceDE w:val="0"/>
              <w:autoSpaceDN w:val="0"/>
              <w:jc w:val="center"/>
              <w:rPr>
                <w:rFonts w:ascii="宋体" w:hAnsi="Times New Roman"/>
                <w:sz w:val="18"/>
              </w:rPr>
            </w:pPr>
          </w:p>
        </w:tc>
        <w:tc>
          <w:tcPr>
            <w:tcW w:w="1709" w:type="dxa"/>
            <w:tcBorders>
              <w:tl2br w:val="nil"/>
              <w:tr2bl w:val="nil"/>
            </w:tcBorders>
            <w:vAlign w:val="center"/>
          </w:tcPr>
          <w:p w14:paraId="4AD8BF0D">
            <w:pPr>
              <w:autoSpaceDE w:val="0"/>
              <w:autoSpaceDN w:val="0"/>
              <w:jc w:val="center"/>
              <w:rPr>
                <w:rFonts w:ascii="宋体" w:hAnsi="Times New Roman"/>
                <w:sz w:val="18"/>
              </w:rPr>
            </w:pPr>
            <w:r>
              <w:rPr>
                <w:rFonts w:ascii="宋体" w:hAnsi="Times New Roman"/>
                <w:sz w:val="18"/>
              </w:rPr>
              <w:t>最小工作电压</w:t>
            </w:r>
          </w:p>
        </w:tc>
        <w:tc>
          <w:tcPr>
            <w:tcW w:w="2670" w:type="dxa"/>
            <w:tcBorders>
              <w:tl2br w:val="nil"/>
              <w:tr2bl w:val="nil"/>
            </w:tcBorders>
            <w:vAlign w:val="center"/>
          </w:tcPr>
          <w:p w14:paraId="7826309C">
            <w:pPr>
              <w:autoSpaceDE w:val="0"/>
              <w:autoSpaceDN w:val="0"/>
              <w:jc w:val="center"/>
              <w:rPr>
                <w:rFonts w:ascii="宋体" w:hAnsi="Times New Roman"/>
                <w:sz w:val="18"/>
              </w:rPr>
            </w:pPr>
            <w:r>
              <w:rPr>
                <w:rFonts w:ascii="宋体" w:hAnsi="Times New Roman"/>
                <w:sz w:val="18"/>
              </w:rPr>
              <w:t>产品规定的最大工作电压V</w:t>
            </w:r>
            <w:r>
              <w:rPr>
                <w:rFonts w:ascii="宋体" w:hAnsi="Times New Roman"/>
                <w:sz w:val="18"/>
                <w:vertAlign w:val="subscript"/>
              </w:rPr>
              <w:t>max</w:t>
            </w:r>
          </w:p>
        </w:tc>
        <w:tc>
          <w:tcPr>
            <w:tcW w:w="1876" w:type="dxa"/>
            <w:tcBorders>
              <w:tl2br w:val="nil"/>
              <w:tr2bl w:val="nil"/>
            </w:tcBorders>
            <w:vAlign w:val="center"/>
          </w:tcPr>
          <w:p w14:paraId="6C23B72C">
            <w:pPr>
              <w:autoSpaceDE w:val="0"/>
              <w:autoSpaceDN w:val="0"/>
              <w:jc w:val="center"/>
              <w:rPr>
                <w:rFonts w:ascii="宋体" w:hAnsi="Times New Roman"/>
                <w:sz w:val="18"/>
              </w:rPr>
            </w:pPr>
            <w:r>
              <w:rPr>
                <w:rFonts w:ascii="宋体" w:hAnsi="Times New Roman"/>
                <w:sz w:val="18"/>
              </w:rPr>
              <w:t>1.5×V</w:t>
            </w:r>
            <w:r>
              <w:rPr>
                <w:rFonts w:ascii="宋体" w:hAnsi="Times New Roman"/>
                <w:sz w:val="18"/>
                <w:vertAlign w:val="subscript"/>
              </w:rPr>
              <w:t>max</w:t>
            </w:r>
            <w:r>
              <w:rPr>
                <w:rFonts w:hint="eastAsia" w:ascii="宋体" w:hAnsi="Times New Roman"/>
                <w:sz w:val="18"/>
              </w:rPr>
              <w:t>和最大应力电压的较小值</w:t>
            </w:r>
            <w:r>
              <w:rPr>
                <w:rFonts w:ascii="宋体" w:hAnsi="Times New Roman"/>
                <w:sz w:val="18"/>
                <w:vertAlign w:val="superscript"/>
              </w:rPr>
              <w:t>b</w:t>
            </w:r>
          </w:p>
        </w:tc>
      </w:tr>
      <w:tr w14:paraId="6B61CFE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94" w:hRule="atLeast"/>
          <w:jc w:val="center"/>
        </w:trPr>
        <w:tc>
          <w:tcPr>
            <w:tcW w:w="9378" w:type="dxa"/>
            <w:gridSpan w:val="5"/>
            <w:tcBorders>
              <w:tl2br w:val="nil"/>
              <w:tr2bl w:val="nil"/>
            </w:tcBorders>
            <w:vAlign w:val="center"/>
          </w:tcPr>
          <w:p w14:paraId="25F10C54">
            <w:pPr>
              <w:numPr>
                <w:ilvl w:val="0"/>
                <w:numId w:val="65"/>
              </w:numPr>
              <w:tabs>
                <w:tab w:val="left" w:pos="539"/>
              </w:tabs>
              <w:spacing w:line="240" w:lineRule="auto"/>
              <w:jc w:val="left"/>
              <w:textAlignment w:val="top"/>
              <w:rPr>
                <w:rFonts w:hint="eastAsia" w:ascii="宋体" w:hAnsi="宋体"/>
                <w:sz w:val="18"/>
              </w:rPr>
            </w:pPr>
            <w:r>
              <w:rPr>
                <w:rFonts w:hint="eastAsia" w:ascii="宋体" w:hAnsi="宋体"/>
                <w:sz w:val="18"/>
              </w:rPr>
              <w:t>可</w:t>
            </w:r>
            <w:r>
              <w:rPr>
                <w:rFonts w:ascii="宋体" w:hAnsi="宋体"/>
                <w:sz w:val="18"/>
              </w:rPr>
              <w:t>对所有非电源、地引脚施加该电流</w:t>
            </w:r>
            <w:r>
              <w:rPr>
                <w:rFonts w:hint="eastAsia" w:ascii="宋体" w:hAnsi="宋体"/>
                <w:sz w:val="18"/>
              </w:rPr>
              <w:t>（除NC引脚）。</w:t>
            </w:r>
          </w:p>
          <w:p w14:paraId="2B72BA4C">
            <w:pPr>
              <w:numPr>
                <w:ilvl w:val="255"/>
                <w:numId w:val="0"/>
              </w:numPr>
              <w:spacing w:line="240" w:lineRule="auto"/>
              <w:ind w:left="420"/>
              <w:jc w:val="left"/>
              <w:textAlignment w:val="top"/>
              <w:rPr>
                <w:rFonts w:hint="eastAsia" w:ascii="宋体" w:hAnsi="宋体"/>
                <w:sz w:val="18"/>
              </w:rPr>
            </w:pPr>
            <w:r>
              <w:rPr>
                <w:rFonts w:hint="eastAsia" w:ascii="宋体" w:hAnsi="宋体"/>
                <w:sz w:val="18"/>
                <w:vertAlign w:val="superscript"/>
              </w:rPr>
              <w:t xml:space="preserve">b  </w:t>
            </w:r>
            <w:r>
              <w:rPr>
                <w:rFonts w:ascii="宋体" w:hAnsi="宋体"/>
                <w:sz w:val="18"/>
              </w:rPr>
              <w:t>对所有电源施加该电压</w:t>
            </w:r>
            <w:r>
              <w:rPr>
                <w:rFonts w:hint="eastAsia" w:ascii="宋体" w:hAnsi="宋体"/>
                <w:sz w:val="18"/>
              </w:rPr>
              <w:t>，可</w:t>
            </w:r>
            <w:r>
              <w:rPr>
                <w:rFonts w:ascii="宋体" w:hAnsi="宋体"/>
                <w:sz w:val="18"/>
              </w:rPr>
              <w:t>对所有非电源、地引脚施加该电</w:t>
            </w:r>
            <w:r>
              <w:rPr>
                <w:rFonts w:hint="eastAsia" w:ascii="宋体" w:hAnsi="宋体"/>
                <w:sz w:val="18"/>
              </w:rPr>
              <w:t>压（除NC引脚）。</w:t>
            </w:r>
          </w:p>
        </w:tc>
      </w:tr>
    </w:tbl>
    <w:p w14:paraId="22717FAD">
      <w:pPr>
        <w:widowControl/>
        <w:numPr>
          <w:ilvl w:val="255"/>
          <w:numId w:val="0"/>
        </w:numPr>
        <w:wordWrap w:val="0"/>
        <w:overflowPunct w:val="0"/>
        <w:autoSpaceDE w:val="0"/>
        <w:autoSpaceDN w:val="0"/>
        <w:spacing w:before="120" w:beforeLines="50" w:after="120" w:afterLines="50" w:line="240" w:lineRule="auto"/>
        <w:textAlignment w:val="baseline"/>
        <w:outlineLvl w:val="3"/>
        <w:rPr>
          <w:rFonts w:ascii="黑体" w:hAnsi="Times New Roman" w:eastAsia="黑体"/>
          <w:kern w:val="21"/>
        </w:rPr>
      </w:pPr>
      <w:r>
        <w:rPr>
          <w:rFonts w:hint="eastAsia" w:ascii="黑体" w:hAnsi="Times New Roman" w:eastAsia="黑体"/>
          <w:kern w:val="21"/>
        </w:rPr>
        <w:t>6.3.6.5  电性参数分布试验</w:t>
      </w:r>
    </w:p>
    <w:p w14:paraId="773BD082">
      <w:pPr>
        <w:autoSpaceDE w:val="0"/>
        <w:autoSpaceDN w:val="0"/>
        <w:spacing w:line="240" w:lineRule="auto"/>
        <w:ind w:firstLine="420" w:firstLineChars="200"/>
        <w:rPr>
          <w:rFonts w:ascii="宋体" w:hAnsi="Times New Roman"/>
        </w:rPr>
      </w:pPr>
      <w:r>
        <w:rPr>
          <w:rFonts w:hint="eastAsia" w:ascii="宋体" w:hAnsi="Times New Roman"/>
        </w:rPr>
        <w:t>使用3个批次的30个样品进行试验。测量的电参数和通过准则由供需双方协商确定。关键参数可根据技术、工艺、设计和实际应用等信息确定。在不同温度（室温、表5规定的最高环境工作温度和最低环境工作温度）、频率和/或电压的组合下的进行测量，测量数据宜包括参数、单位、平均值、标准差、最小值和最大值、最小和最大规格限值、</w:t>
      </w:r>
      <w:r>
        <w:rPr>
          <w:rFonts w:hint="eastAsia" w:ascii="宋体" w:hAnsi="宋体"/>
        </w:rPr>
        <w:t>C</w:t>
      </w:r>
      <w:r>
        <w:rPr>
          <w:rFonts w:hint="eastAsia" w:ascii="宋体" w:hAnsi="宋体"/>
          <w:vertAlign w:val="subscript"/>
        </w:rPr>
        <w:t>pk</w:t>
      </w:r>
      <w:r>
        <w:rPr>
          <w:rFonts w:hint="eastAsia" w:ascii="宋体" w:hAnsi="Times New Roman"/>
        </w:rPr>
        <w:t>（如果适用，则相应的增加试验样本量）。</w:t>
      </w:r>
    </w:p>
    <w:p w14:paraId="4CBB0210">
      <w:pPr>
        <w:widowControl/>
        <w:numPr>
          <w:ilvl w:val="255"/>
          <w:numId w:val="0"/>
        </w:numPr>
        <w:wordWrap w:val="0"/>
        <w:overflowPunct w:val="0"/>
        <w:autoSpaceDE w:val="0"/>
        <w:autoSpaceDN w:val="0"/>
        <w:spacing w:before="120" w:beforeLines="50" w:after="120" w:afterLines="50" w:line="240" w:lineRule="auto"/>
        <w:textAlignment w:val="baseline"/>
        <w:outlineLvl w:val="3"/>
        <w:rPr>
          <w:rFonts w:ascii="黑体" w:hAnsi="Times New Roman" w:eastAsia="黑体"/>
          <w:kern w:val="21"/>
        </w:rPr>
      </w:pPr>
      <w:bookmarkStart w:id="84" w:name="_Hlk174626543"/>
      <w:r>
        <w:rPr>
          <w:rFonts w:hint="eastAsia" w:ascii="黑体" w:hAnsi="Times New Roman" w:eastAsia="黑体"/>
          <w:kern w:val="21"/>
        </w:rPr>
        <w:t>6.3.6.6  故障分级</w:t>
      </w:r>
      <w:bookmarkEnd w:id="84"/>
      <w:r>
        <w:rPr>
          <w:rFonts w:hint="eastAsia" w:ascii="黑体" w:hAnsi="Times New Roman" w:eastAsia="黑体"/>
          <w:kern w:val="21"/>
        </w:rPr>
        <w:t>试验</w:t>
      </w:r>
    </w:p>
    <w:p w14:paraId="3D4AFCF3">
      <w:pPr>
        <w:autoSpaceDE w:val="0"/>
        <w:autoSpaceDN w:val="0"/>
        <w:spacing w:line="240" w:lineRule="auto"/>
        <w:ind w:firstLine="420" w:firstLineChars="200"/>
        <w:rPr>
          <w:rFonts w:ascii="宋体" w:hAnsi="Times New Roman"/>
        </w:rPr>
      </w:pPr>
      <w:r>
        <w:rPr>
          <w:rFonts w:hint="eastAsia" w:ascii="宋体" w:hAnsi="Times New Roman"/>
        </w:rPr>
        <w:t>参考下列流程进行故障分级：</w:t>
      </w:r>
    </w:p>
    <w:p w14:paraId="00D6C7A7">
      <w:pPr>
        <w:numPr>
          <w:ilvl w:val="0"/>
          <w:numId w:val="66"/>
        </w:numPr>
        <w:spacing w:line="240" w:lineRule="auto"/>
        <w:rPr>
          <w:rFonts w:ascii="宋体" w:hAnsi="Times New Roman"/>
        </w:rPr>
      </w:pPr>
      <w:r>
        <w:rPr>
          <w:rFonts w:hint="eastAsia" w:ascii="宋体" w:hAnsi="Times New Roman"/>
        </w:rPr>
        <w:t>确定使用的设备仿真模型；</w:t>
      </w:r>
    </w:p>
    <w:p w14:paraId="4AB60F2F">
      <w:pPr>
        <w:numPr>
          <w:ilvl w:val="0"/>
          <w:numId w:val="66"/>
        </w:numPr>
        <w:spacing w:line="240" w:lineRule="auto"/>
        <w:rPr>
          <w:rFonts w:ascii="宋体" w:hAnsi="Times New Roman"/>
        </w:rPr>
      </w:pPr>
      <w:r>
        <w:rPr>
          <w:rFonts w:hint="eastAsia" w:ascii="宋体" w:hAnsi="Times New Roman"/>
        </w:rPr>
        <w:t>参考下述故障模型和故障种类进行故障分级；</w:t>
      </w:r>
    </w:p>
    <w:p w14:paraId="45715CC9">
      <w:pPr>
        <w:numPr>
          <w:ilvl w:val="0"/>
          <w:numId w:val="66"/>
        </w:numPr>
        <w:spacing w:line="240" w:lineRule="auto"/>
        <w:rPr>
          <w:rFonts w:ascii="宋体" w:hAnsi="Times New Roman"/>
        </w:rPr>
      </w:pPr>
      <w:r>
        <w:rPr>
          <w:rFonts w:hint="eastAsia" w:ascii="宋体" w:hAnsi="Times New Roman"/>
        </w:rPr>
        <w:t>故障检测；</w:t>
      </w:r>
    </w:p>
    <w:p w14:paraId="290160BD">
      <w:pPr>
        <w:numPr>
          <w:ilvl w:val="0"/>
          <w:numId w:val="66"/>
        </w:numPr>
        <w:spacing w:line="240" w:lineRule="auto"/>
        <w:rPr>
          <w:rFonts w:ascii="宋体" w:hAnsi="Times New Roman"/>
        </w:rPr>
      </w:pPr>
      <w:r>
        <w:rPr>
          <w:rFonts w:hint="eastAsia" w:ascii="宋体" w:hAnsi="Times New Roman"/>
        </w:rPr>
        <w:t>故障列表记录；</w:t>
      </w:r>
    </w:p>
    <w:p w14:paraId="34E904B5">
      <w:pPr>
        <w:numPr>
          <w:ilvl w:val="0"/>
          <w:numId w:val="66"/>
        </w:numPr>
        <w:spacing w:line="240" w:lineRule="auto"/>
        <w:rPr>
          <w:rFonts w:ascii="宋体" w:hAnsi="Times New Roman"/>
        </w:rPr>
      </w:pPr>
      <w:r>
        <w:rPr>
          <w:rFonts w:hint="eastAsia" w:ascii="宋体" w:hAnsi="Times New Roman"/>
        </w:rPr>
        <w:t>明确模拟器/测试仪的差异；</w:t>
      </w:r>
    </w:p>
    <w:p w14:paraId="6A66699F">
      <w:pPr>
        <w:numPr>
          <w:ilvl w:val="0"/>
          <w:numId w:val="66"/>
        </w:numPr>
        <w:spacing w:line="240" w:lineRule="auto"/>
        <w:rPr>
          <w:rFonts w:ascii="宋体" w:hAnsi="Times New Roman"/>
        </w:rPr>
      </w:pPr>
      <w:r>
        <w:rPr>
          <w:rFonts w:hint="eastAsia" w:ascii="宋体" w:hAnsi="Times New Roman"/>
        </w:rPr>
        <w:t>指定可以模块化的设计。</w:t>
      </w:r>
    </w:p>
    <w:p w14:paraId="75EED8BE">
      <w:pPr>
        <w:autoSpaceDE w:val="0"/>
        <w:autoSpaceDN w:val="0"/>
        <w:spacing w:line="240" w:lineRule="auto"/>
        <w:ind w:firstLine="420" w:firstLineChars="200"/>
        <w:rPr>
          <w:rFonts w:ascii="宋体" w:hAnsi="Times New Roman"/>
        </w:rPr>
      </w:pPr>
      <w:r>
        <w:rPr>
          <w:rFonts w:hint="eastAsia" w:ascii="宋体" w:hAnsi="Times New Roman"/>
        </w:rPr>
        <w:t>故障模型主要包括：</w:t>
      </w:r>
    </w:p>
    <w:p w14:paraId="66FDE503">
      <w:pPr>
        <w:numPr>
          <w:ilvl w:val="0"/>
          <w:numId w:val="67"/>
        </w:numPr>
        <w:spacing w:line="240" w:lineRule="auto"/>
        <w:rPr>
          <w:rFonts w:ascii="宋体" w:hAnsi="Times New Roman"/>
        </w:rPr>
      </w:pPr>
      <w:r>
        <w:rPr>
          <w:rFonts w:hint="eastAsia" w:ascii="宋体" w:hAnsi="Times New Roman"/>
        </w:rPr>
        <w:t>随机逻辑故障（逻辑翻转故障、功能故障、伪逻辑翻转故障、转换和延迟故障）；</w:t>
      </w:r>
    </w:p>
    <w:p w14:paraId="354784D3">
      <w:pPr>
        <w:numPr>
          <w:ilvl w:val="0"/>
          <w:numId w:val="67"/>
        </w:numPr>
        <w:spacing w:line="240" w:lineRule="auto"/>
        <w:rPr>
          <w:rFonts w:ascii="宋体" w:hAnsi="Times New Roman"/>
        </w:rPr>
      </w:pPr>
      <w:r>
        <w:rPr>
          <w:rFonts w:hint="eastAsia" w:ascii="宋体" w:hAnsi="Times New Roman"/>
        </w:rPr>
        <w:t>存储故障（ROM故障、RAM故障、Flash故障）。</w:t>
      </w:r>
    </w:p>
    <w:p w14:paraId="13BF593D">
      <w:pPr>
        <w:autoSpaceDE w:val="0"/>
        <w:autoSpaceDN w:val="0"/>
        <w:spacing w:line="240" w:lineRule="auto"/>
        <w:ind w:firstLine="420" w:firstLineChars="200"/>
        <w:rPr>
          <w:rFonts w:ascii="宋体" w:hAnsi="Times New Roman"/>
        </w:rPr>
      </w:pPr>
      <w:r>
        <w:rPr>
          <w:rFonts w:hint="eastAsia" w:ascii="宋体" w:hAnsi="Times New Roman"/>
        </w:rPr>
        <w:t>故障种类：</w:t>
      </w:r>
    </w:p>
    <w:p w14:paraId="2ECF30AF">
      <w:pPr>
        <w:numPr>
          <w:ilvl w:val="0"/>
          <w:numId w:val="68"/>
        </w:numPr>
        <w:spacing w:line="240" w:lineRule="auto"/>
        <w:rPr>
          <w:rFonts w:ascii="宋体" w:hAnsi="Times New Roman"/>
        </w:rPr>
      </w:pPr>
      <w:r>
        <w:rPr>
          <w:rFonts w:hint="eastAsia" w:ascii="宋体" w:hAnsi="Times New Roman"/>
        </w:rPr>
        <w:t>无法检测的故障：</w:t>
      </w:r>
    </w:p>
    <w:p w14:paraId="5D8B73E7">
      <w:pPr>
        <w:numPr>
          <w:ilvl w:val="1"/>
          <w:numId w:val="69"/>
        </w:numPr>
        <w:spacing w:line="240" w:lineRule="auto"/>
        <w:rPr>
          <w:rFonts w:ascii="宋体" w:hAnsi="Times New Roman"/>
        </w:rPr>
      </w:pPr>
      <w:r>
        <w:rPr>
          <w:rFonts w:hint="eastAsia" w:ascii="宋体" w:hAnsi="Times New Roman"/>
        </w:rPr>
        <w:t>种类1（冗余故障、并接故障、未使用的故障、阻塞故障）；</w:t>
      </w:r>
    </w:p>
    <w:p w14:paraId="49EA45F3">
      <w:pPr>
        <w:numPr>
          <w:ilvl w:val="1"/>
          <w:numId w:val="69"/>
        </w:numPr>
        <w:spacing w:line="240" w:lineRule="auto"/>
        <w:rPr>
          <w:rFonts w:ascii="宋体" w:hAnsi="Times New Roman"/>
        </w:rPr>
      </w:pPr>
      <w:r>
        <w:rPr>
          <w:rFonts w:hint="eastAsia" w:ascii="宋体" w:hAnsi="Times New Roman"/>
        </w:rPr>
        <w:t>种类2（推挽配置、存储配置、线接线配置、CMOS传输门故障）；</w:t>
      </w:r>
    </w:p>
    <w:p w14:paraId="3B8A5DBC">
      <w:pPr>
        <w:numPr>
          <w:ilvl w:val="0"/>
          <w:numId w:val="68"/>
        </w:numPr>
        <w:spacing w:line="240" w:lineRule="auto"/>
        <w:ind w:left="850" w:hanging="425"/>
        <w:rPr>
          <w:rFonts w:ascii="宋体" w:hAnsi="Times New Roman"/>
        </w:rPr>
      </w:pPr>
      <w:bookmarkStart w:id="85" w:name="OLE_LINK4"/>
      <w:r>
        <w:rPr>
          <w:rFonts w:hint="eastAsia" w:ascii="宋体" w:hAnsi="Times New Roman"/>
        </w:rPr>
        <w:t>通过间接方式检测到的故障（隐含故障、控制线路故障、过渡活跃故障；</w:t>
      </w:r>
    </w:p>
    <w:p w14:paraId="463AC2B3">
      <w:pPr>
        <w:numPr>
          <w:ilvl w:val="0"/>
          <w:numId w:val="68"/>
        </w:numPr>
        <w:spacing w:line="240" w:lineRule="auto"/>
        <w:rPr>
          <w:rFonts w:ascii="宋体" w:hAnsi="Times New Roman"/>
        </w:rPr>
      </w:pPr>
      <w:r>
        <w:rPr>
          <w:rFonts w:hint="eastAsia" w:ascii="宋体" w:hAnsi="Times New Roman"/>
        </w:rPr>
        <w:t>可检测的故障：</w:t>
      </w:r>
    </w:p>
    <w:bookmarkEnd w:id="85"/>
    <w:p w14:paraId="574C18DB">
      <w:pPr>
        <w:numPr>
          <w:ilvl w:val="1"/>
          <w:numId w:val="70"/>
        </w:numPr>
        <w:spacing w:line="240" w:lineRule="auto"/>
        <w:rPr>
          <w:rFonts w:ascii="宋体" w:hAnsi="Times New Roman"/>
        </w:rPr>
      </w:pPr>
      <w:r>
        <w:rPr>
          <w:rFonts w:hint="eastAsia" w:ascii="宋体" w:hAnsi="Times New Roman"/>
        </w:rPr>
        <w:t>随机逻辑故障（逻辑翻转故障、功能故障、伪逻辑翻转故障、转换和延迟故障）；</w:t>
      </w:r>
    </w:p>
    <w:p w14:paraId="1D625C82">
      <w:pPr>
        <w:numPr>
          <w:ilvl w:val="1"/>
          <w:numId w:val="70"/>
        </w:numPr>
        <w:spacing w:line="240" w:lineRule="auto"/>
        <w:rPr>
          <w:rFonts w:ascii="宋体" w:hAnsi="Times New Roman"/>
        </w:rPr>
      </w:pPr>
      <w:r>
        <w:rPr>
          <w:rFonts w:hint="eastAsia" w:ascii="宋体" w:hAnsi="Times New Roman"/>
        </w:rPr>
        <w:t>存储故障（ROM故障、RAM故障、Flash故障）。</w:t>
      </w:r>
    </w:p>
    <w:p w14:paraId="61839D9F">
      <w:pPr>
        <w:widowControl/>
        <w:numPr>
          <w:ilvl w:val="255"/>
          <w:numId w:val="0"/>
        </w:numPr>
        <w:wordWrap w:val="0"/>
        <w:overflowPunct w:val="0"/>
        <w:autoSpaceDE w:val="0"/>
        <w:autoSpaceDN w:val="0"/>
        <w:spacing w:before="120" w:beforeLines="50" w:after="120" w:afterLines="50" w:line="240" w:lineRule="auto"/>
        <w:textAlignment w:val="baseline"/>
        <w:outlineLvl w:val="3"/>
        <w:rPr>
          <w:rFonts w:ascii="黑体" w:hAnsi="Times New Roman" w:eastAsia="黑体"/>
          <w:kern w:val="21"/>
        </w:rPr>
      </w:pPr>
      <w:r>
        <w:rPr>
          <w:rFonts w:hint="eastAsia" w:ascii="黑体" w:hAnsi="Times New Roman" w:eastAsia="黑体"/>
          <w:kern w:val="21"/>
        </w:rPr>
        <w:t>6.3.6.7  电特性表征试验</w:t>
      </w:r>
    </w:p>
    <w:p w14:paraId="1142D806">
      <w:pPr>
        <w:autoSpaceDE w:val="0"/>
        <w:autoSpaceDN w:val="0"/>
        <w:spacing w:line="240" w:lineRule="auto"/>
        <w:ind w:firstLine="420" w:firstLineChars="200"/>
        <w:rPr>
          <w:rFonts w:ascii="宋体" w:hAnsi="Times New Roman"/>
        </w:rPr>
      </w:pPr>
      <w:r>
        <w:rPr>
          <w:rFonts w:hint="eastAsia" w:ascii="宋体" w:hAnsi="Times New Roman"/>
        </w:rPr>
        <w:t>适用于新产品、新芯片布置或对现有产品变更、新单元结构、新工艺方法或材料、新工作偏压条件等情况。</w:t>
      </w:r>
    </w:p>
    <w:p w14:paraId="4C6609F0">
      <w:pPr>
        <w:autoSpaceDE w:val="0"/>
        <w:autoSpaceDN w:val="0"/>
        <w:spacing w:after="120" w:afterLines="50" w:line="240" w:lineRule="auto"/>
        <w:ind w:firstLine="420" w:firstLineChars="200"/>
        <w:rPr>
          <w:rFonts w:hint="eastAsia" w:ascii="宋体" w:hAnsi="宋体" w:cs="宋体"/>
        </w:rPr>
      </w:pPr>
      <w:r>
        <w:rPr>
          <w:rFonts w:hint="eastAsia" w:ascii="宋体" w:hAnsi="宋体" w:cs="宋体"/>
        </w:rPr>
        <w:t>特性表征流程包括：对特性表征检查清单评审，确定特性表征法，建立参数和条件，形成特性表征计划；执行特性表征计划，形成特性表征报告（主要包括特性表征方法、参数和条件、数据分析和结论、仿真结果、器件薄弱点和可靠性分析）。</w:t>
      </w:r>
    </w:p>
    <w:p w14:paraId="01981907">
      <w:pPr>
        <w:widowControl/>
        <w:numPr>
          <w:ilvl w:val="255"/>
          <w:numId w:val="0"/>
        </w:numPr>
        <w:wordWrap w:val="0"/>
        <w:overflowPunct w:val="0"/>
        <w:autoSpaceDE w:val="0"/>
        <w:autoSpaceDN w:val="0"/>
        <w:spacing w:before="120" w:beforeLines="50" w:after="120" w:afterLines="50" w:line="240" w:lineRule="auto"/>
        <w:textAlignment w:val="baseline"/>
        <w:outlineLvl w:val="3"/>
        <w:rPr>
          <w:rFonts w:ascii="黑体" w:hAnsi="Times New Roman" w:eastAsia="黑体"/>
          <w:kern w:val="21"/>
        </w:rPr>
      </w:pPr>
      <w:r>
        <w:rPr>
          <w:rFonts w:hint="eastAsia" w:ascii="黑体" w:hAnsi="Times New Roman" w:eastAsia="黑体"/>
          <w:kern w:val="21"/>
        </w:rPr>
        <w:t xml:space="preserve">6.3.6.8  </w:t>
      </w:r>
      <w:r>
        <w:rPr>
          <w:rFonts w:hint="eastAsia" w:ascii="黑体" w:hAnsi="黑体" w:eastAsia="黑体"/>
          <w:kern w:val="21"/>
        </w:rPr>
        <w:t>软错误率试验</w:t>
      </w:r>
    </w:p>
    <w:p w14:paraId="4304D70B">
      <w:pPr>
        <w:autoSpaceDE w:val="0"/>
        <w:autoSpaceDN w:val="0"/>
        <w:spacing w:line="240" w:lineRule="auto"/>
        <w:ind w:firstLine="315" w:firstLineChars="150"/>
        <w:rPr>
          <w:rFonts w:ascii="宋体" w:hAnsi="Times New Roman"/>
        </w:rPr>
      </w:pPr>
      <w:r>
        <w:rPr>
          <w:rFonts w:hint="eastAsia" w:ascii="宋体" w:hAnsi="Times New Roman"/>
        </w:rPr>
        <w:t>按照</w:t>
      </w:r>
      <w:r>
        <w:rPr>
          <w:rFonts w:hint="eastAsia" w:ascii="宋体" w:hAnsi="宋体" w:eastAsia="宋体" w:cs="宋体"/>
          <w:kern w:val="2"/>
          <w:sz w:val="21"/>
          <w:szCs w:val="21"/>
          <w:lang w:val="en-US" w:eastAsia="zh-CN" w:bidi="ar-SA"/>
        </w:rPr>
        <w:t>GB/T 4937.38</w:t>
      </w:r>
      <w:r>
        <w:rPr>
          <w:rFonts w:hint="eastAsia" w:ascii="宋体" w:hAnsi="Times New Roman"/>
        </w:rPr>
        <w:t>的方法进行试验或由供需双方协商确定。</w:t>
      </w:r>
    </w:p>
    <w:p w14:paraId="2BBA8F00">
      <w:pPr>
        <w:widowControl/>
        <w:numPr>
          <w:ilvl w:val="255"/>
          <w:numId w:val="0"/>
        </w:numPr>
        <w:wordWrap w:val="0"/>
        <w:overflowPunct w:val="0"/>
        <w:autoSpaceDE w:val="0"/>
        <w:autoSpaceDN w:val="0"/>
        <w:spacing w:before="120" w:beforeLines="50" w:after="120" w:afterLines="50" w:line="240" w:lineRule="auto"/>
        <w:textAlignment w:val="baseline"/>
        <w:outlineLvl w:val="3"/>
        <w:rPr>
          <w:rFonts w:hint="eastAsia" w:ascii="黑体" w:hAnsi="黑体" w:eastAsia="黑体"/>
          <w:kern w:val="21"/>
        </w:rPr>
      </w:pPr>
      <w:r>
        <w:rPr>
          <w:rFonts w:hint="eastAsia" w:ascii="黑体" w:hAnsi="Times New Roman" w:eastAsia="黑体"/>
          <w:kern w:val="21"/>
        </w:rPr>
        <w:t xml:space="preserve">6.3.6.9  </w:t>
      </w:r>
      <w:r>
        <w:rPr>
          <w:rFonts w:hint="eastAsia" w:ascii="黑体" w:hAnsi="黑体" w:eastAsia="黑体"/>
          <w:kern w:val="21"/>
        </w:rPr>
        <w:t>锡须试验</w:t>
      </w:r>
    </w:p>
    <w:p w14:paraId="2F0CB550">
      <w:pPr>
        <w:spacing w:line="240" w:lineRule="auto"/>
        <w:ind w:firstLine="420" w:firstLineChars="200"/>
        <w:rPr>
          <w:rFonts w:hint="eastAsia" w:ascii="宋体" w:hAnsi="宋体" w:cs="宋体"/>
        </w:rPr>
      </w:pPr>
      <w:r>
        <w:rPr>
          <w:rFonts w:hint="eastAsia" w:ascii="宋体" w:hAnsi="宋体" w:cs="宋体"/>
        </w:rPr>
        <w:t xml:space="preserve">本试验适用于引脚产品，不适用于底部端子全部焊接的产品（例如BGA、QFN）。对于多引脚的产品，每个条件选取3个不连续批次的样品，每个批次选取2个；对于四根引脚及以下的产品，每个条件选取3个不连续批次的样品，每个批次选取3个。 </w:t>
      </w:r>
    </w:p>
    <w:p w14:paraId="15948E63">
      <w:pPr>
        <w:spacing w:line="240" w:lineRule="auto"/>
        <w:ind w:firstLine="420" w:firstLineChars="200"/>
      </w:pPr>
      <w:r>
        <w:rPr>
          <w:rFonts w:hint="eastAsia" w:ascii="宋体" w:hAnsi="宋体" w:cs="宋体"/>
        </w:rPr>
        <w:t>使用未进行过试验的样品，进行引脚切片确认引线框材料以及电镀厚度。试验前根据表35的要求选取相应的方法进行预处理，随后分别进行温度循环试验、常温温湿度贮存试验和高温温湿度贮存试验</w:t>
      </w:r>
      <w:r>
        <w:rPr>
          <w:rFonts w:hint="eastAsia" w:ascii="宋体" w:hAnsi="宋体" w:cs="宋体"/>
          <w:spacing w:val="-7"/>
        </w:rPr>
        <w:t>。</w:t>
      </w:r>
      <w:r>
        <w:t xml:space="preserve"> </w:t>
      </w:r>
    </w:p>
    <w:p w14:paraId="7F273B03">
      <w:pPr>
        <w:spacing w:before="120" w:beforeLines="50" w:after="120" w:afterLines="50" w:line="240" w:lineRule="auto"/>
        <w:jc w:val="center"/>
        <w:rPr>
          <w:rFonts w:ascii="黑体" w:eastAsia="黑体"/>
        </w:rPr>
      </w:pPr>
      <w:r>
        <w:rPr>
          <w:rFonts w:hint="eastAsia" w:ascii="黑体" w:eastAsia="黑体"/>
        </w:rPr>
        <w:t>表 35  锡须试验预处理条件</w:t>
      </w:r>
    </w:p>
    <w:tbl>
      <w:tblPr>
        <w:tblStyle w:val="28"/>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703"/>
        <w:gridCol w:w="1841"/>
        <w:gridCol w:w="2265"/>
        <w:gridCol w:w="4524"/>
      </w:tblGrid>
      <w:tr w14:paraId="7911DA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11" w:hRule="atLeast"/>
          <w:jc w:val="center"/>
        </w:trPr>
        <w:tc>
          <w:tcPr>
            <w:tcW w:w="703" w:type="dxa"/>
            <w:tcBorders>
              <w:tl2br w:val="nil"/>
              <w:tr2bl w:val="nil"/>
            </w:tcBorders>
            <w:vAlign w:val="center"/>
          </w:tcPr>
          <w:p w14:paraId="1F0FD422">
            <w:pPr>
              <w:spacing w:line="240" w:lineRule="auto"/>
              <w:jc w:val="center"/>
              <w:rPr>
                <w:rFonts w:hint="eastAsia" w:ascii="宋体" w:hAnsi="宋体" w:cs="宋体"/>
                <w:sz w:val="18"/>
                <w:szCs w:val="18"/>
              </w:rPr>
            </w:pPr>
            <w:r>
              <w:rPr>
                <w:rFonts w:hint="eastAsia" w:ascii="宋体" w:hAnsi="宋体" w:cs="宋体"/>
                <w:sz w:val="18"/>
                <w:szCs w:val="18"/>
              </w:rPr>
              <w:t>条件</w:t>
            </w:r>
          </w:p>
        </w:tc>
        <w:tc>
          <w:tcPr>
            <w:tcW w:w="1841" w:type="dxa"/>
            <w:tcBorders>
              <w:tl2br w:val="nil"/>
              <w:tr2bl w:val="nil"/>
            </w:tcBorders>
            <w:vAlign w:val="center"/>
          </w:tcPr>
          <w:p w14:paraId="3D49E183">
            <w:pPr>
              <w:spacing w:line="240" w:lineRule="auto"/>
              <w:jc w:val="center"/>
              <w:rPr>
                <w:rFonts w:hint="eastAsia" w:ascii="宋体" w:hAnsi="宋体" w:cs="宋体"/>
                <w:sz w:val="18"/>
                <w:szCs w:val="18"/>
              </w:rPr>
            </w:pPr>
            <w:r>
              <w:rPr>
                <w:rFonts w:hint="eastAsia" w:ascii="宋体" w:hAnsi="宋体" w:cs="宋体"/>
                <w:sz w:val="18"/>
                <w:szCs w:val="18"/>
              </w:rPr>
              <w:t>预处理温度暴露方式</w:t>
            </w:r>
          </w:p>
        </w:tc>
        <w:tc>
          <w:tcPr>
            <w:tcW w:w="2265" w:type="dxa"/>
            <w:tcBorders>
              <w:tl2br w:val="nil"/>
              <w:tr2bl w:val="nil"/>
            </w:tcBorders>
            <w:vAlign w:val="center"/>
          </w:tcPr>
          <w:p w14:paraId="565D2B2A">
            <w:pPr>
              <w:spacing w:line="240" w:lineRule="auto"/>
              <w:jc w:val="center"/>
              <w:rPr>
                <w:rFonts w:hint="eastAsia" w:ascii="宋体" w:hAnsi="宋体" w:cs="宋体"/>
                <w:sz w:val="18"/>
                <w:szCs w:val="18"/>
              </w:rPr>
            </w:pPr>
            <w:r>
              <w:rPr>
                <w:rFonts w:hint="eastAsia" w:ascii="宋体" w:hAnsi="宋体" w:cs="宋体"/>
                <w:sz w:val="18"/>
                <w:szCs w:val="18"/>
              </w:rPr>
              <w:t>试验条件</w:t>
            </w:r>
          </w:p>
        </w:tc>
        <w:tc>
          <w:tcPr>
            <w:tcW w:w="4524" w:type="dxa"/>
            <w:tcBorders>
              <w:tl2br w:val="nil"/>
              <w:tr2bl w:val="nil"/>
            </w:tcBorders>
            <w:vAlign w:val="center"/>
          </w:tcPr>
          <w:p w14:paraId="4F4DDC86">
            <w:pPr>
              <w:spacing w:line="240" w:lineRule="auto"/>
              <w:jc w:val="center"/>
              <w:rPr>
                <w:rFonts w:hint="eastAsia" w:ascii="宋体" w:hAnsi="宋体" w:cs="宋体"/>
                <w:sz w:val="18"/>
                <w:szCs w:val="18"/>
              </w:rPr>
            </w:pPr>
            <w:r>
              <w:rPr>
                <w:rFonts w:hint="eastAsia" w:ascii="宋体" w:hAnsi="宋体" w:cs="宋体"/>
                <w:sz w:val="18"/>
                <w:szCs w:val="18"/>
              </w:rPr>
              <w:t>适用条件</w:t>
            </w:r>
          </w:p>
        </w:tc>
      </w:tr>
      <w:tr w14:paraId="267581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11" w:hRule="atLeast"/>
          <w:jc w:val="center"/>
        </w:trPr>
        <w:tc>
          <w:tcPr>
            <w:tcW w:w="703" w:type="dxa"/>
            <w:tcBorders>
              <w:tl2br w:val="nil"/>
              <w:tr2bl w:val="nil"/>
            </w:tcBorders>
            <w:vAlign w:val="center"/>
          </w:tcPr>
          <w:p w14:paraId="3CFBD1DC">
            <w:pPr>
              <w:spacing w:line="240" w:lineRule="auto"/>
              <w:jc w:val="center"/>
              <w:rPr>
                <w:rFonts w:hint="eastAsia" w:ascii="宋体" w:hAnsi="宋体" w:cs="宋体"/>
                <w:sz w:val="18"/>
                <w:szCs w:val="18"/>
              </w:rPr>
            </w:pPr>
            <w:r>
              <w:rPr>
                <w:rFonts w:hint="eastAsia" w:ascii="宋体" w:hAnsi="宋体" w:cs="宋体"/>
                <w:sz w:val="18"/>
                <w:szCs w:val="18"/>
              </w:rPr>
              <w:t>A</w:t>
            </w:r>
          </w:p>
        </w:tc>
        <w:tc>
          <w:tcPr>
            <w:tcW w:w="1841" w:type="dxa"/>
            <w:tcBorders>
              <w:tl2br w:val="nil"/>
              <w:tr2bl w:val="nil"/>
            </w:tcBorders>
            <w:vAlign w:val="center"/>
          </w:tcPr>
          <w:p w14:paraId="23AEBA44">
            <w:pPr>
              <w:spacing w:line="240" w:lineRule="auto"/>
              <w:jc w:val="center"/>
              <w:rPr>
                <w:rFonts w:hint="eastAsia" w:ascii="宋体" w:hAnsi="宋体" w:cs="宋体"/>
                <w:sz w:val="18"/>
                <w:szCs w:val="18"/>
              </w:rPr>
            </w:pPr>
            <w:r>
              <w:rPr>
                <w:rFonts w:hint="eastAsia" w:ascii="宋体" w:hAnsi="宋体" w:cs="宋体"/>
                <w:sz w:val="18"/>
                <w:szCs w:val="18"/>
              </w:rPr>
              <w:t>无</w:t>
            </w:r>
          </w:p>
        </w:tc>
        <w:tc>
          <w:tcPr>
            <w:tcW w:w="2265" w:type="dxa"/>
            <w:tcBorders>
              <w:tl2br w:val="nil"/>
              <w:tr2bl w:val="nil"/>
            </w:tcBorders>
            <w:vAlign w:val="center"/>
          </w:tcPr>
          <w:p w14:paraId="012C9847">
            <w:pPr>
              <w:spacing w:line="240" w:lineRule="auto"/>
              <w:jc w:val="center"/>
              <w:rPr>
                <w:rFonts w:hint="eastAsia" w:ascii="宋体" w:hAnsi="宋体" w:cs="宋体"/>
                <w:sz w:val="18"/>
                <w:szCs w:val="18"/>
              </w:rPr>
            </w:pPr>
            <w:r>
              <w:rPr>
                <w:rFonts w:hint="eastAsia" w:ascii="宋体" w:hAnsi="宋体" w:cs="宋体"/>
                <w:sz w:val="18"/>
                <w:szCs w:val="18"/>
              </w:rPr>
              <w:t>室温条件</w:t>
            </w:r>
          </w:p>
        </w:tc>
        <w:tc>
          <w:tcPr>
            <w:tcW w:w="4524" w:type="dxa"/>
            <w:tcBorders>
              <w:tl2br w:val="nil"/>
              <w:tr2bl w:val="nil"/>
            </w:tcBorders>
            <w:vAlign w:val="center"/>
          </w:tcPr>
          <w:p w14:paraId="26DA798B">
            <w:pPr>
              <w:spacing w:line="240" w:lineRule="auto"/>
              <w:rPr>
                <w:rFonts w:hint="eastAsia" w:ascii="宋体" w:hAnsi="宋体" w:cs="宋体"/>
                <w:sz w:val="18"/>
                <w:szCs w:val="18"/>
              </w:rPr>
            </w:pPr>
            <w:r>
              <w:rPr>
                <w:rFonts w:hint="eastAsia" w:ascii="宋体" w:hAnsi="宋体" w:cs="宋体"/>
                <w:sz w:val="18"/>
                <w:szCs w:val="18"/>
              </w:rPr>
              <w:t xml:space="preserve">适用于测量在室温环境温度/湿度储存下锡须的生长。 </w:t>
            </w:r>
          </w:p>
        </w:tc>
      </w:tr>
      <w:tr w14:paraId="49D35F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26" w:hRule="atLeast"/>
          <w:jc w:val="center"/>
        </w:trPr>
        <w:tc>
          <w:tcPr>
            <w:tcW w:w="703" w:type="dxa"/>
            <w:tcBorders>
              <w:tl2br w:val="nil"/>
              <w:tr2bl w:val="nil"/>
            </w:tcBorders>
            <w:vAlign w:val="center"/>
          </w:tcPr>
          <w:p w14:paraId="04EC1243">
            <w:pPr>
              <w:spacing w:line="240" w:lineRule="auto"/>
              <w:jc w:val="center"/>
              <w:rPr>
                <w:rFonts w:hint="eastAsia" w:ascii="宋体" w:hAnsi="宋体" w:cs="宋体"/>
                <w:sz w:val="18"/>
                <w:szCs w:val="18"/>
              </w:rPr>
            </w:pPr>
          </w:p>
          <w:p w14:paraId="6F85514B">
            <w:pPr>
              <w:spacing w:line="240" w:lineRule="auto"/>
              <w:jc w:val="center"/>
              <w:rPr>
                <w:rFonts w:hint="eastAsia" w:ascii="宋体" w:hAnsi="宋体" w:cs="宋体"/>
                <w:sz w:val="18"/>
                <w:szCs w:val="18"/>
              </w:rPr>
            </w:pPr>
            <w:r>
              <w:rPr>
                <w:rFonts w:hint="eastAsia" w:ascii="宋体" w:hAnsi="宋体" w:cs="宋体"/>
                <w:sz w:val="18"/>
                <w:szCs w:val="18"/>
              </w:rPr>
              <w:t>B</w:t>
            </w:r>
          </w:p>
        </w:tc>
        <w:tc>
          <w:tcPr>
            <w:tcW w:w="1841" w:type="dxa"/>
            <w:tcBorders>
              <w:tl2br w:val="nil"/>
              <w:tr2bl w:val="nil"/>
            </w:tcBorders>
            <w:vAlign w:val="center"/>
          </w:tcPr>
          <w:p w14:paraId="688C8E3C">
            <w:pPr>
              <w:spacing w:line="240" w:lineRule="auto"/>
              <w:jc w:val="center"/>
              <w:rPr>
                <w:rFonts w:hint="eastAsia" w:ascii="宋体" w:hAnsi="宋体" w:cs="宋体"/>
                <w:sz w:val="18"/>
                <w:szCs w:val="18"/>
              </w:rPr>
            </w:pPr>
            <w:r>
              <w:rPr>
                <w:rFonts w:hint="eastAsia" w:ascii="宋体" w:hAnsi="宋体" w:cs="宋体"/>
                <w:sz w:val="18"/>
                <w:szCs w:val="18"/>
              </w:rPr>
              <w:t>加工完成后，室温储存</w:t>
            </w:r>
          </w:p>
          <w:p w14:paraId="73399040">
            <w:pPr>
              <w:spacing w:line="240" w:lineRule="auto"/>
              <w:jc w:val="center"/>
              <w:rPr>
                <w:rFonts w:hint="eastAsia" w:ascii="宋体" w:hAnsi="宋体" w:cs="宋体"/>
                <w:sz w:val="18"/>
                <w:szCs w:val="18"/>
              </w:rPr>
            </w:pPr>
            <w:r>
              <w:rPr>
                <w:rFonts w:hint="eastAsia" w:ascii="宋体" w:hAnsi="宋体" w:cs="宋体"/>
                <w:sz w:val="18"/>
                <w:szCs w:val="18"/>
              </w:rPr>
              <w:t>至少4周</w:t>
            </w:r>
          </w:p>
        </w:tc>
        <w:tc>
          <w:tcPr>
            <w:tcW w:w="2265" w:type="dxa"/>
            <w:tcBorders>
              <w:tl2br w:val="nil"/>
              <w:tr2bl w:val="nil"/>
            </w:tcBorders>
            <w:vAlign w:val="center"/>
          </w:tcPr>
          <w:p w14:paraId="025FDC24">
            <w:pPr>
              <w:spacing w:line="240" w:lineRule="auto"/>
              <w:jc w:val="center"/>
              <w:rPr>
                <w:rFonts w:hint="eastAsia" w:ascii="宋体" w:hAnsi="宋体" w:cs="宋体"/>
                <w:sz w:val="18"/>
                <w:szCs w:val="18"/>
              </w:rPr>
            </w:pPr>
            <w:r>
              <w:rPr>
                <w:rFonts w:hint="eastAsia" w:ascii="宋体" w:hAnsi="宋体" w:cs="宋体"/>
                <w:sz w:val="18"/>
                <w:szCs w:val="18"/>
              </w:rPr>
              <w:t>15 ℃-30 ℃</w:t>
            </w:r>
          </w:p>
          <w:p w14:paraId="328D1258">
            <w:pPr>
              <w:spacing w:line="240" w:lineRule="auto"/>
              <w:jc w:val="center"/>
              <w:rPr>
                <w:rFonts w:hint="eastAsia" w:ascii="宋体" w:hAnsi="宋体" w:cs="宋体"/>
                <w:sz w:val="18"/>
                <w:szCs w:val="18"/>
              </w:rPr>
            </w:pPr>
            <w:r>
              <w:rPr>
                <w:rFonts w:hint="eastAsia" w:ascii="宋体" w:hAnsi="宋体" w:cs="宋体"/>
                <w:sz w:val="18"/>
                <w:szCs w:val="18"/>
              </w:rPr>
              <w:t>30%RH-80%RH</w:t>
            </w:r>
          </w:p>
        </w:tc>
        <w:tc>
          <w:tcPr>
            <w:tcW w:w="4524" w:type="dxa"/>
            <w:tcBorders>
              <w:tl2br w:val="nil"/>
              <w:tr2bl w:val="nil"/>
            </w:tcBorders>
            <w:vAlign w:val="center"/>
          </w:tcPr>
          <w:p w14:paraId="69057576">
            <w:pPr>
              <w:spacing w:line="240" w:lineRule="auto"/>
              <w:rPr>
                <w:rFonts w:hint="eastAsia" w:ascii="宋体" w:hAnsi="宋体" w:cs="宋体"/>
                <w:sz w:val="18"/>
                <w:szCs w:val="18"/>
              </w:rPr>
            </w:pPr>
            <w:r>
              <w:rPr>
                <w:rFonts w:hint="eastAsia" w:ascii="宋体" w:hAnsi="宋体" w:cs="宋体"/>
                <w:sz w:val="18"/>
                <w:szCs w:val="18"/>
              </w:rPr>
              <w:t>适用于暴露在高温高湿储存、温度循环条件的预处理之</w:t>
            </w:r>
          </w:p>
          <w:p w14:paraId="11782941">
            <w:pPr>
              <w:spacing w:line="240" w:lineRule="auto"/>
              <w:rPr>
                <w:rFonts w:hint="eastAsia" w:ascii="宋体" w:hAnsi="宋体" w:cs="宋体"/>
                <w:sz w:val="18"/>
                <w:szCs w:val="18"/>
              </w:rPr>
            </w:pPr>
            <w:r>
              <w:rPr>
                <w:rFonts w:hint="eastAsia" w:ascii="宋体" w:hAnsi="宋体" w:cs="宋体"/>
                <w:sz w:val="18"/>
                <w:szCs w:val="18"/>
              </w:rPr>
              <w:t xml:space="preserve">前,没有电镀或烘培后缓解的样品。 </w:t>
            </w:r>
          </w:p>
        </w:tc>
      </w:tr>
      <w:tr w14:paraId="15FF74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03" w:hRule="atLeast"/>
          <w:jc w:val="center"/>
        </w:trPr>
        <w:tc>
          <w:tcPr>
            <w:tcW w:w="703" w:type="dxa"/>
            <w:tcBorders>
              <w:tl2br w:val="nil"/>
              <w:tr2bl w:val="nil"/>
            </w:tcBorders>
            <w:vAlign w:val="center"/>
          </w:tcPr>
          <w:p w14:paraId="4D15F0F5">
            <w:pPr>
              <w:spacing w:line="240" w:lineRule="auto"/>
              <w:jc w:val="center"/>
              <w:rPr>
                <w:rFonts w:hint="eastAsia" w:ascii="宋体" w:hAnsi="宋体" w:cs="宋体"/>
                <w:sz w:val="18"/>
                <w:szCs w:val="18"/>
              </w:rPr>
            </w:pPr>
          </w:p>
          <w:p w14:paraId="5DC9B980">
            <w:pPr>
              <w:spacing w:line="240" w:lineRule="auto"/>
              <w:jc w:val="center"/>
              <w:rPr>
                <w:rFonts w:hint="eastAsia" w:ascii="宋体" w:hAnsi="宋体" w:cs="宋体"/>
                <w:sz w:val="18"/>
                <w:szCs w:val="18"/>
              </w:rPr>
            </w:pPr>
            <w:r>
              <w:rPr>
                <w:rFonts w:hint="eastAsia" w:ascii="宋体" w:hAnsi="宋体" w:cs="宋体"/>
                <w:sz w:val="18"/>
                <w:szCs w:val="18"/>
              </w:rPr>
              <w:t>C</w:t>
            </w:r>
          </w:p>
        </w:tc>
        <w:tc>
          <w:tcPr>
            <w:tcW w:w="1841" w:type="dxa"/>
            <w:tcBorders>
              <w:tl2br w:val="nil"/>
              <w:tr2bl w:val="nil"/>
            </w:tcBorders>
            <w:vAlign w:val="center"/>
          </w:tcPr>
          <w:p w14:paraId="1EDE3CD1">
            <w:pPr>
              <w:spacing w:line="240" w:lineRule="auto"/>
              <w:jc w:val="center"/>
              <w:rPr>
                <w:rFonts w:hint="eastAsia" w:ascii="宋体" w:hAnsi="宋体" w:cs="宋体"/>
                <w:sz w:val="18"/>
                <w:szCs w:val="18"/>
              </w:rPr>
            </w:pPr>
          </w:p>
          <w:p w14:paraId="4ECFE52F">
            <w:pPr>
              <w:spacing w:line="240" w:lineRule="auto"/>
              <w:jc w:val="center"/>
              <w:rPr>
                <w:rFonts w:hint="eastAsia" w:ascii="宋体" w:hAnsi="宋体" w:cs="宋体"/>
                <w:sz w:val="18"/>
                <w:szCs w:val="18"/>
              </w:rPr>
            </w:pPr>
            <w:r>
              <w:rPr>
                <w:rFonts w:hint="eastAsia" w:ascii="宋体" w:hAnsi="宋体" w:cs="宋体"/>
                <w:sz w:val="18"/>
                <w:szCs w:val="18"/>
              </w:rPr>
              <w:t>锡铅温度处理</w:t>
            </w:r>
          </w:p>
        </w:tc>
        <w:tc>
          <w:tcPr>
            <w:tcW w:w="2265" w:type="dxa"/>
            <w:tcBorders>
              <w:tl2br w:val="nil"/>
              <w:tr2bl w:val="nil"/>
            </w:tcBorders>
            <w:vAlign w:val="center"/>
          </w:tcPr>
          <w:p w14:paraId="18980BF3">
            <w:pPr>
              <w:spacing w:line="240" w:lineRule="auto"/>
              <w:jc w:val="center"/>
              <w:rPr>
                <w:rFonts w:hint="eastAsia" w:ascii="宋体" w:hAnsi="宋体" w:cs="宋体"/>
                <w:sz w:val="18"/>
                <w:szCs w:val="18"/>
              </w:rPr>
            </w:pPr>
            <w:r>
              <w:rPr>
                <w:rFonts w:hint="eastAsia" w:ascii="宋体" w:hAnsi="宋体" w:cs="宋体"/>
                <w:sz w:val="18"/>
                <w:szCs w:val="18"/>
              </w:rPr>
              <w:t>参照无铅回流曲线</w:t>
            </w:r>
          </w:p>
          <w:p w14:paraId="1C0F34E2">
            <w:pPr>
              <w:spacing w:line="240" w:lineRule="auto"/>
              <w:jc w:val="center"/>
              <w:rPr>
                <w:rFonts w:hint="eastAsia" w:ascii="宋体" w:hAnsi="宋体" w:cs="宋体"/>
                <w:sz w:val="18"/>
                <w:szCs w:val="18"/>
              </w:rPr>
            </w:pPr>
            <w:r>
              <w:rPr>
                <w:rFonts w:hint="eastAsia" w:ascii="宋体" w:hAnsi="宋体" w:cs="宋体"/>
                <w:sz w:val="18"/>
                <w:szCs w:val="18"/>
              </w:rPr>
              <w:t>（采用PCB为载具）</w:t>
            </w:r>
          </w:p>
        </w:tc>
        <w:tc>
          <w:tcPr>
            <w:tcW w:w="4524" w:type="dxa"/>
            <w:tcBorders>
              <w:tl2br w:val="nil"/>
              <w:tr2bl w:val="nil"/>
            </w:tcBorders>
            <w:vAlign w:val="center"/>
          </w:tcPr>
          <w:p w14:paraId="0E6C8025">
            <w:pPr>
              <w:spacing w:line="240" w:lineRule="auto"/>
              <w:rPr>
                <w:rFonts w:hint="eastAsia" w:ascii="宋体" w:hAnsi="宋体" w:cs="宋体"/>
                <w:sz w:val="18"/>
                <w:szCs w:val="18"/>
              </w:rPr>
            </w:pPr>
            <w:r>
              <w:rPr>
                <w:rFonts w:hint="eastAsia" w:ascii="宋体" w:hAnsi="宋体" w:cs="宋体"/>
                <w:sz w:val="18"/>
                <w:szCs w:val="18"/>
              </w:rPr>
              <w:t>适用于测量有铅工艺表贴组装温度（有铅相容性）后的锡</w:t>
            </w:r>
          </w:p>
          <w:p w14:paraId="737CCE33">
            <w:pPr>
              <w:spacing w:line="240" w:lineRule="auto"/>
              <w:rPr>
                <w:rFonts w:hint="eastAsia" w:ascii="宋体" w:hAnsi="宋体" w:cs="宋体"/>
                <w:sz w:val="18"/>
                <w:szCs w:val="18"/>
              </w:rPr>
            </w:pPr>
            <w:r>
              <w:rPr>
                <w:rFonts w:hint="eastAsia" w:ascii="宋体" w:hAnsi="宋体" w:cs="宋体"/>
                <w:sz w:val="18"/>
                <w:szCs w:val="18"/>
              </w:rPr>
              <w:t xml:space="preserve">须生长。 </w:t>
            </w:r>
          </w:p>
        </w:tc>
      </w:tr>
      <w:tr w14:paraId="6A3363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23" w:hRule="atLeast"/>
          <w:jc w:val="center"/>
        </w:trPr>
        <w:tc>
          <w:tcPr>
            <w:tcW w:w="703" w:type="dxa"/>
            <w:tcBorders>
              <w:tl2br w:val="nil"/>
              <w:tr2bl w:val="nil"/>
            </w:tcBorders>
            <w:vAlign w:val="center"/>
          </w:tcPr>
          <w:p w14:paraId="042B543C">
            <w:pPr>
              <w:spacing w:line="240" w:lineRule="auto"/>
              <w:jc w:val="center"/>
              <w:rPr>
                <w:rFonts w:hint="eastAsia" w:ascii="宋体" w:hAnsi="宋体" w:cs="宋体"/>
                <w:sz w:val="18"/>
                <w:szCs w:val="18"/>
              </w:rPr>
            </w:pPr>
          </w:p>
          <w:p w14:paraId="0D4B374D">
            <w:pPr>
              <w:spacing w:line="240" w:lineRule="auto"/>
              <w:jc w:val="center"/>
              <w:rPr>
                <w:rFonts w:hint="eastAsia" w:ascii="宋体" w:hAnsi="宋体" w:cs="宋体"/>
                <w:sz w:val="18"/>
                <w:szCs w:val="18"/>
              </w:rPr>
            </w:pPr>
            <w:r>
              <w:rPr>
                <w:rFonts w:hint="eastAsia" w:ascii="宋体" w:hAnsi="宋体" w:cs="宋体"/>
                <w:sz w:val="18"/>
                <w:szCs w:val="18"/>
              </w:rPr>
              <w:t>D</w:t>
            </w:r>
          </w:p>
        </w:tc>
        <w:tc>
          <w:tcPr>
            <w:tcW w:w="1841" w:type="dxa"/>
            <w:tcBorders>
              <w:tl2br w:val="nil"/>
              <w:tr2bl w:val="nil"/>
            </w:tcBorders>
            <w:vAlign w:val="center"/>
          </w:tcPr>
          <w:p w14:paraId="19952C9D">
            <w:pPr>
              <w:spacing w:line="240" w:lineRule="auto"/>
              <w:jc w:val="center"/>
              <w:rPr>
                <w:rFonts w:hint="eastAsia" w:ascii="宋体" w:hAnsi="宋体" w:cs="宋体"/>
                <w:sz w:val="18"/>
                <w:szCs w:val="18"/>
              </w:rPr>
            </w:pPr>
          </w:p>
          <w:p w14:paraId="0ADD39E3">
            <w:pPr>
              <w:spacing w:line="240" w:lineRule="auto"/>
              <w:jc w:val="center"/>
              <w:rPr>
                <w:rFonts w:hint="eastAsia" w:ascii="宋体" w:hAnsi="宋体" w:cs="宋体"/>
                <w:sz w:val="18"/>
                <w:szCs w:val="18"/>
              </w:rPr>
            </w:pPr>
            <w:r>
              <w:rPr>
                <w:rFonts w:hint="eastAsia" w:ascii="宋体" w:hAnsi="宋体" w:cs="宋体"/>
                <w:sz w:val="18"/>
                <w:szCs w:val="18"/>
              </w:rPr>
              <w:t>无铅温度处理</w:t>
            </w:r>
          </w:p>
        </w:tc>
        <w:tc>
          <w:tcPr>
            <w:tcW w:w="2265" w:type="dxa"/>
            <w:tcBorders>
              <w:tl2br w:val="nil"/>
              <w:tr2bl w:val="nil"/>
            </w:tcBorders>
            <w:vAlign w:val="center"/>
          </w:tcPr>
          <w:p w14:paraId="64026B71">
            <w:pPr>
              <w:spacing w:line="240" w:lineRule="auto"/>
              <w:jc w:val="center"/>
              <w:rPr>
                <w:rFonts w:hint="eastAsia" w:ascii="宋体" w:hAnsi="宋体" w:cs="宋体"/>
                <w:sz w:val="18"/>
                <w:szCs w:val="18"/>
              </w:rPr>
            </w:pPr>
            <w:r>
              <w:rPr>
                <w:rFonts w:hint="eastAsia" w:ascii="宋体" w:hAnsi="宋体" w:cs="宋体"/>
                <w:sz w:val="18"/>
                <w:szCs w:val="18"/>
              </w:rPr>
              <w:t>参照无铅回流曲线</w:t>
            </w:r>
          </w:p>
          <w:p w14:paraId="4BE0ADCF">
            <w:pPr>
              <w:spacing w:line="240" w:lineRule="auto"/>
              <w:jc w:val="center"/>
              <w:rPr>
                <w:rFonts w:hint="eastAsia" w:ascii="宋体" w:hAnsi="宋体" w:cs="宋体"/>
                <w:sz w:val="18"/>
                <w:szCs w:val="18"/>
              </w:rPr>
            </w:pPr>
            <w:r>
              <w:rPr>
                <w:rFonts w:hint="eastAsia" w:ascii="宋体" w:hAnsi="宋体" w:cs="宋体"/>
                <w:sz w:val="18"/>
                <w:szCs w:val="18"/>
              </w:rPr>
              <w:t>（采用PCB为载具）</w:t>
            </w:r>
          </w:p>
        </w:tc>
        <w:tc>
          <w:tcPr>
            <w:tcW w:w="4524" w:type="dxa"/>
            <w:tcBorders>
              <w:tl2br w:val="nil"/>
              <w:tr2bl w:val="nil"/>
            </w:tcBorders>
            <w:vAlign w:val="center"/>
          </w:tcPr>
          <w:p w14:paraId="0578BD4A">
            <w:pPr>
              <w:spacing w:line="240" w:lineRule="auto"/>
              <w:rPr>
                <w:rFonts w:hint="eastAsia" w:ascii="宋体" w:hAnsi="宋体" w:cs="宋体"/>
                <w:sz w:val="18"/>
                <w:szCs w:val="18"/>
              </w:rPr>
            </w:pPr>
            <w:r>
              <w:rPr>
                <w:rFonts w:hint="eastAsia" w:ascii="宋体" w:hAnsi="宋体" w:cs="宋体"/>
                <w:sz w:val="18"/>
                <w:szCs w:val="18"/>
              </w:rPr>
              <w:t>适用于测量无铅工艺表贴组装温度（无铅相容性）后的锡</w:t>
            </w:r>
          </w:p>
          <w:p w14:paraId="04026041">
            <w:pPr>
              <w:spacing w:line="240" w:lineRule="auto"/>
              <w:rPr>
                <w:rFonts w:hint="eastAsia" w:ascii="宋体" w:hAnsi="宋体" w:cs="宋体"/>
                <w:sz w:val="18"/>
                <w:szCs w:val="18"/>
              </w:rPr>
            </w:pPr>
            <w:r>
              <w:rPr>
                <w:rFonts w:hint="eastAsia" w:ascii="宋体" w:hAnsi="宋体" w:cs="宋体"/>
                <w:sz w:val="18"/>
                <w:szCs w:val="18"/>
              </w:rPr>
              <w:t xml:space="preserve">须生长。 </w:t>
            </w:r>
          </w:p>
        </w:tc>
      </w:tr>
    </w:tbl>
    <w:p w14:paraId="506C91FD">
      <w:pPr>
        <w:spacing w:before="60" w:beforeLines="25" w:line="240" w:lineRule="auto"/>
        <w:ind w:firstLine="420" w:firstLineChars="200"/>
        <w:rPr>
          <w:rFonts w:hint="eastAsia" w:ascii="宋体" w:hAnsi="宋体" w:cs="宋体"/>
        </w:rPr>
      </w:pPr>
      <w:r>
        <w:rPr>
          <w:rFonts w:hint="eastAsia" w:ascii="宋体" w:hAnsi="宋体" w:cs="宋体"/>
        </w:rPr>
        <w:t xml:space="preserve">按照6.3.2.7的方法进行温度循环试验，其中最低温度为-40 ℃或-55 ℃，最高温度为85 ℃，在最高/最低温度的浸泡时间应不低于10 min，共进行1500个循环，试验中每500循环检查锡须生长长度和锡须密度。按照6.3.2.6的方法进行常温温湿度贮存试验，其中试验温度为30 ℃，相对湿度为60 %RH，共进行4000 h试验，试验中每1000 h检查锡须生长长度和锡须密度。按照6.3.2.6的方法进行高温温湿度贮存试验，其中试验温度为55 ℃，相对湿度为85 %RH，共进行4000 h试验，试验中每1000 h检查锡须生长长度和锡须密度。 </w:t>
      </w:r>
    </w:p>
    <w:p w14:paraId="702978B0">
      <w:pPr>
        <w:spacing w:line="240" w:lineRule="auto"/>
        <w:ind w:firstLine="420" w:firstLineChars="200"/>
        <w:rPr>
          <w:rFonts w:hint="eastAsia" w:hAnsi="宋体" w:cs="宋体"/>
          <w:spacing w:val="-3"/>
        </w:rPr>
      </w:pPr>
      <w:r>
        <w:rPr>
          <w:rFonts w:hint="eastAsia" w:ascii="宋体" w:hAnsi="宋体" w:cs="宋体"/>
        </w:rPr>
        <w:t>对于多引脚6个产品，每个样品检查3个引脚；对于四根引脚及以下的产品，每个样品检查2个引脚。应检查每个引出端镀层的顶部、两侧和弯曲面。应在24 h内完成锡须测量</w:t>
      </w:r>
      <w:r>
        <w:rPr>
          <w:rFonts w:hint="eastAsia" w:hAnsi="宋体" w:cs="宋体"/>
          <w:spacing w:val="-3"/>
        </w:rPr>
        <w:t>。</w:t>
      </w:r>
    </w:p>
    <w:p w14:paraId="0207F9B8">
      <w:pPr>
        <w:tabs>
          <w:tab w:val="left" w:pos="953"/>
        </w:tabs>
        <w:adjustRightInd/>
        <w:spacing w:before="120" w:beforeLines="50" w:after="120" w:afterLines="50" w:line="240" w:lineRule="auto"/>
        <w:jc w:val="left"/>
        <w:outlineLvl w:val="2"/>
        <w:rPr>
          <w:rFonts w:hint="eastAsia" w:ascii="黑体" w:hAnsi="黑体" w:eastAsia="黑体"/>
          <w:kern w:val="21"/>
          <w:szCs w:val="24"/>
        </w:rPr>
      </w:pPr>
      <w:r>
        <w:rPr>
          <w:rFonts w:hint="eastAsia" w:ascii="黑体" w:hAnsi="黑体" w:eastAsia="黑体"/>
          <w:kern w:val="21"/>
          <w:szCs w:val="24"/>
        </w:rPr>
        <w:t>6.3.7  缺陷筛选试验</w:t>
      </w:r>
    </w:p>
    <w:p w14:paraId="0703AC0A">
      <w:pPr>
        <w:adjustRightInd/>
        <w:spacing w:before="120" w:beforeLines="50" w:after="120" w:afterLines="50" w:line="240" w:lineRule="auto"/>
        <w:jc w:val="left"/>
        <w:rPr>
          <w:rFonts w:hint="eastAsia" w:ascii="黑体" w:hAnsi="黑体" w:eastAsia="黑体"/>
          <w:kern w:val="21"/>
          <w:szCs w:val="24"/>
        </w:rPr>
      </w:pPr>
      <w:bookmarkStart w:id="86" w:name="_Toc29144_WPSOffice_Level2"/>
      <w:bookmarkStart w:id="87" w:name="_Toc31037_WPSOffice_Level2"/>
      <w:bookmarkStart w:id="88" w:name="_Toc960_WPSOffice_Level2"/>
      <w:bookmarkStart w:id="89" w:name="_Toc27847_WPSOffice_Level2"/>
      <w:r>
        <w:rPr>
          <w:rFonts w:hint="eastAsia" w:ascii="黑体" w:hAnsi="黑体" w:eastAsia="黑体"/>
          <w:kern w:val="21"/>
          <w:szCs w:val="24"/>
        </w:rPr>
        <w:t>6.3.7.1 参数分布平均测试</w:t>
      </w:r>
      <w:bookmarkEnd w:id="86"/>
      <w:bookmarkEnd w:id="87"/>
      <w:bookmarkEnd w:id="88"/>
      <w:bookmarkEnd w:id="89"/>
    </w:p>
    <w:p w14:paraId="32EBA4D9">
      <w:pPr>
        <w:tabs>
          <w:tab w:val="left" w:pos="1164"/>
        </w:tabs>
        <w:adjustRightInd/>
        <w:spacing w:before="120" w:beforeLines="50" w:after="120" w:afterLines="50" w:line="240" w:lineRule="auto"/>
        <w:jc w:val="left"/>
        <w:rPr>
          <w:rFonts w:hint="eastAsia" w:ascii="黑体" w:hAnsi="黑体" w:eastAsia="黑体"/>
          <w:kern w:val="21"/>
          <w:szCs w:val="24"/>
        </w:rPr>
      </w:pPr>
      <w:bookmarkStart w:id="90" w:name="A.7.1.1_一般规定"/>
      <w:bookmarkEnd w:id="90"/>
      <w:bookmarkStart w:id="91" w:name="A.6.5_电性参数分布"/>
      <w:bookmarkEnd w:id="91"/>
      <w:bookmarkStart w:id="92" w:name="_Toc18178_WPSOffice_Level2"/>
      <w:bookmarkStart w:id="93" w:name="_Toc18803_WPSOffice_Level2"/>
      <w:bookmarkStart w:id="94" w:name="_Toc31875_WPSOffice_Level2"/>
      <w:bookmarkStart w:id="95" w:name="_Toc2979_WPSOffice_Level2"/>
      <w:r>
        <w:rPr>
          <w:rFonts w:hint="eastAsia" w:ascii="黑体" w:hAnsi="黑体" w:eastAsia="黑体"/>
          <w:kern w:val="21"/>
          <w:szCs w:val="24"/>
        </w:rPr>
        <w:t>6.3.7.1.1  一般规定</w:t>
      </w:r>
      <w:bookmarkEnd w:id="92"/>
      <w:bookmarkEnd w:id="93"/>
      <w:bookmarkEnd w:id="94"/>
      <w:bookmarkEnd w:id="95"/>
    </w:p>
    <w:p w14:paraId="151FDF8F">
      <w:pPr>
        <w:autoSpaceDE w:val="0"/>
        <w:autoSpaceDN w:val="0"/>
        <w:spacing w:line="240" w:lineRule="auto"/>
        <w:ind w:firstLine="420" w:firstLineChars="200"/>
        <w:rPr>
          <w:rFonts w:hint="eastAsia" w:ascii="宋体" w:hAnsi="宋体" w:cs="宋体"/>
        </w:rPr>
      </w:pPr>
      <w:r>
        <w:rPr>
          <w:rFonts w:hint="eastAsia" w:ascii="宋体" w:hAnsi="宋体" w:cs="宋体"/>
        </w:rPr>
        <w:t>可按照静态或动态方式设置测试限值。静态限值根据一定量可用的测试数据确定，并在一段时间内不需要修改；动态限值基于静态限值，针对每个批次（或一个批次中的晶片）进行建立，并随着每一批次（或晶片）测试不断修改。当晶圆级设计变更、制程微缩或工艺变更时，应确定新的静态和动态测试 限值。</w:t>
      </w:r>
    </w:p>
    <w:p w14:paraId="02D0272A">
      <w:pPr>
        <w:tabs>
          <w:tab w:val="left" w:pos="1164"/>
        </w:tabs>
        <w:spacing w:before="120" w:beforeLines="50" w:after="120" w:afterLines="50" w:line="240" w:lineRule="auto"/>
        <w:rPr>
          <w:rFonts w:hint="eastAsia" w:ascii="黑体" w:hAnsi="黑体" w:eastAsia="黑体"/>
          <w:kern w:val="21"/>
          <w:szCs w:val="24"/>
        </w:rPr>
      </w:pPr>
      <w:r>
        <w:rPr>
          <w:rFonts w:hint="eastAsia" w:ascii="黑体" w:hAnsi="黑体" w:eastAsia="黑体"/>
          <w:kern w:val="21"/>
          <w:szCs w:val="24"/>
        </w:rPr>
        <w:t>6.3.7.1.2  静态零件平均测试</w:t>
      </w:r>
    </w:p>
    <w:p w14:paraId="067B268E">
      <w:pPr>
        <w:adjustRightInd/>
        <w:spacing w:line="240" w:lineRule="auto"/>
        <w:ind w:firstLine="420" w:firstLineChars="200"/>
        <w:rPr>
          <w:rFonts w:hint="eastAsia" w:ascii="宋体" w:hAnsi="宋体" w:cs="宋体"/>
        </w:rPr>
      </w:pPr>
      <w:r>
        <w:rPr>
          <w:rFonts w:hint="eastAsia" w:ascii="宋体" w:hAnsi="宋体" w:cs="宋体"/>
        </w:rPr>
        <w:t>从已通过产品规范规定的测试限值的至少六个批次中收集测试数据。从每个批次的至少30个产品中随机选择测试数据，确定每个测试的鲁棒平均值和标准差。测试数据是晶圆级数据时，至少从5个位于晶片的不同区域裸片中选择数据（每批至少30个裸片）。在生产的早期，当不够六个批次的数据时，可使用特性批次的数据。一旦生产批次的数据可用，应立即更新数据，静态零件平均测试限值见公式1。</w:t>
      </w:r>
    </w:p>
    <w:p w14:paraId="3D82B878">
      <w:pPr>
        <w:adjustRightInd/>
        <w:spacing w:line="240" w:lineRule="auto"/>
        <w:ind w:firstLine="420" w:firstLineChars="200"/>
        <w:jc w:val="right"/>
        <w:rPr>
          <w:rFonts w:hint="eastAsia" w:ascii="宋体" w:hAnsi="宋体" w:cs="宋体"/>
        </w:rPr>
      </w:pPr>
      <w:r>
        <w:rPr>
          <w:rFonts w:hint="eastAsia" w:ascii="宋体" w:hAnsi="宋体" w:cs="宋体"/>
        </w:rPr>
        <w:t>静态零件平均测试限值=鲁棒平均值±6×鲁棒标准差</w:t>
      </w:r>
      <w:r>
        <w:rPr>
          <w:rFonts w:hint="eastAsia" w:hAnsi="Cambria Math"/>
        </w:rPr>
        <w:t xml:space="preserve">   ……………………（</w:t>
      </w:r>
      <w:r>
        <w:rPr>
          <w:rFonts w:hint="eastAsia" w:ascii="宋体" w:hAnsi="宋体" w:cs="宋体"/>
        </w:rPr>
        <w:t>1</w:t>
      </w:r>
      <w:r>
        <w:rPr>
          <w:rFonts w:hint="eastAsia" w:hAnsi="Cambria Math"/>
        </w:rPr>
        <w:t xml:space="preserve">） </w:t>
      </w:r>
    </w:p>
    <w:p w14:paraId="5AEBA01F">
      <w:pPr>
        <w:spacing w:line="240" w:lineRule="auto"/>
        <w:ind w:left="870" w:leftChars="200" w:hanging="450" w:hangingChars="250"/>
        <w:jc w:val="left"/>
        <w:rPr>
          <w:rFonts w:hint="eastAsia" w:ascii="宋体" w:hAnsi="宋体" w:cs="宋体"/>
          <w:sz w:val="18"/>
        </w:rPr>
      </w:pPr>
      <w:r>
        <w:rPr>
          <w:rFonts w:hint="eastAsia" w:ascii="黑体" w:hAnsi="黑体" w:eastAsia="黑体" w:cs="黑体"/>
          <w:sz w:val="18"/>
        </w:rPr>
        <w:t>注1：</w:t>
      </w:r>
      <w:r>
        <w:rPr>
          <w:rFonts w:hint="eastAsia" w:ascii="宋体" w:hAnsi="宋体" w:cs="宋体"/>
          <w:sz w:val="18"/>
        </w:rPr>
        <w:t>鲁棒平均值取数据中值Q2。样本量是奇数时，数据中值Q2取中间数据点；样本量是偶数时，数据中值Q2取两个中间数据点的平均值。</w:t>
      </w:r>
    </w:p>
    <w:p w14:paraId="1C6AB7FB">
      <w:pPr>
        <w:spacing w:line="240" w:lineRule="auto"/>
        <w:ind w:left="870" w:leftChars="200" w:hanging="450" w:hangingChars="250"/>
        <w:jc w:val="left"/>
        <w:rPr>
          <w:rFonts w:hint="eastAsia" w:ascii="宋体" w:hAnsi="宋体" w:cs="宋体"/>
          <w:sz w:val="18"/>
        </w:rPr>
      </w:pPr>
      <w:r>
        <w:rPr>
          <w:rFonts w:hint="eastAsia" w:ascii="黑体" w:hAnsi="黑体" w:eastAsia="黑体" w:cs="黑体"/>
          <w:sz w:val="18"/>
        </w:rPr>
        <w:t>注2</w:t>
      </w:r>
      <w:r>
        <w:rPr>
          <w:rFonts w:hint="eastAsia" w:ascii="宋体" w:hAnsi="宋体" w:cs="宋体"/>
          <w:sz w:val="18"/>
        </w:rPr>
        <w:t>：鲁棒标准差=(Q3-Q1)/1.35。参数1.35对于样本量小于20的情况是不精确的。Q1取排名数据的1/4，Q3取排名数据的3/4。</w:t>
      </w:r>
    </w:p>
    <w:p w14:paraId="4520CF2E">
      <w:pPr>
        <w:adjustRightInd/>
        <w:spacing w:line="240" w:lineRule="auto"/>
        <w:ind w:firstLine="420" w:firstLineChars="200"/>
        <w:rPr>
          <w:rFonts w:hint="eastAsia" w:ascii="宋体" w:hAnsi="宋体" w:cs="宋体"/>
        </w:rPr>
      </w:pPr>
      <w:r>
        <w:rPr>
          <w:rFonts w:hint="eastAsia" w:ascii="宋体" w:hAnsi="宋体" w:cs="宋体"/>
        </w:rPr>
        <w:t>静态零件平均测试限值应在生产的前6个月或至少8个晶圆批次（以先发生的条件为准）期间根据需要使用当前数据进行审查和更新，不应使用较旧的数据。6个月后，应每半年检查一次静态零件平均测试限值，并根据需要进行更新。</w:t>
      </w:r>
    </w:p>
    <w:p w14:paraId="16B8FDFE">
      <w:pPr>
        <w:tabs>
          <w:tab w:val="left" w:pos="1164"/>
        </w:tabs>
        <w:spacing w:before="120" w:beforeLines="50" w:after="120" w:afterLines="50" w:line="240" w:lineRule="auto"/>
        <w:rPr>
          <w:rFonts w:hint="eastAsia" w:ascii="黑体" w:hAnsi="黑体" w:eastAsia="黑体"/>
          <w:kern w:val="21"/>
          <w:szCs w:val="24"/>
        </w:rPr>
      </w:pPr>
      <w:r>
        <w:rPr>
          <w:rFonts w:hint="eastAsia" w:ascii="黑体" w:hAnsi="黑体" w:eastAsia="黑体"/>
          <w:kern w:val="21"/>
          <w:szCs w:val="24"/>
        </w:rPr>
        <w:t>6.3.7.1.3  动态零件平均测试</w:t>
      </w:r>
    </w:p>
    <w:p w14:paraId="51F4AA6D">
      <w:pPr>
        <w:adjustRightInd/>
        <w:spacing w:line="240" w:lineRule="auto"/>
        <w:ind w:firstLine="420" w:firstLineChars="200"/>
        <w:rPr>
          <w:rFonts w:hint="eastAsia" w:ascii="宋体" w:hAnsi="宋体" w:cs="宋体"/>
        </w:rPr>
      </w:pPr>
      <w:r>
        <w:rPr>
          <w:rFonts w:hint="eastAsia" w:ascii="宋体" w:hAnsi="宋体" w:cs="宋体"/>
        </w:rPr>
        <w:t>由于参考样本与正在测试的零件相同，动态零件平均测试限值通常优于静态零件平均测试限值。动态零件平均测试可提供更严格的限值，避免正常零件误剔除，因为它不需要考虑作为静态零件平均测试限值批次间的变化。动态零件平均测试限值以与静态零件平均测试限值相同的方式确定，但当新批次（或晶片）的零件数据已通过测试时，动态零件平均测试限值应使用新批次（或晶片）的零件数据重新计算。这些限值通过对测试数据的进一步统计分析定义，为特定批次（或晶片）建立了新的更严格的测试限值，并剔除其他的异常值，动态零件平均测试限值见公式2。</w:t>
      </w:r>
    </w:p>
    <w:p w14:paraId="323AF76F">
      <w:pPr>
        <w:adjustRightInd/>
        <w:spacing w:line="240" w:lineRule="auto"/>
        <w:ind w:firstLine="420" w:firstLineChars="200"/>
        <w:jc w:val="right"/>
        <w:rPr>
          <w:rFonts w:hint="eastAsia" w:ascii="宋体" w:hAnsi="宋体" w:cs="宋体"/>
        </w:rPr>
      </w:pPr>
      <w:r>
        <w:rPr>
          <w:rFonts w:hint="eastAsia" w:ascii="宋体" w:hAnsi="宋体" w:cs="宋体"/>
        </w:rPr>
        <w:t>动态零件平均测试限值=鲁棒平均值±6×鲁棒标准差</w:t>
      </w:r>
      <w:r>
        <w:rPr>
          <w:rFonts w:hint="eastAsia" w:hAnsi="Cambria Math"/>
        </w:rPr>
        <w:t xml:space="preserve">   ……………………（</w:t>
      </w:r>
      <w:r>
        <w:rPr>
          <w:rFonts w:hint="eastAsia" w:ascii="宋体" w:hAnsi="宋体" w:cs="宋体"/>
        </w:rPr>
        <w:t>2</w:t>
      </w:r>
      <w:r>
        <w:rPr>
          <w:rFonts w:hint="eastAsia" w:hAnsi="Cambria Math"/>
        </w:rPr>
        <w:t>）</w:t>
      </w:r>
    </w:p>
    <w:p w14:paraId="1B331D04">
      <w:pPr>
        <w:adjustRightInd/>
        <w:spacing w:line="240" w:lineRule="auto"/>
        <w:ind w:firstLine="420" w:firstLineChars="200"/>
        <w:rPr>
          <w:rFonts w:hint="eastAsia" w:ascii="宋体" w:hAnsi="宋体" w:cs="宋体"/>
        </w:rPr>
      </w:pPr>
      <w:r>
        <w:rPr>
          <w:rFonts w:hint="eastAsia" w:ascii="宋体" w:hAnsi="宋体" w:cs="宋体"/>
        </w:rPr>
        <w:t>对于在最后阶段无法保持可追溯性的零件，使用动态零件平均测试应对已通过的零件重新测试。</w:t>
      </w:r>
    </w:p>
    <w:p w14:paraId="12ECE511">
      <w:pPr>
        <w:tabs>
          <w:tab w:val="left" w:pos="953"/>
        </w:tabs>
        <w:spacing w:before="120" w:beforeLines="50" w:after="120" w:afterLines="50" w:line="240" w:lineRule="auto"/>
        <w:jc w:val="left"/>
      </w:pPr>
      <w:r>
        <w:rPr>
          <w:rFonts w:hint="eastAsia" w:ascii="黑体" w:hAnsi="黑体" w:eastAsia="黑体"/>
          <w:kern w:val="21"/>
          <w:szCs w:val="24"/>
        </w:rPr>
        <w:t>6.3.7.2  统计良率分析</w:t>
      </w:r>
    </w:p>
    <w:p w14:paraId="251C8303">
      <w:pPr>
        <w:adjustRightInd/>
        <w:spacing w:line="240" w:lineRule="auto"/>
        <w:ind w:firstLine="420" w:firstLineChars="200"/>
        <w:rPr>
          <w:rFonts w:hint="eastAsia" w:ascii="宋体" w:hAnsi="宋体" w:cs="宋体"/>
        </w:rPr>
      </w:pPr>
      <w:r>
        <w:rPr>
          <w:rFonts w:hint="eastAsia" w:ascii="宋体" w:hAnsi="宋体" w:cs="宋体"/>
        </w:rPr>
        <w:t>从至少六个批次收集统计数据。</w:t>
      </w:r>
    </w:p>
    <w:p w14:paraId="51DAC8A7">
      <w:pPr>
        <w:adjustRightInd/>
        <w:spacing w:line="240" w:lineRule="auto"/>
        <w:ind w:firstLine="420" w:firstLineChars="200"/>
        <w:rPr>
          <w:rFonts w:hint="eastAsia" w:ascii="宋体" w:hAnsi="宋体" w:cs="宋体"/>
        </w:rPr>
      </w:pPr>
      <w:r>
        <w:rPr>
          <w:rFonts w:hint="eastAsia" w:ascii="宋体" w:hAnsi="宋体" w:cs="宋体"/>
        </w:rPr>
        <w:t>在零件生产的早期，当不够六个批次的数据时，可使用（晶圆）特性化/矩阵批次的数据（类似于现有产品和设计仿真）设定初始限值。一旦当前生产批次的数据可用，应立即更新初始限值。应在生产的前6个月使用当前生产数据定期进行检查和更新。初始限值更新频率应根据产品量产提升率的实际情况进行，例如每2个扩散批次后或每30天进行。</w:t>
      </w:r>
    </w:p>
    <w:p w14:paraId="5150A235">
      <w:pPr>
        <w:adjustRightInd/>
        <w:spacing w:line="240" w:lineRule="auto"/>
        <w:ind w:firstLine="420" w:firstLineChars="200"/>
        <w:rPr>
          <w:rFonts w:hint="eastAsia" w:ascii="宋体" w:hAnsi="宋体" w:cs="宋体"/>
        </w:rPr>
      </w:pPr>
      <w:r>
        <w:rPr>
          <w:rFonts w:hint="eastAsia" w:ascii="宋体" w:hAnsi="宋体" w:cs="宋体"/>
        </w:rPr>
        <w:t>当前使用的数据应包括最近一次更新后的数据或至少最近个8批次的数据，不应使用旧数据。在生产开始的6个月后，限值应至少每年更新两次，或按照供需双方协商进行更新。这些数据决定的统计良率限值和统计仓限值（基于晶片、晶圆批次和封装批次）见公式3和公式4：</w:t>
      </w:r>
    </w:p>
    <w:p w14:paraId="1D6BA88B">
      <w:pPr>
        <w:adjustRightInd/>
        <w:spacing w:line="240" w:lineRule="auto"/>
        <w:ind w:firstLine="420" w:firstLineChars="200"/>
        <w:jc w:val="right"/>
        <w:rPr>
          <w:rFonts w:hint="eastAsia" w:ascii="宋体" w:hAnsi="宋体" w:cs="宋体"/>
        </w:rPr>
      </w:pPr>
      <w:r>
        <w:rPr>
          <w:rFonts w:hint="eastAsia" w:ascii="宋体" w:hAnsi="宋体" w:cs="宋体"/>
        </w:rPr>
        <w:t>统计良率上、下限值=平均值±3×标准差</w:t>
      </w:r>
      <w:r>
        <w:rPr>
          <w:rFonts w:hint="eastAsia" w:hAnsi="Cambria Math"/>
        </w:rPr>
        <w:t xml:space="preserve">   ……………………（</w:t>
      </w:r>
      <w:r>
        <w:rPr>
          <w:rFonts w:hint="eastAsia" w:ascii="宋体" w:hAnsi="宋体" w:cs="宋体"/>
        </w:rPr>
        <w:t>3</w:t>
      </w:r>
      <w:r>
        <w:rPr>
          <w:rFonts w:hint="eastAsia" w:hAnsi="Cambria Math"/>
        </w:rPr>
        <w:t>）</w:t>
      </w:r>
    </w:p>
    <w:p w14:paraId="462D9571">
      <w:pPr>
        <w:adjustRightInd/>
        <w:spacing w:line="240" w:lineRule="auto"/>
        <w:ind w:firstLine="420" w:firstLineChars="200"/>
        <w:jc w:val="center"/>
        <w:rPr>
          <w:rFonts w:hint="eastAsia" w:ascii="宋体" w:hAnsi="宋体" w:cs="宋体"/>
        </w:rPr>
      </w:pPr>
      <w:r>
        <w:rPr>
          <w:rFonts w:hint="eastAsia" w:ascii="宋体" w:hAnsi="宋体" w:cs="宋体"/>
        </w:rPr>
        <w:t xml:space="preserve">                       统计仓上、下限值=平均值±4×标准差</w:t>
      </w:r>
      <w:r>
        <w:rPr>
          <w:rFonts w:hint="eastAsia" w:hAnsi="Cambria Math"/>
        </w:rPr>
        <w:t xml:space="preserve">      ……………………（</w:t>
      </w:r>
      <w:r>
        <w:rPr>
          <w:rFonts w:hint="eastAsia" w:ascii="宋体" w:hAnsi="宋体" w:cs="宋体"/>
        </w:rPr>
        <w:t>4</w:t>
      </w:r>
      <w:r>
        <w:rPr>
          <w:rFonts w:hint="eastAsia" w:hAnsi="Cambria Math"/>
        </w:rPr>
        <w:t>）</w:t>
      </w:r>
    </w:p>
    <w:p w14:paraId="5DCAEBB0">
      <w:pPr>
        <w:pStyle w:val="58"/>
        <w:spacing w:after="120" w:afterLines="50"/>
        <w:ind w:firstLine="420"/>
      </w:pPr>
      <w:r>
        <w:rPr>
          <w:rFonts w:hint="eastAsia" w:hAnsi="宋体" w:cs="宋体"/>
          <w:szCs w:val="21"/>
        </w:rPr>
        <w:t>如果统计结果符合正态分布，确定每批通过的零件百分比的平均值和标准差，以及每批次（指每个晶片、一个晶圆批次或一个封装批次）失效裸片的百分比。如果统计结果不符合正态分布，可使用数学转换等替代方法使正态分布适用，或将数据拟合到另一个合适的分布（威布尔分布、伽玛分布、泊松分布等），并建立统计良率限值，实现与正态分布在统计良率或统计仓相同的风险概率。</w:t>
      </w:r>
    </w:p>
    <w:p w14:paraId="4CC09E65">
      <w:pPr>
        <w:pStyle w:val="107"/>
        <w:spacing w:before="120" w:after="120"/>
      </w:pPr>
      <w:bookmarkStart w:id="96" w:name="_Toc12144"/>
      <w:bookmarkStart w:id="97" w:name="_Toc11812"/>
      <w:r>
        <w:rPr>
          <w:rFonts w:hint="eastAsia"/>
        </w:rPr>
        <w:t>电磁兼容试验</w:t>
      </w:r>
      <w:bookmarkEnd w:id="96"/>
      <w:bookmarkEnd w:id="97"/>
    </w:p>
    <w:p w14:paraId="14897245">
      <w:pPr>
        <w:pStyle w:val="67"/>
        <w:keepNext w:val="0"/>
        <w:keepLines w:val="0"/>
        <w:pageBreakBefore w:val="0"/>
        <w:widowControl w:val="0"/>
        <w:kinsoku/>
        <w:wordWrap/>
        <w:overflowPunct/>
        <w:topLinePunct w:val="0"/>
        <w:autoSpaceDE/>
        <w:autoSpaceDN/>
        <w:bidi w:val="0"/>
        <w:adjustRightInd/>
        <w:snapToGrid/>
        <w:spacing w:before="120" w:after="120"/>
        <w:ind w:left="0"/>
        <w:textAlignment w:val="auto"/>
      </w:pPr>
      <w:r>
        <w:rPr>
          <w:rFonts w:hint="eastAsia"/>
        </w:rPr>
        <w:t>通用试验要求</w:t>
      </w:r>
    </w:p>
    <w:p w14:paraId="77F171EB">
      <w:pPr>
        <w:pStyle w:val="96"/>
        <w:spacing w:before="120" w:after="120"/>
      </w:pPr>
      <w:r>
        <w:rPr>
          <w:rFonts w:hint="eastAsia"/>
        </w:rPr>
        <w:t>工作状态要求</w:t>
      </w:r>
    </w:p>
    <w:p w14:paraId="04AC2EB3">
      <w:pPr>
        <w:autoSpaceDE w:val="0"/>
        <w:autoSpaceDN w:val="0"/>
        <w:spacing w:line="240" w:lineRule="auto"/>
        <w:ind w:firstLine="420" w:firstLineChars="200"/>
        <w:rPr>
          <w:rFonts w:hint="eastAsia" w:ascii="宋体" w:hAnsi="宋体"/>
        </w:rPr>
      </w:pPr>
      <w:r>
        <w:rPr>
          <w:rFonts w:hint="eastAsia" w:ascii="宋体" w:hAnsi="宋体"/>
        </w:rPr>
        <w:t>在进行电磁发射试验、电磁抗扰度试验和脉冲抗扰度试验时，应使纯电动客车用电源管理芯片工作在车载应用的典型工作状态或最坏工作状态下，纯电动客车用电源管理芯片的所有主要功能均应按车载实际应用的规定工作。该工作状态应被详细地记录并体现在试验报告中。</w:t>
      </w:r>
    </w:p>
    <w:p w14:paraId="5C8832E9">
      <w:pPr>
        <w:autoSpaceDE w:val="0"/>
        <w:autoSpaceDN w:val="0"/>
        <w:spacing w:line="240" w:lineRule="auto"/>
        <w:ind w:firstLine="420" w:firstLineChars="200"/>
        <w:rPr>
          <w:rFonts w:hint="eastAsia" w:ascii="宋体" w:hAnsi="宋体"/>
        </w:rPr>
      </w:pPr>
      <w:r>
        <w:rPr>
          <w:rFonts w:hint="eastAsia" w:ascii="宋体" w:hAnsi="宋体"/>
        </w:rPr>
        <w:t>在进行系统级ESD抗扰度试验时，应使纯电动客车用电源管理芯片处于不加电状态。</w:t>
      </w:r>
    </w:p>
    <w:p w14:paraId="17815928">
      <w:pPr>
        <w:pStyle w:val="96"/>
        <w:spacing w:before="120" w:after="120"/>
      </w:pPr>
      <w:r>
        <w:rPr>
          <w:rFonts w:hint="eastAsia"/>
        </w:rPr>
        <w:t>功能状态监测要求</w:t>
      </w:r>
    </w:p>
    <w:p w14:paraId="5846183D">
      <w:pPr>
        <w:autoSpaceDE w:val="0"/>
        <w:autoSpaceDN w:val="0"/>
        <w:spacing w:line="240" w:lineRule="auto"/>
        <w:ind w:firstLine="420" w:firstLineChars="200"/>
        <w:rPr>
          <w:rFonts w:hint="eastAsia" w:ascii="宋体" w:hAnsi="宋体"/>
        </w:rPr>
      </w:pPr>
      <w:r>
        <w:rPr>
          <w:rFonts w:hint="eastAsia" w:ascii="宋体" w:hAnsi="宋体"/>
        </w:rPr>
        <w:t>纯电动客车用电源管理芯片在进行电磁抗扰度和脉冲抗扰度试验时，应对纯电动客车用电源管理芯片的功能状态进行全面的监测。被检测的功能状态应被详细的记录并体现在试验报告中。</w:t>
      </w:r>
    </w:p>
    <w:p w14:paraId="141CCBA8">
      <w:pPr>
        <w:widowControl/>
        <w:numPr>
          <w:ilvl w:val="1"/>
          <w:numId w:val="2"/>
        </w:numPr>
        <w:adjustRightInd/>
        <w:spacing w:line="240" w:lineRule="auto"/>
        <w:ind w:firstLine="420"/>
        <w:outlineLvl w:val="0"/>
        <w:rPr>
          <w:rFonts w:ascii="黑体" w:hAnsi="Times New Roman" w:eastAsia="黑体"/>
          <w:vanish/>
          <w:kern w:val="0"/>
          <w:szCs w:val="20"/>
        </w:rPr>
      </w:pPr>
    </w:p>
    <w:p w14:paraId="2FBDAA4C">
      <w:pPr>
        <w:widowControl/>
        <w:numPr>
          <w:ilvl w:val="2"/>
          <w:numId w:val="2"/>
        </w:numPr>
        <w:adjustRightInd/>
        <w:spacing w:line="240" w:lineRule="auto"/>
        <w:ind w:firstLine="420"/>
        <w:outlineLvl w:val="1"/>
        <w:rPr>
          <w:rFonts w:ascii="黑体" w:hAnsi="Times New Roman" w:eastAsia="黑体"/>
          <w:vanish/>
          <w:kern w:val="0"/>
          <w:szCs w:val="20"/>
        </w:rPr>
      </w:pPr>
    </w:p>
    <w:p w14:paraId="1A3AFD47">
      <w:pPr>
        <w:widowControl/>
        <w:numPr>
          <w:ilvl w:val="2"/>
          <w:numId w:val="2"/>
        </w:numPr>
        <w:adjustRightInd/>
        <w:spacing w:line="240" w:lineRule="auto"/>
        <w:ind w:firstLine="420"/>
        <w:outlineLvl w:val="1"/>
        <w:rPr>
          <w:rFonts w:ascii="黑体" w:hAnsi="Times New Roman" w:eastAsia="黑体"/>
          <w:vanish/>
          <w:kern w:val="0"/>
          <w:szCs w:val="20"/>
        </w:rPr>
      </w:pPr>
    </w:p>
    <w:p w14:paraId="64135433">
      <w:pPr>
        <w:widowControl/>
        <w:numPr>
          <w:ilvl w:val="2"/>
          <w:numId w:val="2"/>
        </w:numPr>
        <w:adjustRightInd/>
        <w:spacing w:line="240" w:lineRule="auto"/>
        <w:ind w:firstLine="420"/>
        <w:outlineLvl w:val="1"/>
        <w:rPr>
          <w:rFonts w:ascii="黑体" w:hAnsi="Times New Roman" w:eastAsia="黑体"/>
          <w:vanish/>
          <w:kern w:val="0"/>
          <w:szCs w:val="20"/>
        </w:rPr>
      </w:pPr>
    </w:p>
    <w:p w14:paraId="54920656">
      <w:pPr>
        <w:widowControl/>
        <w:numPr>
          <w:ilvl w:val="2"/>
          <w:numId w:val="2"/>
        </w:numPr>
        <w:adjustRightInd/>
        <w:spacing w:line="240" w:lineRule="auto"/>
        <w:ind w:firstLine="420"/>
        <w:outlineLvl w:val="1"/>
        <w:rPr>
          <w:rFonts w:ascii="黑体" w:hAnsi="Times New Roman" w:eastAsia="黑体"/>
          <w:vanish/>
          <w:kern w:val="0"/>
          <w:szCs w:val="20"/>
        </w:rPr>
      </w:pPr>
    </w:p>
    <w:p w14:paraId="0109FAF8">
      <w:pPr>
        <w:tabs>
          <w:tab w:val="left" w:pos="953"/>
        </w:tabs>
        <w:adjustRightInd/>
        <w:spacing w:before="120" w:beforeLines="50" w:after="120" w:afterLines="50" w:line="240" w:lineRule="auto"/>
        <w:jc w:val="left"/>
        <w:outlineLvl w:val="2"/>
        <w:rPr>
          <w:rFonts w:hint="eastAsia" w:ascii="黑体" w:hAnsi="黑体" w:eastAsia="黑体"/>
          <w:kern w:val="21"/>
          <w:szCs w:val="24"/>
        </w:rPr>
      </w:pPr>
      <w:r>
        <w:rPr>
          <w:rFonts w:hint="eastAsia" w:ascii="黑体" w:hAnsi="黑体" w:eastAsia="黑体"/>
          <w:kern w:val="21"/>
          <w:szCs w:val="24"/>
        </w:rPr>
        <w:t>6.4.2  电磁发射试验</w:t>
      </w:r>
    </w:p>
    <w:p w14:paraId="76EDBAE1">
      <w:pPr>
        <w:pStyle w:val="96"/>
        <w:numPr>
          <w:ilvl w:val="4"/>
          <w:numId w:val="0"/>
        </w:numPr>
        <w:spacing w:before="120" w:after="120"/>
      </w:pPr>
      <w:r>
        <w:rPr>
          <w:rFonts w:hint="eastAsia" w:hAnsi="黑体"/>
          <w:kern w:val="21"/>
          <w:szCs w:val="24"/>
        </w:rPr>
        <w:t xml:space="preserve">6.4.2.1  </w:t>
      </w:r>
      <w:r>
        <w:rPr>
          <w:rFonts w:hint="eastAsia"/>
        </w:rPr>
        <w:t>辐射发射</w:t>
      </w:r>
    </w:p>
    <w:p w14:paraId="19275230">
      <w:pPr>
        <w:autoSpaceDE w:val="0"/>
        <w:autoSpaceDN w:val="0"/>
        <w:spacing w:line="240" w:lineRule="auto"/>
        <w:ind w:firstLine="420" w:firstLineChars="200"/>
        <w:rPr>
          <w:rFonts w:hint="eastAsia" w:ascii="宋体" w:hAnsi="宋体"/>
        </w:rPr>
      </w:pPr>
      <w:r>
        <w:rPr>
          <w:rFonts w:hint="eastAsia" w:ascii="宋体" w:hAnsi="宋体"/>
        </w:rPr>
        <w:t>在GB/T 44937.1—2025中第4章的试验条件下，可选TEM小室和GTEM小室法，或带状线法进行试验。试验方法如下</w:t>
      </w:r>
      <w:r>
        <w:rPr>
          <w:rFonts w:hint="eastAsia" w:ascii="宋体" w:hAnsi="Times New Roman" w:cs="宋体"/>
        </w:rPr>
        <w:t>。试验方法如下：</w:t>
      </w:r>
    </w:p>
    <w:p w14:paraId="1488B19D">
      <w:pPr>
        <w:numPr>
          <w:ilvl w:val="0"/>
          <w:numId w:val="71"/>
        </w:numPr>
        <w:spacing w:line="240" w:lineRule="auto"/>
        <w:ind w:left="840" w:leftChars="200" w:hanging="420" w:hangingChars="200"/>
        <w:rPr>
          <w:rFonts w:hint="eastAsia" w:ascii="宋体" w:hAnsi="宋体" w:cs="宋体"/>
          <w:lang w:bidi="ar"/>
        </w:rPr>
      </w:pPr>
      <w:r>
        <w:rPr>
          <w:rFonts w:hint="eastAsia" w:ascii="宋体" w:hAnsi="宋体" w:cs="宋体"/>
          <w:lang w:bidi="ar"/>
        </w:rPr>
        <w:t>TEM小室和GTEM小室法按GB/T 46894—2025中6.2.1的方法进行试验；</w:t>
      </w:r>
    </w:p>
    <w:p w14:paraId="5B129406">
      <w:pPr>
        <w:numPr>
          <w:ilvl w:val="0"/>
          <w:numId w:val="71"/>
        </w:numPr>
        <w:spacing w:line="240" w:lineRule="auto"/>
        <w:ind w:left="840" w:leftChars="200" w:hanging="420" w:hangingChars="200"/>
        <w:rPr>
          <w:rFonts w:hint="eastAsia" w:ascii="宋体" w:hAnsi="宋体" w:cs="宋体"/>
          <w:lang w:bidi="ar"/>
        </w:rPr>
      </w:pPr>
      <w:r>
        <w:rPr>
          <w:rFonts w:hint="eastAsia" w:ascii="宋体" w:hAnsi="宋体" w:cs="宋体"/>
          <w:lang w:bidi="ar"/>
        </w:rPr>
        <w:t>带状线法按GB/T 46894—2025中6.2.2的方法进行试验。</w:t>
      </w:r>
    </w:p>
    <w:p w14:paraId="72C588A9">
      <w:pPr>
        <w:pStyle w:val="96"/>
        <w:numPr>
          <w:ilvl w:val="4"/>
          <w:numId w:val="0"/>
        </w:numPr>
        <w:spacing w:before="120" w:after="120"/>
      </w:pPr>
      <w:r>
        <w:rPr>
          <w:rFonts w:hint="eastAsia" w:hAnsi="黑体"/>
          <w:kern w:val="21"/>
          <w:szCs w:val="24"/>
        </w:rPr>
        <w:t xml:space="preserve">6.4.2.2  </w:t>
      </w:r>
      <w:r>
        <w:rPr>
          <w:rFonts w:hint="eastAsia"/>
        </w:rPr>
        <w:t>传导发射</w:t>
      </w:r>
    </w:p>
    <w:p w14:paraId="1F18BD79">
      <w:pPr>
        <w:autoSpaceDE w:val="0"/>
        <w:autoSpaceDN w:val="0"/>
        <w:spacing w:line="240" w:lineRule="auto"/>
        <w:ind w:firstLine="420" w:firstLineChars="200"/>
        <w:rPr>
          <w:rFonts w:hint="eastAsia" w:ascii="宋体" w:hAnsi="宋体"/>
        </w:rPr>
      </w:pPr>
      <w:r>
        <w:rPr>
          <w:rFonts w:hint="eastAsia" w:ascii="宋体" w:hAnsi="宋体"/>
        </w:rPr>
        <w:t>在GB/T 44937.1—2025中第4章的试验条件下，按GB/T 46894—2025中6.2.3的方法进行试验。</w:t>
      </w:r>
    </w:p>
    <w:p w14:paraId="13298B06">
      <w:pPr>
        <w:tabs>
          <w:tab w:val="left" w:pos="953"/>
        </w:tabs>
        <w:adjustRightInd/>
        <w:spacing w:before="120" w:beforeLines="50" w:after="120" w:afterLines="50" w:line="240" w:lineRule="auto"/>
        <w:jc w:val="left"/>
        <w:outlineLvl w:val="2"/>
        <w:rPr>
          <w:rFonts w:hint="eastAsia" w:ascii="黑体" w:hAnsi="黑体" w:eastAsia="黑体"/>
          <w:kern w:val="21"/>
          <w:szCs w:val="24"/>
        </w:rPr>
      </w:pPr>
      <w:r>
        <w:rPr>
          <w:rFonts w:hint="eastAsia" w:ascii="黑体" w:hAnsi="黑体" w:eastAsia="黑体"/>
          <w:kern w:val="21"/>
          <w:szCs w:val="24"/>
        </w:rPr>
        <w:t xml:space="preserve">6.4.3 </w:t>
      </w:r>
      <w:r>
        <w:rPr>
          <w:rFonts w:hint="eastAsia" w:hAnsi="黑体"/>
          <w:kern w:val="21"/>
          <w:szCs w:val="24"/>
        </w:rPr>
        <w:t xml:space="preserve"> </w:t>
      </w:r>
      <w:r>
        <w:rPr>
          <w:rFonts w:hint="eastAsia" w:ascii="黑体" w:hAnsi="黑体" w:eastAsia="黑体"/>
          <w:kern w:val="21"/>
          <w:szCs w:val="24"/>
        </w:rPr>
        <w:t>电磁抗扰度试验</w:t>
      </w:r>
    </w:p>
    <w:p w14:paraId="3BC72445">
      <w:pPr>
        <w:pStyle w:val="96"/>
        <w:numPr>
          <w:ilvl w:val="4"/>
          <w:numId w:val="0"/>
        </w:numPr>
        <w:spacing w:before="120" w:after="120"/>
      </w:pPr>
      <w:r>
        <w:rPr>
          <w:rFonts w:hint="eastAsia" w:hAnsi="黑体"/>
          <w:kern w:val="21"/>
          <w:szCs w:val="24"/>
        </w:rPr>
        <w:t xml:space="preserve">6.4.3.1  </w:t>
      </w:r>
      <w:r>
        <w:rPr>
          <w:rFonts w:hint="eastAsia"/>
        </w:rPr>
        <w:t>辐射抗扰度</w:t>
      </w:r>
    </w:p>
    <w:p w14:paraId="61C742A8">
      <w:pPr>
        <w:spacing w:line="240" w:lineRule="auto"/>
        <w:ind w:firstLine="420" w:firstLineChars="200"/>
        <w:rPr>
          <w:rFonts w:hint="eastAsia" w:ascii="宋体" w:hAnsi="宋体" w:cs="宋体"/>
          <w:lang w:bidi="ar"/>
        </w:rPr>
      </w:pPr>
      <w:r>
        <w:rPr>
          <w:rFonts w:hint="eastAsia" w:ascii="宋体" w:hAnsi="宋体" w:cs="宋体"/>
          <w:lang w:bidi="ar"/>
        </w:rPr>
        <w:t>在GB/T 42968.1</w:t>
      </w:r>
      <w:r>
        <w:rPr>
          <w:rFonts w:hint="eastAsia" w:cs="宋体"/>
        </w:rPr>
        <w:t>—</w:t>
      </w:r>
      <w:r>
        <w:rPr>
          <w:rFonts w:hint="eastAsia" w:ascii="宋体" w:hAnsi="宋体" w:cs="宋体"/>
          <w:lang w:bidi="ar"/>
        </w:rPr>
        <w:t>2023中第4章的试验条件下，可选TEM小室和GTEM小室法，或带状线法进行试验。试验方法如下：</w:t>
      </w:r>
    </w:p>
    <w:p w14:paraId="34550DD5">
      <w:pPr>
        <w:numPr>
          <w:ilvl w:val="0"/>
          <w:numId w:val="72"/>
        </w:numPr>
        <w:spacing w:line="240" w:lineRule="auto"/>
        <w:ind w:left="840" w:leftChars="200" w:hanging="420" w:hangingChars="200"/>
        <w:rPr>
          <w:rFonts w:hint="eastAsia" w:ascii="宋体" w:hAnsi="宋体" w:cs="宋体"/>
        </w:rPr>
      </w:pPr>
      <w:r>
        <w:rPr>
          <w:rFonts w:hint="eastAsia" w:ascii="宋体" w:hAnsi="宋体" w:cs="宋体"/>
          <w:lang w:bidi="ar"/>
        </w:rPr>
        <w:t>TEM小室和GTEM小室法按</w:t>
      </w:r>
      <w:r>
        <w:rPr>
          <w:rFonts w:hint="eastAsia" w:ascii="宋体" w:hAnsi="宋体" w:cs="宋体"/>
        </w:rPr>
        <w:t>GB/T 46894—2025</w:t>
      </w:r>
      <w:r>
        <w:rPr>
          <w:rFonts w:hint="eastAsia" w:ascii="宋体" w:hAnsi="宋体" w:cs="宋体"/>
          <w:lang w:bidi="ar"/>
        </w:rPr>
        <w:t>中6.3.2的方法和表2中的等级III进行试验；</w:t>
      </w:r>
    </w:p>
    <w:p w14:paraId="3E008650">
      <w:pPr>
        <w:widowControl/>
        <w:numPr>
          <w:ilvl w:val="0"/>
          <w:numId w:val="72"/>
        </w:numPr>
        <w:spacing w:line="240" w:lineRule="auto"/>
        <w:ind w:left="840" w:leftChars="200" w:hanging="420" w:hangingChars="200"/>
        <w:jc w:val="left"/>
        <w:rPr>
          <w:rFonts w:hint="eastAsia" w:ascii="宋体" w:hAnsi="宋体" w:cs="宋体"/>
          <w:lang w:bidi="ar"/>
        </w:rPr>
      </w:pPr>
      <w:r>
        <w:rPr>
          <w:rFonts w:hint="eastAsia" w:ascii="宋体" w:hAnsi="宋体" w:cs="宋体"/>
        </w:rPr>
        <w:t>带状线法按GB/T 46894—2025</w:t>
      </w:r>
      <w:r>
        <w:rPr>
          <w:rFonts w:hint="eastAsia" w:ascii="宋体" w:hAnsi="宋体" w:cs="宋体"/>
          <w:lang w:bidi="ar"/>
        </w:rPr>
        <w:t>中6.3.4的方法和表2中的等级III进行试验。</w:t>
      </w:r>
    </w:p>
    <w:p w14:paraId="352D6E0D">
      <w:pPr>
        <w:pStyle w:val="96"/>
        <w:numPr>
          <w:ilvl w:val="4"/>
          <w:numId w:val="0"/>
        </w:numPr>
        <w:spacing w:before="120" w:after="120"/>
      </w:pPr>
      <w:r>
        <w:rPr>
          <w:rFonts w:hint="eastAsia" w:hAnsi="黑体"/>
          <w:kern w:val="21"/>
          <w:szCs w:val="24"/>
        </w:rPr>
        <w:t xml:space="preserve">6.4.3.2  </w:t>
      </w:r>
      <w:r>
        <w:rPr>
          <w:rFonts w:hint="eastAsia"/>
        </w:rPr>
        <w:t>传导抗扰度</w:t>
      </w:r>
    </w:p>
    <w:p w14:paraId="2AE3AB09">
      <w:pPr>
        <w:widowControl/>
        <w:spacing w:line="240" w:lineRule="auto"/>
        <w:ind w:firstLine="420" w:firstLineChars="200"/>
        <w:jc w:val="left"/>
        <w:rPr>
          <w:rFonts w:hint="eastAsia" w:ascii="宋体" w:hAnsi="宋体" w:cs="宋体"/>
          <w:lang w:bidi="ar"/>
        </w:rPr>
      </w:pPr>
      <w:r>
        <w:rPr>
          <w:rFonts w:hint="eastAsia" w:ascii="宋体" w:hAnsi="宋体" w:cs="宋体"/>
          <w:lang w:bidi="ar"/>
        </w:rPr>
        <w:t>在GB/T 42968.1</w:t>
      </w:r>
      <w:r>
        <w:rPr>
          <w:rFonts w:hint="eastAsia" w:cs="宋体"/>
        </w:rPr>
        <w:t>—</w:t>
      </w:r>
      <w:r>
        <w:rPr>
          <w:rFonts w:hint="eastAsia" w:ascii="宋体" w:hAnsi="宋体" w:cs="宋体"/>
          <w:lang w:bidi="ar"/>
        </w:rPr>
        <w:t>2023中第4章的试验条件下，</w:t>
      </w:r>
      <w:r>
        <w:rPr>
          <w:rFonts w:hint="eastAsia" w:ascii="宋体" w:hAnsi="宋体" w:cs="宋体"/>
        </w:rPr>
        <w:t>按GB/T 46894—2025</w:t>
      </w:r>
      <w:r>
        <w:rPr>
          <w:rFonts w:hint="eastAsia" w:ascii="宋体" w:hAnsi="宋体" w:cs="宋体"/>
          <w:lang w:bidi="ar"/>
        </w:rPr>
        <w:t>中6.3.3的方法和表2中的等级III进行试验。</w:t>
      </w:r>
    </w:p>
    <w:p w14:paraId="7B254897">
      <w:pPr>
        <w:pStyle w:val="67"/>
        <w:numPr>
          <w:ilvl w:val="3"/>
          <w:numId w:val="0"/>
        </w:numPr>
        <w:spacing w:before="120" w:after="120"/>
      </w:pPr>
      <w:r>
        <w:rPr>
          <w:rFonts w:hint="eastAsia" w:hAnsi="黑体"/>
          <w:kern w:val="21"/>
          <w:szCs w:val="24"/>
        </w:rPr>
        <w:t xml:space="preserve">6.4.3.3  </w:t>
      </w:r>
      <w:r>
        <w:rPr>
          <w:rFonts w:hint="eastAsia"/>
        </w:rPr>
        <w:t>脉冲抗扰度</w:t>
      </w:r>
    </w:p>
    <w:p w14:paraId="605EBE44">
      <w:pPr>
        <w:numPr>
          <w:ilvl w:val="255"/>
          <w:numId w:val="0"/>
        </w:numPr>
        <w:spacing w:line="240" w:lineRule="auto"/>
        <w:ind w:left="420"/>
        <w:jc w:val="left"/>
        <w:rPr>
          <w:rFonts w:hint="eastAsia" w:ascii="宋体" w:hAnsi="宋体" w:cs="宋体"/>
        </w:rPr>
      </w:pPr>
      <w:r>
        <w:rPr>
          <w:rFonts w:hint="eastAsia" w:ascii="宋体" w:hAnsi="宋体" w:cs="宋体"/>
        </w:rPr>
        <w:t>脉冲抗扰度按下列步骤进行试验：</w:t>
      </w:r>
    </w:p>
    <w:p w14:paraId="2DB628D2">
      <w:pPr>
        <w:numPr>
          <w:ilvl w:val="0"/>
          <w:numId w:val="73"/>
        </w:numPr>
        <w:spacing w:line="240" w:lineRule="auto"/>
        <w:ind w:left="840" w:leftChars="200" w:hanging="420" w:hangingChars="200"/>
        <w:jc w:val="left"/>
        <w:rPr>
          <w:rFonts w:hint="eastAsia" w:ascii="宋体" w:hAnsi="宋体" w:cs="宋体"/>
        </w:rPr>
      </w:pPr>
      <w:r>
        <w:rPr>
          <w:rFonts w:hint="eastAsia" w:ascii="宋体" w:hAnsi="宋体" w:cs="宋体"/>
        </w:rPr>
        <w:t>应用于12 V系统的纯电动客车用电源管理芯片，按GB/T 46894—2025中6.3.5的方法和</w:t>
      </w:r>
      <w:r>
        <w:rPr>
          <w:rFonts w:hint="eastAsia" w:ascii="宋体" w:hAnsi="宋体" w:cs="宋体"/>
          <w:lang w:bidi="ar"/>
        </w:rPr>
        <w:t>表3中等级III</w:t>
      </w:r>
      <w:r>
        <w:rPr>
          <w:rFonts w:hint="eastAsia" w:ascii="宋体" w:hAnsi="宋体" w:cs="宋体"/>
        </w:rPr>
        <w:t>进行试验。</w:t>
      </w:r>
    </w:p>
    <w:p w14:paraId="4048CC44">
      <w:pPr>
        <w:numPr>
          <w:ilvl w:val="0"/>
          <w:numId w:val="73"/>
        </w:numPr>
        <w:spacing w:line="240" w:lineRule="auto"/>
        <w:ind w:left="840" w:leftChars="200" w:hanging="420" w:hangingChars="200"/>
        <w:jc w:val="left"/>
        <w:rPr>
          <w:rFonts w:hint="eastAsia" w:ascii="宋体" w:hAnsi="宋体" w:cs="宋体"/>
        </w:rPr>
      </w:pPr>
      <w:r>
        <w:rPr>
          <w:rFonts w:hint="eastAsia" w:ascii="宋体" w:hAnsi="宋体" w:cs="宋体"/>
        </w:rPr>
        <w:t>应用于24 V系统的纯电动客车用电源管理芯片，按GB/T 46894—2025中6.3.5的方法和</w:t>
      </w:r>
      <w:r>
        <w:rPr>
          <w:rFonts w:hint="eastAsia" w:ascii="宋体" w:hAnsi="宋体" w:cs="宋体"/>
          <w:lang w:bidi="ar"/>
        </w:rPr>
        <w:t>表4中等级III</w:t>
      </w:r>
      <w:r>
        <w:rPr>
          <w:rFonts w:hint="eastAsia" w:ascii="宋体" w:hAnsi="宋体" w:cs="宋体"/>
        </w:rPr>
        <w:t>进行试验。</w:t>
      </w:r>
    </w:p>
    <w:p w14:paraId="43D12D96">
      <w:pPr>
        <w:pStyle w:val="67"/>
        <w:numPr>
          <w:ilvl w:val="3"/>
          <w:numId w:val="0"/>
        </w:numPr>
        <w:spacing w:before="120" w:after="120"/>
      </w:pPr>
      <w:r>
        <w:rPr>
          <w:rFonts w:hint="eastAsia"/>
        </w:rPr>
        <w:t>6.4.4  系统级ESD试验</w:t>
      </w:r>
    </w:p>
    <w:p w14:paraId="4ACEA803">
      <w:pPr>
        <w:autoSpaceDE w:val="0"/>
        <w:autoSpaceDN w:val="0"/>
        <w:spacing w:line="240" w:lineRule="auto"/>
        <w:ind w:firstLine="420" w:firstLineChars="200"/>
        <w:rPr>
          <w:rFonts w:hint="eastAsia" w:ascii="宋体" w:hAnsi="宋体"/>
          <w:highlight w:val="yellow"/>
        </w:rPr>
      </w:pPr>
      <w:r>
        <w:rPr>
          <w:rFonts w:hint="eastAsia" w:ascii="宋体" w:hAnsi="宋体" w:cs="宋体"/>
          <w:highlight w:val="yellow"/>
        </w:rPr>
        <w:t>根据纯电动客车用电源管理芯片应用情况配置测试板，按GB/T 46894—2025中6.3.6的</w:t>
      </w:r>
      <w:r>
        <w:rPr>
          <w:rFonts w:hint="eastAsia" w:ascii="宋体" w:hAnsi="宋体" w:cs="宋体"/>
          <w:highlight w:val="yellow"/>
          <w:lang w:val="en-US" w:eastAsia="zh-CN"/>
        </w:rPr>
        <w:t>测试</w:t>
      </w:r>
      <w:r>
        <w:rPr>
          <w:rFonts w:hint="eastAsia" w:ascii="宋体" w:hAnsi="宋体" w:cs="宋体"/>
          <w:highlight w:val="yellow"/>
        </w:rPr>
        <w:t>方法和表5中的等级III</w:t>
      </w:r>
      <w:r>
        <w:rPr>
          <w:rFonts w:hint="eastAsia" w:ascii="宋体" w:hAnsi="宋体" w:cs="宋体"/>
          <w:highlight w:val="yellow"/>
          <w:lang w:val="en-US" w:eastAsia="zh-CN"/>
        </w:rPr>
        <w:t>要求</w:t>
      </w:r>
      <w:r>
        <w:rPr>
          <w:rFonts w:hint="eastAsia" w:ascii="宋体" w:hAnsi="宋体" w:cs="宋体"/>
          <w:highlight w:val="yellow"/>
        </w:rPr>
        <w:t>进行试验</w:t>
      </w:r>
      <w:r>
        <w:rPr>
          <w:rFonts w:hint="eastAsia" w:hAnsi="Times New Roman" w:cs="宋体"/>
          <w:highlight w:val="yellow"/>
        </w:rPr>
        <w:t>。</w:t>
      </w:r>
    </w:p>
    <w:p w14:paraId="751050BB">
      <w:pPr>
        <w:pStyle w:val="107"/>
        <w:numPr>
          <w:ilvl w:val="2"/>
          <w:numId w:val="0"/>
        </w:numPr>
        <w:spacing w:before="120" w:after="120"/>
      </w:pPr>
      <w:bookmarkStart w:id="98" w:name="_Toc5005"/>
      <w:bookmarkStart w:id="99" w:name="_Toc22820"/>
      <w:r>
        <w:rPr>
          <w:rFonts w:hint="eastAsia"/>
        </w:rPr>
        <w:t>6.5  功能安全试验</w:t>
      </w:r>
      <w:bookmarkEnd w:id="98"/>
      <w:bookmarkEnd w:id="99"/>
    </w:p>
    <w:p w14:paraId="0DF60761">
      <w:pPr>
        <w:pStyle w:val="67"/>
        <w:numPr>
          <w:ilvl w:val="3"/>
          <w:numId w:val="0"/>
        </w:numPr>
        <w:spacing w:before="120" w:after="120"/>
      </w:pPr>
      <w:r>
        <w:rPr>
          <w:rFonts w:hint="eastAsia"/>
        </w:rPr>
        <w:t>6.5.1  一般要求</w:t>
      </w:r>
    </w:p>
    <w:p w14:paraId="3285C804">
      <w:pPr>
        <w:spacing w:line="240" w:lineRule="auto"/>
        <w:ind w:firstLine="420"/>
        <w:rPr>
          <w:rFonts w:hint="eastAsia" w:ascii="宋体" w:hAnsi="宋体" w:cs="宋体"/>
          <w:lang w:val="zh-CN"/>
        </w:rPr>
      </w:pPr>
      <w:r>
        <w:rPr>
          <w:rFonts w:ascii="宋体" w:hAnsi="宋体" w:cs="宋体"/>
          <w:lang w:val="zh-CN"/>
        </w:rPr>
        <w:t>应在</w:t>
      </w:r>
      <w:r>
        <w:rPr>
          <w:rFonts w:hint="eastAsia" w:ascii="宋体" w:hAnsi="宋体" w:cs="宋体"/>
        </w:rPr>
        <w:t>纯电动客车用电源管理芯片</w:t>
      </w:r>
      <w:r>
        <w:rPr>
          <w:rFonts w:ascii="宋体" w:hAnsi="宋体" w:cs="宋体"/>
          <w:lang w:val="zh-CN"/>
        </w:rPr>
        <w:t>层面对功能安全设计进行测试，以验证</w:t>
      </w:r>
      <w:r>
        <w:rPr>
          <w:rFonts w:hint="eastAsia" w:ascii="宋体" w:hAnsi="宋体" w:cs="宋体"/>
        </w:rPr>
        <w:t>纯电动客车用电源管理芯片</w:t>
      </w:r>
      <w:r>
        <w:rPr>
          <w:rFonts w:ascii="宋体" w:hAnsi="宋体" w:cs="宋体"/>
          <w:lang w:val="zh-CN"/>
        </w:rPr>
        <w:t>功能安全要求的安全机制实施的完整性和正确性。</w:t>
      </w:r>
      <w:r>
        <w:rPr>
          <w:rFonts w:hint="eastAsia" w:ascii="宋体" w:hAnsi="宋体" w:cs="宋体"/>
        </w:rPr>
        <w:t>纯电动客车用电源管理芯片</w:t>
      </w:r>
      <w:r>
        <w:rPr>
          <w:rFonts w:ascii="宋体" w:hAnsi="宋体" w:cs="宋体"/>
          <w:lang w:val="zh-CN"/>
        </w:rPr>
        <w:t>的功能安全测试应</w:t>
      </w:r>
      <w:r>
        <w:rPr>
          <w:rFonts w:hint="eastAsia" w:ascii="宋体" w:hAnsi="宋体" w:cs="宋体"/>
        </w:rPr>
        <w:t>满足GB/T 34590.</w:t>
      </w:r>
      <w:r>
        <w:rPr>
          <w:rFonts w:ascii="宋体" w:hAnsi="宋体" w:cs="宋体"/>
        </w:rPr>
        <w:t>5</w:t>
      </w:r>
      <w:r>
        <w:rPr>
          <w:rFonts w:hint="eastAsia" w:ascii="宋体" w:hAnsi="宋体" w:cs="宋体"/>
        </w:rPr>
        <w:t>—2022</w:t>
      </w:r>
      <w:r>
        <w:rPr>
          <w:rFonts w:ascii="宋体" w:hAnsi="宋体" w:cs="宋体"/>
        </w:rPr>
        <w:t>中</w:t>
      </w:r>
      <w:r>
        <w:rPr>
          <w:rFonts w:hint="eastAsia" w:ascii="宋体" w:hAnsi="宋体" w:cs="宋体"/>
        </w:rPr>
        <w:t>1</w:t>
      </w:r>
      <w:r>
        <w:rPr>
          <w:rFonts w:ascii="宋体" w:hAnsi="宋体" w:cs="宋体"/>
        </w:rPr>
        <w:t>0.4的要求。</w:t>
      </w:r>
      <w:r>
        <w:rPr>
          <w:rFonts w:hint="eastAsia" w:ascii="宋体" w:hAnsi="宋体" w:cs="宋体"/>
        </w:rPr>
        <w:t>纯电动客车用电源管理芯片</w:t>
      </w:r>
      <w:r>
        <w:rPr>
          <w:rFonts w:hint="eastAsia" w:ascii="宋体" w:hAnsi="宋体" w:cs="宋体"/>
          <w:lang w:val="zh-CN"/>
        </w:rPr>
        <w:t>的功能安全测试应</w:t>
      </w:r>
      <w:r>
        <w:rPr>
          <w:rFonts w:hint="eastAsia" w:ascii="宋体" w:hAnsi="宋体" w:cs="宋体"/>
        </w:rPr>
        <w:t>按6.1</w:t>
      </w:r>
      <w:r>
        <w:rPr>
          <w:rFonts w:ascii="Times New Roman" w:hAnsi="Times New Roman"/>
        </w:rPr>
        <w:t>~</w:t>
      </w:r>
      <w:r>
        <w:rPr>
          <w:rFonts w:hint="eastAsia" w:ascii="宋体" w:hAnsi="宋体" w:cs="宋体"/>
        </w:rPr>
        <w:t>6.3的方法进行</w:t>
      </w:r>
      <w:r>
        <w:rPr>
          <w:rFonts w:hint="eastAsia" w:ascii="宋体" w:hAnsi="宋体" w:cs="宋体"/>
          <w:lang w:val="zh-CN"/>
        </w:rPr>
        <w:t>功能测试</w:t>
      </w:r>
      <w:r>
        <w:rPr>
          <w:rFonts w:hint="eastAsia" w:ascii="宋体" w:hAnsi="宋体" w:cs="宋体"/>
        </w:rPr>
        <w:t>和</w:t>
      </w:r>
      <w:r>
        <w:rPr>
          <w:rFonts w:hint="eastAsia" w:ascii="宋体" w:hAnsi="宋体" w:cs="宋体"/>
          <w:lang w:val="zh-CN"/>
        </w:rPr>
        <w:t>电性能测试，且ASIL等级为C级</w:t>
      </w:r>
      <w:r>
        <w:rPr>
          <w:rFonts w:hint="eastAsia" w:ascii="宋体" w:hAnsi="宋体" w:cs="宋体"/>
        </w:rPr>
        <w:t>及</w:t>
      </w:r>
      <w:r>
        <w:rPr>
          <w:rFonts w:hint="eastAsia" w:ascii="宋体" w:hAnsi="宋体" w:cs="宋体"/>
          <w:lang w:val="zh-CN"/>
        </w:rPr>
        <w:t>以上的</w:t>
      </w:r>
      <w:r>
        <w:rPr>
          <w:rFonts w:hint="eastAsia" w:ascii="宋体" w:hAnsi="宋体" w:cs="宋体"/>
        </w:rPr>
        <w:t>纯电动客车用电源管理芯片</w:t>
      </w:r>
      <w:r>
        <w:rPr>
          <w:rFonts w:hint="eastAsia" w:ascii="宋体" w:hAnsi="宋体" w:cs="宋体"/>
          <w:lang w:val="zh-CN"/>
        </w:rPr>
        <w:t>应</w:t>
      </w:r>
      <w:r>
        <w:rPr>
          <w:rFonts w:hint="eastAsia" w:ascii="宋体" w:hAnsi="宋体" w:cs="宋体"/>
        </w:rPr>
        <w:t>进行</w:t>
      </w:r>
      <w:r>
        <w:rPr>
          <w:rFonts w:hint="eastAsia" w:ascii="宋体" w:hAnsi="宋体" w:cs="宋体"/>
          <w:lang w:val="zh-CN"/>
        </w:rPr>
        <w:t>故障注入测试。</w:t>
      </w:r>
    </w:p>
    <w:p w14:paraId="515708A2">
      <w:pPr>
        <w:pStyle w:val="67"/>
        <w:numPr>
          <w:ilvl w:val="3"/>
          <w:numId w:val="0"/>
        </w:numPr>
        <w:spacing w:before="120" w:after="120"/>
      </w:pPr>
      <w:r>
        <w:rPr>
          <w:rFonts w:hint="eastAsia"/>
        </w:rPr>
        <w:t>6.5.2  故障注入测试法</w:t>
      </w:r>
    </w:p>
    <w:p w14:paraId="12F31E20">
      <w:pPr>
        <w:widowControl/>
        <w:numPr>
          <w:ilvl w:val="255"/>
          <w:numId w:val="0"/>
        </w:numPr>
        <w:wordWrap w:val="0"/>
        <w:overflowPunct w:val="0"/>
        <w:autoSpaceDE w:val="0"/>
        <w:autoSpaceDN w:val="0"/>
        <w:spacing w:before="120" w:beforeLines="50" w:after="120" w:afterLines="50" w:line="240" w:lineRule="auto"/>
        <w:textAlignment w:val="baseline"/>
        <w:outlineLvl w:val="3"/>
        <w:rPr>
          <w:rFonts w:ascii="黑体" w:hAnsi="Times New Roman" w:eastAsia="黑体"/>
          <w:kern w:val="21"/>
        </w:rPr>
      </w:pPr>
      <w:r>
        <w:rPr>
          <w:rFonts w:hint="eastAsia" w:ascii="黑体" w:hAnsi="Times New Roman" w:eastAsia="黑体"/>
          <w:kern w:val="21"/>
        </w:rPr>
        <w:t>6.5.2.1  测试条件</w:t>
      </w:r>
    </w:p>
    <w:p w14:paraId="13D75AFD">
      <w:pPr>
        <w:pStyle w:val="240"/>
        <w:adjustRightInd/>
        <w:spacing w:before="120" w:beforeLines="50" w:after="120" w:afterLines="50" w:line="240" w:lineRule="auto"/>
      </w:pPr>
      <w:r>
        <w:rPr>
          <w:rFonts w:hint="eastAsia"/>
        </w:rPr>
        <w:t>纯电动客车用电源管理芯片应正常运行应用要求的基本功能，且处于正常工作状态。影响测试对象功能并与测试结果相关的所有设备应处于正常运行状态。</w:t>
      </w:r>
      <w:r>
        <w:rPr>
          <w:rFonts w:hint="eastAsia" w:hAnsi="宋体"/>
        </w:rPr>
        <w:t>功能安全测试前，</w:t>
      </w:r>
      <w:r>
        <w:rPr>
          <w:rFonts w:hint="eastAsia"/>
        </w:rPr>
        <w:t>按</w:t>
      </w:r>
      <w:r>
        <w:rPr>
          <w:rFonts w:hint="eastAsia" w:ascii="宋体" w:hAnsi="宋体" w:cs="宋体"/>
        </w:rPr>
        <w:t>6.1对</w:t>
      </w:r>
      <w:r>
        <w:rPr>
          <w:rFonts w:hint="eastAsia"/>
        </w:rPr>
        <w:t>纯电动客车用电源管理芯片进行功能测试，以保证功能运行的正确性。</w:t>
      </w:r>
      <w:r>
        <w:rPr>
          <w:rFonts w:hint="eastAsia" w:hAnsi="宋体"/>
        </w:rPr>
        <w:t>故障注入测试按</w:t>
      </w:r>
      <w:r>
        <w:rPr>
          <w:rFonts w:hint="eastAsia" w:ascii="宋体" w:hAnsi="宋体" w:cs="宋体"/>
        </w:rPr>
        <w:t>GB/T 34590.11—2022中4.8的方法进行测试。</w:t>
      </w:r>
    </w:p>
    <w:p w14:paraId="47CA5993">
      <w:pPr>
        <w:widowControl/>
        <w:numPr>
          <w:ilvl w:val="255"/>
          <w:numId w:val="0"/>
        </w:numPr>
        <w:wordWrap w:val="0"/>
        <w:overflowPunct w:val="0"/>
        <w:autoSpaceDE w:val="0"/>
        <w:autoSpaceDN w:val="0"/>
        <w:spacing w:before="120" w:beforeLines="50" w:after="120" w:afterLines="50" w:line="240" w:lineRule="auto"/>
        <w:textAlignment w:val="baseline"/>
        <w:outlineLvl w:val="3"/>
        <w:rPr>
          <w:rFonts w:ascii="黑体" w:hAnsi="Times New Roman" w:eastAsia="黑体"/>
          <w:kern w:val="21"/>
        </w:rPr>
      </w:pPr>
      <w:r>
        <w:rPr>
          <w:rFonts w:hint="eastAsia" w:ascii="黑体" w:hAnsi="Times New Roman" w:eastAsia="黑体"/>
          <w:kern w:val="21"/>
        </w:rPr>
        <w:t>6.5.2.2  测试方法</w:t>
      </w:r>
    </w:p>
    <w:p w14:paraId="38DB490D">
      <w:pPr>
        <w:widowControl/>
        <w:numPr>
          <w:ilvl w:val="255"/>
          <w:numId w:val="0"/>
        </w:numPr>
        <w:wordWrap w:val="0"/>
        <w:overflowPunct w:val="0"/>
        <w:autoSpaceDE w:val="0"/>
        <w:autoSpaceDN w:val="0"/>
        <w:spacing w:before="120" w:beforeLines="50" w:after="120" w:afterLines="50" w:line="240" w:lineRule="auto"/>
        <w:textAlignment w:val="baseline"/>
        <w:outlineLvl w:val="3"/>
        <w:rPr>
          <w:rFonts w:ascii="黑体" w:hAnsi="Times New Roman" w:eastAsia="黑体"/>
          <w:kern w:val="21"/>
        </w:rPr>
      </w:pPr>
      <w:r>
        <w:rPr>
          <w:rFonts w:hint="eastAsia" w:ascii="黑体" w:hAnsi="Times New Roman" w:eastAsia="黑体"/>
          <w:kern w:val="21"/>
        </w:rPr>
        <w:t>6.5.2.2.1  测试要素</w:t>
      </w:r>
    </w:p>
    <w:p w14:paraId="4F8E39BC">
      <w:pPr>
        <w:spacing w:line="240" w:lineRule="auto"/>
        <w:ind w:firstLine="420" w:firstLineChars="200"/>
      </w:pPr>
      <w:r>
        <w:rPr>
          <w:rFonts w:hint="eastAsia"/>
        </w:rPr>
        <w:t>纯电动客车用电源管理芯片各开发阶段故障注入测试对应的测试要素见表</w:t>
      </w:r>
      <w:r>
        <w:rPr>
          <w:rFonts w:hint="eastAsia" w:ascii="宋体" w:hAnsi="宋体" w:cs="宋体"/>
        </w:rPr>
        <w:t>36</w:t>
      </w:r>
      <w:r>
        <w:rPr>
          <w:rFonts w:hint="eastAsia"/>
        </w:rPr>
        <w:t>。</w:t>
      </w:r>
    </w:p>
    <w:p w14:paraId="1E49BC1D">
      <w:pPr>
        <w:pStyle w:val="14"/>
        <w:spacing w:before="120" w:beforeLines="50" w:after="120" w:afterLines="50" w:line="240" w:lineRule="auto"/>
        <w:jc w:val="center"/>
        <w:rPr>
          <w:rFonts w:hint="eastAsia"/>
          <w:sz w:val="21"/>
          <w:szCs w:val="21"/>
        </w:rPr>
      </w:pPr>
      <w:r>
        <w:rPr>
          <w:rFonts w:hint="eastAsia" w:ascii="黑体" w:hAnsi="黑体" w:cs="黑体"/>
          <w:sz w:val="21"/>
          <w:szCs w:val="21"/>
        </w:rPr>
        <w:t xml:space="preserve">表 36  </w:t>
      </w:r>
      <w:r>
        <w:rPr>
          <w:rFonts w:hint="eastAsia"/>
          <w:sz w:val="21"/>
          <w:szCs w:val="21"/>
        </w:rPr>
        <w:t>不同测试阶段的测试要素</w:t>
      </w:r>
    </w:p>
    <w:tbl>
      <w:tblPr>
        <w:tblStyle w:val="28"/>
        <w:tblW w:w="92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837"/>
        <w:gridCol w:w="3330"/>
        <w:gridCol w:w="3131"/>
      </w:tblGrid>
      <w:tr w14:paraId="18DC1B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2837" w:type="dxa"/>
            <w:tcBorders>
              <w:tl2br w:val="nil"/>
              <w:tr2bl w:val="nil"/>
            </w:tcBorders>
            <w:vAlign w:val="center"/>
          </w:tcPr>
          <w:p w14:paraId="0DC25DB5">
            <w:pPr>
              <w:spacing w:line="240" w:lineRule="auto"/>
              <w:jc w:val="center"/>
              <w:rPr>
                <w:rFonts w:hint="eastAsia" w:ascii="宋体" w:hAnsi="宋体" w:cs="宋体"/>
                <w:sz w:val="18"/>
                <w:szCs w:val="18"/>
              </w:rPr>
            </w:pPr>
            <w:r>
              <w:rPr>
                <w:rFonts w:hint="eastAsia" w:ascii="宋体" w:hAnsi="宋体" w:cs="宋体"/>
                <w:b/>
                <w:sz w:val="18"/>
                <w:szCs w:val="18"/>
              </w:rPr>
              <w:t>测试阶段</w:t>
            </w:r>
          </w:p>
        </w:tc>
        <w:tc>
          <w:tcPr>
            <w:tcW w:w="3330" w:type="dxa"/>
            <w:tcBorders>
              <w:tl2br w:val="nil"/>
              <w:tr2bl w:val="nil"/>
            </w:tcBorders>
            <w:vAlign w:val="center"/>
          </w:tcPr>
          <w:p w14:paraId="7491B2EE">
            <w:pPr>
              <w:spacing w:line="240" w:lineRule="auto"/>
              <w:jc w:val="center"/>
              <w:rPr>
                <w:rFonts w:hint="eastAsia" w:ascii="宋体" w:hAnsi="宋体" w:cs="宋体"/>
                <w:b/>
                <w:sz w:val="18"/>
                <w:szCs w:val="18"/>
              </w:rPr>
            </w:pPr>
            <w:r>
              <w:rPr>
                <w:rFonts w:hint="eastAsia" w:ascii="宋体" w:hAnsi="宋体" w:cs="宋体"/>
                <w:b/>
                <w:sz w:val="18"/>
                <w:szCs w:val="18"/>
              </w:rPr>
              <w:t>定性验证/测试主要内容</w:t>
            </w:r>
          </w:p>
        </w:tc>
        <w:tc>
          <w:tcPr>
            <w:tcW w:w="3131" w:type="dxa"/>
            <w:tcBorders>
              <w:tl2br w:val="nil"/>
              <w:tr2bl w:val="nil"/>
            </w:tcBorders>
            <w:vAlign w:val="center"/>
          </w:tcPr>
          <w:p w14:paraId="148A4DEC">
            <w:pPr>
              <w:spacing w:line="240" w:lineRule="auto"/>
              <w:jc w:val="center"/>
              <w:rPr>
                <w:rFonts w:hint="eastAsia" w:ascii="宋体" w:hAnsi="宋体" w:cs="宋体"/>
                <w:b/>
                <w:sz w:val="18"/>
                <w:szCs w:val="18"/>
              </w:rPr>
            </w:pPr>
            <w:r>
              <w:rPr>
                <w:rFonts w:hint="eastAsia" w:ascii="宋体" w:hAnsi="宋体" w:cs="宋体"/>
                <w:b/>
                <w:sz w:val="18"/>
                <w:szCs w:val="18"/>
              </w:rPr>
              <w:t>定量验证/测试主要内容</w:t>
            </w:r>
          </w:p>
        </w:tc>
      </w:tr>
      <w:tr w14:paraId="31F950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11" w:hRule="atLeast"/>
          <w:jc w:val="center"/>
        </w:trPr>
        <w:tc>
          <w:tcPr>
            <w:tcW w:w="2837" w:type="dxa"/>
            <w:tcBorders>
              <w:tl2br w:val="nil"/>
              <w:tr2bl w:val="nil"/>
            </w:tcBorders>
            <w:vAlign w:val="center"/>
          </w:tcPr>
          <w:p w14:paraId="4F0A2E10">
            <w:pPr>
              <w:spacing w:line="240" w:lineRule="auto"/>
              <w:jc w:val="center"/>
              <w:rPr>
                <w:rFonts w:hint="eastAsia" w:ascii="宋体" w:hAnsi="宋体" w:cs="宋体"/>
                <w:sz w:val="18"/>
                <w:szCs w:val="18"/>
              </w:rPr>
            </w:pPr>
            <w:r>
              <w:rPr>
                <w:rFonts w:hint="eastAsia" w:ascii="宋体" w:hAnsi="宋体" w:cs="宋体"/>
                <w:sz w:val="18"/>
                <w:szCs w:val="18"/>
              </w:rPr>
              <w:t>仿真测试</w:t>
            </w:r>
          </w:p>
        </w:tc>
        <w:tc>
          <w:tcPr>
            <w:tcW w:w="3330" w:type="dxa"/>
            <w:tcBorders>
              <w:tl2br w:val="nil"/>
              <w:tr2bl w:val="nil"/>
            </w:tcBorders>
            <w:vAlign w:val="center"/>
          </w:tcPr>
          <w:p w14:paraId="5495EA90">
            <w:pPr>
              <w:spacing w:line="240" w:lineRule="auto"/>
              <w:jc w:val="center"/>
              <w:rPr>
                <w:rFonts w:hint="eastAsia" w:ascii="宋体" w:hAnsi="宋体" w:cs="宋体"/>
                <w:sz w:val="18"/>
                <w:szCs w:val="18"/>
              </w:rPr>
            </w:pPr>
            <w:r>
              <w:rPr>
                <w:rFonts w:hint="eastAsia" w:ascii="宋体" w:hAnsi="宋体" w:cs="宋体"/>
                <w:sz w:val="18"/>
                <w:szCs w:val="18"/>
              </w:rPr>
              <w:t>- 失效模式类型；</w:t>
            </w:r>
          </w:p>
          <w:p w14:paraId="16546C7C">
            <w:pPr>
              <w:spacing w:line="240" w:lineRule="auto"/>
              <w:jc w:val="center"/>
              <w:rPr>
                <w:rFonts w:hint="eastAsia" w:ascii="宋体" w:hAnsi="宋体" w:cs="宋体"/>
                <w:sz w:val="18"/>
                <w:szCs w:val="18"/>
              </w:rPr>
            </w:pPr>
            <w:r>
              <w:rPr>
                <w:rFonts w:hint="eastAsia" w:ascii="宋体" w:hAnsi="宋体" w:cs="宋体"/>
                <w:sz w:val="18"/>
                <w:szCs w:val="18"/>
              </w:rPr>
              <w:t>- 失效模式影响；</w:t>
            </w:r>
          </w:p>
          <w:p w14:paraId="3FD2802D">
            <w:pPr>
              <w:spacing w:line="240" w:lineRule="auto"/>
              <w:jc w:val="center"/>
              <w:rPr>
                <w:rFonts w:hint="eastAsia" w:ascii="宋体" w:hAnsi="宋体" w:cs="宋体"/>
                <w:sz w:val="18"/>
                <w:szCs w:val="18"/>
              </w:rPr>
            </w:pPr>
            <w:r>
              <w:rPr>
                <w:rFonts w:hint="eastAsia" w:ascii="宋体" w:hAnsi="宋体" w:cs="宋体"/>
                <w:sz w:val="18"/>
                <w:szCs w:val="18"/>
              </w:rPr>
              <w:t>- 安全机制探测失效功能；</w:t>
            </w:r>
          </w:p>
          <w:p w14:paraId="098C21DB">
            <w:pPr>
              <w:spacing w:line="240" w:lineRule="auto"/>
              <w:jc w:val="center"/>
              <w:rPr>
                <w:rFonts w:hint="eastAsia" w:ascii="宋体" w:hAnsi="宋体" w:cs="宋体"/>
                <w:sz w:val="18"/>
                <w:szCs w:val="18"/>
              </w:rPr>
            </w:pPr>
            <w:r>
              <w:rPr>
                <w:rFonts w:hint="eastAsia" w:ascii="宋体" w:hAnsi="宋体" w:cs="宋体"/>
                <w:sz w:val="18"/>
                <w:szCs w:val="18"/>
              </w:rPr>
              <w:t>- 安全机制处理失效功能</w:t>
            </w:r>
          </w:p>
        </w:tc>
        <w:tc>
          <w:tcPr>
            <w:tcW w:w="3131" w:type="dxa"/>
            <w:tcBorders>
              <w:tl2br w:val="nil"/>
              <w:tr2bl w:val="nil"/>
            </w:tcBorders>
            <w:vAlign w:val="center"/>
          </w:tcPr>
          <w:p w14:paraId="5FFB8A6D">
            <w:pPr>
              <w:spacing w:line="240" w:lineRule="auto"/>
              <w:jc w:val="center"/>
              <w:rPr>
                <w:rFonts w:hint="eastAsia" w:ascii="宋体" w:hAnsi="宋体" w:cs="宋体"/>
                <w:sz w:val="18"/>
                <w:szCs w:val="18"/>
              </w:rPr>
            </w:pPr>
            <w:r>
              <w:rPr>
                <w:rFonts w:hint="eastAsia" w:ascii="宋体" w:hAnsi="宋体" w:cs="宋体"/>
                <w:sz w:val="18"/>
                <w:szCs w:val="18"/>
              </w:rPr>
              <w:t>- 失效模式分布率；</w:t>
            </w:r>
          </w:p>
          <w:p w14:paraId="4FFA5675">
            <w:pPr>
              <w:spacing w:line="240" w:lineRule="auto"/>
              <w:jc w:val="center"/>
              <w:rPr>
                <w:rFonts w:hint="eastAsia" w:ascii="宋体" w:hAnsi="宋体" w:cs="宋体"/>
                <w:sz w:val="18"/>
                <w:szCs w:val="18"/>
              </w:rPr>
            </w:pPr>
            <w:r>
              <w:rPr>
                <w:rFonts w:hint="eastAsia" w:ascii="宋体" w:hAnsi="宋体" w:cs="宋体"/>
                <w:sz w:val="18"/>
                <w:szCs w:val="18"/>
              </w:rPr>
              <w:t>- 安全机制诊断覆盖率；</w:t>
            </w:r>
          </w:p>
          <w:p w14:paraId="51D39EB2">
            <w:pPr>
              <w:spacing w:line="240" w:lineRule="auto"/>
              <w:jc w:val="center"/>
              <w:rPr>
                <w:rFonts w:hint="eastAsia" w:ascii="宋体" w:hAnsi="宋体" w:cs="宋体"/>
                <w:sz w:val="18"/>
                <w:szCs w:val="18"/>
              </w:rPr>
            </w:pPr>
            <w:r>
              <w:rPr>
                <w:rFonts w:hint="eastAsia" w:ascii="宋体" w:hAnsi="宋体" w:cs="宋体"/>
                <w:sz w:val="18"/>
                <w:szCs w:val="18"/>
              </w:rPr>
              <w:t>- 安全机制故障探测时间；</w:t>
            </w:r>
          </w:p>
          <w:p w14:paraId="3E7BE47C">
            <w:pPr>
              <w:spacing w:line="240" w:lineRule="auto"/>
              <w:jc w:val="center"/>
              <w:rPr>
                <w:rFonts w:hint="eastAsia" w:ascii="宋体" w:hAnsi="宋体" w:cs="宋体"/>
                <w:sz w:val="18"/>
                <w:szCs w:val="18"/>
              </w:rPr>
            </w:pPr>
            <w:r>
              <w:rPr>
                <w:rFonts w:hint="eastAsia" w:ascii="宋体" w:hAnsi="宋体" w:cs="宋体"/>
                <w:sz w:val="18"/>
                <w:szCs w:val="18"/>
              </w:rPr>
              <w:t>- 安全机制故障响应时间</w:t>
            </w:r>
          </w:p>
        </w:tc>
      </w:tr>
      <w:tr w14:paraId="72920C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2837" w:type="dxa"/>
            <w:tcBorders>
              <w:tl2br w:val="nil"/>
              <w:tr2bl w:val="nil"/>
            </w:tcBorders>
            <w:vAlign w:val="center"/>
          </w:tcPr>
          <w:p w14:paraId="448D38DC">
            <w:pPr>
              <w:spacing w:line="240" w:lineRule="auto"/>
              <w:jc w:val="center"/>
              <w:rPr>
                <w:rFonts w:hint="eastAsia" w:ascii="宋体" w:hAnsi="宋体" w:cs="宋体"/>
                <w:sz w:val="18"/>
                <w:szCs w:val="18"/>
              </w:rPr>
            </w:pPr>
            <w:r>
              <w:rPr>
                <w:rFonts w:hint="eastAsia" w:ascii="宋体" w:hAnsi="宋体" w:cs="宋体"/>
                <w:sz w:val="18"/>
                <w:szCs w:val="18"/>
              </w:rPr>
              <w:t>板级测试</w:t>
            </w:r>
          </w:p>
        </w:tc>
        <w:tc>
          <w:tcPr>
            <w:tcW w:w="3330" w:type="dxa"/>
            <w:tcBorders>
              <w:tl2br w:val="nil"/>
              <w:tr2bl w:val="nil"/>
            </w:tcBorders>
            <w:vAlign w:val="center"/>
          </w:tcPr>
          <w:p w14:paraId="78CB1C6C">
            <w:pPr>
              <w:spacing w:line="240" w:lineRule="auto"/>
              <w:jc w:val="center"/>
              <w:rPr>
                <w:rFonts w:hint="eastAsia" w:ascii="宋体" w:hAnsi="宋体" w:cs="宋体"/>
                <w:sz w:val="18"/>
                <w:szCs w:val="18"/>
              </w:rPr>
            </w:pPr>
            <w:r>
              <w:rPr>
                <w:rFonts w:hint="eastAsia" w:ascii="宋体" w:hAnsi="宋体" w:cs="宋体"/>
                <w:sz w:val="18"/>
                <w:szCs w:val="18"/>
              </w:rPr>
              <w:t>- 失效模式影响；</w:t>
            </w:r>
          </w:p>
          <w:p w14:paraId="230E4689">
            <w:pPr>
              <w:spacing w:line="240" w:lineRule="auto"/>
              <w:jc w:val="center"/>
              <w:rPr>
                <w:rFonts w:hint="eastAsia" w:ascii="宋体" w:hAnsi="宋体" w:cs="宋体"/>
                <w:sz w:val="18"/>
                <w:szCs w:val="18"/>
              </w:rPr>
            </w:pPr>
            <w:r>
              <w:rPr>
                <w:rFonts w:hint="eastAsia" w:ascii="宋体" w:hAnsi="宋体" w:cs="宋体"/>
                <w:sz w:val="18"/>
                <w:szCs w:val="18"/>
              </w:rPr>
              <w:t>- 安全机制探测失效功能；</w:t>
            </w:r>
          </w:p>
          <w:p w14:paraId="75B4AD70">
            <w:pPr>
              <w:spacing w:line="240" w:lineRule="auto"/>
              <w:jc w:val="center"/>
              <w:rPr>
                <w:rFonts w:hint="eastAsia" w:ascii="宋体" w:hAnsi="宋体" w:cs="宋体"/>
                <w:sz w:val="18"/>
                <w:szCs w:val="18"/>
              </w:rPr>
            </w:pPr>
            <w:r>
              <w:rPr>
                <w:rFonts w:hint="eastAsia" w:ascii="宋体" w:hAnsi="宋体" w:cs="宋体"/>
                <w:sz w:val="18"/>
                <w:szCs w:val="18"/>
              </w:rPr>
              <w:t>- 安全机制处理失效功能</w:t>
            </w:r>
          </w:p>
        </w:tc>
        <w:tc>
          <w:tcPr>
            <w:tcW w:w="3131" w:type="dxa"/>
            <w:tcBorders>
              <w:tl2br w:val="nil"/>
              <w:tr2bl w:val="nil"/>
            </w:tcBorders>
            <w:vAlign w:val="center"/>
          </w:tcPr>
          <w:p w14:paraId="2F6EA051">
            <w:pPr>
              <w:spacing w:line="240" w:lineRule="auto"/>
              <w:jc w:val="center"/>
              <w:rPr>
                <w:rFonts w:hint="eastAsia" w:ascii="宋体" w:hAnsi="宋体" w:cs="宋体"/>
                <w:sz w:val="18"/>
                <w:szCs w:val="18"/>
              </w:rPr>
            </w:pPr>
            <w:r>
              <w:rPr>
                <w:rFonts w:hint="eastAsia" w:ascii="宋体" w:hAnsi="宋体" w:cs="宋体"/>
                <w:sz w:val="18"/>
                <w:szCs w:val="18"/>
              </w:rPr>
              <w:t>- 安全机制故障探测时间；</w:t>
            </w:r>
          </w:p>
          <w:p w14:paraId="42091C5E">
            <w:pPr>
              <w:spacing w:line="240" w:lineRule="auto"/>
              <w:jc w:val="center"/>
              <w:rPr>
                <w:rFonts w:hint="eastAsia" w:ascii="宋体" w:hAnsi="宋体" w:cs="宋体"/>
                <w:sz w:val="18"/>
                <w:szCs w:val="18"/>
              </w:rPr>
            </w:pPr>
            <w:r>
              <w:rPr>
                <w:rFonts w:hint="eastAsia" w:ascii="宋体" w:hAnsi="宋体" w:cs="宋体"/>
                <w:sz w:val="18"/>
                <w:szCs w:val="18"/>
              </w:rPr>
              <w:t>- 安全机制故障响应时间</w:t>
            </w:r>
          </w:p>
        </w:tc>
      </w:tr>
    </w:tbl>
    <w:p w14:paraId="6806C493">
      <w:pPr>
        <w:widowControl/>
        <w:numPr>
          <w:ilvl w:val="255"/>
          <w:numId w:val="0"/>
        </w:numPr>
        <w:wordWrap w:val="0"/>
        <w:overflowPunct w:val="0"/>
        <w:autoSpaceDE w:val="0"/>
        <w:autoSpaceDN w:val="0"/>
        <w:spacing w:before="120" w:beforeLines="50" w:after="120" w:afterLines="50" w:line="240" w:lineRule="auto"/>
        <w:textAlignment w:val="baseline"/>
        <w:outlineLvl w:val="3"/>
        <w:rPr>
          <w:rFonts w:ascii="黑体" w:hAnsi="Times New Roman" w:eastAsia="黑体"/>
          <w:kern w:val="21"/>
        </w:rPr>
      </w:pPr>
      <w:r>
        <w:rPr>
          <w:rFonts w:hint="eastAsia" w:ascii="黑体" w:hAnsi="Times New Roman" w:eastAsia="黑体"/>
          <w:kern w:val="21"/>
        </w:rPr>
        <w:t>6.5.2.2.2  代码层故障注入仿真测试</w:t>
      </w:r>
    </w:p>
    <w:p w14:paraId="66B02B91">
      <w:pPr>
        <w:pStyle w:val="233"/>
        <w:numPr>
          <w:ilvl w:val="255"/>
          <w:numId w:val="0"/>
        </w:numPr>
        <w:tabs>
          <w:tab w:val="center" w:pos="4201"/>
          <w:tab w:val="right" w:leader="dot" w:pos="9298"/>
        </w:tabs>
        <w:spacing w:before="120" w:beforeLines="50" w:after="120" w:afterLines="50"/>
      </w:pPr>
      <w:r>
        <w:rPr>
          <w:rFonts w:hint="eastAsia" w:ascii="黑体" w:eastAsia="黑体"/>
          <w:kern w:val="21"/>
        </w:rPr>
        <w:t>6.5.2.2.2</w:t>
      </w:r>
      <w:r>
        <w:rPr>
          <w:rFonts w:hint="eastAsia" w:ascii="黑体" w:hAnsi="黑体" w:cs="黑体"/>
          <w:szCs w:val="21"/>
        </w:rPr>
        <w:t xml:space="preserve">.1  </w:t>
      </w:r>
      <w:r>
        <w:rPr>
          <w:rFonts w:hint="eastAsia" w:ascii="黑体" w:hAnsi="黑体" w:eastAsia="黑体" w:cs="黑体"/>
        </w:rPr>
        <w:t>测试要求</w:t>
      </w:r>
    </w:p>
    <w:p w14:paraId="0F8456A9">
      <w:pPr>
        <w:widowControl/>
        <w:adjustRightInd/>
        <w:spacing w:line="240" w:lineRule="auto"/>
        <w:ind w:firstLine="420" w:firstLineChars="200"/>
        <w:jc w:val="left"/>
        <w:rPr>
          <w:rFonts w:hint="eastAsia" w:ascii="宋体" w:hAnsi="宋体" w:cs="宋体"/>
          <w:kern w:val="0"/>
        </w:rPr>
      </w:pPr>
      <w:r>
        <w:rPr>
          <w:rFonts w:hint="eastAsia" w:ascii="宋体" w:hAnsi="宋体" w:cs="宋体"/>
          <w:kern w:val="0"/>
        </w:rPr>
        <w:t>宜采用用于功能安全故障注入的</w:t>
      </w:r>
      <w:r>
        <w:rPr>
          <w:rFonts w:hint="eastAsia" w:cs="宋体"/>
        </w:rPr>
        <w:t>电子设计自动化</w:t>
      </w:r>
      <w:r>
        <w:rPr>
          <w:rFonts w:hint="eastAsia" w:ascii="宋体" w:hAnsi="宋体" w:cs="宋体"/>
          <w:kern w:val="0"/>
        </w:rPr>
        <w:t xml:space="preserve">工具软件进行测试。 </w:t>
      </w:r>
    </w:p>
    <w:p w14:paraId="62FD43F8">
      <w:pPr>
        <w:widowControl/>
        <w:adjustRightInd/>
        <w:spacing w:line="240" w:lineRule="auto"/>
        <w:ind w:firstLine="420" w:firstLineChars="200"/>
        <w:jc w:val="left"/>
        <w:rPr>
          <w:rFonts w:hint="eastAsia" w:ascii="宋体" w:hAnsi="宋体" w:cs="宋体"/>
          <w:kern w:val="0"/>
        </w:rPr>
      </w:pPr>
      <w:r>
        <w:rPr>
          <w:rFonts w:hint="eastAsia" w:ascii="宋体" w:hAnsi="宋体" w:cs="宋体"/>
          <w:kern w:val="0"/>
        </w:rPr>
        <w:t>测试环境宜符合纯电动客车用电源管理芯片的功能测试环境，以保障符合纯电动客车用电源管理芯片的设计使用场景。</w:t>
      </w:r>
    </w:p>
    <w:p w14:paraId="2925723D">
      <w:pPr>
        <w:widowControl/>
        <w:adjustRightInd/>
        <w:spacing w:line="240" w:lineRule="auto"/>
        <w:ind w:firstLine="420" w:firstLineChars="200"/>
        <w:jc w:val="left"/>
        <w:rPr>
          <w:rFonts w:hint="eastAsia" w:ascii="宋体" w:hAnsi="宋体" w:cs="宋体"/>
          <w:kern w:val="0"/>
          <w:sz w:val="24"/>
          <w:szCs w:val="24"/>
        </w:rPr>
      </w:pPr>
      <w:r>
        <w:rPr>
          <w:rFonts w:hint="eastAsia" w:ascii="宋体" w:hAnsi="宋体" w:cs="宋体"/>
          <w:kern w:val="0"/>
        </w:rPr>
        <w:t xml:space="preserve">测试设定参考下列内容： </w:t>
      </w:r>
    </w:p>
    <w:p w14:paraId="1C9C4C47">
      <w:pPr>
        <w:pStyle w:val="240"/>
        <w:numPr>
          <w:ilvl w:val="0"/>
          <w:numId w:val="74"/>
        </w:numPr>
        <w:spacing w:line="240" w:lineRule="auto"/>
        <w:ind w:left="850" w:firstLineChars="0"/>
      </w:pPr>
      <w:r>
        <w:rPr>
          <w:rFonts w:hint="eastAsia"/>
        </w:rPr>
        <w:t>设定故障类型应包含永久故障类型、瞬态故障类型，例如：恒</w:t>
      </w:r>
      <w:r>
        <w:rPr>
          <w:rFonts w:hint="eastAsia" w:ascii="宋体" w:hAnsi="宋体" w:cs="宋体"/>
        </w:rPr>
        <w:t>0/1</w:t>
      </w:r>
      <w:r>
        <w:rPr>
          <w:rFonts w:hint="eastAsia"/>
        </w:rPr>
        <w:t>故障，瞬态故障，单点翻转故障；</w:t>
      </w:r>
    </w:p>
    <w:p w14:paraId="33270986">
      <w:pPr>
        <w:pStyle w:val="240"/>
        <w:numPr>
          <w:ilvl w:val="0"/>
          <w:numId w:val="74"/>
        </w:numPr>
        <w:spacing w:line="240" w:lineRule="auto"/>
        <w:ind w:left="850" w:firstLineChars="0"/>
      </w:pPr>
      <w:r>
        <w:rPr>
          <w:rFonts w:hint="eastAsia"/>
        </w:rPr>
        <w:t>故障注入范围可根据安全机制诊断范围设定，通过设定观察点观察故障对于功能的影响，以及安全机制对于故障的响应，并记录故障注入时间、功能失效时间及安全机制诊断时间；</w:t>
      </w:r>
    </w:p>
    <w:p w14:paraId="7BA52953">
      <w:pPr>
        <w:pStyle w:val="240"/>
        <w:numPr>
          <w:ilvl w:val="0"/>
          <w:numId w:val="74"/>
        </w:numPr>
        <w:spacing w:line="240" w:lineRule="auto"/>
        <w:ind w:left="850" w:firstLineChars="0"/>
      </w:pPr>
      <w:r>
        <w:rPr>
          <w:rFonts w:hint="eastAsia"/>
        </w:rPr>
        <w:t>应对注入范围内所有潜在故障点逐次进行故障注入仿真，并统计仿真结果。</w:t>
      </w:r>
    </w:p>
    <w:p w14:paraId="0A2F5895">
      <w:pPr>
        <w:pStyle w:val="233"/>
        <w:numPr>
          <w:ilvl w:val="255"/>
          <w:numId w:val="0"/>
        </w:numPr>
        <w:tabs>
          <w:tab w:val="center" w:pos="4201"/>
          <w:tab w:val="right" w:leader="dot" w:pos="9298"/>
        </w:tabs>
        <w:spacing w:before="120" w:beforeLines="50" w:after="120" w:afterLines="50"/>
        <w:rPr>
          <w:rFonts w:hint="eastAsia" w:ascii="黑体" w:hAnsi="黑体" w:eastAsia="黑体" w:cs="黑体"/>
        </w:rPr>
      </w:pPr>
      <w:r>
        <w:rPr>
          <w:rFonts w:hint="eastAsia" w:ascii="黑体" w:eastAsia="黑体"/>
          <w:kern w:val="21"/>
        </w:rPr>
        <w:t>6.5.2.2.2</w:t>
      </w:r>
      <w:r>
        <w:rPr>
          <w:rFonts w:hint="eastAsia" w:ascii="黑体" w:hAnsi="黑体" w:cs="黑体"/>
          <w:szCs w:val="21"/>
        </w:rPr>
        <w:t xml:space="preserve">.2  </w:t>
      </w:r>
      <w:r>
        <w:rPr>
          <w:rFonts w:hint="eastAsia" w:ascii="黑体" w:hAnsi="黑体" w:eastAsia="黑体" w:cs="黑体"/>
        </w:rPr>
        <w:t>测试用例设计</w:t>
      </w:r>
    </w:p>
    <w:p w14:paraId="5565F051">
      <w:pPr>
        <w:spacing w:line="240" w:lineRule="auto"/>
        <w:ind w:firstLine="420" w:firstLineChars="200"/>
      </w:pPr>
      <w:r>
        <w:t>在选择测试用例时，</w:t>
      </w:r>
      <w:r>
        <w:rPr>
          <w:rFonts w:hint="eastAsia"/>
        </w:rPr>
        <w:t>应</w:t>
      </w:r>
      <w:r>
        <w:t>结合故障注入实施的层级和位置，选择适合的故障模式和失效模式</w:t>
      </w:r>
      <w:r>
        <w:rPr>
          <w:rFonts w:hint="eastAsia"/>
        </w:rPr>
        <w:t>。</w:t>
      </w:r>
    </w:p>
    <w:p w14:paraId="42C1495D">
      <w:pPr>
        <w:spacing w:line="240" w:lineRule="auto"/>
        <w:ind w:firstLine="420" w:firstLineChars="200"/>
      </w:pPr>
      <w:r>
        <w:t>针对不同层级，注入的故障包括但不限于：</w:t>
      </w:r>
    </w:p>
    <w:p w14:paraId="0C284AE2">
      <w:pPr>
        <w:pStyle w:val="240"/>
        <w:numPr>
          <w:ilvl w:val="0"/>
          <w:numId w:val="75"/>
        </w:numPr>
        <w:spacing w:line="240" w:lineRule="auto"/>
        <w:ind w:left="850" w:firstLineChars="0"/>
      </w:pPr>
      <w:r>
        <w:rPr>
          <w:rFonts w:hint="eastAsia"/>
        </w:rPr>
        <w:t>模拟</w:t>
      </w:r>
      <w:r>
        <w:t>失效模式</w:t>
      </w:r>
      <w:r>
        <w:rPr>
          <w:rFonts w:hint="eastAsia"/>
        </w:rPr>
        <w:t>（</w:t>
      </w:r>
      <w:r>
        <w:t>如卡滞故障、卡滞开路、开路或者高阻抗输出</w:t>
      </w:r>
      <w:r>
        <w:rPr>
          <w:rFonts w:hint="eastAsia"/>
        </w:rPr>
        <w:t>，</w:t>
      </w:r>
      <w:r>
        <w:t>信号线间的短路等</w:t>
      </w:r>
      <w:r>
        <w:rPr>
          <w:rFonts w:hint="eastAsia"/>
        </w:rPr>
        <w:t>）故障类型</w:t>
      </w:r>
      <w:r>
        <w:t>；</w:t>
      </w:r>
    </w:p>
    <w:p w14:paraId="00CD6844">
      <w:pPr>
        <w:pStyle w:val="240"/>
        <w:numPr>
          <w:ilvl w:val="0"/>
          <w:numId w:val="75"/>
        </w:numPr>
        <w:spacing w:line="240" w:lineRule="auto"/>
        <w:ind w:left="850" w:firstLineChars="0"/>
      </w:pPr>
      <w:r>
        <w:rPr>
          <w:rFonts w:hint="eastAsia"/>
        </w:rPr>
        <w:t>模拟</w:t>
      </w:r>
      <w:r>
        <w:t>单粒子</w:t>
      </w:r>
      <w:r>
        <w:rPr>
          <w:rFonts w:hint="eastAsia" w:ascii="宋体" w:hAnsi="宋体" w:cs="宋体"/>
        </w:rPr>
        <w:t>瞬态脉冲、单粒子翻转、单比特位翻转、多单元翻转和多比特位翻转</w:t>
      </w:r>
      <w:r>
        <w:t>等</w:t>
      </w:r>
      <w:r>
        <w:rPr>
          <w:rFonts w:hint="eastAsia"/>
        </w:rPr>
        <w:t>软错误类型</w:t>
      </w:r>
      <w:r>
        <w:t>；</w:t>
      </w:r>
    </w:p>
    <w:p w14:paraId="6325B9F7">
      <w:pPr>
        <w:pStyle w:val="240"/>
        <w:numPr>
          <w:ilvl w:val="0"/>
          <w:numId w:val="75"/>
        </w:numPr>
        <w:spacing w:line="240" w:lineRule="auto"/>
        <w:ind w:left="850" w:firstLineChars="0"/>
      </w:pPr>
      <w:r>
        <w:t>针对特定模块实现的功能，分析可能的失效模式并用于故障注入。</w:t>
      </w:r>
    </w:p>
    <w:p w14:paraId="395C1A97">
      <w:pPr>
        <w:pStyle w:val="233"/>
        <w:numPr>
          <w:ilvl w:val="255"/>
          <w:numId w:val="0"/>
        </w:numPr>
        <w:tabs>
          <w:tab w:val="center" w:pos="4201"/>
          <w:tab w:val="right" w:leader="dot" w:pos="9298"/>
        </w:tabs>
        <w:spacing w:before="120" w:beforeLines="50" w:after="120" w:afterLines="50"/>
        <w:rPr>
          <w:rFonts w:hint="eastAsia" w:ascii="黑体" w:hAnsi="黑体" w:eastAsia="黑体" w:cs="黑体"/>
        </w:rPr>
      </w:pPr>
      <w:r>
        <w:rPr>
          <w:rFonts w:hint="eastAsia" w:ascii="黑体" w:eastAsia="黑体"/>
          <w:kern w:val="21"/>
        </w:rPr>
        <w:t>6.5.2.2.2</w:t>
      </w:r>
      <w:r>
        <w:rPr>
          <w:rFonts w:hint="eastAsia" w:ascii="黑体" w:hAnsi="黑体" w:cs="黑体"/>
          <w:szCs w:val="21"/>
        </w:rPr>
        <w:t xml:space="preserve">.3  </w:t>
      </w:r>
      <w:r>
        <w:rPr>
          <w:rFonts w:hint="eastAsia" w:ascii="黑体" w:hAnsi="黑体" w:eastAsia="黑体" w:cs="黑体"/>
        </w:rPr>
        <w:t>测试报告</w:t>
      </w:r>
    </w:p>
    <w:p w14:paraId="1D74DA57">
      <w:pPr>
        <w:spacing w:line="240" w:lineRule="auto"/>
        <w:ind w:firstLine="420" w:firstLineChars="200"/>
        <w:rPr>
          <w:rFonts w:hint="eastAsia" w:ascii="宋体" w:hAnsi="宋体" w:cs="宋体"/>
        </w:rPr>
      </w:pPr>
      <w:r>
        <w:rPr>
          <w:rFonts w:hint="eastAsia" w:ascii="宋体" w:hAnsi="宋体" w:cs="宋体"/>
        </w:rPr>
        <w:t>测试报告包含不限于下列内容：</w:t>
      </w:r>
    </w:p>
    <w:p w14:paraId="26E8FA06">
      <w:pPr>
        <w:pStyle w:val="240"/>
        <w:numPr>
          <w:ilvl w:val="0"/>
          <w:numId w:val="76"/>
        </w:numPr>
        <w:spacing w:line="240" w:lineRule="auto"/>
        <w:ind w:left="839" w:firstLineChars="0"/>
        <w:rPr>
          <w:rFonts w:hint="eastAsia" w:ascii="宋体" w:hAnsi="宋体" w:cs="宋体"/>
        </w:rPr>
      </w:pPr>
      <w:r>
        <w:rPr>
          <w:rFonts w:hint="eastAsia" w:ascii="宋体" w:hAnsi="宋体" w:cs="宋体"/>
        </w:rPr>
        <w:t>故障节点的总数，不同故障类型对应的故障节点的数量，可测节点数量、不可测节点数量等；</w:t>
      </w:r>
    </w:p>
    <w:p w14:paraId="52CC776B">
      <w:pPr>
        <w:pStyle w:val="240"/>
        <w:numPr>
          <w:ilvl w:val="0"/>
          <w:numId w:val="76"/>
        </w:numPr>
        <w:spacing w:line="240" w:lineRule="auto"/>
        <w:ind w:left="839" w:firstLineChars="0"/>
        <w:rPr>
          <w:rFonts w:hint="eastAsia" w:ascii="宋体" w:hAnsi="宋体" w:cs="宋体"/>
        </w:rPr>
      </w:pPr>
      <w:r>
        <w:rPr>
          <w:rFonts w:hint="eastAsia" w:ascii="宋体" w:hAnsi="宋体" w:cs="宋体"/>
        </w:rPr>
        <w:t>故障注入仿真运行次数，不同故障类型对应的仿真运行次数；</w:t>
      </w:r>
    </w:p>
    <w:p w14:paraId="090E2967">
      <w:pPr>
        <w:pStyle w:val="240"/>
        <w:numPr>
          <w:ilvl w:val="0"/>
          <w:numId w:val="76"/>
        </w:numPr>
        <w:spacing w:line="240" w:lineRule="auto"/>
        <w:ind w:left="839" w:firstLineChars="0"/>
        <w:rPr>
          <w:rFonts w:hint="eastAsia" w:ascii="宋体" w:hAnsi="宋体" w:cs="宋体"/>
        </w:rPr>
      </w:pPr>
      <w:r>
        <w:rPr>
          <w:rFonts w:hint="eastAsia" w:ascii="宋体" w:hAnsi="宋体" w:cs="宋体"/>
        </w:rPr>
        <w:t>故障注入仿真过程中对于检测时间约束条件的响应结果汇总；</w:t>
      </w:r>
    </w:p>
    <w:p w14:paraId="7F570C9C">
      <w:pPr>
        <w:pStyle w:val="240"/>
        <w:numPr>
          <w:ilvl w:val="0"/>
          <w:numId w:val="76"/>
        </w:numPr>
        <w:spacing w:line="240" w:lineRule="auto"/>
        <w:ind w:left="839" w:firstLineChars="0"/>
        <w:rPr>
          <w:rFonts w:hint="eastAsia" w:ascii="宋体" w:hAnsi="宋体" w:cs="宋体"/>
        </w:rPr>
      </w:pPr>
      <w:r>
        <w:rPr>
          <w:rFonts w:hint="eastAsia" w:ascii="宋体" w:hAnsi="宋体" w:cs="宋体"/>
        </w:rPr>
        <w:t>每个故障节点在完成故障注入仿真后，测试结果中应包含节点的位置详细信息、观测结果、观测时间、对于时间约束条件的响应明细；</w:t>
      </w:r>
    </w:p>
    <w:p w14:paraId="498BC5B7">
      <w:pPr>
        <w:pStyle w:val="240"/>
        <w:numPr>
          <w:ilvl w:val="0"/>
          <w:numId w:val="76"/>
        </w:numPr>
        <w:spacing w:line="240" w:lineRule="auto"/>
        <w:ind w:left="839" w:firstLineChars="0"/>
        <w:rPr>
          <w:rFonts w:hint="eastAsia" w:ascii="宋体" w:hAnsi="宋体" w:cs="宋体"/>
        </w:rPr>
      </w:pPr>
      <w:r>
        <w:rPr>
          <w:rFonts w:hint="eastAsia" w:ascii="宋体" w:hAnsi="宋体" w:cs="宋体"/>
        </w:rPr>
        <w:t>诊断覆盖率的计算结果。</w:t>
      </w:r>
    </w:p>
    <w:p w14:paraId="122CDFDD">
      <w:pPr>
        <w:widowControl/>
        <w:numPr>
          <w:ilvl w:val="255"/>
          <w:numId w:val="0"/>
        </w:numPr>
        <w:wordWrap w:val="0"/>
        <w:overflowPunct w:val="0"/>
        <w:autoSpaceDE w:val="0"/>
        <w:autoSpaceDN w:val="0"/>
        <w:spacing w:before="120" w:beforeLines="50" w:after="120" w:afterLines="50" w:line="240" w:lineRule="auto"/>
        <w:textAlignment w:val="baseline"/>
        <w:outlineLvl w:val="3"/>
        <w:rPr>
          <w:rFonts w:ascii="黑体" w:hAnsi="Times New Roman" w:eastAsia="黑体"/>
          <w:kern w:val="21"/>
        </w:rPr>
      </w:pPr>
      <w:r>
        <w:rPr>
          <w:rFonts w:hint="eastAsia" w:ascii="黑体" w:hAnsi="Times New Roman" w:eastAsia="黑体"/>
          <w:kern w:val="21"/>
        </w:rPr>
        <w:t>6.5.2.2.3 板级功能安全测试</w:t>
      </w:r>
    </w:p>
    <w:p w14:paraId="5E94E7B7">
      <w:pPr>
        <w:pStyle w:val="233"/>
        <w:numPr>
          <w:ilvl w:val="255"/>
          <w:numId w:val="0"/>
        </w:numPr>
        <w:tabs>
          <w:tab w:val="center" w:pos="4201"/>
          <w:tab w:val="right" w:leader="dot" w:pos="9298"/>
        </w:tabs>
        <w:spacing w:before="120" w:beforeLines="50" w:after="120" w:afterLines="50"/>
      </w:pPr>
      <w:r>
        <w:rPr>
          <w:rFonts w:hint="eastAsia" w:ascii="黑体" w:eastAsia="黑体"/>
          <w:kern w:val="21"/>
        </w:rPr>
        <w:t>6.5.2.2.3.</w:t>
      </w:r>
      <w:r>
        <w:rPr>
          <w:rFonts w:hint="eastAsia" w:ascii="黑体" w:hAnsi="黑体" w:cs="黑体"/>
          <w:szCs w:val="21"/>
        </w:rPr>
        <w:t xml:space="preserve">1 </w:t>
      </w:r>
      <w:r>
        <w:rPr>
          <w:rFonts w:hint="eastAsia" w:ascii="黑体" w:hAnsi="黑体" w:eastAsia="黑体" w:cs="黑体"/>
        </w:rPr>
        <w:t>测试要求</w:t>
      </w:r>
    </w:p>
    <w:p w14:paraId="118A4DCC">
      <w:pPr>
        <w:spacing w:line="240" w:lineRule="auto"/>
        <w:ind w:firstLine="420" w:firstLineChars="200"/>
      </w:pPr>
      <w:r>
        <w:rPr>
          <w:rFonts w:hint="eastAsia"/>
        </w:rPr>
        <w:t>板级功能安全测试条件应满足</w:t>
      </w:r>
      <w:r>
        <w:rPr>
          <w:rFonts w:hint="eastAsia" w:ascii="宋体" w:hAnsi="宋体" w:cs="宋体"/>
        </w:rPr>
        <w:t>6.5.2.1</w:t>
      </w:r>
      <w:r>
        <w:rPr>
          <w:rFonts w:hint="eastAsia"/>
        </w:rPr>
        <w:t>的要求，测试步骤如下：</w:t>
      </w:r>
    </w:p>
    <w:p w14:paraId="01D73752">
      <w:pPr>
        <w:pStyle w:val="240"/>
        <w:numPr>
          <w:ilvl w:val="0"/>
          <w:numId w:val="77"/>
        </w:numPr>
        <w:spacing w:line="240" w:lineRule="auto"/>
        <w:ind w:left="839" w:firstLineChars="0"/>
        <w:rPr>
          <w:rFonts w:hint="eastAsia" w:ascii="宋体" w:hAnsi="宋体" w:cs="宋体"/>
        </w:rPr>
      </w:pPr>
      <w:r>
        <w:rPr>
          <w:rFonts w:hint="eastAsia" w:ascii="宋体" w:hAnsi="宋体" w:cs="宋体"/>
        </w:rPr>
        <w:t>在纯电动客车用电源管理芯片正常运行时，采用故障注入的方式对纯电动客车用电源管理芯片进行测试；</w:t>
      </w:r>
    </w:p>
    <w:p w14:paraId="3871FEB6">
      <w:pPr>
        <w:pStyle w:val="240"/>
        <w:numPr>
          <w:ilvl w:val="0"/>
          <w:numId w:val="77"/>
        </w:numPr>
        <w:spacing w:line="240" w:lineRule="auto"/>
        <w:ind w:left="839" w:firstLineChars="0"/>
        <w:rPr>
          <w:rFonts w:hint="eastAsia" w:ascii="宋体" w:hAnsi="宋体" w:cs="宋体"/>
        </w:rPr>
      </w:pPr>
      <w:r>
        <w:rPr>
          <w:rFonts w:hint="eastAsia" w:ascii="宋体" w:hAnsi="宋体" w:cs="宋体"/>
        </w:rPr>
        <w:t>注入的故障</w:t>
      </w:r>
      <w:r>
        <w:rPr>
          <w:rFonts w:hint="eastAsia" w:ascii="宋体" w:hAnsi="宋体" w:cs="宋体"/>
          <w:lang w:val="zh-CN"/>
        </w:rPr>
        <w:t>宜</w:t>
      </w:r>
      <w:r>
        <w:rPr>
          <w:rFonts w:hint="eastAsia" w:ascii="宋体" w:hAnsi="宋体" w:cs="宋体"/>
        </w:rPr>
        <w:t>覆盖关键元器件典型的失效模式；</w:t>
      </w:r>
    </w:p>
    <w:p w14:paraId="08454F42">
      <w:pPr>
        <w:pStyle w:val="240"/>
        <w:numPr>
          <w:ilvl w:val="0"/>
          <w:numId w:val="77"/>
        </w:numPr>
        <w:spacing w:line="240" w:lineRule="auto"/>
        <w:ind w:left="839" w:firstLineChars="0"/>
        <w:rPr>
          <w:rFonts w:hint="eastAsia" w:ascii="宋体" w:hAnsi="宋体" w:cs="宋体"/>
        </w:rPr>
      </w:pPr>
      <w:r>
        <w:rPr>
          <w:rFonts w:hint="eastAsia" w:ascii="宋体" w:hAnsi="宋体" w:cs="宋体"/>
        </w:rPr>
        <w:t>对纯电动客车用电源管理芯片进入安全状态的过程（例如，时间、状态切换），以及纯电动客车用电源管理芯片退出安全状态的条件进行监控和测量。</w:t>
      </w:r>
    </w:p>
    <w:p w14:paraId="65FE57DD">
      <w:pPr>
        <w:pStyle w:val="233"/>
        <w:numPr>
          <w:ilvl w:val="255"/>
          <w:numId w:val="0"/>
        </w:numPr>
        <w:tabs>
          <w:tab w:val="center" w:pos="4201"/>
          <w:tab w:val="right" w:leader="dot" w:pos="9298"/>
        </w:tabs>
        <w:spacing w:before="120" w:beforeLines="50" w:after="120" w:afterLines="50"/>
        <w:rPr>
          <w:rFonts w:hint="eastAsia" w:ascii="黑体" w:hAnsi="黑体" w:eastAsia="黑体" w:cs="黑体"/>
          <w:szCs w:val="21"/>
        </w:rPr>
      </w:pPr>
      <w:r>
        <w:rPr>
          <w:rFonts w:hint="eastAsia" w:ascii="黑体" w:eastAsia="黑体"/>
          <w:kern w:val="21"/>
        </w:rPr>
        <w:t>6.5.2.2.3</w:t>
      </w:r>
      <w:r>
        <w:rPr>
          <w:rFonts w:hint="eastAsia" w:ascii="黑体" w:hAnsi="黑体" w:eastAsia="黑体" w:cs="黑体"/>
          <w:szCs w:val="21"/>
        </w:rPr>
        <w:t>.2 测试用例设计</w:t>
      </w:r>
    </w:p>
    <w:p w14:paraId="697D9EA9">
      <w:pPr>
        <w:spacing w:line="240" w:lineRule="auto"/>
        <w:ind w:firstLine="420" w:firstLineChars="200"/>
      </w:pPr>
      <w:r>
        <w:rPr>
          <w:rFonts w:hint="eastAsia"/>
        </w:rPr>
        <w:t>板</w:t>
      </w:r>
      <w:r>
        <w:t>级测试用例</w:t>
      </w:r>
      <w:r>
        <w:rPr>
          <w:rFonts w:hint="eastAsia"/>
        </w:rPr>
        <w:t>设计</w:t>
      </w:r>
      <w:r>
        <w:t>包括但不限于</w:t>
      </w:r>
      <w:r>
        <w:rPr>
          <w:rFonts w:hint="eastAsia"/>
        </w:rPr>
        <w:t>下列内容</w:t>
      </w:r>
      <w:r>
        <w:t>：</w:t>
      </w:r>
    </w:p>
    <w:p w14:paraId="133CB062">
      <w:pPr>
        <w:pStyle w:val="240"/>
        <w:numPr>
          <w:ilvl w:val="0"/>
          <w:numId w:val="78"/>
        </w:numPr>
        <w:spacing w:line="240" w:lineRule="auto"/>
        <w:ind w:left="839" w:firstLineChars="0"/>
        <w:rPr>
          <w:rFonts w:hint="eastAsia" w:ascii="宋体" w:hAnsi="宋体" w:cs="宋体"/>
        </w:rPr>
      </w:pPr>
      <w:r>
        <w:rPr>
          <w:rFonts w:ascii="宋体" w:hAnsi="宋体" w:cs="宋体"/>
        </w:rPr>
        <w:t>CPU</w:t>
      </w:r>
      <w:r>
        <w:rPr>
          <w:rFonts w:hint="eastAsia" w:ascii="宋体" w:hAnsi="宋体" w:cs="宋体"/>
        </w:rPr>
        <w:t>：</w:t>
      </w:r>
      <w:r>
        <w:rPr>
          <w:rFonts w:ascii="宋体" w:hAnsi="宋体" w:cs="宋体"/>
        </w:rPr>
        <w:t>板级运行定制的测试代码软件；</w:t>
      </w:r>
    </w:p>
    <w:p w14:paraId="1A47642A">
      <w:pPr>
        <w:pStyle w:val="240"/>
        <w:numPr>
          <w:ilvl w:val="0"/>
          <w:numId w:val="78"/>
        </w:numPr>
        <w:spacing w:line="240" w:lineRule="auto"/>
        <w:ind w:left="839" w:firstLineChars="0"/>
        <w:rPr>
          <w:rFonts w:hint="eastAsia" w:ascii="宋体" w:hAnsi="宋体" w:cs="宋体"/>
        </w:rPr>
      </w:pPr>
      <w:r>
        <w:rPr>
          <w:rFonts w:hint="eastAsia" w:ascii="宋体" w:hAnsi="宋体" w:cs="宋体"/>
        </w:rPr>
        <w:t>通信</w:t>
      </w:r>
      <w:r>
        <w:rPr>
          <w:rFonts w:ascii="宋体" w:hAnsi="宋体" w:cs="宋体"/>
        </w:rPr>
        <w:t>总线：</w:t>
      </w:r>
      <w:r>
        <w:rPr>
          <w:rFonts w:hint="eastAsia" w:ascii="宋体" w:hAnsi="宋体" w:cs="宋体"/>
        </w:rPr>
        <w:t>模拟错误的通信信号；</w:t>
      </w:r>
    </w:p>
    <w:p w14:paraId="3FDA5A74">
      <w:pPr>
        <w:pStyle w:val="240"/>
        <w:numPr>
          <w:ilvl w:val="0"/>
          <w:numId w:val="78"/>
        </w:numPr>
        <w:spacing w:line="240" w:lineRule="auto"/>
        <w:ind w:left="839" w:firstLineChars="0"/>
        <w:rPr>
          <w:rFonts w:hint="eastAsia" w:ascii="宋体" w:hAnsi="宋体" w:cs="宋体"/>
        </w:rPr>
      </w:pPr>
      <w:r>
        <w:rPr>
          <w:rFonts w:ascii="宋体" w:hAnsi="宋体" w:cs="宋体"/>
        </w:rPr>
        <w:t>电源：板级运行定制的测试代码软件</w:t>
      </w:r>
      <w:r>
        <w:rPr>
          <w:rFonts w:hint="eastAsia" w:ascii="宋体" w:hAnsi="宋体" w:cs="宋体"/>
        </w:rPr>
        <w:t>，</w:t>
      </w:r>
      <w:r>
        <w:rPr>
          <w:rFonts w:ascii="宋体" w:hAnsi="宋体" w:cs="宋体"/>
        </w:rPr>
        <w:t>以及外部电源供电电压异常变化</w:t>
      </w:r>
      <w:r>
        <w:rPr>
          <w:rFonts w:hint="eastAsia" w:ascii="宋体" w:hAnsi="宋体" w:cs="宋体"/>
        </w:rPr>
        <w:t>。</w:t>
      </w:r>
    </w:p>
    <w:p w14:paraId="36CCDAA6">
      <w:pPr>
        <w:pStyle w:val="233"/>
        <w:numPr>
          <w:ilvl w:val="255"/>
          <w:numId w:val="0"/>
        </w:numPr>
        <w:tabs>
          <w:tab w:val="center" w:pos="4201"/>
          <w:tab w:val="right" w:leader="dot" w:pos="9298"/>
        </w:tabs>
        <w:spacing w:before="120" w:beforeLines="50" w:after="120" w:afterLines="50"/>
        <w:rPr>
          <w:rFonts w:hint="eastAsia" w:ascii="黑体" w:hAnsi="黑体" w:eastAsia="黑体" w:cs="黑体"/>
        </w:rPr>
      </w:pPr>
      <w:r>
        <w:rPr>
          <w:rFonts w:hint="eastAsia" w:ascii="黑体" w:eastAsia="黑体"/>
          <w:kern w:val="21"/>
        </w:rPr>
        <w:t>6.5.2.2.3</w:t>
      </w:r>
      <w:r>
        <w:rPr>
          <w:rFonts w:hint="eastAsia" w:ascii="黑体" w:hAnsi="黑体" w:cs="黑体"/>
          <w:szCs w:val="21"/>
        </w:rPr>
        <w:t xml:space="preserve">.3 </w:t>
      </w:r>
      <w:r>
        <w:rPr>
          <w:rFonts w:hint="eastAsia" w:ascii="黑体" w:hAnsi="黑体" w:eastAsia="黑体" w:cs="黑体"/>
        </w:rPr>
        <w:t>测试报告</w:t>
      </w:r>
    </w:p>
    <w:p w14:paraId="6BECE938">
      <w:pPr>
        <w:spacing w:line="240" w:lineRule="auto"/>
        <w:ind w:firstLine="420" w:firstLineChars="200"/>
        <w:rPr>
          <w:rFonts w:hint="eastAsia" w:ascii="宋体" w:hAnsi="宋体" w:cs="宋体"/>
          <w:lang w:val="zh-CN"/>
        </w:rPr>
      </w:pPr>
      <w:r>
        <w:rPr>
          <w:rFonts w:hint="eastAsia" w:ascii="宋体" w:hAnsi="宋体" w:cs="宋体"/>
          <w:lang w:val="zh-CN"/>
        </w:rPr>
        <w:t>测试报告包含但不限于</w:t>
      </w:r>
      <w:r>
        <w:rPr>
          <w:rFonts w:hint="eastAsia" w:ascii="宋体" w:hAnsi="宋体" w:cs="宋体"/>
        </w:rPr>
        <w:t>下列</w:t>
      </w:r>
      <w:r>
        <w:rPr>
          <w:rFonts w:hint="eastAsia" w:ascii="宋体" w:hAnsi="宋体" w:cs="宋体"/>
          <w:lang w:val="zh-CN"/>
        </w:rPr>
        <w:t>内容：</w:t>
      </w:r>
    </w:p>
    <w:p w14:paraId="7ABBFE27">
      <w:pPr>
        <w:numPr>
          <w:ilvl w:val="0"/>
          <w:numId w:val="79"/>
        </w:numPr>
        <w:spacing w:line="240" w:lineRule="auto"/>
        <w:ind w:left="0" w:firstLine="420" w:firstLineChars="200"/>
        <w:rPr>
          <w:rFonts w:hint="eastAsia" w:ascii="宋体" w:hAnsi="宋体" w:cs="宋体"/>
          <w:lang w:val="zh-CN"/>
        </w:rPr>
      </w:pPr>
      <w:r>
        <w:rPr>
          <w:rFonts w:hint="eastAsia" w:ascii="宋体" w:hAnsi="宋体" w:cs="宋体"/>
          <w:lang w:val="zh-CN"/>
        </w:rPr>
        <w:t>故障注入方法、故障注入目标，</w:t>
      </w:r>
      <w:r>
        <w:rPr>
          <w:rFonts w:hint="eastAsia" w:ascii="宋体" w:hAnsi="宋体" w:cs="宋体"/>
        </w:rPr>
        <w:t>以及</w:t>
      </w:r>
      <w:r>
        <w:rPr>
          <w:rFonts w:hint="eastAsia" w:ascii="宋体" w:hAnsi="宋体" w:cs="宋体"/>
          <w:lang w:val="zh-CN"/>
        </w:rPr>
        <w:t>对应的安全机制有效性观测点；</w:t>
      </w:r>
    </w:p>
    <w:p w14:paraId="19122544">
      <w:pPr>
        <w:numPr>
          <w:ilvl w:val="0"/>
          <w:numId w:val="79"/>
        </w:numPr>
        <w:spacing w:line="240" w:lineRule="auto"/>
        <w:ind w:left="0" w:firstLine="420" w:firstLineChars="200"/>
        <w:rPr>
          <w:rFonts w:hint="eastAsia" w:ascii="宋体" w:hAnsi="宋体" w:cs="宋体"/>
          <w:lang w:val="zh-CN"/>
        </w:rPr>
      </w:pPr>
      <w:r>
        <w:rPr>
          <w:rFonts w:hint="eastAsia" w:ascii="宋体" w:hAnsi="宋体" w:cs="宋体"/>
          <w:lang w:val="zh-CN"/>
        </w:rPr>
        <w:t>注入的故障类型、故障数量、故障注入时间；</w:t>
      </w:r>
    </w:p>
    <w:p w14:paraId="682C685C">
      <w:pPr>
        <w:numPr>
          <w:ilvl w:val="0"/>
          <w:numId w:val="79"/>
        </w:numPr>
        <w:spacing w:line="240" w:lineRule="auto"/>
        <w:ind w:left="0" w:firstLine="420" w:firstLineChars="200"/>
        <w:rPr>
          <w:rFonts w:hint="eastAsia" w:ascii="宋体" w:hAnsi="宋体" w:cs="宋体"/>
          <w:lang w:val="zh-CN"/>
        </w:rPr>
      </w:pPr>
      <w:r>
        <w:rPr>
          <w:rFonts w:hint="eastAsia" w:ascii="宋体" w:hAnsi="宋体" w:cs="宋体"/>
          <w:lang w:val="zh-CN"/>
        </w:rPr>
        <w:t>故障观测点响应数据、响应时间。</w:t>
      </w:r>
    </w:p>
    <w:p w14:paraId="0AAC7647">
      <w:pPr>
        <w:widowControl/>
        <w:numPr>
          <w:ilvl w:val="255"/>
          <w:numId w:val="0"/>
        </w:numPr>
        <w:wordWrap w:val="0"/>
        <w:overflowPunct w:val="0"/>
        <w:autoSpaceDE w:val="0"/>
        <w:autoSpaceDN w:val="0"/>
        <w:spacing w:before="120" w:beforeLines="50" w:after="120" w:afterLines="50" w:line="240" w:lineRule="auto"/>
        <w:textAlignment w:val="baseline"/>
        <w:outlineLvl w:val="3"/>
        <w:rPr>
          <w:rFonts w:ascii="黑体" w:hAnsi="Times New Roman" w:eastAsia="黑体"/>
          <w:kern w:val="21"/>
        </w:rPr>
      </w:pPr>
      <w:r>
        <w:rPr>
          <w:rFonts w:hint="eastAsia" w:ascii="黑体" w:hAnsi="Times New Roman" w:eastAsia="黑体"/>
          <w:kern w:val="21"/>
        </w:rPr>
        <w:t>6.5.2.2.4 判定准则</w:t>
      </w:r>
    </w:p>
    <w:p w14:paraId="15424801">
      <w:pPr>
        <w:spacing w:line="240" w:lineRule="auto"/>
        <w:ind w:firstLine="420" w:firstLineChars="200"/>
        <w:rPr>
          <w:rFonts w:hint="eastAsia" w:ascii="宋体" w:hAnsi="宋体" w:cs="宋体"/>
          <w:lang w:val="zh-CN"/>
        </w:rPr>
      </w:pPr>
      <w:r>
        <w:rPr>
          <w:rFonts w:hint="eastAsia" w:ascii="宋体" w:hAnsi="宋体" w:cs="宋体"/>
          <w:lang w:val="zh-CN"/>
        </w:rPr>
        <w:t>符合</w:t>
      </w:r>
      <w:r>
        <w:rPr>
          <w:rFonts w:hint="eastAsia" w:ascii="宋体" w:hAnsi="宋体" w:cs="宋体"/>
        </w:rPr>
        <w:t>下列</w:t>
      </w:r>
      <w:r>
        <w:rPr>
          <w:rFonts w:hint="eastAsia" w:ascii="宋体" w:hAnsi="宋体" w:cs="宋体"/>
          <w:lang w:val="zh-CN"/>
        </w:rPr>
        <w:t>任一条件时，</w:t>
      </w:r>
      <w:r>
        <w:rPr>
          <w:rFonts w:hint="eastAsia" w:ascii="宋体" w:hAnsi="宋体" w:cs="宋体"/>
        </w:rPr>
        <w:t>则判定</w:t>
      </w:r>
      <w:r>
        <w:rPr>
          <w:rFonts w:hint="eastAsia" w:ascii="宋体" w:hAnsi="宋体" w:cs="宋体"/>
          <w:lang w:val="zh-CN"/>
        </w:rPr>
        <w:t>测试</w:t>
      </w:r>
      <w:r>
        <w:rPr>
          <w:rFonts w:hint="eastAsia" w:ascii="宋体" w:hAnsi="宋体" w:cs="宋体"/>
        </w:rPr>
        <w:t>结束</w:t>
      </w:r>
      <w:r>
        <w:rPr>
          <w:rFonts w:hint="eastAsia" w:ascii="宋体" w:hAnsi="宋体" w:cs="宋体"/>
          <w:lang w:val="zh-CN"/>
        </w:rPr>
        <w:t>：</w:t>
      </w:r>
    </w:p>
    <w:p w14:paraId="2AD10969">
      <w:pPr>
        <w:numPr>
          <w:ilvl w:val="0"/>
          <w:numId w:val="80"/>
        </w:numPr>
        <w:spacing w:line="240" w:lineRule="auto"/>
        <w:ind w:left="0" w:firstLine="420" w:firstLineChars="200"/>
        <w:rPr>
          <w:lang w:val="zh-CN"/>
        </w:rPr>
      </w:pPr>
      <w:r>
        <w:rPr>
          <w:rFonts w:hint="eastAsia"/>
        </w:rPr>
        <w:t>纯电动客车用电源管理芯片</w:t>
      </w:r>
      <w:r>
        <w:rPr>
          <w:rFonts w:hint="eastAsia"/>
          <w:lang w:val="zh-CN"/>
        </w:rPr>
        <w:t>在故障处理时间间隔内进入安全状态，并无意外退出安全状态；</w:t>
      </w:r>
    </w:p>
    <w:p w14:paraId="3062B9B7">
      <w:pPr>
        <w:numPr>
          <w:ilvl w:val="0"/>
          <w:numId w:val="80"/>
        </w:numPr>
        <w:spacing w:line="240" w:lineRule="auto"/>
        <w:ind w:left="0" w:firstLine="420" w:firstLineChars="200"/>
        <w:rPr>
          <w:lang w:val="zh-CN"/>
        </w:rPr>
      </w:pPr>
      <w:r>
        <w:rPr>
          <w:rFonts w:hint="eastAsia"/>
        </w:rPr>
        <w:t>纯电动客车用电源管理芯片</w:t>
      </w:r>
      <w:r>
        <w:rPr>
          <w:rFonts w:hint="eastAsia"/>
          <w:lang w:val="zh-CN"/>
        </w:rPr>
        <w:t>在故障处理时间间隔内进入安全状态，意外退出安全状态；</w:t>
      </w:r>
    </w:p>
    <w:p w14:paraId="567B80A3">
      <w:pPr>
        <w:numPr>
          <w:ilvl w:val="0"/>
          <w:numId w:val="80"/>
        </w:numPr>
        <w:spacing w:line="240" w:lineRule="auto"/>
        <w:ind w:left="0" w:firstLine="420" w:firstLineChars="200"/>
        <w:rPr>
          <w:lang w:val="zh-CN"/>
        </w:rPr>
      </w:pPr>
      <w:r>
        <w:rPr>
          <w:rFonts w:hint="eastAsia"/>
        </w:rPr>
        <w:t>纯电动客车用电源管理芯片</w:t>
      </w:r>
      <w:r>
        <w:rPr>
          <w:rFonts w:hint="eastAsia"/>
          <w:lang w:val="zh-CN"/>
        </w:rPr>
        <w:t>在故障处理时间间隔内未进入安全状态；</w:t>
      </w:r>
    </w:p>
    <w:p w14:paraId="5B02E147">
      <w:pPr>
        <w:numPr>
          <w:ilvl w:val="0"/>
          <w:numId w:val="80"/>
        </w:numPr>
        <w:spacing w:line="240" w:lineRule="auto"/>
        <w:ind w:left="840" w:leftChars="200" w:hanging="420" w:hangingChars="200"/>
      </w:pPr>
      <w:r>
        <w:rPr>
          <w:rFonts w:hint="eastAsia"/>
        </w:rPr>
        <w:t>纯电动客车用电源管理芯片</w:t>
      </w:r>
      <w:r>
        <w:rPr>
          <w:rFonts w:hint="eastAsia"/>
          <w:lang w:val="zh-CN"/>
        </w:rPr>
        <w:t>在故障处理时间间隔内进入安全状态，并无意外退出安全状态，</w:t>
      </w:r>
      <w:r>
        <w:rPr>
          <w:rFonts w:hint="eastAsia"/>
        </w:rPr>
        <w:t>视为安全机制有效，测试通过。</w:t>
      </w:r>
    </w:p>
    <w:p w14:paraId="1889487F">
      <w:pPr>
        <w:pStyle w:val="58"/>
        <w:ind w:firstLine="0" w:firstLineChars="0"/>
      </w:pPr>
    </w:p>
    <w:p w14:paraId="65AEF299">
      <w:pPr>
        <w:pStyle w:val="58"/>
        <w:ind w:firstLine="0" w:firstLineChars="0"/>
      </w:pPr>
    </w:p>
    <w:p w14:paraId="039DB5D9">
      <w:pPr>
        <w:pStyle w:val="58"/>
        <w:ind w:firstLine="0" w:firstLineChars="0"/>
      </w:pPr>
    </w:p>
    <w:p w14:paraId="5455E646">
      <w:pPr>
        <w:pStyle w:val="58"/>
        <w:ind w:firstLine="0" w:firstLineChars="0"/>
      </w:pPr>
    </w:p>
    <w:p w14:paraId="7E6FFE37">
      <w:pPr>
        <w:pStyle w:val="58"/>
        <w:ind w:firstLine="0" w:firstLineChars="0"/>
      </w:pPr>
    </w:p>
    <w:p w14:paraId="29788EAD">
      <w:pPr>
        <w:pStyle w:val="58"/>
        <w:ind w:firstLine="0" w:firstLineChars="0"/>
      </w:pPr>
    </w:p>
    <w:p w14:paraId="11063EB8">
      <w:pPr>
        <w:pStyle w:val="58"/>
        <w:ind w:firstLine="0" w:firstLineChars="0"/>
      </w:pPr>
    </w:p>
    <w:p w14:paraId="37A0D157">
      <w:pPr>
        <w:pStyle w:val="58"/>
        <w:ind w:firstLine="0" w:firstLineChars="0"/>
      </w:pPr>
    </w:p>
    <w:p w14:paraId="2F8BCECC">
      <w:pPr>
        <w:pStyle w:val="58"/>
        <w:ind w:firstLine="0" w:firstLineChars="0"/>
      </w:pPr>
    </w:p>
    <w:p w14:paraId="218939EF">
      <w:pPr>
        <w:pStyle w:val="58"/>
        <w:ind w:firstLine="0" w:firstLineChars="0"/>
      </w:pPr>
    </w:p>
    <w:p w14:paraId="288046CA">
      <w:pPr>
        <w:pStyle w:val="58"/>
        <w:ind w:firstLine="0" w:firstLineChars="0"/>
      </w:pPr>
    </w:p>
    <w:p w14:paraId="5C28795D">
      <w:pPr>
        <w:pStyle w:val="58"/>
        <w:ind w:firstLine="0" w:firstLineChars="0"/>
      </w:pPr>
    </w:p>
    <w:bookmarkEnd w:id="22"/>
    <w:p w14:paraId="17C4D7A7">
      <w:pPr>
        <w:pStyle w:val="58"/>
        <w:ind w:firstLine="0" w:firstLineChars="0"/>
        <w:jc w:val="center"/>
      </w:pPr>
      <w:bookmarkStart w:id="100" w:name="BookMark8"/>
      <w:r>
        <w:drawing>
          <wp:inline distT="0" distB="0" distL="0" distR="0">
            <wp:extent cx="1485900" cy="317500"/>
            <wp:effectExtent l="0" t="0" r="0" b="0"/>
            <wp:docPr id="274904117" name="图片 2"/>
            <wp:cNvGraphicFramePr/>
            <a:graphic xmlns:a="http://schemas.openxmlformats.org/drawingml/2006/main">
              <a:graphicData uri="http://schemas.openxmlformats.org/drawingml/2006/picture">
                <pic:pic xmlns:pic="http://schemas.openxmlformats.org/drawingml/2006/picture">
                  <pic:nvPicPr>
                    <pic:cNvPr id="274904117" name="图片 2"/>
                    <pic:cNvPicPr/>
                  </pic:nvPicPr>
                  <pic:blipFill>
                    <a:blip r:embed="rId79">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100"/>
    </w:p>
    <w:sectPr>
      <w:headerReference r:id="rId17" w:type="default"/>
      <w:footerReference r:id="rId19" w:type="default"/>
      <w:headerReference r:id="rId18" w:type="even"/>
      <w:footerReference r:id="rId20" w:type="even"/>
      <w:pgSz w:w="11906" w:h="16838"/>
      <w:pgMar w:top="1928" w:right="1134" w:bottom="1134" w:left="1134" w:header="1418" w:footer="1134" w:gutter="284"/>
      <w:cols w:space="425"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altName w:val="微软雅黑"/>
    <w:panose1 w:val="00000000000000000000"/>
    <w:charset w:val="86"/>
    <w:family w:val="auto"/>
    <w:pitch w:val="default"/>
    <w:sig w:usb0="00000000" w:usb1="00000000" w:usb2="00082016" w:usb3="00000000" w:csb0="00040001"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Times">
    <w:altName w:val="Times New Roman"/>
    <w:panose1 w:val="02020603050405020304"/>
    <w:charset w:val="00"/>
    <w:family w:val="roman"/>
    <w:pitch w:val="default"/>
    <w:sig w:usb0="00000000" w:usb1="00000000" w:usb2="00000000" w:usb3="00000000" w:csb0="00000001" w:csb1="00000000"/>
  </w:font>
  <w:font w:name="PMingLiU">
    <w:altName w:val="Microsoft JhengHei UI"/>
    <w:panose1 w:val="02010601000101010101"/>
    <w:charset w:val="88"/>
    <w:family w:val="roman"/>
    <w:pitch w:val="default"/>
    <w:sig w:usb0="00000000" w:usb1="00000000" w:usb2="00000016" w:usb3="00000000" w:csb0="00100001"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7DCA2">
    <w:pPr>
      <w:pStyle w:val="19"/>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A609AE">
    <w:pPr>
      <w:pStyle w:val="19"/>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088A0">
    <w:pPr>
      <w:pStyle w:val="54"/>
    </w:pPr>
    <w:r>
      <w:fldChar w:fldCharType="begin"/>
    </w:r>
    <w:r>
      <w:instrText xml:space="preserve">PAGE   \* MERGEFORMAT</w:instrText>
    </w:r>
    <w:r>
      <w:fldChar w:fldCharType="separate"/>
    </w:r>
    <w:r>
      <w:rPr>
        <w:lang w:val="zh-CN"/>
      </w:rP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59C12A">
    <w:pPr>
      <w:pStyle w:val="53"/>
    </w:pPr>
    <w:r>
      <w:fldChar w:fldCharType="begin"/>
    </w:r>
    <w:r>
      <w:instrText xml:space="preserve"> PAGE   \* MERGEFORMAT \* MERGEFORMAT </w:instrText>
    </w:r>
    <w:r>
      <w:fldChar w:fldCharType="separate"/>
    </w:r>
    <w:r>
      <w:t>II</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8BC4FF">
    <w:pPr>
      <w:pStyle w:val="54"/>
    </w:pPr>
    <w:r>
      <w:fldChar w:fldCharType="begin"/>
    </w:r>
    <w:r>
      <w:instrText xml:space="preserve">PAGE   \* MERGEFORMAT</w:instrText>
    </w:r>
    <w:r>
      <w:fldChar w:fldCharType="separate"/>
    </w:r>
    <w:r>
      <w:rPr>
        <w:lang w:val="zh-CN"/>
      </w:rPr>
      <w:t>1</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A475E">
    <w:pPr>
      <w:pStyle w:val="53"/>
    </w:pPr>
    <w:r>
      <w:fldChar w:fldCharType="begin"/>
    </w:r>
    <w:r>
      <w:instrText xml:space="preserve"> PAGE   \* MERGEFORMAT \* MERGEFORMAT </w:instrText>
    </w:r>
    <w:r>
      <w:fldChar w:fldCharType="separate"/>
    </w:r>
    <w:r>
      <w:t>I</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4CEC7C">
    <w:pPr>
      <w:pStyle w:val="54"/>
    </w:pPr>
    <w:r>
      <w:fldChar w:fldCharType="begin"/>
    </w:r>
    <w:r>
      <w:instrText xml:space="preserve">PAGE   \* MERGEFORMAT</w:instrText>
    </w:r>
    <w:r>
      <w:fldChar w:fldCharType="separate"/>
    </w:r>
    <w:r>
      <w:rPr>
        <w:lang w:val="zh-CN"/>
      </w:rPr>
      <w:t>1</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7D2128">
    <w:pPr>
      <w:pStyle w:val="53"/>
    </w:pPr>
    <w:r>
      <w:fldChar w:fldCharType="begin"/>
    </w:r>
    <w:r>
      <w:instrText xml:space="preserve"> PAGE   \* MERGEFORMAT \* MERGEFORMAT </w:instrText>
    </w:r>
    <w:r>
      <w:fldChar w:fldCharType="separate"/>
    </w:r>
    <w: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168389">
    <w:pPr>
      <w:pStyle w:val="20"/>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8D4851">
    <w:pPr>
      <w:pStyle w:val="20"/>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F5FEF0">
    <w:pPr>
      <w:pStyle w:val="63"/>
      <w:rPr>
        <w:rFonts w:hint="eastAsia"/>
      </w:rPr>
    </w:pPr>
    <w:r>
      <w:fldChar w:fldCharType="begin"/>
    </w:r>
    <w:r>
      <w:instrText xml:space="preserve"> STYLEREF  标准文件_文件编号  \* MERGEFORMAT </w:instrText>
    </w:r>
    <w:r>
      <w:fldChar w:fldCharType="separate"/>
    </w:r>
    <w:r>
      <w:t>T/CAAMTB XXX—20XX</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3E9523">
    <w:pPr>
      <w:pStyle w:val="64"/>
      <w:rPr>
        <w:rFonts w:hint="eastAsia"/>
      </w:rPr>
    </w:pPr>
    <w:r>
      <w:fldChar w:fldCharType="begin"/>
    </w:r>
    <w:r>
      <w:instrText xml:space="preserve"> STYLEREF  标准文件_文件编号 \* MERGEFORMAT </w:instrText>
    </w:r>
    <w:r>
      <w:fldChar w:fldCharType="separate"/>
    </w:r>
    <w:r>
      <w:t>T/CAAMTB XXX—20XX</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9F22C2">
    <w:pPr>
      <w:pStyle w:val="63"/>
      <w:rPr>
        <w:rFonts w:hint="eastAsia"/>
      </w:rPr>
    </w:pPr>
    <w:r>
      <w:fldChar w:fldCharType="begin"/>
    </w:r>
    <w:r>
      <w:instrText xml:space="preserve"> STYLEREF  标准文件_文件编号  \* MERGEFORMAT </w:instrText>
    </w:r>
    <w:r>
      <w:fldChar w:fldCharType="separate"/>
    </w:r>
    <w:r>
      <w:t>T/CAAMTB XXX—20XX</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4AF40">
    <w:pPr>
      <w:pStyle w:val="64"/>
      <w:rPr>
        <w:rFonts w:hint="eastAsia"/>
      </w:rPr>
    </w:pPr>
    <w:r>
      <w:fldChar w:fldCharType="begin"/>
    </w:r>
    <w:r>
      <w:instrText xml:space="preserve"> STYLEREF  标准文件_文件编号 \* MERGEFORMAT </w:instrText>
    </w:r>
    <w:r>
      <w:fldChar w:fldCharType="separate"/>
    </w:r>
    <w:r>
      <w:t>T/CAAMTB XXX—20XX</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32FB3">
    <w:pPr>
      <w:pStyle w:val="63"/>
      <w:rPr>
        <w:rFonts w:hint="eastAsia"/>
      </w:rPr>
    </w:pPr>
    <w:r>
      <w:fldChar w:fldCharType="begin"/>
    </w:r>
    <w:r>
      <w:instrText xml:space="preserve"> STYLEREF  标准文件_文件编号  \* MERGEFORMAT </w:instrText>
    </w:r>
    <w:r>
      <w:fldChar w:fldCharType="separate"/>
    </w:r>
    <w:r>
      <w:t>T/CAAMTB XXX—20XX</w:t>
    </w:r>
    <w: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3EE11">
    <w:pPr>
      <w:pStyle w:val="64"/>
      <w:rPr>
        <w:rFonts w:hint="eastAsia"/>
      </w:rPr>
    </w:pPr>
    <w:r>
      <w:fldChar w:fldCharType="begin"/>
    </w:r>
    <w:r>
      <w:instrText xml:space="preserve"> STYLEREF  标准文件_文件编号 \* MERGEFORMAT </w:instrText>
    </w:r>
    <w:r>
      <w:fldChar w:fldCharType="separate"/>
    </w:r>
    <w:r>
      <w:t>T/CAAMTB XXX—20XX</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C82A47"/>
    <w:multiLevelType w:val="multilevel"/>
    <w:tmpl w:val="8BC82A47"/>
    <w:lvl w:ilvl="0" w:tentative="0">
      <w:start w:val="1"/>
      <w:numFmt w:val="lowerLetter"/>
      <w:lvlText w:val="%1)"/>
      <w:lvlJc w:val="left"/>
      <w:pPr>
        <w:tabs>
          <w:tab w:val="left" w:pos="851"/>
        </w:tabs>
        <w:ind w:left="851" w:hanging="426"/>
      </w:pPr>
      <w:rPr>
        <w:rFonts w:hint="eastAsia" w:ascii="宋体" w:hAnsi="Times New Roman" w:eastAsia="宋体"/>
        <w:sz w:val="21"/>
      </w:rPr>
    </w:lvl>
    <w:lvl w:ilvl="1" w:tentative="0">
      <w:start w:val="1"/>
      <w:numFmt w:val="decimal"/>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
    <w:nsid w:val="94850C22"/>
    <w:multiLevelType w:val="singleLevel"/>
    <w:tmpl w:val="94850C22"/>
    <w:lvl w:ilvl="0" w:tentative="0">
      <w:start w:val="1"/>
      <w:numFmt w:val="lowerLetter"/>
      <w:lvlText w:val="%1）"/>
      <w:lvlJc w:val="left"/>
      <w:pPr>
        <w:tabs>
          <w:tab w:val="left" w:pos="420"/>
        </w:tabs>
        <w:ind w:left="425" w:hanging="425"/>
      </w:pPr>
      <w:rPr>
        <w:rFonts w:hint="default" w:ascii="宋体" w:hAnsi="宋体" w:eastAsia="宋体" w:cs="宋体"/>
      </w:rPr>
    </w:lvl>
  </w:abstractNum>
  <w:abstractNum w:abstractNumId="2">
    <w:nsid w:val="98A29E80"/>
    <w:multiLevelType w:val="multilevel"/>
    <w:tmpl w:val="98A29E80"/>
    <w:lvl w:ilvl="0" w:tentative="0">
      <w:start w:val="1"/>
      <w:numFmt w:val="lowerLetter"/>
      <w:lvlText w:val="%1)"/>
      <w:lvlJc w:val="left"/>
      <w:pPr>
        <w:tabs>
          <w:tab w:val="left" w:pos="851"/>
        </w:tabs>
        <w:ind w:left="851" w:hanging="426"/>
      </w:pPr>
      <w:rPr>
        <w:rFonts w:hint="eastAsia" w:ascii="宋体" w:hAnsi="Times New Roman" w:eastAsia="宋体"/>
        <w:sz w:val="21"/>
      </w:rPr>
    </w:lvl>
    <w:lvl w:ilvl="1" w:tentative="0">
      <w:start w:val="1"/>
      <w:numFmt w:val="decimal"/>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
    <w:nsid w:val="999CE925"/>
    <w:multiLevelType w:val="multilevel"/>
    <w:tmpl w:val="999CE925"/>
    <w:lvl w:ilvl="0" w:tentative="0">
      <w:start w:val="1"/>
      <w:numFmt w:val="lowerLetter"/>
      <w:lvlText w:val="%1）"/>
      <w:lvlJc w:val="left"/>
      <w:pPr>
        <w:ind w:left="1271" w:hanging="420"/>
      </w:pPr>
      <w:rPr>
        <w:rFonts w:hint="default" w:ascii="宋体" w:hAnsi="宋体" w:eastAsia="宋体" w:cs="宋体"/>
      </w:rPr>
    </w:lvl>
    <w:lvl w:ilvl="1" w:tentative="0">
      <w:start w:val="1"/>
      <w:numFmt w:val="lowerLetter"/>
      <w:lvlText w:val="%2)"/>
      <w:lvlJc w:val="left"/>
      <w:pPr>
        <w:ind w:left="1691" w:hanging="420"/>
      </w:pPr>
    </w:lvl>
    <w:lvl w:ilvl="2" w:tentative="0">
      <w:start w:val="1"/>
      <w:numFmt w:val="lowerRoman"/>
      <w:lvlText w:val="%3."/>
      <w:lvlJc w:val="right"/>
      <w:pPr>
        <w:ind w:left="2111" w:hanging="420"/>
      </w:pPr>
    </w:lvl>
    <w:lvl w:ilvl="3" w:tentative="0">
      <w:start w:val="1"/>
      <w:numFmt w:val="decimal"/>
      <w:lvlText w:val="%4."/>
      <w:lvlJc w:val="left"/>
      <w:pPr>
        <w:ind w:left="2531" w:hanging="420"/>
      </w:pPr>
    </w:lvl>
    <w:lvl w:ilvl="4" w:tentative="0">
      <w:start w:val="1"/>
      <w:numFmt w:val="lowerLetter"/>
      <w:lvlText w:val="%5)"/>
      <w:lvlJc w:val="left"/>
      <w:pPr>
        <w:ind w:left="2951" w:hanging="420"/>
      </w:pPr>
    </w:lvl>
    <w:lvl w:ilvl="5" w:tentative="0">
      <w:start w:val="1"/>
      <w:numFmt w:val="lowerRoman"/>
      <w:lvlText w:val="%6."/>
      <w:lvlJc w:val="right"/>
      <w:pPr>
        <w:ind w:left="3371" w:hanging="420"/>
      </w:pPr>
    </w:lvl>
    <w:lvl w:ilvl="6" w:tentative="0">
      <w:start w:val="1"/>
      <w:numFmt w:val="decimal"/>
      <w:lvlText w:val="%7."/>
      <w:lvlJc w:val="left"/>
      <w:pPr>
        <w:ind w:left="3791" w:hanging="420"/>
      </w:pPr>
    </w:lvl>
    <w:lvl w:ilvl="7" w:tentative="0">
      <w:start w:val="1"/>
      <w:numFmt w:val="lowerLetter"/>
      <w:lvlText w:val="%8)"/>
      <w:lvlJc w:val="left"/>
      <w:pPr>
        <w:ind w:left="4211" w:hanging="420"/>
      </w:pPr>
    </w:lvl>
    <w:lvl w:ilvl="8" w:tentative="0">
      <w:start w:val="1"/>
      <w:numFmt w:val="lowerRoman"/>
      <w:lvlText w:val="%9."/>
      <w:lvlJc w:val="right"/>
      <w:pPr>
        <w:ind w:left="4631" w:hanging="420"/>
      </w:pPr>
    </w:lvl>
  </w:abstractNum>
  <w:abstractNum w:abstractNumId="4">
    <w:nsid w:val="9D589375"/>
    <w:multiLevelType w:val="singleLevel"/>
    <w:tmpl w:val="9D589375"/>
    <w:lvl w:ilvl="0" w:tentative="0">
      <w:start w:val="1"/>
      <w:numFmt w:val="lowerLetter"/>
      <w:lvlText w:val="%1)"/>
      <w:lvlJc w:val="left"/>
      <w:pPr>
        <w:tabs>
          <w:tab w:val="left" w:pos="420"/>
        </w:tabs>
        <w:ind w:left="425" w:hanging="425"/>
      </w:pPr>
      <w:rPr>
        <w:rFonts w:hint="default" w:ascii="宋体" w:hAnsi="宋体" w:eastAsia="宋体" w:cs="宋体"/>
      </w:rPr>
    </w:lvl>
  </w:abstractNum>
  <w:abstractNum w:abstractNumId="5">
    <w:nsid w:val="A38EDC23"/>
    <w:multiLevelType w:val="singleLevel"/>
    <w:tmpl w:val="A38EDC23"/>
    <w:lvl w:ilvl="0" w:tentative="0">
      <w:start w:val="1"/>
      <w:numFmt w:val="lowerLetter"/>
      <w:suff w:val="nothing"/>
      <w:lvlText w:val="%1）"/>
      <w:lvlJc w:val="left"/>
    </w:lvl>
  </w:abstractNum>
  <w:abstractNum w:abstractNumId="6">
    <w:nsid w:val="A3B6F1DD"/>
    <w:multiLevelType w:val="multilevel"/>
    <w:tmpl w:val="A3B6F1DD"/>
    <w:lvl w:ilvl="0" w:tentative="0">
      <w:start w:val="1"/>
      <w:numFmt w:val="lowerLetter"/>
      <w:lvlText w:val="%1）"/>
      <w:lvlJc w:val="left"/>
      <w:pPr>
        <w:ind w:left="1130" w:hanging="420"/>
      </w:pPr>
      <w:rPr>
        <w:rFonts w:hint="default" w:ascii="宋体" w:hAnsi="宋体" w:eastAsia="宋体" w:cs="宋体"/>
      </w:rPr>
    </w:lvl>
    <w:lvl w:ilvl="1" w:tentative="0">
      <w:start w:val="1"/>
      <w:numFmt w:val="lowerLetter"/>
      <w:lvlText w:val="%2)"/>
      <w:lvlJc w:val="left"/>
      <w:pPr>
        <w:ind w:left="1550" w:hanging="420"/>
      </w:pPr>
    </w:lvl>
    <w:lvl w:ilvl="2" w:tentative="0">
      <w:start w:val="1"/>
      <w:numFmt w:val="lowerRoman"/>
      <w:lvlText w:val="%3."/>
      <w:lvlJc w:val="right"/>
      <w:pPr>
        <w:ind w:left="1970" w:hanging="420"/>
      </w:pPr>
    </w:lvl>
    <w:lvl w:ilvl="3" w:tentative="0">
      <w:start w:val="1"/>
      <w:numFmt w:val="decimal"/>
      <w:lvlText w:val="%4."/>
      <w:lvlJc w:val="left"/>
      <w:pPr>
        <w:ind w:left="2390" w:hanging="420"/>
      </w:pPr>
    </w:lvl>
    <w:lvl w:ilvl="4" w:tentative="0">
      <w:start w:val="1"/>
      <w:numFmt w:val="lowerLetter"/>
      <w:lvlText w:val="%5)"/>
      <w:lvlJc w:val="left"/>
      <w:pPr>
        <w:ind w:left="2810" w:hanging="420"/>
      </w:pPr>
    </w:lvl>
    <w:lvl w:ilvl="5" w:tentative="0">
      <w:start w:val="1"/>
      <w:numFmt w:val="lowerRoman"/>
      <w:lvlText w:val="%6."/>
      <w:lvlJc w:val="right"/>
      <w:pPr>
        <w:ind w:left="3230" w:hanging="420"/>
      </w:pPr>
    </w:lvl>
    <w:lvl w:ilvl="6" w:tentative="0">
      <w:start w:val="1"/>
      <w:numFmt w:val="decimal"/>
      <w:lvlText w:val="%7."/>
      <w:lvlJc w:val="left"/>
      <w:pPr>
        <w:ind w:left="3650" w:hanging="420"/>
      </w:pPr>
    </w:lvl>
    <w:lvl w:ilvl="7" w:tentative="0">
      <w:start w:val="1"/>
      <w:numFmt w:val="lowerLetter"/>
      <w:lvlText w:val="%8)"/>
      <w:lvlJc w:val="left"/>
      <w:pPr>
        <w:ind w:left="4070" w:hanging="420"/>
      </w:pPr>
    </w:lvl>
    <w:lvl w:ilvl="8" w:tentative="0">
      <w:start w:val="1"/>
      <w:numFmt w:val="lowerRoman"/>
      <w:lvlText w:val="%9."/>
      <w:lvlJc w:val="right"/>
      <w:pPr>
        <w:ind w:left="4490" w:hanging="420"/>
      </w:pPr>
    </w:lvl>
  </w:abstractNum>
  <w:abstractNum w:abstractNumId="7">
    <w:nsid w:val="A430398F"/>
    <w:multiLevelType w:val="singleLevel"/>
    <w:tmpl w:val="A430398F"/>
    <w:lvl w:ilvl="0" w:tentative="0">
      <w:start w:val="1"/>
      <w:numFmt w:val="lowerLetter"/>
      <w:suff w:val="space"/>
      <w:lvlText w:val="%1)"/>
      <w:lvlJc w:val="left"/>
    </w:lvl>
  </w:abstractNum>
  <w:abstractNum w:abstractNumId="8">
    <w:nsid w:val="A9FB7963"/>
    <w:multiLevelType w:val="singleLevel"/>
    <w:tmpl w:val="A9FB7963"/>
    <w:lvl w:ilvl="0" w:tentative="0">
      <w:start w:val="1"/>
      <w:numFmt w:val="lowerLetter"/>
      <w:suff w:val="nothing"/>
      <w:lvlText w:val="%1）"/>
      <w:lvlJc w:val="left"/>
    </w:lvl>
  </w:abstractNum>
  <w:abstractNum w:abstractNumId="9">
    <w:nsid w:val="AB476A70"/>
    <w:multiLevelType w:val="singleLevel"/>
    <w:tmpl w:val="AB476A70"/>
    <w:lvl w:ilvl="0" w:tentative="0">
      <w:start w:val="1"/>
      <w:numFmt w:val="lowerLetter"/>
      <w:lvlText w:val="%1)"/>
      <w:lvlJc w:val="left"/>
      <w:pPr>
        <w:tabs>
          <w:tab w:val="left" w:pos="420"/>
        </w:tabs>
        <w:ind w:left="425" w:hanging="425"/>
      </w:pPr>
      <w:rPr>
        <w:rFonts w:hint="default" w:ascii="宋体" w:hAnsi="宋体" w:eastAsia="宋体" w:cs="宋体"/>
      </w:rPr>
    </w:lvl>
  </w:abstractNum>
  <w:abstractNum w:abstractNumId="10">
    <w:nsid w:val="BD071733"/>
    <w:multiLevelType w:val="singleLevel"/>
    <w:tmpl w:val="BD071733"/>
    <w:lvl w:ilvl="0" w:tentative="0">
      <w:start w:val="1"/>
      <w:numFmt w:val="lowerLetter"/>
      <w:lvlText w:val="%1)"/>
      <w:lvlJc w:val="left"/>
      <w:pPr>
        <w:tabs>
          <w:tab w:val="left" w:pos="420"/>
        </w:tabs>
        <w:ind w:left="425" w:hanging="425"/>
      </w:pPr>
      <w:rPr>
        <w:rFonts w:hint="default" w:ascii="宋体" w:hAnsi="宋体" w:eastAsia="宋体" w:cs="宋体"/>
      </w:rPr>
    </w:lvl>
  </w:abstractNum>
  <w:abstractNum w:abstractNumId="11">
    <w:nsid w:val="C44F8FA2"/>
    <w:multiLevelType w:val="singleLevel"/>
    <w:tmpl w:val="C44F8FA2"/>
    <w:lvl w:ilvl="0" w:tentative="0">
      <w:start w:val="1"/>
      <w:numFmt w:val="lowerLetter"/>
      <w:suff w:val="nothing"/>
      <w:lvlText w:val="%1）"/>
      <w:lvlJc w:val="left"/>
    </w:lvl>
  </w:abstractNum>
  <w:abstractNum w:abstractNumId="12">
    <w:nsid w:val="C68E646D"/>
    <w:multiLevelType w:val="singleLevel"/>
    <w:tmpl w:val="C68E646D"/>
    <w:lvl w:ilvl="0" w:tentative="0">
      <w:start w:val="1"/>
      <w:numFmt w:val="lowerLetter"/>
      <w:lvlText w:val="%1)"/>
      <w:lvlJc w:val="left"/>
      <w:pPr>
        <w:tabs>
          <w:tab w:val="left" w:pos="312"/>
        </w:tabs>
      </w:pPr>
    </w:lvl>
  </w:abstractNum>
  <w:abstractNum w:abstractNumId="13">
    <w:nsid w:val="C7D097A6"/>
    <w:multiLevelType w:val="singleLevel"/>
    <w:tmpl w:val="C7D097A6"/>
    <w:lvl w:ilvl="0" w:tentative="0">
      <w:start w:val="1"/>
      <w:numFmt w:val="lowerLetter"/>
      <w:suff w:val="space"/>
      <w:lvlText w:val="%1）"/>
      <w:lvlJc w:val="left"/>
      <w:rPr>
        <w:rFonts w:hint="default" w:ascii="宋体" w:hAnsi="宋体" w:eastAsia="宋体" w:cs="宋体"/>
      </w:rPr>
    </w:lvl>
  </w:abstractNum>
  <w:abstractNum w:abstractNumId="14">
    <w:nsid w:val="CB3EE4F9"/>
    <w:multiLevelType w:val="singleLevel"/>
    <w:tmpl w:val="CB3EE4F9"/>
    <w:lvl w:ilvl="0" w:tentative="0">
      <w:start w:val="1"/>
      <w:numFmt w:val="lowerLetter"/>
      <w:lvlText w:val="%1)"/>
      <w:lvlJc w:val="left"/>
      <w:pPr>
        <w:tabs>
          <w:tab w:val="left" w:pos="420"/>
        </w:tabs>
        <w:ind w:left="425" w:hanging="425"/>
      </w:pPr>
      <w:rPr>
        <w:rFonts w:hint="default" w:ascii="宋体" w:hAnsi="宋体" w:eastAsia="宋体" w:cs="宋体"/>
      </w:rPr>
    </w:lvl>
  </w:abstractNum>
  <w:abstractNum w:abstractNumId="15">
    <w:nsid w:val="CB73B2BF"/>
    <w:multiLevelType w:val="singleLevel"/>
    <w:tmpl w:val="CB73B2BF"/>
    <w:lvl w:ilvl="0" w:tentative="0">
      <w:start w:val="1"/>
      <w:numFmt w:val="lowerLetter"/>
      <w:suff w:val="nothing"/>
      <w:lvlText w:val="%1）"/>
      <w:lvlJc w:val="left"/>
    </w:lvl>
  </w:abstractNum>
  <w:abstractNum w:abstractNumId="16">
    <w:nsid w:val="CC0DD2E3"/>
    <w:multiLevelType w:val="multilevel"/>
    <w:tmpl w:val="CC0DD2E3"/>
    <w:lvl w:ilvl="0" w:tentative="0">
      <w:start w:val="1"/>
      <w:numFmt w:val="lowerLetter"/>
      <w:lvlText w:val="%1)"/>
      <w:lvlJc w:val="left"/>
      <w:pPr>
        <w:tabs>
          <w:tab w:val="left" w:pos="851"/>
        </w:tabs>
        <w:ind w:left="851" w:hanging="426"/>
      </w:pPr>
      <w:rPr>
        <w:rFonts w:hint="eastAsia" w:ascii="宋体" w:hAnsi="Times New Roman" w:eastAsia="宋体"/>
        <w:sz w:val="21"/>
      </w:rPr>
    </w:lvl>
    <w:lvl w:ilvl="1" w:tentative="0">
      <w:start w:val="1"/>
      <w:numFmt w:val="decimal"/>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7">
    <w:nsid w:val="D93CCDEA"/>
    <w:multiLevelType w:val="singleLevel"/>
    <w:tmpl w:val="D93CCDEA"/>
    <w:lvl w:ilvl="0" w:tentative="0">
      <w:start w:val="1"/>
      <w:numFmt w:val="lowerLetter"/>
      <w:suff w:val="space"/>
      <w:lvlText w:val="%1)"/>
      <w:lvlJc w:val="left"/>
    </w:lvl>
  </w:abstractNum>
  <w:abstractNum w:abstractNumId="18">
    <w:nsid w:val="E78E489A"/>
    <w:multiLevelType w:val="singleLevel"/>
    <w:tmpl w:val="E78E489A"/>
    <w:lvl w:ilvl="0" w:tentative="0">
      <w:start w:val="1"/>
      <w:numFmt w:val="lowerLetter"/>
      <w:lvlText w:val="%1）"/>
      <w:lvlJc w:val="left"/>
      <w:pPr>
        <w:tabs>
          <w:tab w:val="left" w:pos="420"/>
        </w:tabs>
        <w:ind w:left="425" w:hanging="425"/>
      </w:pPr>
      <w:rPr>
        <w:rFonts w:hint="default"/>
      </w:rPr>
    </w:lvl>
  </w:abstractNum>
  <w:abstractNum w:abstractNumId="19">
    <w:nsid w:val="E8E99D1E"/>
    <w:multiLevelType w:val="singleLevel"/>
    <w:tmpl w:val="E8E99D1E"/>
    <w:lvl w:ilvl="0" w:tentative="0">
      <w:start w:val="1"/>
      <w:numFmt w:val="lowerLetter"/>
      <w:suff w:val="nothing"/>
      <w:lvlText w:val="%1）"/>
      <w:lvlJc w:val="left"/>
    </w:lvl>
  </w:abstractNum>
  <w:abstractNum w:abstractNumId="20">
    <w:nsid w:val="EEF8C8A4"/>
    <w:multiLevelType w:val="multilevel"/>
    <w:tmpl w:val="EEF8C8A4"/>
    <w:lvl w:ilvl="0" w:tentative="0">
      <w:start w:val="1"/>
      <w:numFmt w:val="lowerLetter"/>
      <w:lvlText w:val="%1)"/>
      <w:lvlJc w:val="left"/>
      <w:pPr>
        <w:tabs>
          <w:tab w:val="left" w:pos="851"/>
        </w:tabs>
        <w:ind w:left="851" w:hanging="426"/>
      </w:pPr>
      <w:rPr>
        <w:rFonts w:hint="eastAsia" w:ascii="宋体" w:hAnsi="Times New Roman" w:eastAsia="宋体"/>
        <w:sz w:val="21"/>
      </w:rPr>
    </w:lvl>
    <w:lvl w:ilvl="1" w:tentative="0">
      <w:start w:val="1"/>
      <w:numFmt w:val="decimal"/>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1">
    <w:nsid w:val="F032F19F"/>
    <w:multiLevelType w:val="singleLevel"/>
    <w:tmpl w:val="F032F19F"/>
    <w:lvl w:ilvl="0" w:tentative="0">
      <w:start w:val="1"/>
      <w:numFmt w:val="lowerLetter"/>
      <w:lvlText w:val="%1)"/>
      <w:lvlJc w:val="left"/>
      <w:pPr>
        <w:tabs>
          <w:tab w:val="left" w:pos="420"/>
        </w:tabs>
        <w:ind w:left="425" w:hanging="425"/>
      </w:pPr>
      <w:rPr>
        <w:rFonts w:hint="default" w:ascii="宋体" w:hAnsi="宋体" w:eastAsia="宋体" w:cs="宋体"/>
      </w:rPr>
    </w:lvl>
  </w:abstractNum>
  <w:abstractNum w:abstractNumId="22">
    <w:nsid w:val="F7B92813"/>
    <w:multiLevelType w:val="singleLevel"/>
    <w:tmpl w:val="F7B92813"/>
    <w:lvl w:ilvl="0" w:tentative="0">
      <w:start w:val="1"/>
      <w:numFmt w:val="lowerLetter"/>
      <w:suff w:val="space"/>
      <w:lvlText w:val="%1)"/>
      <w:lvlJc w:val="left"/>
    </w:lvl>
  </w:abstractNum>
  <w:abstractNum w:abstractNumId="23">
    <w:nsid w:val="FA29B1D3"/>
    <w:multiLevelType w:val="multilevel"/>
    <w:tmpl w:val="FA29B1D3"/>
    <w:lvl w:ilvl="0" w:tentative="0">
      <w:start w:val="1"/>
      <w:numFmt w:val="lowerLetter"/>
      <w:lvlText w:val="%1）"/>
      <w:lvlJc w:val="left"/>
      <w:pPr>
        <w:ind w:left="1130" w:hanging="420"/>
      </w:pPr>
      <w:rPr>
        <w:rFonts w:hint="default" w:ascii="宋体" w:hAnsi="宋体" w:eastAsia="宋体" w:cs="宋体"/>
        <w:sz w:val="21"/>
        <w:szCs w:val="21"/>
      </w:rPr>
    </w:lvl>
    <w:lvl w:ilvl="1" w:tentative="0">
      <w:start w:val="1"/>
      <w:numFmt w:val="lowerLetter"/>
      <w:lvlText w:val="%2)"/>
      <w:lvlJc w:val="left"/>
      <w:pPr>
        <w:ind w:left="1550" w:hanging="420"/>
      </w:pPr>
    </w:lvl>
    <w:lvl w:ilvl="2" w:tentative="0">
      <w:start w:val="1"/>
      <w:numFmt w:val="lowerRoman"/>
      <w:lvlText w:val="%3."/>
      <w:lvlJc w:val="right"/>
      <w:pPr>
        <w:ind w:left="1970" w:hanging="420"/>
      </w:pPr>
    </w:lvl>
    <w:lvl w:ilvl="3" w:tentative="0">
      <w:start w:val="1"/>
      <w:numFmt w:val="decimal"/>
      <w:lvlText w:val="%4."/>
      <w:lvlJc w:val="left"/>
      <w:pPr>
        <w:ind w:left="2390" w:hanging="420"/>
      </w:pPr>
    </w:lvl>
    <w:lvl w:ilvl="4" w:tentative="0">
      <w:start w:val="1"/>
      <w:numFmt w:val="lowerLetter"/>
      <w:lvlText w:val="%5)"/>
      <w:lvlJc w:val="left"/>
      <w:pPr>
        <w:ind w:left="2810" w:hanging="420"/>
      </w:pPr>
    </w:lvl>
    <w:lvl w:ilvl="5" w:tentative="0">
      <w:start w:val="1"/>
      <w:numFmt w:val="lowerRoman"/>
      <w:lvlText w:val="%6."/>
      <w:lvlJc w:val="right"/>
      <w:pPr>
        <w:ind w:left="3230" w:hanging="420"/>
      </w:pPr>
    </w:lvl>
    <w:lvl w:ilvl="6" w:tentative="0">
      <w:start w:val="1"/>
      <w:numFmt w:val="decimal"/>
      <w:lvlText w:val="%7."/>
      <w:lvlJc w:val="left"/>
      <w:pPr>
        <w:ind w:left="3650" w:hanging="420"/>
      </w:pPr>
    </w:lvl>
    <w:lvl w:ilvl="7" w:tentative="0">
      <w:start w:val="1"/>
      <w:numFmt w:val="lowerLetter"/>
      <w:lvlText w:val="%8)"/>
      <w:lvlJc w:val="left"/>
      <w:pPr>
        <w:ind w:left="4070" w:hanging="420"/>
      </w:pPr>
    </w:lvl>
    <w:lvl w:ilvl="8" w:tentative="0">
      <w:start w:val="1"/>
      <w:numFmt w:val="lowerRoman"/>
      <w:lvlText w:val="%9."/>
      <w:lvlJc w:val="right"/>
      <w:pPr>
        <w:ind w:left="4490" w:hanging="420"/>
      </w:pPr>
    </w:lvl>
  </w:abstractNum>
  <w:abstractNum w:abstractNumId="24">
    <w:nsid w:val="FB463BF1"/>
    <w:multiLevelType w:val="singleLevel"/>
    <w:tmpl w:val="FB463BF1"/>
    <w:lvl w:ilvl="0" w:tentative="0">
      <w:start w:val="1"/>
      <w:numFmt w:val="lowerLetter"/>
      <w:suff w:val="nothing"/>
      <w:lvlText w:val="%1）"/>
      <w:lvlJc w:val="left"/>
    </w:lvl>
  </w:abstractNum>
  <w:abstractNum w:abstractNumId="25">
    <w:nsid w:val="00000010"/>
    <w:multiLevelType w:val="multilevel"/>
    <w:tmpl w:val="00000010"/>
    <w:lvl w:ilvl="0" w:tentative="0">
      <w:start w:val="1"/>
      <w:numFmt w:val="none"/>
      <w:suff w:val="nothing"/>
      <w:lvlText w:val="%1"/>
      <w:lvlJc w:val="left"/>
      <w:pPr>
        <w:ind w:left="0" w:firstLine="0"/>
      </w:pPr>
      <w:rPr>
        <w:rFonts w:hint="default" w:ascii="Times New Roman" w:hAnsi="Times New Roman"/>
        <w:b/>
        <w:i w:val="0"/>
        <w:sz w:val="21"/>
      </w:rPr>
    </w:lvl>
    <w:lvl w:ilvl="1" w:tentative="0">
      <w:start w:val="1"/>
      <w:numFmt w:val="decimal"/>
      <w:pStyle w:val="235"/>
      <w:suff w:val="nothing"/>
      <w:lvlText w:val="%1%2　"/>
      <w:lvlJc w:val="left"/>
      <w:pPr>
        <w:ind w:left="0" w:firstLine="0"/>
      </w:pPr>
      <w:rPr>
        <w:rFonts w:hint="eastAsia" w:ascii="黑体" w:hAnsi="Times New Roman" w:eastAsia="黑体"/>
        <w:b w:val="0"/>
        <w:i w:val="0"/>
        <w:sz w:val="21"/>
      </w:rPr>
    </w:lvl>
    <w:lvl w:ilvl="2" w:tentative="0">
      <w:start w:val="1"/>
      <w:numFmt w:val="decimal"/>
      <w:pStyle w:val="234"/>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6">
    <w:nsid w:val="02837933"/>
    <w:multiLevelType w:val="multilevel"/>
    <w:tmpl w:val="02837933"/>
    <w:lvl w:ilvl="0" w:tentative="0">
      <w:start w:val="1"/>
      <w:numFmt w:val="decimal"/>
      <w:pStyle w:val="66"/>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27">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1"/>
      <w:suff w:val="nothing"/>
      <w:lvlText w:val="%1%2.%3　"/>
      <w:lvlJc w:val="left"/>
      <w:pPr>
        <w:ind w:left="0" w:firstLine="0"/>
      </w:pPr>
    </w:lvl>
    <w:lvl w:ilvl="3" w:tentative="0">
      <w:start w:val="1"/>
      <w:numFmt w:val="decimal"/>
      <w:pStyle w:val="120"/>
      <w:suff w:val="nothing"/>
      <w:lvlText w:val="%1%2.%3.%4　"/>
      <w:lvlJc w:val="left"/>
      <w:pPr>
        <w:ind w:left="0" w:firstLine="0"/>
      </w:pPr>
    </w:lvl>
    <w:lvl w:ilvl="4" w:tentative="0">
      <w:start w:val="1"/>
      <w:numFmt w:val="decimal"/>
      <w:pStyle w:val="155"/>
      <w:suff w:val="nothing"/>
      <w:lvlText w:val="%1%2.%3.%4.%5　"/>
      <w:lvlJc w:val="left"/>
      <w:pPr>
        <w:ind w:left="0" w:firstLine="0"/>
      </w:pPr>
    </w:lvl>
    <w:lvl w:ilvl="5" w:tentative="0">
      <w:start w:val="1"/>
      <w:numFmt w:val="decimal"/>
      <w:pStyle w:val="157"/>
      <w:suff w:val="nothing"/>
      <w:lvlText w:val="%1%2.%3.%4.%5.%6　"/>
      <w:lvlJc w:val="left"/>
      <w:pPr>
        <w:ind w:left="0" w:firstLine="0"/>
      </w:pPr>
    </w:lvl>
    <w:lvl w:ilvl="6" w:tentative="0">
      <w:start w:val="1"/>
      <w:numFmt w:val="decimal"/>
      <w:pStyle w:val="160"/>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8">
    <w:nsid w:val="079102AD"/>
    <w:multiLevelType w:val="multilevel"/>
    <w:tmpl w:val="079102AD"/>
    <w:lvl w:ilvl="0" w:tentative="0">
      <w:start w:val="1"/>
      <w:numFmt w:val="decimal"/>
      <w:pStyle w:val="182"/>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29">
    <w:nsid w:val="07ED3FEA"/>
    <w:multiLevelType w:val="multilevel"/>
    <w:tmpl w:val="07ED3FEA"/>
    <w:lvl w:ilvl="0" w:tentative="0">
      <w:start w:val="1"/>
      <w:numFmt w:val="none"/>
      <w:pStyle w:val="91"/>
      <w:lvlText w:val="%1"/>
      <w:lvlJc w:val="left"/>
      <w:pPr>
        <w:ind w:left="425" w:hanging="425"/>
      </w:pPr>
      <w:rPr>
        <w:rFonts w:hint="eastAsia"/>
      </w:rPr>
    </w:lvl>
    <w:lvl w:ilvl="1" w:tentative="0">
      <w:start w:val="1"/>
      <w:numFmt w:val="decimal"/>
      <w:pStyle w:val="202"/>
      <w:suff w:val="nothing"/>
      <w:lvlText w:val="%10.%2 "/>
      <w:lvlJc w:val="left"/>
      <w:pPr>
        <w:ind w:left="0" w:firstLine="0"/>
      </w:pPr>
      <w:rPr>
        <w:rFonts w:hint="eastAsia" w:ascii="黑体" w:hAnsi="等线" w:eastAsia="黑体"/>
        <w:b w:val="0"/>
        <w:i w:val="0"/>
        <w:sz w:val="21"/>
      </w:rPr>
    </w:lvl>
    <w:lvl w:ilvl="2" w:tentative="0">
      <w:start w:val="1"/>
      <w:numFmt w:val="decimal"/>
      <w:pStyle w:val="203"/>
      <w:suff w:val="nothing"/>
      <w:lvlText w:val="%10.%2.%3 "/>
      <w:lvlJc w:val="left"/>
      <w:pPr>
        <w:ind w:left="0" w:firstLine="0"/>
      </w:pPr>
      <w:rPr>
        <w:rFonts w:hint="eastAsia" w:ascii="黑体" w:hAnsi="等线" w:eastAsia="黑体"/>
        <w:b w:val="0"/>
        <w:i w:val="0"/>
        <w:sz w:val="21"/>
      </w:rPr>
    </w:lvl>
    <w:lvl w:ilvl="3" w:tentative="0">
      <w:start w:val="1"/>
      <w:numFmt w:val="decimal"/>
      <w:pStyle w:val="204"/>
      <w:suff w:val="nothing"/>
      <w:lvlText w:val="%10.%2.%3.%4 "/>
      <w:lvlJc w:val="left"/>
      <w:pPr>
        <w:ind w:left="0" w:firstLine="0"/>
      </w:pPr>
      <w:rPr>
        <w:rFonts w:hint="eastAsia" w:ascii="黑体" w:hAnsi="等线" w:eastAsia="黑体"/>
        <w:b w:val="0"/>
        <w:i w:val="0"/>
        <w:sz w:val="21"/>
      </w:rPr>
    </w:lvl>
    <w:lvl w:ilvl="4" w:tentative="0">
      <w:start w:val="1"/>
      <w:numFmt w:val="decimal"/>
      <w:pStyle w:val="205"/>
      <w:suff w:val="nothing"/>
      <w:lvlText w:val="%10.%2.%3.%4.%5 "/>
      <w:lvlJc w:val="left"/>
      <w:pPr>
        <w:ind w:left="0" w:firstLine="0"/>
      </w:pPr>
      <w:rPr>
        <w:rFonts w:hint="eastAsia" w:ascii="黑体" w:hAnsi="等线" w:eastAsia="黑体"/>
        <w:b w:val="0"/>
        <w:i w:val="0"/>
        <w:sz w:val="21"/>
      </w:rPr>
    </w:lvl>
    <w:lvl w:ilvl="5" w:tentative="0">
      <w:start w:val="1"/>
      <w:numFmt w:val="decimal"/>
      <w:pStyle w:val="206"/>
      <w:suff w:val="nothing"/>
      <w:lvlText w:val="%10.%2.%3.%4.%5.%6 "/>
      <w:lvlJc w:val="left"/>
      <w:pPr>
        <w:ind w:left="0" w:firstLine="0"/>
      </w:pPr>
      <w:rPr>
        <w:rFonts w:hint="eastAsia" w:ascii="黑体" w:hAnsi="等线" w:eastAsia="黑体"/>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0">
    <w:nsid w:val="0AE367E9"/>
    <w:multiLevelType w:val="multilevel"/>
    <w:tmpl w:val="0AE367E9"/>
    <w:lvl w:ilvl="0" w:tentative="0">
      <w:start w:val="1"/>
      <w:numFmt w:val="none"/>
      <w:pStyle w:val="183"/>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31">
    <w:nsid w:val="0B52507C"/>
    <w:multiLevelType w:val="singleLevel"/>
    <w:tmpl w:val="0B52507C"/>
    <w:lvl w:ilvl="0" w:tentative="0">
      <w:start w:val="1"/>
      <w:numFmt w:val="lowerLetter"/>
      <w:suff w:val="nothing"/>
      <w:lvlText w:val="%1）"/>
      <w:lvlJc w:val="left"/>
    </w:lvl>
  </w:abstractNum>
  <w:abstractNum w:abstractNumId="32">
    <w:nsid w:val="0BDC1670"/>
    <w:multiLevelType w:val="multilevel"/>
    <w:tmpl w:val="0BDC1670"/>
    <w:lvl w:ilvl="0" w:tentative="0">
      <w:start w:val="1"/>
      <w:numFmt w:val="decimal"/>
      <w:pStyle w:val="69"/>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3">
    <w:nsid w:val="0D051F45"/>
    <w:multiLevelType w:val="multilevel"/>
    <w:tmpl w:val="0D051F45"/>
    <w:lvl w:ilvl="0" w:tentative="0">
      <w:start w:val="1"/>
      <w:numFmt w:val="lowerRoman"/>
      <w:pStyle w:val="171"/>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34">
    <w:nsid w:val="13EBE892"/>
    <w:multiLevelType w:val="singleLevel"/>
    <w:tmpl w:val="13EBE892"/>
    <w:lvl w:ilvl="0" w:tentative="0">
      <w:start w:val="1"/>
      <w:numFmt w:val="lowerLetter"/>
      <w:suff w:val="space"/>
      <w:lvlText w:val="%1)"/>
      <w:lvlJc w:val="left"/>
    </w:lvl>
  </w:abstractNum>
  <w:abstractNum w:abstractNumId="35">
    <w:nsid w:val="1AD20F90"/>
    <w:multiLevelType w:val="multilevel"/>
    <w:tmpl w:val="1AD20F90"/>
    <w:lvl w:ilvl="0" w:tentative="0">
      <w:start w:val="1"/>
      <w:numFmt w:val="none"/>
      <w:pStyle w:val="112"/>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6">
    <w:nsid w:val="1AEF6054"/>
    <w:multiLevelType w:val="singleLevel"/>
    <w:tmpl w:val="1AEF6054"/>
    <w:lvl w:ilvl="0" w:tentative="0">
      <w:start w:val="1"/>
      <w:numFmt w:val="lowerLetter"/>
      <w:lvlText w:val="%1）"/>
      <w:lvlJc w:val="left"/>
      <w:pPr>
        <w:tabs>
          <w:tab w:val="left" w:pos="420"/>
        </w:tabs>
        <w:ind w:left="425" w:hanging="425"/>
      </w:pPr>
      <w:rPr>
        <w:rFonts w:hint="default" w:ascii="宋体" w:hAnsi="宋体" w:eastAsia="宋体" w:cs="宋体"/>
        <w:sz w:val="21"/>
        <w:szCs w:val="21"/>
      </w:rPr>
    </w:lvl>
  </w:abstractNum>
  <w:abstractNum w:abstractNumId="37">
    <w:nsid w:val="1AF15012"/>
    <w:multiLevelType w:val="multilevel"/>
    <w:tmpl w:val="1AF15012"/>
    <w:lvl w:ilvl="0" w:tentative="0">
      <w:start w:val="1"/>
      <w:numFmt w:val="upperLetter"/>
      <w:pStyle w:val="87"/>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38">
    <w:nsid w:val="1DD90BC1"/>
    <w:multiLevelType w:val="multilevel"/>
    <w:tmpl w:val="1DD90BC1"/>
    <w:lvl w:ilvl="0" w:tentative="0">
      <w:start w:val="1"/>
      <w:numFmt w:val="lowerLetter"/>
      <w:lvlText w:val="%1)"/>
      <w:lvlJc w:val="left"/>
      <w:pPr>
        <w:tabs>
          <w:tab w:val="left" w:pos="851"/>
        </w:tabs>
        <w:ind w:left="851" w:hanging="426"/>
      </w:pPr>
      <w:rPr>
        <w:rFonts w:hint="eastAsia" w:ascii="宋体" w:hAnsi="Times New Roman" w:eastAsia="宋体"/>
        <w:sz w:val="21"/>
      </w:rPr>
    </w:lvl>
    <w:lvl w:ilvl="1" w:tentative="0">
      <w:start w:val="1"/>
      <w:numFmt w:val="decimal"/>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39">
    <w:nsid w:val="1EAA1992"/>
    <w:multiLevelType w:val="multilevel"/>
    <w:tmpl w:val="1EAA1992"/>
    <w:lvl w:ilvl="0" w:tentative="0">
      <w:start w:val="1"/>
      <w:numFmt w:val="none"/>
      <w:pStyle w:val="94"/>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40">
    <w:nsid w:val="21579AA7"/>
    <w:multiLevelType w:val="singleLevel"/>
    <w:tmpl w:val="21579AA7"/>
    <w:lvl w:ilvl="0" w:tentative="0">
      <w:start w:val="1"/>
      <w:numFmt w:val="lowerLetter"/>
      <w:lvlText w:val="%1）"/>
      <w:lvlJc w:val="left"/>
      <w:pPr>
        <w:tabs>
          <w:tab w:val="left" w:pos="420"/>
        </w:tabs>
        <w:ind w:left="425" w:hanging="425"/>
      </w:pPr>
      <w:rPr>
        <w:rFonts w:hint="default" w:ascii="宋体" w:hAnsi="宋体" w:eastAsia="宋体" w:cs="宋体"/>
      </w:rPr>
    </w:lvl>
  </w:abstractNum>
  <w:abstractNum w:abstractNumId="41">
    <w:nsid w:val="27F036F5"/>
    <w:multiLevelType w:val="singleLevel"/>
    <w:tmpl w:val="27F036F5"/>
    <w:lvl w:ilvl="0" w:tentative="0">
      <w:start w:val="1"/>
      <w:numFmt w:val="lowerLetter"/>
      <w:suff w:val="nothing"/>
      <w:lvlText w:val="%1）"/>
      <w:lvlJc w:val="left"/>
    </w:lvl>
  </w:abstractNum>
  <w:abstractNum w:abstractNumId="42">
    <w:nsid w:val="2BC46FE1"/>
    <w:multiLevelType w:val="singleLevel"/>
    <w:tmpl w:val="2BC46FE1"/>
    <w:lvl w:ilvl="0" w:tentative="0">
      <w:start w:val="1"/>
      <w:numFmt w:val="lowerLetter"/>
      <w:suff w:val="nothing"/>
      <w:lvlText w:val="%1）"/>
      <w:lvlJc w:val="left"/>
    </w:lvl>
  </w:abstractNum>
  <w:abstractNum w:abstractNumId="43">
    <w:nsid w:val="2C5917C3"/>
    <w:multiLevelType w:val="multilevel"/>
    <w:tmpl w:val="2C5917C3"/>
    <w:lvl w:ilvl="0" w:tentative="0">
      <w:start w:val="1"/>
      <w:numFmt w:val="none"/>
      <w:pStyle w:val="134"/>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9"/>
      <w:lvlText w:val=""/>
      <w:lvlJc w:val="left"/>
      <w:pPr>
        <w:ind w:left="851" w:hanging="431"/>
      </w:pPr>
      <w:rPr>
        <w:rFonts w:hint="default" w:ascii="Symbol" w:hAnsi="Symbol"/>
        <w:sz w:val="21"/>
      </w:rPr>
    </w:lvl>
    <w:lvl w:ilvl="2" w:tentative="0">
      <w:start w:val="1"/>
      <w:numFmt w:val="bullet"/>
      <w:pStyle w:val="174"/>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44">
    <w:nsid w:val="32F04FB2"/>
    <w:multiLevelType w:val="multilevel"/>
    <w:tmpl w:val="32F04FB2"/>
    <w:lvl w:ilvl="0" w:tentative="0">
      <w:start w:val="1"/>
      <w:numFmt w:val="lowerLetter"/>
      <w:pStyle w:val="103"/>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45">
    <w:nsid w:val="34E275D5"/>
    <w:multiLevelType w:val="singleLevel"/>
    <w:tmpl w:val="34E275D5"/>
    <w:lvl w:ilvl="0" w:tentative="0">
      <w:start w:val="1"/>
      <w:numFmt w:val="lowerLetter"/>
      <w:lvlText w:val="%1)"/>
      <w:lvlJc w:val="left"/>
      <w:pPr>
        <w:tabs>
          <w:tab w:val="left" w:pos="420"/>
        </w:tabs>
        <w:ind w:left="425" w:hanging="425"/>
      </w:pPr>
      <w:rPr>
        <w:rFonts w:hint="default" w:ascii="宋体" w:hAnsi="宋体" w:eastAsia="宋体" w:cs="宋体"/>
      </w:rPr>
    </w:lvl>
  </w:abstractNum>
  <w:abstractNum w:abstractNumId="46">
    <w:nsid w:val="3603A0DF"/>
    <w:multiLevelType w:val="singleLevel"/>
    <w:tmpl w:val="3603A0DF"/>
    <w:lvl w:ilvl="0" w:tentative="0">
      <w:start w:val="1"/>
      <w:numFmt w:val="lowerLetter"/>
      <w:suff w:val="space"/>
      <w:lvlText w:val="%1）"/>
      <w:lvlJc w:val="left"/>
    </w:lvl>
  </w:abstractNum>
  <w:abstractNum w:abstractNumId="47">
    <w:nsid w:val="370DA2A6"/>
    <w:multiLevelType w:val="singleLevel"/>
    <w:tmpl w:val="370DA2A6"/>
    <w:lvl w:ilvl="0" w:tentative="0">
      <w:start w:val="1"/>
      <w:numFmt w:val="lowerLetter"/>
      <w:suff w:val="nothing"/>
      <w:lvlText w:val="%1）"/>
      <w:lvlJc w:val="left"/>
    </w:lvl>
  </w:abstractNum>
  <w:abstractNum w:abstractNumId="48">
    <w:nsid w:val="3DA162C3"/>
    <w:multiLevelType w:val="singleLevel"/>
    <w:tmpl w:val="3DA162C3"/>
    <w:lvl w:ilvl="0" w:tentative="0">
      <w:start w:val="1"/>
      <w:numFmt w:val="lowerLetter"/>
      <w:suff w:val="space"/>
      <w:lvlText w:val="%1)"/>
      <w:lvlJc w:val="left"/>
    </w:lvl>
  </w:abstractNum>
  <w:abstractNum w:abstractNumId="49">
    <w:nsid w:val="44C50F90"/>
    <w:multiLevelType w:val="multilevel"/>
    <w:tmpl w:val="44C50F90"/>
    <w:lvl w:ilvl="0" w:tentative="0">
      <w:start w:val="1"/>
      <w:numFmt w:val="lowerLetter"/>
      <w:pStyle w:val="176"/>
      <w:lvlText w:val="%1)"/>
      <w:lvlJc w:val="left"/>
      <w:pPr>
        <w:tabs>
          <w:tab w:val="left" w:pos="851"/>
        </w:tabs>
        <w:ind w:left="851" w:hanging="426"/>
      </w:pPr>
      <w:rPr>
        <w:rFonts w:hint="eastAsia" w:ascii="宋体" w:hAnsi="Times New Roman" w:eastAsia="宋体"/>
        <w:sz w:val="21"/>
      </w:rPr>
    </w:lvl>
    <w:lvl w:ilvl="1" w:tentative="0">
      <w:start w:val="1"/>
      <w:numFmt w:val="decimal"/>
      <w:pStyle w:val="111"/>
      <w:lvlText w:val="%2)"/>
      <w:lvlJc w:val="left"/>
      <w:pPr>
        <w:tabs>
          <w:tab w:val="left" w:pos="1276"/>
        </w:tabs>
        <w:ind w:left="1276" w:hanging="425"/>
      </w:pPr>
      <w:rPr>
        <w:rFonts w:hint="eastAsia" w:ascii="宋体" w:hAnsi="Times New Roman" w:eastAsia="宋体"/>
        <w:sz w:val="21"/>
      </w:rPr>
    </w:lvl>
    <w:lvl w:ilvl="2" w:tentative="0">
      <w:start w:val="1"/>
      <w:numFmt w:val="decimal"/>
      <w:pStyle w:val="119"/>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50">
    <w:nsid w:val="48802D1C"/>
    <w:multiLevelType w:val="multilevel"/>
    <w:tmpl w:val="48802D1C"/>
    <w:lvl w:ilvl="0" w:tentative="0">
      <w:start w:val="1"/>
      <w:numFmt w:val="upperLetter"/>
      <w:pStyle w:val="200"/>
      <w:lvlText w:val="%1"/>
      <w:lvlJc w:val="left"/>
      <w:pPr>
        <w:ind w:left="420" w:hanging="420"/>
      </w:pPr>
      <w:rPr>
        <w:rFonts w:hint="eastAsia"/>
      </w:rPr>
    </w:lvl>
    <w:lvl w:ilvl="1" w:tentative="0">
      <w:start w:val="1"/>
      <w:numFmt w:val="decimal"/>
      <w:pStyle w:val="85"/>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1">
    <w:nsid w:val="4B733A5F"/>
    <w:multiLevelType w:val="multilevel"/>
    <w:tmpl w:val="4B733A5F"/>
    <w:lvl w:ilvl="0" w:tentative="0">
      <w:start w:val="1"/>
      <w:numFmt w:val="decimal"/>
      <w:pStyle w:val="185"/>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52">
    <w:nsid w:val="4D09A6F8"/>
    <w:multiLevelType w:val="singleLevel"/>
    <w:tmpl w:val="4D09A6F8"/>
    <w:lvl w:ilvl="0" w:tentative="0">
      <w:start w:val="1"/>
      <w:numFmt w:val="lowerLetter"/>
      <w:suff w:val="nothing"/>
      <w:lvlText w:val="%1）"/>
      <w:lvlJc w:val="left"/>
    </w:lvl>
  </w:abstractNum>
  <w:abstractNum w:abstractNumId="53">
    <w:nsid w:val="4E185C10"/>
    <w:multiLevelType w:val="singleLevel"/>
    <w:tmpl w:val="4E185C10"/>
    <w:lvl w:ilvl="0" w:tentative="0">
      <w:start w:val="1"/>
      <w:numFmt w:val="lowerLetter"/>
      <w:lvlText w:val="%1）"/>
      <w:lvlJc w:val="left"/>
      <w:pPr>
        <w:tabs>
          <w:tab w:val="left" w:pos="420"/>
        </w:tabs>
        <w:ind w:left="425" w:hanging="425"/>
      </w:pPr>
      <w:rPr>
        <w:rFonts w:hint="default" w:ascii="宋体" w:hAnsi="宋体" w:eastAsia="宋体" w:cs="宋体"/>
        <w:sz w:val="21"/>
        <w:szCs w:val="21"/>
      </w:rPr>
    </w:lvl>
  </w:abstractNum>
  <w:abstractNum w:abstractNumId="54">
    <w:nsid w:val="4E5D0534"/>
    <w:multiLevelType w:val="multilevel"/>
    <w:tmpl w:val="4E5D0534"/>
    <w:lvl w:ilvl="0" w:tentative="0">
      <w:start w:val="1"/>
      <w:numFmt w:val="decimal"/>
      <w:pStyle w:val="118"/>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55">
    <w:nsid w:val="50CC84F1"/>
    <w:multiLevelType w:val="singleLevel"/>
    <w:tmpl w:val="50CC84F1"/>
    <w:lvl w:ilvl="0" w:tentative="0">
      <w:start w:val="1"/>
      <w:numFmt w:val="lowerLetter"/>
      <w:lvlText w:val="%1)"/>
      <w:lvlJc w:val="left"/>
      <w:pPr>
        <w:tabs>
          <w:tab w:val="left" w:pos="420"/>
        </w:tabs>
        <w:ind w:left="425" w:hanging="425"/>
      </w:pPr>
      <w:rPr>
        <w:rFonts w:hint="default" w:ascii="宋体" w:hAnsi="宋体" w:eastAsia="宋体" w:cs="宋体"/>
      </w:rPr>
    </w:lvl>
  </w:abstractNum>
  <w:abstractNum w:abstractNumId="56">
    <w:nsid w:val="54632751"/>
    <w:multiLevelType w:val="multilevel"/>
    <w:tmpl w:val="54632751"/>
    <w:lvl w:ilvl="0" w:tentative="0">
      <w:start w:val="1"/>
      <w:numFmt w:val="none"/>
      <w:pStyle w:val="95"/>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57">
    <w:nsid w:val="557C2AF5"/>
    <w:multiLevelType w:val="multilevel"/>
    <w:tmpl w:val="557C2AF5"/>
    <w:lvl w:ilvl="0" w:tentative="0">
      <w:start w:val="1"/>
      <w:numFmt w:val="decimal"/>
      <w:pStyle w:val="116"/>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58">
    <w:nsid w:val="5594119A"/>
    <w:multiLevelType w:val="multilevel"/>
    <w:tmpl w:val="5594119A"/>
    <w:lvl w:ilvl="0" w:tentative="0">
      <w:start w:val="1"/>
      <w:numFmt w:val="lowerLetter"/>
      <w:lvlText w:val="%1)"/>
      <w:lvlJc w:val="left"/>
      <w:pPr>
        <w:tabs>
          <w:tab w:val="left" w:pos="851"/>
        </w:tabs>
        <w:ind w:left="851" w:hanging="426"/>
      </w:pPr>
      <w:rPr>
        <w:rFonts w:hint="eastAsia" w:ascii="宋体" w:hAnsi="Times New Roman" w:eastAsia="宋体"/>
        <w:sz w:val="21"/>
      </w:rPr>
    </w:lvl>
    <w:lvl w:ilvl="1" w:tentative="0">
      <w:start w:val="1"/>
      <w:numFmt w:val="decimal"/>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59">
    <w:nsid w:val="5603797C"/>
    <w:multiLevelType w:val="multilevel"/>
    <w:tmpl w:val="5603797C"/>
    <w:lvl w:ilvl="0" w:tentative="0">
      <w:start w:val="1"/>
      <w:numFmt w:val="upperLetter"/>
      <w:pStyle w:val="201"/>
      <w:suff w:val="space"/>
      <w:lvlText w:val="%1"/>
      <w:lvlJc w:val="left"/>
      <w:pPr>
        <w:ind w:left="425" w:hanging="425"/>
      </w:pPr>
      <w:rPr>
        <w:rFonts w:hint="eastAsia"/>
      </w:rPr>
    </w:lvl>
    <w:lvl w:ilvl="1" w:tentative="0">
      <w:start w:val="1"/>
      <w:numFmt w:val="decimal"/>
      <w:pStyle w:val="79"/>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60">
    <w:nsid w:val="564D2089"/>
    <w:multiLevelType w:val="multilevel"/>
    <w:tmpl w:val="564D2089"/>
    <w:lvl w:ilvl="0" w:tentative="0">
      <w:start w:val="1"/>
      <w:numFmt w:val="none"/>
      <w:pStyle w:val="113"/>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1">
    <w:nsid w:val="58DE1F78"/>
    <w:multiLevelType w:val="singleLevel"/>
    <w:tmpl w:val="58DE1F78"/>
    <w:lvl w:ilvl="0" w:tentative="0">
      <w:start w:val="1"/>
      <w:numFmt w:val="lowerLetter"/>
      <w:lvlText w:val="%1）"/>
      <w:lvlJc w:val="left"/>
      <w:pPr>
        <w:tabs>
          <w:tab w:val="left" w:pos="420"/>
        </w:tabs>
        <w:ind w:left="425" w:hanging="425"/>
      </w:pPr>
      <w:rPr>
        <w:rFonts w:hint="default"/>
      </w:rPr>
    </w:lvl>
  </w:abstractNum>
  <w:abstractNum w:abstractNumId="62">
    <w:nsid w:val="5F96DD11"/>
    <w:multiLevelType w:val="singleLevel"/>
    <w:tmpl w:val="5F96DD11"/>
    <w:lvl w:ilvl="0" w:tentative="0">
      <w:start w:val="1"/>
      <w:numFmt w:val="lowerLetter"/>
      <w:lvlText w:val="%1)"/>
      <w:lvlJc w:val="left"/>
      <w:pPr>
        <w:tabs>
          <w:tab w:val="left" w:pos="420"/>
        </w:tabs>
        <w:ind w:left="425" w:hanging="425"/>
      </w:pPr>
      <w:rPr>
        <w:rFonts w:hint="default" w:ascii="宋体" w:hAnsi="宋体" w:eastAsia="宋体" w:cs="宋体"/>
      </w:rPr>
    </w:lvl>
  </w:abstractNum>
  <w:abstractNum w:abstractNumId="63">
    <w:nsid w:val="644622F9"/>
    <w:multiLevelType w:val="multilevel"/>
    <w:tmpl w:val="644622F9"/>
    <w:lvl w:ilvl="0" w:tentative="0">
      <w:start w:val="1"/>
      <w:numFmt w:val="upperRoman"/>
      <w:pStyle w:val="170"/>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64">
    <w:nsid w:val="646260FA"/>
    <w:multiLevelType w:val="multilevel"/>
    <w:tmpl w:val="646260FA"/>
    <w:lvl w:ilvl="0" w:tentative="0">
      <w:start w:val="1"/>
      <w:numFmt w:val="decimal"/>
      <w:pStyle w:val="114"/>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65">
    <w:nsid w:val="654A26C9"/>
    <w:multiLevelType w:val="multilevel"/>
    <w:tmpl w:val="654A26C9"/>
    <w:lvl w:ilvl="0" w:tentative="0">
      <w:start w:val="1"/>
      <w:numFmt w:val="none"/>
      <w:pStyle w:val="191"/>
      <w:lvlText w:val="──"/>
      <w:lvlJc w:val="left"/>
      <w:pPr>
        <w:ind w:left="851" w:firstLine="0"/>
      </w:pPr>
      <w:rPr>
        <w:rFonts w:hint="eastAsia" w:ascii="宋体" w:hAnsi="等线 Light" w:eastAsia="宋体"/>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66">
    <w:nsid w:val="657D3FBC"/>
    <w:multiLevelType w:val="multilevel"/>
    <w:tmpl w:val="657D3FBC"/>
    <w:lvl w:ilvl="0" w:tentative="0">
      <w:start w:val="1"/>
      <w:numFmt w:val="upperLetter"/>
      <w:pStyle w:val="78"/>
      <w:suff w:val="nothing"/>
      <w:lvlText w:val="附录%1"/>
      <w:lvlJc w:val="left"/>
      <w:pPr>
        <w:ind w:left="0" w:firstLine="0"/>
      </w:pPr>
      <w:rPr>
        <w:rFonts w:hint="eastAsia"/>
        <w:spacing w:val="100"/>
      </w:rPr>
    </w:lvl>
    <w:lvl w:ilvl="1" w:tentative="0">
      <w:start w:val="1"/>
      <w:numFmt w:val="decimal"/>
      <w:pStyle w:val="80"/>
      <w:suff w:val="nothing"/>
      <w:lvlText w:val="%1.%2　"/>
      <w:lvlJc w:val="left"/>
      <w:pPr>
        <w:ind w:left="0" w:firstLine="0"/>
      </w:pPr>
      <w:rPr>
        <w:rFonts w:hint="eastAsia" w:ascii="黑体" w:eastAsia="黑体"/>
        <w:b w:val="0"/>
        <w:i w:val="0"/>
        <w:sz w:val="21"/>
      </w:rPr>
    </w:lvl>
    <w:lvl w:ilvl="2" w:tentative="0">
      <w:start w:val="1"/>
      <w:numFmt w:val="decimal"/>
      <w:pStyle w:val="81"/>
      <w:suff w:val="nothing"/>
      <w:lvlText w:val="%1.%2.%3　"/>
      <w:lvlJc w:val="left"/>
      <w:pPr>
        <w:ind w:left="0" w:firstLine="0"/>
      </w:pPr>
      <w:rPr>
        <w:rFonts w:hint="eastAsia" w:ascii="黑体" w:eastAsia="黑体"/>
        <w:b w:val="0"/>
        <w:i w:val="0"/>
        <w:sz w:val="21"/>
      </w:rPr>
    </w:lvl>
    <w:lvl w:ilvl="3" w:tentative="0">
      <w:start w:val="1"/>
      <w:numFmt w:val="decimal"/>
      <w:pStyle w:val="83"/>
      <w:suff w:val="nothing"/>
      <w:lvlText w:val="%1.%2.%3.%4　"/>
      <w:lvlJc w:val="left"/>
      <w:pPr>
        <w:ind w:left="0" w:firstLine="0"/>
      </w:pPr>
      <w:rPr>
        <w:rFonts w:hint="eastAsia" w:ascii="黑体" w:eastAsia="黑体"/>
        <w:b w:val="0"/>
        <w:i w:val="0"/>
        <w:sz w:val="21"/>
      </w:rPr>
    </w:lvl>
    <w:lvl w:ilvl="4" w:tentative="0">
      <w:start w:val="1"/>
      <w:numFmt w:val="decimal"/>
      <w:pStyle w:val="84"/>
      <w:suff w:val="nothing"/>
      <w:lvlText w:val="%1.%2.%3.%4.%5　"/>
      <w:lvlJc w:val="left"/>
      <w:pPr>
        <w:ind w:left="0" w:firstLine="0"/>
      </w:pPr>
      <w:rPr>
        <w:rFonts w:hint="eastAsia" w:ascii="黑体" w:eastAsia="黑体"/>
        <w:b w:val="0"/>
        <w:i w:val="0"/>
        <w:sz w:val="21"/>
      </w:rPr>
    </w:lvl>
    <w:lvl w:ilvl="5" w:tentative="0">
      <w:start w:val="1"/>
      <w:numFmt w:val="decimal"/>
      <w:pStyle w:val="86"/>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7">
    <w:nsid w:val="69506ABF"/>
    <w:multiLevelType w:val="multilevel"/>
    <w:tmpl w:val="69506ABF"/>
    <w:lvl w:ilvl="0" w:tentative="0">
      <w:start w:val="1"/>
      <w:numFmt w:val="bullet"/>
      <w:pStyle w:val="190"/>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68">
    <w:nsid w:val="6A9069AF"/>
    <w:multiLevelType w:val="singleLevel"/>
    <w:tmpl w:val="6A9069AF"/>
    <w:lvl w:ilvl="0" w:tentative="0">
      <w:start w:val="1"/>
      <w:numFmt w:val="lowerLetter"/>
      <w:lvlText w:val="%1)"/>
      <w:lvlJc w:val="left"/>
      <w:pPr>
        <w:tabs>
          <w:tab w:val="left" w:pos="420"/>
        </w:tabs>
        <w:ind w:left="425" w:hanging="425"/>
      </w:pPr>
      <w:rPr>
        <w:rFonts w:hint="default" w:ascii="宋体" w:hAnsi="宋体" w:eastAsia="宋体" w:cs="宋体"/>
      </w:rPr>
    </w:lvl>
  </w:abstractNum>
  <w:abstractNum w:abstractNumId="69">
    <w:nsid w:val="6CA41985"/>
    <w:multiLevelType w:val="multilevel"/>
    <w:tmpl w:val="6CA41985"/>
    <w:lvl w:ilvl="0" w:tentative="0">
      <w:start w:val="1"/>
      <w:numFmt w:val="decimal"/>
      <w:pStyle w:val="99"/>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0">
    <w:nsid w:val="6CE42AC1"/>
    <w:multiLevelType w:val="multilevel"/>
    <w:tmpl w:val="6CE42AC1"/>
    <w:lvl w:ilvl="0" w:tentative="0">
      <w:start w:val="1"/>
      <w:numFmt w:val="lowerLetter"/>
      <w:pStyle w:val="175"/>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1">
    <w:nsid w:val="6CEA2025"/>
    <w:multiLevelType w:val="multilevel"/>
    <w:tmpl w:val="6CEA2025"/>
    <w:lvl w:ilvl="0" w:tentative="0">
      <w:start w:val="1"/>
      <w:numFmt w:val="none"/>
      <w:pStyle w:val="154"/>
      <w:suff w:val="nothing"/>
      <w:lvlText w:val="%1"/>
      <w:lvlJc w:val="left"/>
      <w:pPr>
        <w:ind w:left="0" w:firstLine="0"/>
      </w:pPr>
      <w:rPr>
        <w:rFonts w:hint="eastAsia"/>
      </w:rPr>
    </w:lvl>
    <w:lvl w:ilvl="1" w:tentative="0">
      <w:start w:val="1"/>
      <w:numFmt w:val="decimal"/>
      <w:pStyle w:val="106"/>
      <w:suff w:val="nothing"/>
      <w:lvlText w:val="%1%2　"/>
      <w:lvlJc w:val="left"/>
      <w:pPr>
        <w:ind w:left="0" w:firstLine="0"/>
      </w:pPr>
      <w:rPr>
        <w:rFonts w:hint="eastAsia" w:ascii="黑体" w:eastAsia="黑体"/>
        <w:b w:val="0"/>
        <w:i w:val="0"/>
        <w:sz w:val="21"/>
      </w:rPr>
    </w:lvl>
    <w:lvl w:ilvl="2" w:tentative="0">
      <w:start w:val="1"/>
      <w:numFmt w:val="decimal"/>
      <w:pStyle w:val="107"/>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scene3d>
          <w14:lightRig w14:rig="threePt" w14:dir="t">
            <w14:rot w14:lat="0" w14:lon="0" w14:rev="0"/>
          </w14:lightRig>
        </w14:scene3d>
        <w14:ligatures w14:val="none"/>
        <w14:numForm w14:val="default"/>
        <w14:numSpacing w14:val="default"/>
      </w:rPr>
    </w:lvl>
    <w:lvl w:ilvl="3" w:tentative="0">
      <w:start w:val="1"/>
      <w:numFmt w:val="decimal"/>
      <w:pStyle w:val="67"/>
      <w:suff w:val="nothing"/>
      <w:lvlText w:val="%1%2.%3.%4　"/>
      <w:lvlJc w:val="left"/>
      <w:pPr>
        <w:ind w:left="568" w:firstLine="0"/>
      </w:pPr>
      <w:rPr>
        <w:rFonts w:hint="eastAsia" w:ascii="黑体" w:eastAsia="黑体"/>
        <w:b w:val="0"/>
        <w:i w:val="0"/>
        <w:sz w:val="21"/>
      </w:rPr>
    </w:lvl>
    <w:lvl w:ilvl="4" w:tentative="0">
      <w:start w:val="1"/>
      <w:numFmt w:val="decimal"/>
      <w:pStyle w:val="96"/>
      <w:suff w:val="nothing"/>
      <w:lvlText w:val="%1%2.%3.%4.%5　"/>
      <w:lvlJc w:val="left"/>
      <w:pPr>
        <w:ind w:left="0" w:firstLine="0"/>
      </w:pPr>
      <w:rPr>
        <w:rFonts w:hint="eastAsia" w:ascii="黑体" w:eastAsia="黑体"/>
        <w:b w:val="0"/>
        <w:i w:val="0"/>
        <w:sz w:val="21"/>
      </w:rPr>
    </w:lvl>
    <w:lvl w:ilvl="5" w:tentative="0">
      <w:start w:val="1"/>
      <w:numFmt w:val="decimal"/>
      <w:pStyle w:val="100"/>
      <w:suff w:val="nothing"/>
      <w:lvlText w:val="%1%2.%3.%4.%5.%6　"/>
      <w:lvlJc w:val="left"/>
      <w:pPr>
        <w:ind w:left="0" w:firstLine="0"/>
      </w:pPr>
      <w:rPr>
        <w:rFonts w:hint="eastAsia" w:ascii="黑体" w:eastAsia="黑体"/>
        <w:b w:val="0"/>
        <w:i w:val="0"/>
        <w:sz w:val="21"/>
      </w:rPr>
    </w:lvl>
    <w:lvl w:ilvl="6" w:tentative="0">
      <w:start w:val="1"/>
      <w:numFmt w:val="decimal"/>
      <w:pStyle w:val="105"/>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72">
    <w:nsid w:val="6DBF04F4"/>
    <w:multiLevelType w:val="multilevel"/>
    <w:tmpl w:val="6DBF04F4"/>
    <w:lvl w:ilvl="0" w:tentative="0">
      <w:start w:val="1"/>
      <w:numFmt w:val="none"/>
      <w:pStyle w:val="181"/>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73">
    <w:nsid w:val="6DF35F19"/>
    <w:multiLevelType w:val="multilevel"/>
    <w:tmpl w:val="6DF35F19"/>
    <w:lvl w:ilvl="0" w:tentative="0">
      <w:start w:val="1"/>
      <w:numFmt w:val="decimal"/>
      <w:pStyle w:val="117"/>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74">
    <w:nsid w:val="6E503FC0"/>
    <w:multiLevelType w:val="singleLevel"/>
    <w:tmpl w:val="6E503FC0"/>
    <w:lvl w:ilvl="0" w:tentative="0">
      <w:start w:val="1"/>
      <w:numFmt w:val="lowerLetter"/>
      <w:lvlText w:val="%1）"/>
      <w:lvlJc w:val="left"/>
      <w:pPr>
        <w:tabs>
          <w:tab w:val="left" w:pos="420"/>
        </w:tabs>
        <w:ind w:left="425" w:hanging="425"/>
      </w:pPr>
      <w:rPr>
        <w:rFonts w:hint="default"/>
      </w:rPr>
    </w:lvl>
  </w:abstractNum>
  <w:abstractNum w:abstractNumId="75">
    <w:nsid w:val="76933334"/>
    <w:multiLevelType w:val="multilevel"/>
    <w:tmpl w:val="76933334"/>
    <w:lvl w:ilvl="0" w:tentative="0">
      <w:start w:val="1"/>
      <w:numFmt w:val="none"/>
      <w:pStyle w:val="141"/>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6">
    <w:nsid w:val="77A95FB6"/>
    <w:multiLevelType w:val="singleLevel"/>
    <w:tmpl w:val="77A95FB6"/>
    <w:lvl w:ilvl="0" w:tentative="0">
      <w:start w:val="1"/>
      <w:numFmt w:val="lowerLetter"/>
      <w:lvlText w:val="%1）"/>
      <w:lvlJc w:val="left"/>
      <w:pPr>
        <w:tabs>
          <w:tab w:val="left" w:pos="420"/>
        </w:tabs>
        <w:ind w:left="425" w:hanging="425"/>
      </w:pPr>
      <w:rPr>
        <w:rFonts w:hint="default"/>
      </w:rPr>
    </w:lvl>
  </w:abstractNum>
  <w:num w:numId="1">
    <w:abstractNumId w:val="26"/>
  </w:num>
  <w:num w:numId="2">
    <w:abstractNumId w:val="71"/>
  </w:num>
  <w:num w:numId="3">
    <w:abstractNumId w:val="32"/>
  </w:num>
  <w:num w:numId="4">
    <w:abstractNumId w:val="66"/>
  </w:num>
  <w:num w:numId="5">
    <w:abstractNumId w:val="59"/>
  </w:num>
  <w:num w:numId="6">
    <w:abstractNumId w:val="50"/>
  </w:num>
  <w:num w:numId="7">
    <w:abstractNumId w:val="37"/>
  </w:num>
  <w:num w:numId="8">
    <w:abstractNumId w:val="29"/>
  </w:num>
  <w:num w:numId="9">
    <w:abstractNumId w:val="39"/>
  </w:num>
  <w:num w:numId="10">
    <w:abstractNumId w:val="56"/>
  </w:num>
  <w:num w:numId="11">
    <w:abstractNumId w:val="69"/>
  </w:num>
  <w:num w:numId="12">
    <w:abstractNumId w:val="44"/>
  </w:num>
  <w:num w:numId="13">
    <w:abstractNumId w:val="49"/>
  </w:num>
  <w:num w:numId="14">
    <w:abstractNumId w:val="35"/>
  </w:num>
  <w:num w:numId="15">
    <w:abstractNumId w:val="60"/>
  </w:num>
  <w:num w:numId="16">
    <w:abstractNumId w:val="64"/>
  </w:num>
  <w:num w:numId="17">
    <w:abstractNumId w:val="57"/>
  </w:num>
  <w:num w:numId="18">
    <w:abstractNumId w:val="73"/>
  </w:num>
  <w:num w:numId="19">
    <w:abstractNumId w:val="54"/>
  </w:num>
  <w:num w:numId="20">
    <w:abstractNumId w:val="27"/>
  </w:num>
  <w:num w:numId="21">
    <w:abstractNumId w:val="43"/>
  </w:num>
  <w:num w:numId="22">
    <w:abstractNumId w:val="75"/>
  </w:num>
  <w:num w:numId="23">
    <w:abstractNumId w:val="63"/>
  </w:num>
  <w:num w:numId="24">
    <w:abstractNumId w:val="33"/>
  </w:num>
  <w:num w:numId="25">
    <w:abstractNumId w:val="70"/>
  </w:num>
  <w:num w:numId="26">
    <w:abstractNumId w:val="72"/>
  </w:num>
  <w:num w:numId="27">
    <w:abstractNumId w:val="28"/>
  </w:num>
  <w:num w:numId="28">
    <w:abstractNumId w:val="30"/>
  </w:num>
  <w:num w:numId="29">
    <w:abstractNumId w:val="51"/>
  </w:num>
  <w:num w:numId="30">
    <w:abstractNumId w:val="67"/>
  </w:num>
  <w:num w:numId="31">
    <w:abstractNumId w:val="65"/>
  </w:num>
  <w:num w:numId="32">
    <w:abstractNumId w:val="25"/>
  </w:num>
  <w:num w:numId="33">
    <w:abstractNumId w:val="62"/>
  </w:num>
  <w:num w:numId="34">
    <w:abstractNumId w:val="46"/>
  </w:num>
  <w:num w:numId="35">
    <w:abstractNumId w:val="13"/>
  </w:num>
  <w:num w:numId="36">
    <w:abstractNumId w:val="21"/>
  </w:num>
  <w:num w:numId="37">
    <w:abstractNumId w:val="45"/>
  </w:num>
  <w:num w:numId="38">
    <w:abstractNumId w:val="10"/>
  </w:num>
  <w:num w:numId="39">
    <w:abstractNumId w:val="7"/>
  </w:num>
  <w:num w:numId="40">
    <w:abstractNumId w:val="22"/>
  </w:num>
  <w:num w:numId="41">
    <w:abstractNumId w:val="34"/>
  </w:num>
  <w:num w:numId="42">
    <w:abstractNumId w:val="48"/>
  </w:num>
  <w:num w:numId="43">
    <w:abstractNumId w:val="17"/>
  </w:num>
  <w:num w:numId="44">
    <w:abstractNumId w:val="68"/>
  </w:num>
  <w:num w:numId="45">
    <w:abstractNumId w:val="55"/>
  </w:num>
  <w:num w:numId="46">
    <w:abstractNumId w:val="4"/>
  </w:num>
  <w:num w:numId="47">
    <w:abstractNumId w:val="14"/>
  </w:num>
  <w:num w:numId="48">
    <w:abstractNumId w:val="9"/>
  </w:num>
  <w:num w:numId="49">
    <w:abstractNumId w:val="42"/>
  </w:num>
  <w:num w:numId="50">
    <w:abstractNumId w:val="52"/>
  </w:num>
  <w:num w:numId="51">
    <w:abstractNumId w:val="8"/>
  </w:num>
  <w:num w:numId="52">
    <w:abstractNumId w:val="5"/>
  </w:num>
  <w:num w:numId="53">
    <w:abstractNumId w:val="31"/>
  </w:num>
  <w:num w:numId="54">
    <w:abstractNumId w:val="19"/>
  </w:num>
  <w:num w:numId="55">
    <w:abstractNumId w:val="24"/>
  </w:num>
  <w:num w:numId="56">
    <w:abstractNumId w:val="41"/>
  </w:num>
  <w:num w:numId="57">
    <w:abstractNumId w:val="47"/>
  </w:num>
  <w:num w:numId="58">
    <w:abstractNumId w:val="11"/>
  </w:num>
  <w:num w:numId="59">
    <w:abstractNumId w:val="15"/>
  </w:num>
  <w:num w:numId="6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2"/>
  </w:num>
  <w:num w:numId="6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1"/>
  </w:num>
  <w:num w:numId="6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0"/>
  </w:num>
  <w:num w:numId="67">
    <w:abstractNumId w:val="16"/>
  </w:num>
  <w:num w:numId="68">
    <w:abstractNumId w:val="38"/>
  </w:num>
  <w:num w:numId="6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8"/>
  </w:num>
  <w:num w:numId="72">
    <w:abstractNumId w:val="76"/>
  </w:num>
  <w:num w:numId="73">
    <w:abstractNumId w:val="74"/>
  </w:num>
  <w:num w:numId="74">
    <w:abstractNumId w:val="40"/>
  </w:num>
  <w:num w:numId="75">
    <w:abstractNumId w:val="1"/>
  </w:num>
  <w:num w:numId="76">
    <w:abstractNumId w:val="3"/>
  </w:num>
  <w:num w:numId="77">
    <w:abstractNumId w:val="6"/>
  </w:num>
  <w:num w:numId="78">
    <w:abstractNumId w:val="23"/>
  </w:num>
  <w:num w:numId="79">
    <w:abstractNumId w:val="36"/>
  </w:num>
  <w:num w:numId="80">
    <w:abstractNumId w:val="5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attachedTemplate r:id="rId1"/>
  <w:documentProtection w:edit="forms" w:enforcement="1" w:cryptProviderType="rsaAES" w:cryptAlgorithmClass="hash" w:cryptAlgorithmType="typeAny" w:cryptAlgorithmSid="14" w:cryptSpinCount="100000" w:hash="Cl8PbLyBst3CCq/H2s8YgZMSid9ml+WG7oL1uZNFYKZDNEH2ked1OFbaeXgDyI+BXGJnSqLePsh/rpAbQ8l4og==" w:salt="NzF2+XZhcjTpKGf2+rIVSw=="/>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ADA"/>
    <w:rsid w:val="0000040A"/>
    <w:rsid w:val="00000A94"/>
    <w:rsid w:val="00000B60"/>
    <w:rsid w:val="00001972"/>
    <w:rsid w:val="00001D9A"/>
    <w:rsid w:val="00007A59"/>
    <w:rsid w:val="00007B3A"/>
    <w:rsid w:val="000107E0"/>
    <w:rsid w:val="00011FDE"/>
    <w:rsid w:val="00012FFD"/>
    <w:rsid w:val="00014162"/>
    <w:rsid w:val="00014340"/>
    <w:rsid w:val="00016A9C"/>
    <w:rsid w:val="00021B1A"/>
    <w:rsid w:val="00022184"/>
    <w:rsid w:val="00022762"/>
    <w:rsid w:val="000238E0"/>
    <w:rsid w:val="000249DB"/>
    <w:rsid w:val="0002595E"/>
    <w:rsid w:val="000303C3"/>
    <w:rsid w:val="000331D3"/>
    <w:rsid w:val="000341F8"/>
    <w:rsid w:val="000346A5"/>
    <w:rsid w:val="000359C3"/>
    <w:rsid w:val="00035A7D"/>
    <w:rsid w:val="000365ED"/>
    <w:rsid w:val="00036A67"/>
    <w:rsid w:val="0004249A"/>
    <w:rsid w:val="00043282"/>
    <w:rsid w:val="00043481"/>
    <w:rsid w:val="00044286"/>
    <w:rsid w:val="00047F28"/>
    <w:rsid w:val="000503AA"/>
    <w:rsid w:val="000506A1"/>
    <w:rsid w:val="000515DD"/>
    <w:rsid w:val="00051653"/>
    <w:rsid w:val="0005265A"/>
    <w:rsid w:val="000539DD"/>
    <w:rsid w:val="00053BD3"/>
    <w:rsid w:val="000556ED"/>
    <w:rsid w:val="00055FE2"/>
    <w:rsid w:val="0005616F"/>
    <w:rsid w:val="00060C2E"/>
    <w:rsid w:val="00061033"/>
    <w:rsid w:val="000619E9"/>
    <w:rsid w:val="00061E5D"/>
    <w:rsid w:val="000622D4"/>
    <w:rsid w:val="0006357D"/>
    <w:rsid w:val="00067F1E"/>
    <w:rsid w:val="00071CC0"/>
    <w:rsid w:val="00071CFC"/>
    <w:rsid w:val="00072190"/>
    <w:rsid w:val="00073C8C"/>
    <w:rsid w:val="00077B64"/>
    <w:rsid w:val="00080A1C"/>
    <w:rsid w:val="00082317"/>
    <w:rsid w:val="00083D2C"/>
    <w:rsid w:val="00084CE6"/>
    <w:rsid w:val="00086AA1"/>
    <w:rsid w:val="00087A77"/>
    <w:rsid w:val="0009018D"/>
    <w:rsid w:val="00090CA6"/>
    <w:rsid w:val="00092B8A"/>
    <w:rsid w:val="00092FB0"/>
    <w:rsid w:val="000934C5"/>
    <w:rsid w:val="00093D25"/>
    <w:rsid w:val="00093DAB"/>
    <w:rsid w:val="00094D73"/>
    <w:rsid w:val="00096D63"/>
    <w:rsid w:val="000A0B60"/>
    <w:rsid w:val="000A0EB8"/>
    <w:rsid w:val="000A19FC"/>
    <w:rsid w:val="000A296B"/>
    <w:rsid w:val="000A528A"/>
    <w:rsid w:val="000A7311"/>
    <w:rsid w:val="000B060F"/>
    <w:rsid w:val="000B1592"/>
    <w:rsid w:val="000B1FF2"/>
    <w:rsid w:val="000B3CDA"/>
    <w:rsid w:val="000B3F18"/>
    <w:rsid w:val="000B4244"/>
    <w:rsid w:val="000B6A0B"/>
    <w:rsid w:val="000C0F6C"/>
    <w:rsid w:val="000C11DB"/>
    <w:rsid w:val="000C1492"/>
    <w:rsid w:val="000C2FBD"/>
    <w:rsid w:val="000C4B41"/>
    <w:rsid w:val="000C4E02"/>
    <w:rsid w:val="000C57D6"/>
    <w:rsid w:val="000C6362"/>
    <w:rsid w:val="000C7666"/>
    <w:rsid w:val="000D0A9C"/>
    <w:rsid w:val="000D1795"/>
    <w:rsid w:val="000D329A"/>
    <w:rsid w:val="000D4B9C"/>
    <w:rsid w:val="000D4EB6"/>
    <w:rsid w:val="000D6C87"/>
    <w:rsid w:val="000D753B"/>
    <w:rsid w:val="000E4C9E"/>
    <w:rsid w:val="000E53D2"/>
    <w:rsid w:val="000E6D04"/>
    <w:rsid w:val="000E6FD7"/>
    <w:rsid w:val="000E7144"/>
    <w:rsid w:val="000F06E1"/>
    <w:rsid w:val="000F0E3C"/>
    <w:rsid w:val="000F19D5"/>
    <w:rsid w:val="000F4050"/>
    <w:rsid w:val="000F45AE"/>
    <w:rsid w:val="000F4AEA"/>
    <w:rsid w:val="000F5707"/>
    <w:rsid w:val="000F67E9"/>
    <w:rsid w:val="00100609"/>
    <w:rsid w:val="00103DB2"/>
    <w:rsid w:val="00104926"/>
    <w:rsid w:val="0011273D"/>
    <w:rsid w:val="00113B1E"/>
    <w:rsid w:val="0011711C"/>
    <w:rsid w:val="00124E4F"/>
    <w:rsid w:val="001260B7"/>
    <w:rsid w:val="001265CB"/>
    <w:rsid w:val="001321C6"/>
    <w:rsid w:val="001325C4"/>
    <w:rsid w:val="00133010"/>
    <w:rsid w:val="001338EE"/>
    <w:rsid w:val="00133AAE"/>
    <w:rsid w:val="00134703"/>
    <w:rsid w:val="00135323"/>
    <w:rsid w:val="001356C4"/>
    <w:rsid w:val="00137565"/>
    <w:rsid w:val="00141114"/>
    <w:rsid w:val="001428BD"/>
    <w:rsid w:val="00142969"/>
    <w:rsid w:val="001446C2"/>
    <w:rsid w:val="001448A7"/>
    <w:rsid w:val="001457E7"/>
    <w:rsid w:val="00145D9D"/>
    <w:rsid w:val="00146038"/>
    <w:rsid w:val="00146388"/>
    <w:rsid w:val="001529E5"/>
    <w:rsid w:val="00152FB3"/>
    <w:rsid w:val="00153C7E"/>
    <w:rsid w:val="001540A2"/>
    <w:rsid w:val="00156B25"/>
    <w:rsid w:val="00156E1A"/>
    <w:rsid w:val="00157894"/>
    <w:rsid w:val="00157B55"/>
    <w:rsid w:val="0016275C"/>
    <w:rsid w:val="001641CB"/>
    <w:rsid w:val="001642FA"/>
    <w:rsid w:val="001649EB"/>
    <w:rsid w:val="00164BAF"/>
    <w:rsid w:val="00164FA8"/>
    <w:rsid w:val="00165065"/>
    <w:rsid w:val="00165434"/>
    <w:rsid w:val="0016580B"/>
    <w:rsid w:val="00165F49"/>
    <w:rsid w:val="00166B88"/>
    <w:rsid w:val="0016770A"/>
    <w:rsid w:val="00170804"/>
    <w:rsid w:val="001708E9"/>
    <w:rsid w:val="001709E9"/>
    <w:rsid w:val="00171B97"/>
    <w:rsid w:val="0017340B"/>
    <w:rsid w:val="00173FB1"/>
    <w:rsid w:val="00176BAD"/>
    <w:rsid w:val="00176DFD"/>
    <w:rsid w:val="001852C9"/>
    <w:rsid w:val="00187A0B"/>
    <w:rsid w:val="00190087"/>
    <w:rsid w:val="001913C4"/>
    <w:rsid w:val="0019348F"/>
    <w:rsid w:val="00193A07"/>
    <w:rsid w:val="00194C95"/>
    <w:rsid w:val="00195C34"/>
    <w:rsid w:val="00196EF5"/>
    <w:rsid w:val="001978E9"/>
    <w:rsid w:val="001A1A53"/>
    <w:rsid w:val="001A234A"/>
    <w:rsid w:val="001A4CF3"/>
    <w:rsid w:val="001A5DE6"/>
    <w:rsid w:val="001A6696"/>
    <w:rsid w:val="001B06E8"/>
    <w:rsid w:val="001B3176"/>
    <w:rsid w:val="001B71D0"/>
    <w:rsid w:val="001B71EE"/>
    <w:rsid w:val="001C04A8"/>
    <w:rsid w:val="001C1D99"/>
    <w:rsid w:val="001C2C03"/>
    <w:rsid w:val="001C34B7"/>
    <w:rsid w:val="001C42F7"/>
    <w:rsid w:val="001C4895"/>
    <w:rsid w:val="001C49E5"/>
    <w:rsid w:val="001C680C"/>
    <w:rsid w:val="001C6E49"/>
    <w:rsid w:val="001C72B0"/>
    <w:rsid w:val="001C7756"/>
    <w:rsid w:val="001C7FEA"/>
    <w:rsid w:val="001D0499"/>
    <w:rsid w:val="001D0BBE"/>
    <w:rsid w:val="001D0ED4"/>
    <w:rsid w:val="001D212F"/>
    <w:rsid w:val="001D29D7"/>
    <w:rsid w:val="001D2DE7"/>
    <w:rsid w:val="001D411C"/>
    <w:rsid w:val="001E1B6A"/>
    <w:rsid w:val="001E2484"/>
    <w:rsid w:val="001E3CC4"/>
    <w:rsid w:val="001E40E4"/>
    <w:rsid w:val="001E4882"/>
    <w:rsid w:val="001E59F5"/>
    <w:rsid w:val="001E73AB"/>
    <w:rsid w:val="001E74A4"/>
    <w:rsid w:val="001F092D"/>
    <w:rsid w:val="001F143A"/>
    <w:rsid w:val="001F1605"/>
    <w:rsid w:val="001F2508"/>
    <w:rsid w:val="001F4816"/>
    <w:rsid w:val="001F6386"/>
    <w:rsid w:val="001F69B4"/>
    <w:rsid w:val="001F77C7"/>
    <w:rsid w:val="00200183"/>
    <w:rsid w:val="002001CE"/>
    <w:rsid w:val="00200333"/>
    <w:rsid w:val="0020107D"/>
    <w:rsid w:val="00202AA4"/>
    <w:rsid w:val="002031F7"/>
    <w:rsid w:val="002040E6"/>
    <w:rsid w:val="0020527B"/>
    <w:rsid w:val="00205F2C"/>
    <w:rsid w:val="002076FA"/>
    <w:rsid w:val="00210B15"/>
    <w:rsid w:val="002142EA"/>
    <w:rsid w:val="00215ADD"/>
    <w:rsid w:val="0022017E"/>
    <w:rsid w:val="002204BB"/>
    <w:rsid w:val="00221B79"/>
    <w:rsid w:val="00221C6B"/>
    <w:rsid w:val="00222300"/>
    <w:rsid w:val="002253A1"/>
    <w:rsid w:val="00225CF8"/>
    <w:rsid w:val="0022794E"/>
    <w:rsid w:val="002302AE"/>
    <w:rsid w:val="00233D64"/>
    <w:rsid w:val="0023482A"/>
    <w:rsid w:val="002359CB"/>
    <w:rsid w:val="002416E0"/>
    <w:rsid w:val="00241AA6"/>
    <w:rsid w:val="00243540"/>
    <w:rsid w:val="00244672"/>
    <w:rsid w:val="0024497B"/>
    <w:rsid w:val="0024515B"/>
    <w:rsid w:val="00246021"/>
    <w:rsid w:val="0024666E"/>
    <w:rsid w:val="00247F52"/>
    <w:rsid w:val="00250683"/>
    <w:rsid w:val="00250B25"/>
    <w:rsid w:val="00250BBE"/>
    <w:rsid w:val="00250BE9"/>
    <w:rsid w:val="00250E38"/>
    <w:rsid w:val="002515C2"/>
    <w:rsid w:val="0025194F"/>
    <w:rsid w:val="0026148A"/>
    <w:rsid w:val="00262696"/>
    <w:rsid w:val="00263D25"/>
    <w:rsid w:val="002643C3"/>
    <w:rsid w:val="00264A0C"/>
    <w:rsid w:val="00265992"/>
    <w:rsid w:val="00266462"/>
    <w:rsid w:val="00266EEB"/>
    <w:rsid w:val="00267EF4"/>
    <w:rsid w:val="00270CB8"/>
    <w:rsid w:val="00272B08"/>
    <w:rsid w:val="00275EDF"/>
    <w:rsid w:val="00281BB8"/>
    <w:rsid w:val="00281E9E"/>
    <w:rsid w:val="00282405"/>
    <w:rsid w:val="00285170"/>
    <w:rsid w:val="00285361"/>
    <w:rsid w:val="00291CB7"/>
    <w:rsid w:val="00292D60"/>
    <w:rsid w:val="00293B30"/>
    <w:rsid w:val="00294D34"/>
    <w:rsid w:val="00294E3B"/>
    <w:rsid w:val="0029529D"/>
    <w:rsid w:val="00296193"/>
    <w:rsid w:val="00296C66"/>
    <w:rsid w:val="00296EBE"/>
    <w:rsid w:val="002974E3"/>
    <w:rsid w:val="002A084B"/>
    <w:rsid w:val="002A1260"/>
    <w:rsid w:val="002A1589"/>
    <w:rsid w:val="002A1608"/>
    <w:rsid w:val="002A1D70"/>
    <w:rsid w:val="002A25DC"/>
    <w:rsid w:val="002A3AAB"/>
    <w:rsid w:val="002A4CEA"/>
    <w:rsid w:val="002A5977"/>
    <w:rsid w:val="002A5A13"/>
    <w:rsid w:val="002A757F"/>
    <w:rsid w:val="002A7F44"/>
    <w:rsid w:val="002B0C40"/>
    <w:rsid w:val="002B1966"/>
    <w:rsid w:val="002B290E"/>
    <w:rsid w:val="002B32C6"/>
    <w:rsid w:val="002B3EF3"/>
    <w:rsid w:val="002B4508"/>
    <w:rsid w:val="002B5779"/>
    <w:rsid w:val="002B7332"/>
    <w:rsid w:val="002B7F51"/>
    <w:rsid w:val="002C09E7"/>
    <w:rsid w:val="002C1E06"/>
    <w:rsid w:val="002C3F07"/>
    <w:rsid w:val="002C4601"/>
    <w:rsid w:val="002C47BF"/>
    <w:rsid w:val="002C5278"/>
    <w:rsid w:val="002C52BE"/>
    <w:rsid w:val="002C5692"/>
    <w:rsid w:val="002C6E0A"/>
    <w:rsid w:val="002C7EBB"/>
    <w:rsid w:val="002D06C1"/>
    <w:rsid w:val="002D42B5"/>
    <w:rsid w:val="002D4716"/>
    <w:rsid w:val="002D4F1A"/>
    <w:rsid w:val="002D586F"/>
    <w:rsid w:val="002D6EC6"/>
    <w:rsid w:val="002D79AC"/>
    <w:rsid w:val="002E039D"/>
    <w:rsid w:val="002E24BF"/>
    <w:rsid w:val="002E2593"/>
    <w:rsid w:val="002E4D5A"/>
    <w:rsid w:val="002E6326"/>
    <w:rsid w:val="002F28E3"/>
    <w:rsid w:val="002F30E0"/>
    <w:rsid w:val="002F35E4"/>
    <w:rsid w:val="002F3730"/>
    <w:rsid w:val="002F38E1"/>
    <w:rsid w:val="002F63B0"/>
    <w:rsid w:val="002F7AF6"/>
    <w:rsid w:val="00300E63"/>
    <w:rsid w:val="003025C5"/>
    <w:rsid w:val="00302F5F"/>
    <w:rsid w:val="0030441D"/>
    <w:rsid w:val="00305F71"/>
    <w:rsid w:val="00306063"/>
    <w:rsid w:val="00313B85"/>
    <w:rsid w:val="00314B83"/>
    <w:rsid w:val="00317988"/>
    <w:rsid w:val="003221B4"/>
    <w:rsid w:val="0032258D"/>
    <w:rsid w:val="00322E62"/>
    <w:rsid w:val="0032317C"/>
    <w:rsid w:val="0032333C"/>
    <w:rsid w:val="00324D13"/>
    <w:rsid w:val="00324EDD"/>
    <w:rsid w:val="0032519A"/>
    <w:rsid w:val="003331E4"/>
    <w:rsid w:val="00336C64"/>
    <w:rsid w:val="00337162"/>
    <w:rsid w:val="0034194F"/>
    <w:rsid w:val="00344605"/>
    <w:rsid w:val="0034551B"/>
    <w:rsid w:val="00345D09"/>
    <w:rsid w:val="003474AA"/>
    <w:rsid w:val="00350D1D"/>
    <w:rsid w:val="00352C83"/>
    <w:rsid w:val="00352F1A"/>
    <w:rsid w:val="00353B3C"/>
    <w:rsid w:val="00355C1E"/>
    <w:rsid w:val="00357162"/>
    <w:rsid w:val="0036107C"/>
    <w:rsid w:val="003615D2"/>
    <w:rsid w:val="00363BD1"/>
    <w:rsid w:val="0036429C"/>
    <w:rsid w:val="00364A53"/>
    <w:rsid w:val="003654CB"/>
    <w:rsid w:val="00365AA9"/>
    <w:rsid w:val="00365F86"/>
    <w:rsid w:val="00365F87"/>
    <w:rsid w:val="00366E89"/>
    <w:rsid w:val="003705F4"/>
    <w:rsid w:val="00370D58"/>
    <w:rsid w:val="00371316"/>
    <w:rsid w:val="00372133"/>
    <w:rsid w:val="0037296F"/>
    <w:rsid w:val="00376713"/>
    <w:rsid w:val="00381815"/>
    <w:rsid w:val="003819AF"/>
    <w:rsid w:val="003820E9"/>
    <w:rsid w:val="003824D6"/>
    <w:rsid w:val="00382DE7"/>
    <w:rsid w:val="00384FFC"/>
    <w:rsid w:val="003872FC"/>
    <w:rsid w:val="00387ADC"/>
    <w:rsid w:val="00390020"/>
    <w:rsid w:val="003903D6"/>
    <w:rsid w:val="00390EE6"/>
    <w:rsid w:val="0039118F"/>
    <w:rsid w:val="00392151"/>
    <w:rsid w:val="00392AD7"/>
    <w:rsid w:val="00393784"/>
    <w:rsid w:val="003938D9"/>
    <w:rsid w:val="00394376"/>
    <w:rsid w:val="003943FF"/>
    <w:rsid w:val="00394995"/>
    <w:rsid w:val="003974EB"/>
    <w:rsid w:val="00397CC5"/>
    <w:rsid w:val="003A11D1"/>
    <w:rsid w:val="003A1582"/>
    <w:rsid w:val="003A1D2F"/>
    <w:rsid w:val="003A3D9C"/>
    <w:rsid w:val="003A4077"/>
    <w:rsid w:val="003A417C"/>
    <w:rsid w:val="003A4AA7"/>
    <w:rsid w:val="003B09AD"/>
    <w:rsid w:val="003B1F18"/>
    <w:rsid w:val="003B3891"/>
    <w:rsid w:val="003B5BF0"/>
    <w:rsid w:val="003B60BF"/>
    <w:rsid w:val="003B6BE3"/>
    <w:rsid w:val="003C010C"/>
    <w:rsid w:val="003C0A6C"/>
    <w:rsid w:val="003C14F8"/>
    <w:rsid w:val="003C5A43"/>
    <w:rsid w:val="003D0519"/>
    <w:rsid w:val="003D0FF6"/>
    <w:rsid w:val="003D1C94"/>
    <w:rsid w:val="003D262C"/>
    <w:rsid w:val="003D6D61"/>
    <w:rsid w:val="003D7F31"/>
    <w:rsid w:val="003E019F"/>
    <w:rsid w:val="003E091D"/>
    <w:rsid w:val="003E1C53"/>
    <w:rsid w:val="003E2A69"/>
    <w:rsid w:val="003E2D49"/>
    <w:rsid w:val="003E2FD4"/>
    <w:rsid w:val="003E49F6"/>
    <w:rsid w:val="003E660F"/>
    <w:rsid w:val="003F0841"/>
    <w:rsid w:val="003F23D3"/>
    <w:rsid w:val="003F2E78"/>
    <w:rsid w:val="003F385E"/>
    <w:rsid w:val="003F3F08"/>
    <w:rsid w:val="003F49F1"/>
    <w:rsid w:val="003F6272"/>
    <w:rsid w:val="003F75AD"/>
    <w:rsid w:val="00400E72"/>
    <w:rsid w:val="00401400"/>
    <w:rsid w:val="00404869"/>
    <w:rsid w:val="00405884"/>
    <w:rsid w:val="00407D39"/>
    <w:rsid w:val="0041477A"/>
    <w:rsid w:val="004167A3"/>
    <w:rsid w:val="00431225"/>
    <w:rsid w:val="00432DAA"/>
    <w:rsid w:val="00434305"/>
    <w:rsid w:val="00435DF7"/>
    <w:rsid w:val="0043678F"/>
    <w:rsid w:val="0043741A"/>
    <w:rsid w:val="0044083F"/>
    <w:rsid w:val="00441AE7"/>
    <w:rsid w:val="00445574"/>
    <w:rsid w:val="00446786"/>
    <w:rsid w:val="004467FB"/>
    <w:rsid w:val="0045093C"/>
    <w:rsid w:val="004518E4"/>
    <w:rsid w:val="00452D6B"/>
    <w:rsid w:val="00454484"/>
    <w:rsid w:val="0045517B"/>
    <w:rsid w:val="00463495"/>
    <w:rsid w:val="004637FA"/>
    <w:rsid w:val="00463B77"/>
    <w:rsid w:val="00463C7B"/>
    <w:rsid w:val="004644A6"/>
    <w:rsid w:val="004659BD"/>
    <w:rsid w:val="00466534"/>
    <w:rsid w:val="00470775"/>
    <w:rsid w:val="00470AA9"/>
    <w:rsid w:val="0047242B"/>
    <w:rsid w:val="00473E58"/>
    <w:rsid w:val="004746B1"/>
    <w:rsid w:val="0047583F"/>
    <w:rsid w:val="00475DE8"/>
    <w:rsid w:val="004811DB"/>
    <w:rsid w:val="00481C44"/>
    <w:rsid w:val="00482FA9"/>
    <w:rsid w:val="00484936"/>
    <w:rsid w:val="00485C89"/>
    <w:rsid w:val="00486BE3"/>
    <w:rsid w:val="004905E4"/>
    <w:rsid w:val="00490A89"/>
    <w:rsid w:val="00490AB4"/>
    <w:rsid w:val="00492F02"/>
    <w:rsid w:val="004939AE"/>
    <w:rsid w:val="004A12DF"/>
    <w:rsid w:val="004A1BA8"/>
    <w:rsid w:val="004A4B57"/>
    <w:rsid w:val="004A4F56"/>
    <w:rsid w:val="004A63FA"/>
    <w:rsid w:val="004A6A3D"/>
    <w:rsid w:val="004B0272"/>
    <w:rsid w:val="004B2701"/>
    <w:rsid w:val="004B2E1B"/>
    <w:rsid w:val="004B3AA8"/>
    <w:rsid w:val="004B3E93"/>
    <w:rsid w:val="004B745A"/>
    <w:rsid w:val="004B7773"/>
    <w:rsid w:val="004C1FBC"/>
    <w:rsid w:val="004C25A2"/>
    <w:rsid w:val="004C3F1D"/>
    <w:rsid w:val="004C458D"/>
    <w:rsid w:val="004C7556"/>
    <w:rsid w:val="004C7E8B"/>
    <w:rsid w:val="004C7E9D"/>
    <w:rsid w:val="004C7F67"/>
    <w:rsid w:val="004D076D"/>
    <w:rsid w:val="004D0EF1"/>
    <w:rsid w:val="004D2253"/>
    <w:rsid w:val="004D4406"/>
    <w:rsid w:val="004D6923"/>
    <w:rsid w:val="004D7C42"/>
    <w:rsid w:val="004E0465"/>
    <w:rsid w:val="004E0616"/>
    <w:rsid w:val="004E127B"/>
    <w:rsid w:val="004E1C0A"/>
    <w:rsid w:val="004E30C5"/>
    <w:rsid w:val="004E4AA5"/>
    <w:rsid w:val="004E4AEE"/>
    <w:rsid w:val="004E5360"/>
    <w:rsid w:val="004E59E3"/>
    <w:rsid w:val="004E67C0"/>
    <w:rsid w:val="004F391A"/>
    <w:rsid w:val="004F3CFB"/>
    <w:rsid w:val="004F55A0"/>
    <w:rsid w:val="004F6456"/>
    <w:rsid w:val="004F696E"/>
    <w:rsid w:val="004F6C71"/>
    <w:rsid w:val="00501139"/>
    <w:rsid w:val="0050363E"/>
    <w:rsid w:val="005039BC"/>
    <w:rsid w:val="005043BB"/>
    <w:rsid w:val="00504A3D"/>
    <w:rsid w:val="00504D25"/>
    <w:rsid w:val="00505767"/>
    <w:rsid w:val="005073F0"/>
    <w:rsid w:val="0050746A"/>
    <w:rsid w:val="00510A7B"/>
    <w:rsid w:val="00512F6E"/>
    <w:rsid w:val="00513038"/>
    <w:rsid w:val="00514174"/>
    <w:rsid w:val="00516088"/>
    <w:rsid w:val="00516B0B"/>
    <w:rsid w:val="00516DFF"/>
    <w:rsid w:val="005220EC"/>
    <w:rsid w:val="00523F95"/>
    <w:rsid w:val="00524D65"/>
    <w:rsid w:val="00525B16"/>
    <w:rsid w:val="00533D04"/>
    <w:rsid w:val="00534804"/>
    <w:rsid w:val="00534BDF"/>
    <w:rsid w:val="005354EA"/>
    <w:rsid w:val="0053585F"/>
    <w:rsid w:val="00535EC4"/>
    <w:rsid w:val="00535ED9"/>
    <w:rsid w:val="0053692B"/>
    <w:rsid w:val="00537204"/>
    <w:rsid w:val="00540623"/>
    <w:rsid w:val="00541427"/>
    <w:rsid w:val="00541772"/>
    <w:rsid w:val="00541853"/>
    <w:rsid w:val="0054292E"/>
    <w:rsid w:val="00543BDA"/>
    <w:rsid w:val="005441CC"/>
    <w:rsid w:val="005479DA"/>
    <w:rsid w:val="00547BCC"/>
    <w:rsid w:val="0055013B"/>
    <w:rsid w:val="00551F6F"/>
    <w:rsid w:val="0055245E"/>
    <w:rsid w:val="00555044"/>
    <w:rsid w:val="00555A64"/>
    <w:rsid w:val="0055649E"/>
    <w:rsid w:val="00561475"/>
    <w:rsid w:val="00562308"/>
    <w:rsid w:val="005641D2"/>
    <w:rsid w:val="0056487B"/>
    <w:rsid w:val="00564FB9"/>
    <w:rsid w:val="0056764B"/>
    <w:rsid w:val="00570938"/>
    <w:rsid w:val="00571413"/>
    <w:rsid w:val="00573D9E"/>
    <w:rsid w:val="00575A01"/>
    <w:rsid w:val="005760EA"/>
    <w:rsid w:val="005763B9"/>
    <w:rsid w:val="005801E3"/>
    <w:rsid w:val="00581157"/>
    <w:rsid w:val="00581802"/>
    <w:rsid w:val="005834EE"/>
    <w:rsid w:val="005836A8"/>
    <w:rsid w:val="0058409C"/>
    <w:rsid w:val="00584262"/>
    <w:rsid w:val="00584D5C"/>
    <w:rsid w:val="00586630"/>
    <w:rsid w:val="00587ADD"/>
    <w:rsid w:val="00593A49"/>
    <w:rsid w:val="00595566"/>
    <w:rsid w:val="00596160"/>
    <w:rsid w:val="005966E2"/>
    <w:rsid w:val="00597007"/>
    <w:rsid w:val="005A0966"/>
    <w:rsid w:val="005A11B7"/>
    <w:rsid w:val="005A260B"/>
    <w:rsid w:val="005A4A1B"/>
    <w:rsid w:val="005A68DA"/>
    <w:rsid w:val="005A7830"/>
    <w:rsid w:val="005A7FCE"/>
    <w:rsid w:val="005B0F3F"/>
    <w:rsid w:val="005B191C"/>
    <w:rsid w:val="005B4903"/>
    <w:rsid w:val="005B51CE"/>
    <w:rsid w:val="005B5885"/>
    <w:rsid w:val="005B5CD7"/>
    <w:rsid w:val="005B6CF6"/>
    <w:rsid w:val="005B7422"/>
    <w:rsid w:val="005C29B8"/>
    <w:rsid w:val="005C5F21"/>
    <w:rsid w:val="005C6545"/>
    <w:rsid w:val="005C7156"/>
    <w:rsid w:val="005C7864"/>
    <w:rsid w:val="005D0649"/>
    <w:rsid w:val="005D0C75"/>
    <w:rsid w:val="005D4171"/>
    <w:rsid w:val="005D6A95"/>
    <w:rsid w:val="005D6B2C"/>
    <w:rsid w:val="005D6D9C"/>
    <w:rsid w:val="005E2335"/>
    <w:rsid w:val="005E34CA"/>
    <w:rsid w:val="005E3C18"/>
    <w:rsid w:val="005E4250"/>
    <w:rsid w:val="005E6812"/>
    <w:rsid w:val="005E7881"/>
    <w:rsid w:val="005E78E0"/>
    <w:rsid w:val="005F0D9C"/>
    <w:rsid w:val="005F120C"/>
    <w:rsid w:val="005F284E"/>
    <w:rsid w:val="005F31B2"/>
    <w:rsid w:val="006015CE"/>
    <w:rsid w:val="00604784"/>
    <w:rsid w:val="00606419"/>
    <w:rsid w:val="00606FE9"/>
    <w:rsid w:val="00607D29"/>
    <w:rsid w:val="006108CB"/>
    <w:rsid w:val="00611FEE"/>
    <w:rsid w:val="00612101"/>
    <w:rsid w:val="00612952"/>
    <w:rsid w:val="00614CC1"/>
    <w:rsid w:val="006153E5"/>
    <w:rsid w:val="00615A9D"/>
    <w:rsid w:val="00616CB7"/>
    <w:rsid w:val="00617387"/>
    <w:rsid w:val="006205D6"/>
    <w:rsid w:val="006252D8"/>
    <w:rsid w:val="006259BC"/>
    <w:rsid w:val="0062636B"/>
    <w:rsid w:val="00632182"/>
    <w:rsid w:val="00632AE0"/>
    <w:rsid w:val="00633C17"/>
    <w:rsid w:val="00634D9E"/>
    <w:rsid w:val="00636E3E"/>
    <w:rsid w:val="006379F7"/>
    <w:rsid w:val="00637E4D"/>
    <w:rsid w:val="00640164"/>
    <w:rsid w:val="00640620"/>
    <w:rsid w:val="006406B4"/>
    <w:rsid w:val="00641A1F"/>
    <w:rsid w:val="00642E13"/>
    <w:rsid w:val="00643D8B"/>
    <w:rsid w:val="00645904"/>
    <w:rsid w:val="00645C8C"/>
    <w:rsid w:val="00647CE7"/>
    <w:rsid w:val="00651ACB"/>
    <w:rsid w:val="00651C47"/>
    <w:rsid w:val="00652030"/>
    <w:rsid w:val="00652AB2"/>
    <w:rsid w:val="00652F01"/>
    <w:rsid w:val="00653FED"/>
    <w:rsid w:val="00654EC0"/>
    <w:rsid w:val="0065525B"/>
    <w:rsid w:val="00655D4F"/>
    <w:rsid w:val="00656D29"/>
    <w:rsid w:val="006640E5"/>
    <w:rsid w:val="006646F1"/>
    <w:rsid w:val="00664929"/>
    <w:rsid w:val="00664F62"/>
    <w:rsid w:val="006655E1"/>
    <w:rsid w:val="00672060"/>
    <w:rsid w:val="00672BFD"/>
    <w:rsid w:val="00674FA1"/>
    <w:rsid w:val="006770F4"/>
    <w:rsid w:val="00677A84"/>
    <w:rsid w:val="0068026D"/>
    <w:rsid w:val="00680A27"/>
    <w:rsid w:val="006816A4"/>
    <w:rsid w:val="006819B8"/>
    <w:rsid w:val="006840A6"/>
    <w:rsid w:val="006846CE"/>
    <w:rsid w:val="006850CD"/>
    <w:rsid w:val="00685AAB"/>
    <w:rsid w:val="006904B4"/>
    <w:rsid w:val="00691F05"/>
    <w:rsid w:val="00693785"/>
    <w:rsid w:val="00693962"/>
    <w:rsid w:val="006943B4"/>
    <w:rsid w:val="006A006C"/>
    <w:rsid w:val="006A07AA"/>
    <w:rsid w:val="006A21E5"/>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16C4"/>
    <w:rsid w:val="006D3269"/>
    <w:rsid w:val="006D344C"/>
    <w:rsid w:val="006D3E96"/>
    <w:rsid w:val="006D4515"/>
    <w:rsid w:val="006D4BB1"/>
    <w:rsid w:val="006D6593"/>
    <w:rsid w:val="006E1254"/>
    <w:rsid w:val="006E7BC4"/>
    <w:rsid w:val="006F03A8"/>
    <w:rsid w:val="006F060D"/>
    <w:rsid w:val="006F27CA"/>
    <w:rsid w:val="006F2ACA"/>
    <w:rsid w:val="006F2ADC"/>
    <w:rsid w:val="006F2BFE"/>
    <w:rsid w:val="006F2C8F"/>
    <w:rsid w:val="006F31E9"/>
    <w:rsid w:val="006F5128"/>
    <w:rsid w:val="006F6284"/>
    <w:rsid w:val="006F67A0"/>
    <w:rsid w:val="007002C5"/>
    <w:rsid w:val="00703802"/>
    <w:rsid w:val="00704387"/>
    <w:rsid w:val="00704635"/>
    <w:rsid w:val="00707669"/>
    <w:rsid w:val="00711CBA"/>
    <w:rsid w:val="00711FB5"/>
    <w:rsid w:val="00712A01"/>
    <w:rsid w:val="00714F58"/>
    <w:rsid w:val="0072126C"/>
    <w:rsid w:val="00722FBF"/>
    <w:rsid w:val="00722FC2"/>
    <w:rsid w:val="00724E1B"/>
    <w:rsid w:val="00725949"/>
    <w:rsid w:val="00727FA2"/>
    <w:rsid w:val="007322D9"/>
    <w:rsid w:val="00732BC0"/>
    <w:rsid w:val="0073720F"/>
    <w:rsid w:val="00737796"/>
    <w:rsid w:val="0074165C"/>
    <w:rsid w:val="00742C35"/>
    <w:rsid w:val="007432CA"/>
    <w:rsid w:val="007439EB"/>
    <w:rsid w:val="00743CB4"/>
    <w:rsid w:val="00743F0A"/>
    <w:rsid w:val="00744341"/>
    <w:rsid w:val="007444E8"/>
    <w:rsid w:val="0074548E"/>
    <w:rsid w:val="00745773"/>
    <w:rsid w:val="00746800"/>
    <w:rsid w:val="007472EB"/>
    <w:rsid w:val="007501A8"/>
    <w:rsid w:val="00750D61"/>
    <w:rsid w:val="00750EE1"/>
    <w:rsid w:val="007510C7"/>
    <w:rsid w:val="00752A96"/>
    <w:rsid w:val="00752B4D"/>
    <w:rsid w:val="00755402"/>
    <w:rsid w:val="00756B26"/>
    <w:rsid w:val="00756EDF"/>
    <w:rsid w:val="007600E3"/>
    <w:rsid w:val="0076346B"/>
    <w:rsid w:val="007649EC"/>
    <w:rsid w:val="00765C43"/>
    <w:rsid w:val="00765EFB"/>
    <w:rsid w:val="007671CA"/>
    <w:rsid w:val="00767C61"/>
    <w:rsid w:val="0077008A"/>
    <w:rsid w:val="00773C1F"/>
    <w:rsid w:val="00774DA4"/>
    <w:rsid w:val="00776599"/>
    <w:rsid w:val="0078114B"/>
    <w:rsid w:val="00781DD2"/>
    <w:rsid w:val="00783ECF"/>
    <w:rsid w:val="0078413A"/>
    <w:rsid w:val="0079124D"/>
    <w:rsid w:val="007959E8"/>
    <w:rsid w:val="00795E9C"/>
    <w:rsid w:val="00797F96"/>
    <w:rsid w:val="007A0521"/>
    <w:rsid w:val="007A2352"/>
    <w:rsid w:val="007A2E12"/>
    <w:rsid w:val="007A3475"/>
    <w:rsid w:val="007A41C8"/>
    <w:rsid w:val="007A54CE"/>
    <w:rsid w:val="007A5D3A"/>
    <w:rsid w:val="007A5E0B"/>
    <w:rsid w:val="007A6FD9"/>
    <w:rsid w:val="007A7FFA"/>
    <w:rsid w:val="007B04EB"/>
    <w:rsid w:val="007B0D4F"/>
    <w:rsid w:val="007B3EC2"/>
    <w:rsid w:val="007B4561"/>
    <w:rsid w:val="007B5A3D"/>
    <w:rsid w:val="007B5B95"/>
    <w:rsid w:val="007B6032"/>
    <w:rsid w:val="007B6682"/>
    <w:rsid w:val="007B68EA"/>
    <w:rsid w:val="007B7453"/>
    <w:rsid w:val="007C21F7"/>
    <w:rsid w:val="007C2D89"/>
    <w:rsid w:val="007C4593"/>
    <w:rsid w:val="007C5309"/>
    <w:rsid w:val="007C5B3A"/>
    <w:rsid w:val="007C6069"/>
    <w:rsid w:val="007D06C4"/>
    <w:rsid w:val="007D1352"/>
    <w:rsid w:val="007D2508"/>
    <w:rsid w:val="007D346A"/>
    <w:rsid w:val="007D6518"/>
    <w:rsid w:val="007D76BD"/>
    <w:rsid w:val="007E0BF1"/>
    <w:rsid w:val="007E68E9"/>
    <w:rsid w:val="007F0ED8"/>
    <w:rsid w:val="007F0F63"/>
    <w:rsid w:val="007F2A3D"/>
    <w:rsid w:val="007F5126"/>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64F9"/>
    <w:rsid w:val="00817325"/>
    <w:rsid w:val="008209E6"/>
    <w:rsid w:val="00821D19"/>
    <w:rsid w:val="00823303"/>
    <w:rsid w:val="008233B2"/>
    <w:rsid w:val="00823A9F"/>
    <w:rsid w:val="00823C85"/>
    <w:rsid w:val="00825138"/>
    <w:rsid w:val="00825997"/>
    <w:rsid w:val="008269DD"/>
    <w:rsid w:val="00830621"/>
    <w:rsid w:val="0083348C"/>
    <w:rsid w:val="00834A46"/>
    <w:rsid w:val="008373D3"/>
    <w:rsid w:val="00840617"/>
    <w:rsid w:val="00840F84"/>
    <w:rsid w:val="008416A8"/>
    <w:rsid w:val="00842A47"/>
    <w:rsid w:val="00843C13"/>
    <w:rsid w:val="00843DEF"/>
    <w:rsid w:val="00844611"/>
    <w:rsid w:val="00844AB3"/>
    <w:rsid w:val="008454F8"/>
    <w:rsid w:val="00845636"/>
    <w:rsid w:val="00847185"/>
    <w:rsid w:val="00847780"/>
    <w:rsid w:val="0085173A"/>
    <w:rsid w:val="008603CE"/>
    <w:rsid w:val="0086202F"/>
    <w:rsid w:val="008620FC"/>
    <w:rsid w:val="008627A5"/>
    <w:rsid w:val="00863E05"/>
    <w:rsid w:val="00865ACA"/>
    <w:rsid w:val="00865D28"/>
    <w:rsid w:val="00865F85"/>
    <w:rsid w:val="00867C10"/>
    <w:rsid w:val="00870439"/>
    <w:rsid w:val="00870DA1"/>
    <w:rsid w:val="008742E8"/>
    <w:rsid w:val="00874E71"/>
    <w:rsid w:val="00875719"/>
    <w:rsid w:val="008777D8"/>
    <w:rsid w:val="00883F93"/>
    <w:rsid w:val="00884DB3"/>
    <w:rsid w:val="00885A9D"/>
    <w:rsid w:val="008864F6"/>
    <w:rsid w:val="0089049D"/>
    <w:rsid w:val="008928C9"/>
    <w:rsid w:val="008930CB"/>
    <w:rsid w:val="008938DC"/>
    <w:rsid w:val="00893FD1"/>
    <w:rsid w:val="00894164"/>
    <w:rsid w:val="00894836"/>
    <w:rsid w:val="00895172"/>
    <w:rsid w:val="00895680"/>
    <w:rsid w:val="00896DFF"/>
    <w:rsid w:val="0089762C"/>
    <w:rsid w:val="008A173B"/>
    <w:rsid w:val="008A1893"/>
    <w:rsid w:val="008A3029"/>
    <w:rsid w:val="008A4C73"/>
    <w:rsid w:val="008A57E6"/>
    <w:rsid w:val="008A6AC7"/>
    <w:rsid w:val="008A6F81"/>
    <w:rsid w:val="008A769A"/>
    <w:rsid w:val="008B0C9C"/>
    <w:rsid w:val="008B0FBC"/>
    <w:rsid w:val="008B166D"/>
    <w:rsid w:val="008B17F4"/>
    <w:rsid w:val="008B3615"/>
    <w:rsid w:val="008B4AC4"/>
    <w:rsid w:val="008B50C8"/>
    <w:rsid w:val="008B5281"/>
    <w:rsid w:val="008B7E05"/>
    <w:rsid w:val="008C1797"/>
    <w:rsid w:val="008C219C"/>
    <w:rsid w:val="008C3EDD"/>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2CED"/>
    <w:rsid w:val="008E4BB6"/>
    <w:rsid w:val="008E5518"/>
    <w:rsid w:val="008E6A84"/>
    <w:rsid w:val="008E6C22"/>
    <w:rsid w:val="008F0CDC"/>
    <w:rsid w:val="008F17A3"/>
    <w:rsid w:val="008F1BC3"/>
    <w:rsid w:val="008F1ED3"/>
    <w:rsid w:val="008F34E9"/>
    <w:rsid w:val="008F4C29"/>
    <w:rsid w:val="008F70BD"/>
    <w:rsid w:val="008F788F"/>
    <w:rsid w:val="008F7EA2"/>
    <w:rsid w:val="00902722"/>
    <w:rsid w:val="009027BC"/>
    <w:rsid w:val="00905B04"/>
    <w:rsid w:val="009062E6"/>
    <w:rsid w:val="00911BE5"/>
    <w:rsid w:val="00913CA9"/>
    <w:rsid w:val="009145AE"/>
    <w:rsid w:val="009146CE"/>
    <w:rsid w:val="00914CA7"/>
    <w:rsid w:val="00915C3E"/>
    <w:rsid w:val="009161A8"/>
    <w:rsid w:val="00920C9B"/>
    <w:rsid w:val="009245AE"/>
    <w:rsid w:val="009245F5"/>
    <w:rsid w:val="009249EC"/>
    <w:rsid w:val="009273B3"/>
    <w:rsid w:val="009305B5"/>
    <w:rsid w:val="00936D41"/>
    <w:rsid w:val="009378DD"/>
    <w:rsid w:val="009429D5"/>
    <w:rsid w:val="00942BF1"/>
    <w:rsid w:val="00943B33"/>
    <w:rsid w:val="00944D72"/>
    <w:rsid w:val="00945180"/>
    <w:rsid w:val="00945428"/>
    <w:rsid w:val="0094607B"/>
    <w:rsid w:val="00953604"/>
    <w:rsid w:val="0095496B"/>
    <w:rsid w:val="0095531B"/>
    <w:rsid w:val="009566A3"/>
    <w:rsid w:val="00960F1E"/>
    <w:rsid w:val="009610DC"/>
    <w:rsid w:val="00961490"/>
    <w:rsid w:val="0096381A"/>
    <w:rsid w:val="00965E04"/>
    <w:rsid w:val="009674AD"/>
    <w:rsid w:val="009704A0"/>
    <w:rsid w:val="00970CDC"/>
    <w:rsid w:val="0097357F"/>
    <w:rsid w:val="00973963"/>
    <w:rsid w:val="009745C7"/>
    <w:rsid w:val="0097520D"/>
    <w:rsid w:val="00975727"/>
    <w:rsid w:val="00976827"/>
    <w:rsid w:val="00977010"/>
    <w:rsid w:val="009777A7"/>
    <w:rsid w:val="00977D02"/>
    <w:rsid w:val="00977FF9"/>
    <w:rsid w:val="009809BB"/>
    <w:rsid w:val="0098364B"/>
    <w:rsid w:val="009908A3"/>
    <w:rsid w:val="009911AF"/>
    <w:rsid w:val="00991875"/>
    <w:rsid w:val="00991F92"/>
    <w:rsid w:val="00992985"/>
    <w:rsid w:val="00993889"/>
    <w:rsid w:val="0099551B"/>
    <w:rsid w:val="00996BD2"/>
    <w:rsid w:val="00997BDB"/>
    <w:rsid w:val="00997BF1"/>
    <w:rsid w:val="009A089C"/>
    <w:rsid w:val="009A118E"/>
    <w:rsid w:val="009A21CD"/>
    <w:rsid w:val="009A278C"/>
    <w:rsid w:val="009A2BC2"/>
    <w:rsid w:val="009A42C1"/>
    <w:rsid w:val="009A5429"/>
    <w:rsid w:val="009A72AD"/>
    <w:rsid w:val="009B09E0"/>
    <w:rsid w:val="009B0BC5"/>
    <w:rsid w:val="009B1247"/>
    <w:rsid w:val="009B445C"/>
    <w:rsid w:val="009B6029"/>
    <w:rsid w:val="009B6971"/>
    <w:rsid w:val="009C27F1"/>
    <w:rsid w:val="009C3152"/>
    <w:rsid w:val="009C3257"/>
    <w:rsid w:val="009C4CFA"/>
    <w:rsid w:val="009C5070"/>
    <w:rsid w:val="009C512B"/>
    <w:rsid w:val="009D112C"/>
    <w:rsid w:val="009D1385"/>
    <w:rsid w:val="009D248F"/>
    <w:rsid w:val="009D262D"/>
    <w:rsid w:val="009D47FA"/>
    <w:rsid w:val="009D4C5B"/>
    <w:rsid w:val="009D50D2"/>
    <w:rsid w:val="009D5ADA"/>
    <w:rsid w:val="009D6BCA"/>
    <w:rsid w:val="009E07B6"/>
    <w:rsid w:val="009E0F62"/>
    <w:rsid w:val="009E4A58"/>
    <w:rsid w:val="009E5287"/>
    <w:rsid w:val="009E5A2D"/>
    <w:rsid w:val="009E5AB2"/>
    <w:rsid w:val="009E6219"/>
    <w:rsid w:val="009F03B3"/>
    <w:rsid w:val="009F54E9"/>
    <w:rsid w:val="00A0096C"/>
    <w:rsid w:val="00A01757"/>
    <w:rsid w:val="00A028C0"/>
    <w:rsid w:val="00A02BAE"/>
    <w:rsid w:val="00A06A6B"/>
    <w:rsid w:val="00A07E47"/>
    <w:rsid w:val="00A125C2"/>
    <w:rsid w:val="00A129D0"/>
    <w:rsid w:val="00A12C33"/>
    <w:rsid w:val="00A138BA"/>
    <w:rsid w:val="00A148A1"/>
    <w:rsid w:val="00A14C8E"/>
    <w:rsid w:val="00A153D9"/>
    <w:rsid w:val="00A15F09"/>
    <w:rsid w:val="00A15FF4"/>
    <w:rsid w:val="00A169B6"/>
    <w:rsid w:val="00A20882"/>
    <w:rsid w:val="00A20C4B"/>
    <w:rsid w:val="00A2271D"/>
    <w:rsid w:val="00A237D5"/>
    <w:rsid w:val="00A27E9E"/>
    <w:rsid w:val="00A30EFC"/>
    <w:rsid w:val="00A31214"/>
    <w:rsid w:val="00A31984"/>
    <w:rsid w:val="00A32D73"/>
    <w:rsid w:val="00A3367B"/>
    <w:rsid w:val="00A33C67"/>
    <w:rsid w:val="00A3597D"/>
    <w:rsid w:val="00A36DD1"/>
    <w:rsid w:val="00A37539"/>
    <w:rsid w:val="00A4006C"/>
    <w:rsid w:val="00A40091"/>
    <w:rsid w:val="00A4030F"/>
    <w:rsid w:val="00A41C79"/>
    <w:rsid w:val="00A41CB5"/>
    <w:rsid w:val="00A41D25"/>
    <w:rsid w:val="00A42CDF"/>
    <w:rsid w:val="00A4452E"/>
    <w:rsid w:val="00A4472C"/>
    <w:rsid w:val="00A44E69"/>
    <w:rsid w:val="00A454C6"/>
    <w:rsid w:val="00A4661E"/>
    <w:rsid w:val="00A52528"/>
    <w:rsid w:val="00A544CC"/>
    <w:rsid w:val="00A55BD6"/>
    <w:rsid w:val="00A55D50"/>
    <w:rsid w:val="00A57142"/>
    <w:rsid w:val="00A60A60"/>
    <w:rsid w:val="00A648CD"/>
    <w:rsid w:val="00A6537A"/>
    <w:rsid w:val="00A67866"/>
    <w:rsid w:val="00A70B07"/>
    <w:rsid w:val="00A723F8"/>
    <w:rsid w:val="00A724AC"/>
    <w:rsid w:val="00A77CCB"/>
    <w:rsid w:val="00A83D8D"/>
    <w:rsid w:val="00A8446B"/>
    <w:rsid w:val="00A8473F"/>
    <w:rsid w:val="00A8504A"/>
    <w:rsid w:val="00A862D6"/>
    <w:rsid w:val="00A8715E"/>
    <w:rsid w:val="00A90917"/>
    <w:rsid w:val="00A9295B"/>
    <w:rsid w:val="00A93B09"/>
    <w:rsid w:val="00A952D7"/>
    <w:rsid w:val="00A963F7"/>
    <w:rsid w:val="00A96AD8"/>
    <w:rsid w:val="00AA052C"/>
    <w:rsid w:val="00AA0F1F"/>
    <w:rsid w:val="00AA143F"/>
    <w:rsid w:val="00AA1E45"/>
    <w:rsid w:val="00AA22FA"/>
    <w:rsid w:val="00AA3FC6"/>
    <w:rsid w:val="00AA4286"/>
    <w:rsid w:val="00AA456B"/>
    <w:rsid w:val="00AA57F5"/>
    <w:rsid w:val="00AA672E"/>
    <w:rsid w:val="00AA6EC9"/>
    <w:rsid w:val="00AA7E7D"/>
    <w:rsid w:val="00AB441B"/>
    <w:rsid w:val="00AB5431"/>
    <w:rsid w:val="00AB6309"/>
    <w:rsid w:val="00AB6C5F"/>
    <w:rsid w:val="00AB7129"/>
    <w:rsid w:val="00AB7231"/>
    <w:rsid w:val="00AC27A6"/>
    <w:rsid w:val="00AC30F7"/>
    <w:rsid w:val="00AC3A5A"/>
    <w:rsid w:val="00AC4D95"/>
    <w:rsid w:val="00AC528C"/>
    <w:rsid w:val="00AC5DF4"/>
    <w:rsid w:val="00AD0AEF"/>
    <w:rsid w:val="00AD11B7"/>
    <w:rsid w:val="00AD1495"/>
    <w:rsid w:val="00AD1A94"/>
    <w:rsid w:val="00AD1C05"/>
    <w:rsid w:val="00AD4126"/>
    <w:rsid w:val="00AD421C"/>
    <w:rsid w:val="00AD44FA"/>
    <w:rsid w:val="00AE070A"/>
    <w:rsid w:val="00AE101C"/>
    <w:rsid w:val="00AE1F22"/>
    <w:rsid w:val="00AE2A69"/>
    <w:rsid w:val="00AE37E5"/>
    <w:rsid w:val="00AE5EB4"/>
    <w:rsid w:val="00AF0342"/>
    <w:rsid w:val="00AF0C18"/>
    <w:rsid w:val="00AF46A5"/>
    <w:rsid w:val="00AF47C5"/>
    <w:rsid w:val="00AF4C46"/>
    <w:rsid w:val="00AF5398"/>
    <w:rsid w:val="00AF7EBF"/>
    <w:rsid w:val="00B049AF"/>
    <w:rsid w:val="00B07242"/>
    <w:rsid w:val="00B10534"/>
    <w:rsid w:val="00B113DB"/>
    <w:rsid w:val="00B11D8A"/>
    <w:rsid w:val="00B12981"/>
    <w:rsid w:val="00B147DD"/>
    <w:rsid w:val="00B156FD"/>
    <w:rsid w:val="00B1790F"/>
    <w:rsid w:val="00B21226"/>
    <w:rsid w:val="00B21F61"/>
    <w:rsid w:val="00B261F1"/>
    <w:rsid w:val="00B265BC"/>
    <w:rsid w:val="00B30F73"/>
    <w:rsid w:val="00B31FB1"/>
    <w:rsid w:val="00B33952"/>
    <w:rsid w:val="00B33C5E"/>
    <w:rsid w:val="00B342F4"/>
    <w:rsid w:val="00B34369"/>
    <w:rsid w:val="00B34DC2"/>
    <w:rsid w:val="00B378E5"/>
    <w:rsid w:val="00B41F44"/>
    <w:rsid w:val="00B4346D"/>
    <w:rsid w:val="00B440F4"/>
    <w:rsid w:val="00B447A5"/>
    <w:rsid w:val="00B4654C"/>
    <w:rsid w:val="00B47293"/>
    <w:rsid w:val="00B50E50"/>
    <w:rsid w:val="00B50EBC"/>
    <w:rsid w:val="00B52120"/>
    <w:rsid w:val="00B548D9"/>
    <w:rsid w:val="00B54ABC"/>
    <w:rsid w:val="00B56FBE"/>
    <w:rsid w:val="00B60ACF"/>
    <w:rsid w:val="00B62604"/>
    <w:rsid w:val="00B62B58"/>
    <w:rsid w:val="00B63D1F"/>
    <w:rsid w:val="00B65149"/>
    <w:rsid w:val="00B66567"/>
    <w:rsid w:val="00B66F52"/>
    <w:rsid w:val="00B66FE5"/>
    <w:rsid w:val="00B6765E"/>
    <w:rsid w:val="00B72880"/>
    <w:rsid w:val="00B758BF"/>
    <w:rsid w:val="00B77EC8"/>
    <w:rsid w:val="00B77F3F"/>
    <w:rsid w:val="00B827A6"/>
    <w:rsid w:val="00B831CE"/>
    <w:rsid w:val="00B86677"/>
    <w:rsid w:val="00B87131"/>
    <w:rsid w:val="00B939B1"/>
    <w:rsid w:val="00B96D40"/>
    <w:rsid w:val="00B97386"/>
    <w:rsid w:val="00BA263B"/>
    <w:rsid w:val="00BA42B2"/>
    <w:rsid w:val="00BA58D4"/>
    <w:rsid w:val="00BA5B9E"/>
    <w:rsid w:val="00BA6AC8"/>
    <w:rsid w:val="00BA7C9A"/>
    <w:rsid w:val="00BB5AB7"/>
    <w:rsid w:val="00BB5F8F"/>
    <w:rsid w:val="00BB657A"/>
    <w:rsid w:val="00BC04E7"/>
    <w:rsid w:val="00BC1A4E"/>
    <w:rsid w:val="00BC5DC7"/>
    <w:rsid w:val="00BC6B8B"/>
    <w:rsid w:val="00BC73D8"/>
    <w:rsid w:val="00BD1DAA"/>
    <w:rsid w:val="00BD52D7"/>
    <w:rsid w:val="00BD5AD2"/>
    <w:rsid w:val="00BE22F3"/>
    <w:rsid w:val="00BE5B52"/>
    <w:rsid w:val="00BE7B8D"/>
    <w:rsid w:val="00BE7DF1"/>
    <w:rsid w:val="00BF0993"/>
    <w:rsid w:val="00BF10A9"/>
    <w:rsid w:val="00BF1703"/>
    <w:rsid w:val="00BF231C"/>
    <w:rsid w:val="00BF375A"/>
    <w:rsid w:val="00BF51E5"/>
    <w:rsid w:val="00BF74A6"/>
    <w:rsid w:val="00BF78D0"/>
    <w:rsid w:val="00C013AD"/>
    <w:rsid w:val="00C02652"/>
    <w:rsid w:val="00C04904"/>
    <w:rsid w:val="00C056B3"/>
    <w:rsid w:val="00C05D5C"/>
    <w:rsid w:val="00C103E5"/>
    <w:rsid w:val="00C13319"/>
    <w:rsid w:val="00C13EE9"/>
    <w:rsid w:val="00C14750"/>
    <w:rsid w:val="00C153F2"/>
    <w:rsid w:val="00C21540"/>
    <w:rsid w:val="00C216EE"/>
    <w:rsid w:val="00C21906"/>
    <w:rsid w:val="00C21BFA"/>
    <w:rsid w:val="00C23419"/>
    <w:rsid w:val="00C245CB"/>
    <w:rsid w:val="00C24C8D"/>
    <w:rsid w:val="00C25FE2"/>
    <w:rsid w:val="00C26B53"/>
    <w:rsid w:val="00C279B2"/>
    <w:rsid w:val="00C33E50"/>
    <w:rsid w:val="00C34C20"/>
    <w:rsid w:val="00C35A3E"/>
    <w:rsid w:val="00C42130"/>
    <w:rsid w:val="00C423A4"/>
    <w:rsid w:val="00C423E3"/>
    <w:rsid w:val="00C43320"/>
    <w:rsid w:val="00C44BF5"/>
    <w:rsid w:val="00C51175"/>
    <w:rsid w:val="00C521D6"/>
    <w:rsid w:val="00C53B59"/>
    <w:rsid w:val="00C55232"/>
    <w:rsid w:val="00C553A4"/>
    <w:rsid w:val="00C55A06"/>
    <w:rsid w:val="00C55D03"/>
    <w:rsid w:val="00C601BC"/>
    <w:rsid w:val="00C6272D"/>
    <w:rsid w:val="00C6329F"/>
    <w:rsid w:val="00C63340"/>
    <w:rsid w:val="00C63DAD"/>
    <w:rsid w:val="00C63E84"/>
    <w:rsid w:val="00C643F9"/>
    <w:rsid w:val="00C64E95"/>
    <w:rsid w:val="00C665B4"/>
    <w:rsid w:val="00C71372"/>
    <w:rsid w:val="00C72410"/>
    <w:rsid w:val="00C7287F"/>
    <w:rsid w:val="00C74880"/>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4143"/>
    <w:rsid w:val="00CB517D"/>
    <w:rsid w:val="00CC038D"/>
    <w:rsid w:val="00CC08DB"/>
    <w:rsid w:val="00CC39FF"/>
    <w:rsid w:val="00CC3C2F"/>
    <w:rsid w:val="00CC4650"/>
    <w:rsid w:val="00CC4AC8"/>
    <w:rsid w:val="00CC5233"/>
    <w:rsid w:val="00CC5DE6"/>
    <w:rsid w:val="00CC6E4E"/>
    <w:rsid w:val="00CC6FE8"/>
    <w:rsid w:val="00CC7202"/>
    <w:rsid w:val="00CC7653"/>
    <w:rsid w:val="00CC7D2C"/>
    <w:rsid w:val="00CD2808"/>
    <w:rsid w:val="00CD28BF"/>
    <w:rsid w:val="00CD4092"/>
    <w:rsid w:val="00CD4A20"/>
    <w:rsid w:val="00CD50A1"/>
    <w:rsid w:val="00CD519E"/>
    <w:rsid w:val="00CE0C4F"/>
    <w:rsid w:val="00CE30EA"/>
    <w:rsid w:val="00CE69F9"/>
    <w:rsid w:val="00CE7D6D"/>
    <w:rsid w:val="00CF048A"/>
    <w:rsid w:val="00CF155A"/>
    <w:rsid w:val="00CF2947"/>
    <w:rsid w:val="00CF686F"/>
    <w:rsid w:val="00CF6E60"/>
    <w:rsid w:val="00CF7BCA"/>
    <w:rsid w:val="00D008FD"/>
    <w:rsid w:val="00D02FDC"/>
    <w:rsid w:val="00D0321C"/>
    <w:rsid w:val="00D035EC"/>
    <w:rsid w:val="00D05B39"/>
    <w:rsid w:val="00D06AB1"/>
    <w:rsid w:val="00D06FC1"/>
    <w:rsid w:val="00D072ED"/>
    <w:rsid w:val="00D07A16"/>
    <w:rsid w:val="00D1067E"/>
    <w:rsid w:val="00D10F50"/>
    <w:rsid w:val="00D11272"/>
    <w:rsid w:val="00D11E51"/>
    <w:rsid w:val="00D126F5"/>
    <w:rsid w:val="00D1489E"/>
    <w:rsid w:val="00D16CC0"/>
    <w:rsid w:val="00D20737"/>
    <w:rsid w:val="00D20E4D"/>
    <w:rsid w:val="00D21E81"/>
    <w:rsid w:val="00D223DE"/>
    <w:rsid w:val="00D23237"/>
    <w:rsid w:val="00D25E37"/>
    <w:rsid w:val="00D2634A"/>
    <w:rsid w:val="00D2661A"/>
    <w:rsid w:val="00D27582"/>
    <w:rsid w:val="00D27EC4"/>
    <w:rsid w:val="00D31166"/>
    <w:rsid w:val="00D319DD"/>
    <w:rsid w:val="00D3218F"/>
    <w:rsid w:val="00D32719"/>
    <w:rsid w:val="00D330AF"/>
    <w:rsid w:val="00D33333"/>
    <w:rsid w:val="00D34806"/>
    <w:rsid w:val="00D352A2"/>
    <w:rsid w:val="00D4162B"/>
    <w:rsid w:val="00D4431B"/>
    <w:rsid w:val="00D4514F"/>
    <w:rsid w:val="00D451E2"/>
    <w:rsid w:val="00D45E89"/>
    <w:rsid w:val="00D45E8D"/>
    <w:rsid w:val="00D466AE"/>
    <w:rsid w:val="00D4734F"/>
    <w:rsid w:val="00D51BF3"/>
    <w:rsid w:val="00D54C91"/>
    <w:rsid w:val="00D60A35"/>
    <w:rsid w:val="00D6145B"/>
    <w:rsid w:val="00D66846"/>
    <w:rsid w:val="00D671C3"/>
    <w:rsid w:val="00D675FB"/>
    <w:rsid w:val="00D7176F"/>
    <w:rsid w:val="00D71F25"/>
    <w:rsid w:val="00D72A9C"/>
    <w:rsid w:val="00D77031"/>
    <w:rsid w:val="00D827B7"/>
    <w:rsid w:val="00D83B6B"/>
    <w:rsid w:val="00D84941"/>
    <w:rsid w:val="00D84FA1"/>
    <w:rsid w:val="00D851F0"/>
    <w:rsid w:val="00D86DB7"/>
    <w:rsid w:val="00D87BF5"/>
    <w:rsid w:val="00D90721"/>
    <w:rsid w:val="00D909C5"/>
    <w:rsid w:val="00D926D0"/>
    <w:rsid w:val="00D93030"/>
    <w:rsid w:val="00D950E1"/>
    <w:rsid w:val="00D952A6"/>
    <w:rsid w:val="00D9618D"/>
    <w:rsid w:val="00D976CA"/>
    <w:rsid w:val="00D97F99"/>
    <w:rsid w:val="00DA1E08"/>
    <w:rsid w:val="00DA24F8"/>
    <w:rsid w:val="00DA28E8"/>
    <w:rsid w:val="00DA38D3"/>
    <w:rsid w:val="00DA3932"/>
    <w:rsid w:val="00DA3AFC"/>
    <w:rsid w:val="00DA64F8"/>
    <w:rsid w:val="00DA6C15"/>
    <w:rsid w:val="00DB0258"/>
    <w:rsid w:val="00DB1186"/>
    <w:rsid w:val="00DB185E"/>
    <w:rsid w:val="00DB38EE"/>
    <w:rsid w:val="00DB498B"/>
    <w:rsid w:val="00DB66CA"/>
    <w:rsid w:val="00DB6BCA"/>
    <w:rsid w:val="00DB6F54"/>
    <w:rsid w:val="00DB73F7"/>
    <w:rsid w:val="00DC0321"/>
    <w:rsid w:val="00DC3067"/>
    <w:rsid w:val="00DC370B"/>
    <w:rsid w:val="00DC5B90"/>
    <w:rsid w:val="00DD00FF"/>
    <w:rsid w:val="00DD0619"/>
    <w:rsid w:val="00DD07FB"/>
    <w:rsid w:val="00DD2463"/>
    <w:rsid w:val="00DD25C6"/>
    <w:rsid w:val="00DD4FE5"/>
    <w:rsid w:val="00DD54B0"/>
    <w:rsid w:val="00DD57EE"/>
    <w:rsid w:val="00DD6BCC"/>
    <w:rsid w:val="00DE0A4B"/>
    <w:rsid w:val="00DE2410"/>
    <w:rsid w:val="00DE2939"/>
    <w:rsid w:val="00DE6E81"/>
    <w:rsid w:val="00DE703F"/>
    <w:rsid w:val="00DE7595"/>
    <w:rsid w:val="00DF1961"/>
    <w:rsid w:val="00DF1A69"/>
    <w:rsid w:val="00DF1FF1"/>
    <w:rsid w:val="00DF20A6"/>
    <w:rsid w:val="00DF29FB"/>
    <w:rsid w:val="00DF44DE"/>
    <w:rsid w:val="00E01138"/>
    <w:rsid w:val="00E02DFB"/>
    <w:rsid w:val="00E030F9"/>
    <w:rsid w:val="00E0311A"/>
    <w:rsid w:val="00E03138"/>
    <w:rsid w:val="00E06404"/>
    <w:rsid w:val="00E0711D"/>
    <w:rsid w:val="00E11A85"/>
    <w:rsid w:val="00E12495"/>
    <w:rsid w:val="00E15CCD"/>
    <w:rsid w:val="00E165AE"/>
    <w:rsid w:val="00E202EF"/>
    <w:rsid w:val="00E210B5"/>
    <w:rsid w:val="00E23DF0"/>
    <w:rsid w:val="00E2437B"/>
    <w:rsid w:val="00E2552F"/>
    <w:rsid w:val="00E2751C"/>
    <w:rsid w:val="00E3137A"/>
    <w:rsid w:val="00E32CCF"/>
    <w:rsid w:val="00E3304B"/>
    <w:rsid w:val="00E34397"/>
    <w:rsid w:val="00E34426"/>
    <w:rsid w:val="00E34A98"/>
    <w:rsid w:val="00E34D48"/>
    <w:rsid w:val="00E35D1E"/>
    <w:rsid w:val="00E364F9"/>
    <w:rsid w:val="00E365FA"/>
    <w:rsid w:val="00E36789"/>
    <w:rsid w:val="00E44A83"/>
    <w:rsid w:val="00E502C1"/>
    <w:rsid w:val="00E502DD"/>
    <w:rsid w:val="00E50D3A"/>
    <w:rsid w:val="00E51387"/>
    <w:rsid w:val="00E51BC4"/>
    <w:rsid w:val="00E51E68"/>
    <w:rsid w:val="00E52EFD"/>
    <w:rsid w:val="00E53F96"/>
    <w:rsid w:val="00E5408A"/>
    <w:rsid w:val="00E56800"/>
    <w:rsid w:val="00E60C63"/>
    <w:rsid w:val="00E62FF9"/>
    <w:rsid w:val="00E635D6"/>
    <w:rsid w:val="00E639BC"/>
    <w:rsid w:val="00E664CC"/>
    <w:rsid w:val="00E70388"/>
    <w:rsid w:val="00E70F92"/>
    <w:rsid w:val="00E72E84"/>
    <w:rsid w:val="00E7352C"/>
    <w:rsid w:val="00E74313"/>
    <w:rsid w:val="00E74C54"/>
    <w:rsid w:val="00E77A03"/>
    <w:rsid w:val="00E822E8"/>
    <w:rsid w:val="00E82554"/>
    <w:rsid w:val="00E82606"/>
    <w:rsid w:val="00E831C1"/>
    <w:rsid w:val="00E846C8"/>
    <w:rsid w:val="00E847E5"/>
    <w:rsid w:val="00E84957"/>
    <w:rsid w:val="00E84A55"/>
    <w:rsid w:val="00E85BFF"/>
    <w:rsid w:val="00E90391"/>
    <w:rsid w:val="00E90536"/>
    <w:rsid w:val="00E906C2"/>
    <w:rsid w:val="00E9311F"/>
    <w:rsid w:val="00E934D1"/>
    <w:rsid w:val="00E94AF0"/>
    <w:rsid w:val="00E95D13"/>
    <w:rsid w:val="00E95DD3"/>
    <w:rsid w:val="00E969D5"/>
    <w:rsid w:val="00E974BF"/>
    <w:rsid w:val="00E97EAF"/>
    <w:rsid w:val="00EA20A1"/>
    <w:rsid w:val="00EA58D1"/>
    <w:rsid w:val="00EA61BC"/>
    <w:rsid w:val="00EA6585"/>
    <w:rsid w:val="00EA681A"/>
    <w:rsid w:val="00EA735B"/>
    <w:rsid w:val="00EB1E69"/>
    <w:rsid w:val="00EB2086"/>
    <w:rsid w:val="00EB31ED"/>
    <w:rsid w:val="00EB56CA"/>
    <w:rsid w:val="00EB5EDF"/>
    <w:rsid w:val="00EB60FE"/>
    <w:rsid w:val="00EB74DB"/>
    <w:rsid w:val="00EC33CC"/>
    <w:rsid w:val="00EC4A4C"/>
    <w:rsid w:val="00EC5359"/>
    <w:rsid w:val="00EC562A"/>
    <w:rsid w:val="00ED067A"/>
    <w:rsid w:val="00ED0B9C"/>
    <w:rsid w:val="00ED2B50"/>
    <w:rsid w:val="00ED3357"/>
    <w:rsid w:val="00ED35DE"/>
    <w:rsid w:val="00ED424C"/>
    <w:rsid w:val="00ED7513"/>
    <w:rsid w:val="00EE0350"/>
    <w:rsid w:val="00EE0719"/>
    <w:rsid w:val="00EE0E80"/>
    <w:rsid w:val="00EE613F"/>
    <w:rsid w:val="00EE6555"/>
    <w:rsid w:val="00EE7295"/>
    <w:rsid w:val="00EE7869"/>
    <w:rsid w:val="00EF054A"/>
    <w:rsid w:val="00EF3235"/>
    <w:rsid w:val="00EF761F"/>
    <w:rsid w:val="00EF7E72"/>
    <w:rsid w:val="00F01384"/>
    <w:rsid w:val="00F06D37"/>
    <w:rsid w:val="00F07B9D"/>
    <w:rsid w:val="00F07D70"/>
    <w:rsid w:val="00F11586"/>
    <w:rsid w:val="00F1169E"/>
    <w:rsid w:val="00F1183B"/>
    <w:rsid w:val="00F11C9F"/>
    <w:rsid w:val="00F12263"/>
    <w:rsid w:val="00F13C12"/>
    <w:rsid w:val="00F1409D"/>
    <w:rsid w:val="00F14214"/>
    <w:rsid w:val="00F157A9"/>
    <w:rsid w:val="00F16F00"/>
    <w:rsid w:val="00F230C0"/>
    <w:rsid w:val="00F24A5D"/>
    <w:rsid w:val="00F25BB6"/>
    <w:rsid w:val="00F26B7E"/>
    <w:rsid w:val="00F27A3B"/>
    <w:rsid w:val="00F31903"/>
    <w:rsid w:val="00F32780"/>
    <w:rsid w:val="00F33817"/>
    <w:rsid w:val="00F3664D"/>
    <w:rsid w:val="00F36D13"/>
    <w:rsid w:val="00F37A11"/>
    <w:rsid w:val="00F420D5"/>
    <w:rsid w:val="00F451EA"/>
    <w:rsid w:val="00F45447"/>
    <w:rsid w:val="00F45476"/>
    <w:rsid w:val="00F456C6"/>
    <w:rsid w:val="00F4577B"/>
    <w:rsid w:val="00F46496"/>
    <w:rsid w:val="00F474D0"/>
    <w:rsid w:val="00F50179"/>
    <w:rsid w:val="00F515EE"/>
    <w:rsid w:val="00F5221C"/>
    <w:rsid w:val="00F527D0"/>
    <w:rsid w:val="00F56511"/>
    <w:rsid w:val="00F6194E"/>
    <w:rsid w:val="00F623AC"/>
    <w:rsid w:val="00F6412A"/>
    <w:rsid w:val="00F65893"/>
    <w:rsid w:val="00F66A4A"/>
    <w:rsid w:val="00F71BBB"/>
    <w:rsid w:val="00F71E22"/>
    <w:rsid w:val="00F72142"/>
    <w:rsid w:val="00F72AE7"/>
    <w:rsid w:val="00F833BA"/>
    <w:rsid w:val="00F84FD0"/>
    <w:rsid w:val="00F850F6"/>
    <w:rsid w:val="00F859A8"/>
    <w:rsid w:val="00F86D87"/>
    <w:rsid w:val="00F9108B"/>
    <w:rsid w:val="00F91349"/>
    <w:rsid w:val="00F93A8A"/>
    <w:rsid w:val="00F94ED4"/>
    <w:rsid w:val="00F95248"/>
    <w:rsid w:val="00F956A9"/>
    <w:rsid w:val="00F963ED"/>
    <w:rsid w:val="00F966CF"/>
    <w:rsid w:val="00F96CAE"/>
    <w:rsid w:val="00F97C99"/>
    <w:rsid w:val="00FA3B6B"/>
    <w:rsid w:val="00FA662D"/>
    <w:rsid w:val="00FA73B1"/>
    <w:rsid w:val="00FA7E5C"/>
    <w:rsid w:val="00FB0843"/>
    <w:rsid w:val="00FB0CB9"/>
    <w:rsid w:val="00FB1751"/>
    <w:rsid w:val="00FB231D"/>
    <w:rsid w:val="00FB45F1"/>
    <w:rsid w:val="00FB4A72"/>
    <w:rsid w:val="00FB54E8"/>
    <w:rsid w:val="00FB7054"/>
    <w:rsid w:val="00FC0AF3"/>
    <w:rsid w:val="00FC17B7"/>
    <w:rsid w:val="00FC2CB7"/>
    <w:rsid w:val="00FC37C1"/>
    <w:rsid w:val="00FC3E1B"/>
    <w:rsid w:val="00FC4090"/>
    <w:rsid w:val="00FC55B4"/>
    <w:rsid w:val="00FD00E6"/>
    <w:rsid w:val="00FD09A1"/>
    <w:rsid w:val="00FD2A7C"/>
    <w:rsid w:val="00FD4110"/>
    <w:rsid w:val="00FD59EB"/>
    <w:rsid w:val="00FD7299"/>
    <w:rsid w:val="00FE03E4"/>
    <w:rsid w:val="00FE1FBE"/>
    <w:rsid w:val="00FE376E"/>
    <w:rsid w:val="00FE3901"/>
    <w:rsid w:val="00FE39D3"/>
    <w:rsid w:val="00FE4BCE"/>
    <w:rsid w:val="00FE54AE"/>
    <w:rsid w:val="00FE576A"/>
    <w:rsid w:val="00FE5788"/>
    <w:rsid w:val="00FE7E79"/>
    <w:rsid w:val="00FF2666"/>
    <w:rsid w:val="00FF2D73"/>
    <w:rsid w:val="00FF3E7D"/>
    <w:rsid w:val="00FF4726"/>
    <w:rsid w:val="00FF5B99"/>
    <w:rsid w:val="00FF730C"/>
    <w:rsid w:val="00FF73F4"/>
    <w:rsid w:val="00FF7CE4"/>
    <w:rsid w:val="00FF7E39"/>
    <w:rsid w:val="01214875"/>
    <w:rsid w:val="015B674C"/>
    <w:rsid w:val="01A249C3"/>
    <w:rsid w:val="01A871C8"/>
    <w:rsid w:val="01AC3774"/>
    <w:rsid w:val="01E90844"/>
    <w:rsid w:val="023A20F0"/>
    <w:rsid w:val="02796A96"/>
    <w:rsid w:val="02D0730E"/>
    <w:rsid w:val="03016292"/>
    <w:rsid w:val="03080640"/>
    <w:rsid w:val="032558AB"/>
    <w:rsid w:val="03E57834"/>
    <w:rsid w:val="041E1308"/>
    <w:rsid w:val="045B699B"/>
    <w:rsid w:val="04E86B91"/>
    <w:rsid w:val="04EB1B83"/>
    <w:rsid w:val="04FF70D9"/>
    <w:rsid w:val="050531F4"/>
    <w:rsid w:val="051A3950"/>
    <w:rsid w:val="052B2F21"/>
    <w:rsid w:val="05656433"/>
    <w:rsid w:val="05CD426B"/>
    <w:rsid w:val="05D45EEE"/>
    <w:rsid w:val="0609773D"/>
    <w:rsid w:val="06B80DB6"/>
    <w:rsid w:val="06DE29E2"/>
    <w:rsid w:val="075946FD"/>
    <w:rsid w:val="07924B49"/>
    <w:rsid w:val="07972A60"/>
    <w:rsid w:val="07EF2989"/>
    <w:rsid w:val="07F12CBE"/>
    <w:rsid w:val="08103ADB"/>
    <w:rsid w:val="08C94A5D"/>
    <w:rsid w:val="08CD139B"/>
    <w:rsid w:val="08DB4A20"/>
    <w:rsid w:val="094D031E"/>
    <w:rsid w:val="098F4447"/>
    <w:rsid w:val="09996A4E"/>
    <w:rsid w:val="09CA6A23"/>
    <w:rsid w:val="0A5532F9"/>
    <w:rsid w:val="0A7A18C3"/>
    <w:rsid w:val="0A9C3CAC"/>
    <w:rsid w:val="0ADB6B87"/>
    <w:rsid w:val="0AE1641B"/>
    <w:rsid w:val="0B2E01D0"/>
    <w:rsid w:val="0B327F9D"/>
    <w:rsid w:val="0B8674D4"/>
    <w:rsid w:val="0C236789"/>
    <w:rsid w:val="0C8252F9"/>
    <w:rsid w:val="0CA43782"/>
    <w:rsid w:val="0CBA03C5"/>
    <w:rsid w:val="0CBC3C58"/>
    <w:rsid w:val="0D075AA7"/>
    <w:rsid w:val="0D466B4A"/>
    <w:rsid w:val="0DB742A8"/>
    <w:rsid w:val="0DDC7105"/>
    <w:rsid w:val="0E587609"/>
    <w:rsid w:val="0E614F17"/>
    <w:rsid w:val="0E68007A"/>
    <w:rsid w:val="0E8A6719"/>
    <w:rsid w:val="0E992415"/>
    <w:rsid w:val="0F3B32B3"/>
    <w:rsid w:val="0F557518"/>
    <w:rsid w:val="10024AC8"/>
    <w:rsid w:val="10F03EEC"/>
    <w:rsid w:val="10F4236C"/>
    <w:rsid w:val="1102547E"/>
    <w:rsid w:val="111B3762"/>
    <w:rsid w:val="11270A41"/>
    <w:rsid w:val="11903ACF"/>
    <w:rsid w:val="11A8483E"/>
    <w:rsid w:val="11E22BBA"/>
    <w:rsid w:val="11EC7608"/>
    <w:rsid w:val="12103BCB"/>
    <w:rsid w:val="123F1AF7"/>
    <w:rsid w:val="12881CA1"/>
    <w:rsid w:val="12C52703"/>
    <w:rsid w:val="12CC5D44"/>
    <w:rsid w:val="136034D3"/>
    <w:rsid w:val="136E0AD8"/>
    <w:rsid w:val="1385428A"/>
    <w:rsid w:val="13A04ADA"/>
    <w:rsid w:val="141B1D73"/>
    <w:rsid w:val="14251536"/>
    <w:rsid w:val="14384EA3"/>
    <w:rsid w:val="143A06A2"/>
    <w:rsid w:val="14691370"/>
    <w:rsid w:val="14D42C8D"/>
    <w:rsid w:val="157B75AD"/>
    <w:rsid w:val="15BA3CC4"/>
    <w:rsid w:val="160457F4"/>
    <w:rsid w:val="162B2E1A"/>
    <w:rsid w:val="16355DC4"/>
    <w:rsid w:val="16B25303"/>
    <w:rsid w:val="172F1A71"/>
    <w:rsid w:val="17367427"/>
    <w:rsid w:val="176044AA"/>
    <w:rsid w:val="17730CCA"/>
    <w:rsid w:val="177F488C"/>
    <w:rsid w:val="17DE4FAA"/>
    <w:rsid w:val="17E26493"/>
    <w:rsid w:val="182061EA"/>
    <w:rsid w:val="18242B64"/>
    <w:rsid w:val="18414009"/>
    <w:rsid w:val="18506A23"/>
    <w:rsid w:val="1890336F"/>
    <w:rsid w:val="19434719"/>
    <w:rsid w:val="19D55AC3"/>
    <w:rsid w:val="1A5430E4"/>
    <w:rsid w:val="1A7167F4"/>
    <w:rsid w:val="1AAA7077"/>
    <w:rsid w:val="1AE03EC5"/>
    <w:rsid w:val="1AF25537"/>
    <w:rsid w:val="1B1A31FF"/>
    <w:rsid w:val="1B1A33C4"/>
    <w:rsid w:val="1B522B5E"/>
    <w:rsid w:val="1CE92613"/>
    <w:rsid w:val="1D6467D4"/>
    <w:rsid w:val="1D86057E"/>
    <w:rsid w:val="1E332A44"/>
    <w:rsid w:val="1E856B57"/>
    <w:rsid w:val="1EA056DC"/>
    <w:rsid w:val="1EC12D36"/>
    <w:rsid w:val="1F3D58D3"/>
    <w:rsid w:val="1F3E4305"/>
    <w:rsid w:val="1F935622"/>
    <w:rsid w:val="1FA976C2"/>
    <w:rsid w:val="1FEF2D5E"/>
    <w:rsid w:val="20242568"/>
    <w:rsid w:val="20552B6B"/>
    <w:rsid w:val="207B6FD6"/>
    <w:rsid w:val="212B61DA"/>
    <w:rsid w:val="21443B9D"/>
    <w:rsid w:val="215F782F"/>
    <w:rsid w:val="21713EAC"/>
    <w:rsid w:val="22076BFB"/>
    <w:rsid w:val="224B5175"/>
    <w:rsid w:val="228C3A37"/>
    <w:rsid w:val="22C02938"/>
    <w:rsid w:val="23146894"/>
    <w:rsid w:val="23712C4B"/>
    <w:rsid w:val="239042DF"/>
    <w:rsid w:val="241335AA"/>
    <w:rsid w:val="241A37B8"/>
    <w:rsid w:val="24616914"/>
    <w:rsid w:val="253253EA"/>
    <w:rsid w:val="2574490F"/>
    <w:rsid w:val="259F485A"/>
    <w:rsid w:val="25B54415"/>
    <w:rsid w:val="26830430"/>
    <w:rsid w:val="26977D36"/>
    <w:rsid w:val="26996576"/>
    <w:rsid w:val="26CF55DE"/>
    <w:rsid w:val="26FB45C4"/>
    <w:rsid w:val="278E2729"/>
    <w:rsid w:val="27B61CB8"/>
    <w:rsid w:val="288E79D4"/>
    <w:rsid w:val="295D54F0"/>
    <w:rsid w:val="29916F47"/>
    <w:rsid w:val="29BC0E9B"/>
    <w:rsid w:val="2A0D3907"/>
    <w:rsid w:val="2A247694"/>
    <w:rsid w:val="2A4E28ED"/>
    <w:rsid w:val="2A58320D"/>
    <w:rsid w:val="2A8A40EB"/>
    <w:rsid w:val="2AAB6350"/>
    <w:rsid w:val="2B4F33D6"/>
    <w:rsid w:val="2BC25ADE"/>
    <w:rsid w:val="2BC76544"/>
    <w:rsid w:val="2C4E7372"/>
    <w:rsid w:val="2C7574ED"/>
    <w:rsid w:val="2C8C21E8"/>
    <w:rsid w:val="2C9D5C03"/>
    <w:rsid w:val="2CAD5E46"/>
    <w:rsid w:val="2CB15093"/>
    <w:rsid w:val="2CB41D10"/>
    <w:rsid w:val="2CF16BCB"/>
    <w:rsid w:val="2D1D6F8F"/>
    <w:rsid w:val="2E3507E9"/>
    <w:rsid w:val="2E3F51C4"/>
    <w:rsid w:val="2E655A9B"/>
    <w:rsid w:val="2E7A72A8"/>
    <w:rsid w:val="2EB229A3"/>
    <w:rsid w:val="2ECF086E"/>
    <w:rsid w:val="2F3939B4"/>
    <w:rsid w:val="2F5C43BA"/>
    <w:rsid w:val="2FF676D8"/>
    <w:rsid w:val="2FF92A0A"/>
    <w:rsid w:val="308F155C"/>
    <w:rsid w:val="30A21A3A"/>
    <w:rsid w:val="315A57EF"/>
    <w:rsid w:val="31627781"/>
    <w:rsid w:val="31C143E4"/>
    <w:rsid w:val="31F0074E"/>
    <w:rsid w:val="320C1E2D"/>
    <w:rsid w:val="3254677F"/>
    <w:rsid w:val="32AF17E8"/>
    <w:rsid w:val="32C75047"/>
    <w:rsid w:val="332E1CAB"/>
    <w:rsid w:val="333373B8"/>
    <w:rsid w:val="33717916"/>
    <w:rsid w:val="338C6B5A"/>
    <w:rsid w:val="33994BAE"/>
    <w:rsid w:val="33A56078"/>
    <w:rsid w:val="33E36D19"/>
    <w:rsid w:val="33E45862"/>
    <w:rsid w:val="34325F48"/>
    <w:rsid w:val="35132F06"/>
    <w:rsid w:val="365D23F1"/>
    <w:rsid w:val="367A568B"/>
    <w:rsid w:val="368B65A6"/>
    <w:rsid w:val="36F80AD6"/>
    <w:rsid w:val="36F873EA"/>
    <w:rsid w:val="36FB19C1"/>
    <w:rsid w:val="36FB3B54"/>
    <w:rsid w:val="37195777"/>
    <w:rsid w:val="37331BA5"/>
    <w:rsid w:val="37931D29"/>
    <w:rsid w:val="37D41DA6"/>
    <w:rsid w:val="37E74906"/>
    <w:rsid w:val="37F24828"/>
    <w:rsid w:val="391F1925"/>
    <w:rsid w:val="394A4E17"/>
    <w:rsid w:val="394E45BA"/>
    <w:rsid w:val="3971515C"/>
    <w:rsid w:val="39877338"/>
    <w:rsid w:val="399E5C14"/>
    <w:rsid w:val="3A58789B"/>
    <w:rsid w:val="3A812071"/>
    <w:rsid w:val="3A820692"/>
    <w:rsid w:val="3A8F668B"/>
    <w:rsid w:val="3AE63920"/>
    <w:rsid w:val="3B293B77"/>
    <w:rsid w:val="3B2E2790"/>
    <w:rsid w:val="3B533A8F"/>
    <w:rsid w:val="3B7641F6"/>
    <w:rsid w:val="3B967F94"/>
    <w:rsid w:val="3BA14B00"/>
    <w:rsid w:val="3BD64F66"/>
    <w:rsid w:val="3BE404DD"/>
    <w:rsid w:val="3C0D39CF"/>
    <w:rsid w:val="3CAF0818"/>
    <w:rsid w:val="3CB11983"/>
    <w:rsid w:val="3D006466"/>
    <w:rsid w:val="3D0F01C4"/>
    <w:rsid w:val="3D2757A1"/>
    <w:rsid w:val="3F0062A9"/>
    <w:rsid w:val="3FC370FB"/>
    <w:rsid w:val="3FD6525C"/>
    <w:rsid w:val="400B3158"/>
    <w:rsid w:val="404207B1"/>
    <w:rsid w:val="40A42339"/>
    <w:rsid w:val="40DB7301"/>
    <w:rsid w:val="40E14125"/>
    <w:rsid w:val="41323B5F"/>
    <w:rsid w:val="41775363"/>
    <w:rsid w:val="419158DF"/>
    <w:rsid w:val="41A34DE4"/>
    <w:rsid w:val="41CB6863"/>
    <w:rsid w:val="420F3095"/>
    <w:rsid w:val="42241D3D"/>
    <w:rsid w:val="42282220"/>
    <w:rsid w:val="42293D69"/>
    <w:rsid w:val="42A96C58"/>
    <w:rsid w:val="42E43514"/>
    <w:rsid w:val="43324E9F"/>
    <w:rsid w:val="434444D3"/>
    <w:rsid w:val="43834AFB"/>
    <w:rsid w:val="43C64BAC"/>
    <w:rsid w:val="43D517B9"/>
    <w:rsid w:val="443D3FDE"/>
    <w:rsid w:val="447A08AC"/>
    <w:rsid w:val="44CC46BA"/>
    <w:rsid w:val="4569708C"/>
    <w:rsid w:val="45B64E03"/>
    <w:rsid w:val="45D35BB2"/>
    <w:rsid w:val="45DE3FC2"/>
    <w:rsid w:val="467B1578"/>
    <w:rsid w:val="46844D9D"/>
    <w:rsid w:val="46DF70EC"/>
    <w:rsid w:val="471274C2"/>
    <w:rsid w:val="473D543D"/>
    <w:rsid w:val="476A0102"/>
    <w:rsid w:val="47771486"/>
    <w:rsid w:val="478B2DD0"/>
    <w:rsid w:val="4795242A"/>
    <w:rsid w:val="47E250E6"/>
    <w:rsid w:val="48E17742"/>
    <w:rsid w:val="49156817"/>
    <w:rsid w:val="491C7955"/>
    <w:rsid w:val="4921602F"/>
    <w:rsid w:val="494F67AB"/>
    <w:rsid w:val="4956395B"/>
    <w:rsid w:val="49C42EBA"/>
    <w:rsid w:val="4A34702F"/>
    <w:rsid w:val="4A6855C7"/>
    <w:rsid w:val="4A6D4A0F"/>
    <w:rsid w:val="4AAE39E7"/>
    <w:rsid w:val="4AEC6149"/>
    <w:rsid w:val="4B631E1E"/>
    <w:rsid w:val="4BC076E9"/>
    <w:rsid w:val="4BD6537C"/>
    <w:rsid w:val="4BF0130E"/>
    <w:rsid w:val="4BF72460"/>
    <w:rsid w:val="4C100436"/>
    <w:rsid w:val="4C5F2E23"/>
    <w:rsid w:val="4CDD7C2A"/>
    <w:rsid w:val="4D5716EC"/>
    <w:rsid w:val="4DAB064B"/>
    <w:rsid w:val="4DF55447"/>
    <w:rsid w:val="4E2D61DB"/>
    <w:rsid w:val="4E3440CE"/>
    <w:rsid w:val="4E5E7C38"/>
    <w:rsid w:val="4E7779A7"/>
    <w:rsid w:val="4EA619B6"/>
    <w:rsid w:val="4F1E4F93"/>
    <w:rsid w:val="4F3D0E2C"/>
    <w:rsid w:val="4F533CAF"/>
    <w:rsid w:val="4FDC2008"/>
    <w:rsid w:val="4FFD05E3"/>
    <w:rsid w:val="50152991"/>
    <w:rsid w:val="501F67AB"/>
    <w:rsid w:val="503C55AF"/>
    <w:rsid w:val="506176EB"/>
    <w:rsid w:val="507A6580"/>
    <w:rsid w:val="508E2660"/>
    <w:rsid w:val="509A5127"/>
    <w:rsid w:val="51022129"/>
    <w:rsid w:val="512D20D1"/>
    <w:rsid w:val="51BA2E99"/>
    <w:rsid w:val="51C70EA9"/>
    <w:rsid w:val="5253261E"/>
    <w:rsid w:val="5304452D"/>
    <w:rsid w:val="5333563D"/>
    <w:rsid w:val="533529FD"/>
    <w:rsid w:val="533F6CB7"/>
    <w:rsid w:val="534E1DCB"/>
    <w:rsid w:val="537C041E"/>
    <w:rsid w:val="53AF1CD0"/>
    <w:rsid w:val="54221FF2"/>
    <w:rsid w:val="543A1709"/>
    <w:rsid w:val="54605510"/>
    <w:rsid w:val="551268DF"/>
    <w:rsid w:val="558A3D0F"/>
    <w:rsid w:val="55A27E7E"/>
    <w:rsid w:val="55BE344A"/>
    <w:rsid w:val="55FA646A"/>
    <w:rsid w:val="56C10D23"/>
    <w:rsid w:val="56C37E91"/>
    <w:rsid w:val="56D01BA5"/>
    <w:rsid w:val="56D46542"/>
    <w:rsid w:val="575B456D"/>
    <w:rsid w:val="57783371"/>
    <w:rsid w:val="57783820"/>
    <w:rsid w:val="577C1D34"/>
    <w:rsid w:val="57980393"/>
    <w:rsid w:val="57A852D8"/>
    <w:rsid w:val="57CD0385"/>
    <w:rsid w:val="57D41D25"/>
    <w:rsid w:val="57E11B54"/>
    <w:rsid w:val="57ED5E45"/>
    <w:rsid w:val="580B457F"/>
    <w:rsid w:val="589940A3"/>
    <w:rsid w:val="58A37D77"/>
    <w:rsid w:val="58C61EBA"/>
    <w:rsid w:val="58F03289"/>
    <w:rsid w:val="58FF3702"/>
    <w:rsid w:val="590F7990"/>
    <w:rsid w:val="59822285"/>
    <w:rsid w:val="5A1B3DC8"/>
    <w:rsid w:val="5A461DE7"/>
    <w:rsid w:val="5A976E99"/>
    <w:rsid w:val="5A9A7C44"/>
    <w:rsid w:val="5A9D6C4B"/>
    <w:rsid w:val="5AE82AB0"/>
    <w:rsid w:val="5B0C1DDE"/>
    <w:rsid w:val="5B5B5698"/>
    <w:rsid w:val="5BC00E43"/>
    <w:rsid w:val="5BCC5ED8"/>
    <w:rsid w:val="5D1070B8"/>
    <w:rsid w:val="5D6D6DA8"/>
    <w:rsid w:val="5DA34287"/>
    <w:rsid w:val="5DEA17FA"/>
    <w:rsid w:val="5E113BD7"/>
    <w:rsid w:val="5E302519"/>
    <w:rsid w:val="5E3F27C5"/>
    <w:rsid w:val="5E4B040F"/>
    <w:rsid w:val="5E791101"/>
    <w:rsid w:val="5EC07879"/>
    <w:rsid w:val="5F1078F1"/>
    <w:rsid w:val="5F67306C"/>
    <w:rsid w:val="5FF665CD"/>
    <w:rsid w:val="602848D1"/>
    <w:rsid w:val="6051001F"/>
    <w:rsid w:val="606815CB"/>
    <w:rsid w:val="606B7C88"/>
    <w:rsid w:val="607B0136"/>
    <w:rsid w:val="607C0C87"/>
    <w:rsid w:val="60C4148D"/>
    <w:rsid w:val="61630BEE"/>
    <w:rsid w:val="6200629B"/>
    <w:rsid w:val="621E68C3"/>
    <w:rsid w:val="626562A0"/>
    <w:rsid w:val="626D33A6"/>
    <w:rsid w:val="627806C9"/>
    <w:rsid w:val="629D3C8C"/>
    <w:rsid w:val="631B2C2D"/>
    <w:rsid w:val="63666080"/>
    <w:rsid w:val="63832A35"/>
    <w:rsid w:val="64077B7B"/>
    <w:rsid w:val="6464424D"/>
    <w:rsid w:val="64654C7D"/>
    <w:rsid w:val="64806954"/>
    <w:rsid w:val="65CC2C85"/>
    <w:rsid w:val="65F30067"/>
    <w:rsid w:val="663459AC"/>
    <w:rsid w:val="665772D8"/>
    <w:rsid w:val="66847348"/>
    <w:rsid w:val="66AE7F8C"/>
    <w:rsid w:val="672B1C0E"/>
    <w:rsid w:val="675A65EF"/>
    <w:rsid w:val="681724DB"/>
    <w:rsid w:val="683170A9"/>
    <w:rsid w:val="68A13DAA"/>
    <w:rsid w:val="68D207DA"/>
    <w:rsid w:val="691F0159"/>
    <w:rsid w:val="694B4F16"/>
    <w:rsid w:val="69715E72"/>
    <w:rsid w:val="6A4B4173"/>
    <w:rsid w:val="6ADB455B"/>
    <w:rsid w:val="6AEE23DE"/>
    <w:rsid w:val="6B067DC4"/>
    <w:rsid w:val="6B4D325B"/>
    <w:rsid w:val="6B8D6867"/>
    <w:rsid w:val="6B99520C"/>
    <w:rsid w:val="6BF6440D"/>
    <w:rsid w:val="6C4655D4"/>
    <w:rsid w:val="6C4909E0"/>
    <w:rsid w:val="6C596D7E"/>
    <w:rsid w:val="6C8C641B"/>
    <w:rsid w:val="6CAA68CF"/>
    <w:rsid w:val="6CE3243E"/>
    <w:rsid w:val="6CED41BB"/>
    <w:rsid w:val="6D6B4601"/>
    <w:rsid w:val="6DCF43F1"/>
    <w:rsid w:val="6DDE05DD"/>
    <w:rsid w:val="6E063532"/>
    <w:rsid w:val="6E2369F1"/>
    <w:rsid w:val="6E250FD9"/>
    <w:rsid w:val="6E7D3E30"/>
    <w:rsid w:val="6EEA510B"/>
    <w:rsid w:val="6F2B66B4"/>
    <w:rsid w:val="70014631"/>
    <w:rsid w:val="70046180"/>
    <w:rsid w:val="701F47C5"/>
    <w:rsid w:val="704B3D6E"/>
    <w:rsid w:val="70DC12DA"/>
    <w:rsid w:val="7101538F"/>
    <w:rsid w:val="711A294B"/>
    <w:rsid w:val="712D267F"/>
    <w:rsid w:val="713E2532"/>
    <w:rsid w:val="71C81856"/>
    <w:rsid w:val="71C83E10"/>
    <w:rsid w:val="71FC4E2C"/>
    <w:rsid w:val="721832BA"/>
    <w:rsid w:val="72534A7D"/>
    <w:rsid w:val="72624021"/>
    <w:rsid w:val="729C3F60"/>
    <w:rsid w:val="739E33B8"/>
    <w:rsid w:val="73A3131E"/>
    <w:rsid w:val="73CF40BA"/>
    <w:rsid w:val="74143C2D"/>
    <w:rsid w:val="745148D6"/>
    <w:rsid w:val="748E7DD1"/>
    <w:rsid w:val="74C01286"/>
    <w:rsid w:val="74D24B85"/>
    <w:rsid w:val="750B1535"/>
    <w:rsid w:val="75E74D76"/>
    <w:rsid w:val="760616F0"/>
    <w:rsid w:val="760A54BC"/>
    <w:rsid w:val="76163E4F"/>
    <w:rsid w:val="761A3A2A"/>
    <w:rsid w:val="7628288E"/>
    <w:rsid w:val="76361FD5"/>
    <w:rsid w:val="7692374C"/>
    <w:rsid w:val="76AF6C28"/>
    <w:rsid w:val="76CF6212"/>
    <w:rsid w:val="76FB4FCD"/>
    <w:rsid w:val="78B04987"/>
    <w:rsid w:val="78E97B0F"/>
    <w:rsid w:val="79156E0F"/>
    <w:rsid w:val="793A7808"/>
    <w:rsid w:val="796771E5"/>
    <w:rsid w:val="797F6400"/>
    <w:rsid w:val="79931893"/>
    <w:rsid w:val="79FC52E4"/>
    <w:rsid w:val="7A3249E0"/>
    <w:rsid w:val="7A9D4ECA"/>
    <w:rsid w:val="7AD82769"/>
    <w:rsid w:val="7B561FD2"/>
    <w:rsid w:val="7B780AEF"/>
    <w:rsid w:val="7BBD0AA3"/>
    <w:rsid w:val="7C773D2E"/>
    <w:rsid w:val="7D4E22FA"/>
    <w:rsid w:val="7D62103A"/>
    <w:rsid w:val="7DF1230F"/>
    <w:rsid w:val="7ED00AED"/>
    <w:rsid w:val="7F453289"/>
    <w:rsid w:val="7F596D35"/>
    <w:rsid w:val="7FC03C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semiHidden="0"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4">
    <w:name w:val="heading 1"/>
    <w:basedOn w:val="1"/>
    <w:next w:val="1"/>
    <w:link w:val="36"/>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37"/>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link w:val="38"/>
    <w:qFormat/>
    <w:uiPriority w:val="0"/>
    <w:pPr>
      <w:keepNext/>
      <w:keepLines/>
      <w:spacing w:before="260" w:after="260" w:line="416" w:lineRule="auto"/>
      <w:outlineLvl w:val="2"/>
    </w:pPr>
    <w:rPr>
      <w:b/>
      <w:bCs/>
      <w:sz w:val="32"/>
      <w:szCs w:val="32"/>
    </w:rPr>
  </w:style>
  <w:style w:type="paragraph" w:styleId="7">
    <w:name w:val="heading 4"/>
    <w:basedOn w:val="1"/>
    <w:next w:val="1"/>
    <w:link w:val="39"/>
    <w:qFormat/>
    <w:uiPriority w:val="0"/>
    <w:pPr>
      <w:keepNext/>
      <w:keepLines/>
      <w:spacing w:before="280" w:after="290" w:line="376" w:lineRule="auto"/>
      <w:outlineLvl w:val="3"/>
    </w:pPr>
    <w:rPr>
      <w:rFonts w:ascii="Arial" w:hAnsi="Arial" w:eastAsia="黑体"/>
      <w:b/>
      <w:bCs/>
      <w:sz w:val="28"/>
      <w:szCs w:val="28"/>
    </w:rPr>
  </w:style>
  <w:style w:type="paragraph" w:styleId="8">
    <w:name w:val="heading 5"/>
    <w:basedOn w:val="1"/>
    <w:next w:val="1"/>
    <w:link w:val="40"/>
    <w:qFormat/>
    <w:uiPriority w:val="0"/>
    <w:pPr>
      <w:keepNext/>
      <w:keepLines/>
      <w:adjustRightInd/>
      <w:spacing w:before="280" w:after="290" w:line="376" w:lineRule="auto"/>
      <w:outlineLvl w:val="4"/>
    </w:pPr>
    <w:rPr>
      <w:b/>
      <w:bCs/>
      <w:sz w:val="28"/>
      <w:szCs w:val="28"/>
    </w:rPr>
  </w:style>
  <w:style w:type="paragraph" w:styleId="9">
    <w:name w:val="heading 6"/>
    <w:basedOn w:val="1"/>
    <w:next w:val="1"/>
    <w:link w:val="41"/>
    <w:qFormat/>
    <w:uiPriority w:val="0"/>
    <w:pPr>
      <w:keepNext/>
      <w:keepLines/>
      <w:adjustRightInd/>
      <w:spacing w:before="240" w:after="64" w:line="320" w:lineRule="auto"/>
      <w:outlineLvl w:val="5"/>
    </w:pPr>
    <w:rPr>
      <w:rFonts w:ascii="Arial" w:hAnsi="Arial" w:eastAsia="黑体"/>
      <w:b/>
      <w:bCs/>
      <w:sz w:val="24"/>
      <w:szCs w:val="24"/>
    </w:rPr>
  </w:style>
  <w:style w:type="paragraph" w:styleId="10">
    <w:name w:val="heading 7"/>
    <w:basedOn w:val="1"/>
    <w:next w:val="1"/>
    <w:link w:val="42"/>
    <w:qFormat/>
    <w:uiPriority w:val="0"/>
    <w:pPr>
      <w:keepNext/>
      <w:keepLines/>
      <w:adjustRightInd/>
      <w:spacing w:before="240" w:after="64" w:line="320" w:lineRule="auto"/>
      <w:outlineLvl w:val="6"/>
    </w:pPr>
    <w:rPr>
      <w:b/>
      <w:bCs/>
      <w:sz w:val="24"/>
      <w:szCs w:val="24"/>
    </w:rPr>
  </w:style>
  <w:style w:type="paragraph" w:styleId="11">
    <w:name w:val="heading 8"/>
    <w:basedOn w:val="1"/>
    <w:next w:val="1"/>
    <w:link w:val="43"/>
    <w:qFormat/>
    <w:uiPriority w:val="0"/>
    <w:pPr>
      <w:keepNext/>
      <w:keepLines/>
      <w:adjustRightInd/>
      <w:spacing w:before="240" w:after="64" w:line="320" w:lineRule="auto"/>
      <w:outlineLvl w:val="7"/>
    </w:pPr>
    <w:rPr>
      <w:rFonts w:ascii="Arial" w:hAnsi="Arial" w:eastAsia="黑体"/>
      <w:sz w:val="24"/>
      <w:szCs w:val="24"/>
    </w:rPr>
  </w:style>
  <w:style w:type="paragraph" w:styleId="12">
    <w:name w:val="heading 9"/>
    <w:basedOn w:val="1"/>
    <w:next w:val="1"/>
    <w:link w:val="44"/>
    <w:qFormat/>
    <w:uiPriority w:val="0"/>
    <w:pPr>
      <w:keepNext/>
      <w:keepLines/>
      <w:adjustRightInd/>
      <w:spacing w:before="240" w:after="64" w:line="320" w:lineRule="auto"/>
      <w:outlineLvl w:val="8"/>
    </w:pPr>
    <w:rPr>
      <w:rFonts w:ascii="Arial" w:hAnsi="Arial" w:eastAsia="黑体"/>
    </w:rPr>
  </w:style>
  <w:style w:type="character" w:default="1" w:styleId="30">
    <w:name w:val="Default Paragraph Font"/>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customStyle="1" w:styleId="2">
    <w:name w:val="正文段落"/>
    <w:basedOn w:val="3"/>
    <w:qFormat/>
    <w:uiPriority w:val="0"/>
    <w:rPr>
      <w:rFonts w:eastAsia="方正仿宋_GBK"/>
      <w:sz w:val="32"/>
    </w:rPr>
  </w:style>
  <w:style w:type="paragraph" w:styleId="3">
    <w:name w:val="Normal Indent"/>
    <w:basedOn w:val="1"/>
    <w:qFormat/>
    <w:uiPriority w:val="0"/>
    <w:pPr>
      <w:ind w:firstLine="420"/>
    </w:pPr>
  </w:style>
  <w:style w:type="paragraph" w:styleId="13">
    <w:name w:val="toc 7"/>
    <w:basedOn w:val="1"/>
    <w:next w:val="1"/>
    <w:autoRedefine/>
    <w:unhideWhenUsed/>
    <w:qFormat/>
    <w:uiPriority w:val="39"/>
    <w:pPr>
      <w:tabs>
        <w:tab w:val="right" w:leader="dot" w:pos="9344"/>
      </w:tabs>
      <w:spacing w:line="300" w:lineRule="exact"/>
      <w:ind w:left="1259"/>
    </w:pPr>
    <w:rPr>
      <w:rFonts w:ascii="宋体"/>
    </w:rPr>
  </w:style>
  <w:style w:type="paragraph" w:styleId="14">
    <w:name w:val="caption"/>
    <w:basedOn w:val="1"/>
    <w:next w:val="1"/>
    <w:unhideWhenUsed/>
    <w:qFormat/>
    <w:uiPriority w:val="35"/>
    <w:rPr>
      <w:rFonts w:eastAsia="黑体" w:asciiTheme="majorHAnsi" w:hAnsiTheme="majorHAnsi" w:cstheme="majorBidi"/>
      <w:sz w:val="20"/>
      <w:szCs w:val="20"/>
    </w:rPr>
  </w:style>
  <w:style w:type="paragraph" w:styleId="15">
    <w:name w:val="Body Text"/>
    <w:basedOn w:val="1"/>
    <w:link w:val="88"/>
    <w:qFormat/>
    <w:uiPriority w:val="0"/>
    <w:pPr>
      <w:spacing w:after="120"/>
    </w:pPr>
  </w:style>
  <w:style w:type="paragraph" w:styleId="16">
    <w:name w:val="toc 5"/>
    <w:basedOn w:val="1"/>
    <w:next w:val="1"/>
    <w:autoRedefine/>
    <w:unhideWhenUsed/>
    <w:qFormat/>
    <w:uiPriority w:val="39"/>
    <w:pPr>
      <w:ind w:left="839"/>
    </w:pPr>
    <w:rPr>
      <w:rFonts w:ascii="宋体"/>
    </w:rPr>
  </w:style>
  <w:style w:type="paragraph" w:styleId="17">
    <w:name w:val="toc 3"/>
    <w:basedOn w:val="1"/>
    <w:next w:val="1"/>
    <w:autoRedefine/>
    <w:unhideWhenUsed/>
    <w:qFormat/>
    <w:uiPriority w:val="39"/>
    <w:pPr>
      <w:spacing w:line="300" w:lineRule="exact"/>
      <w:ind w:left="420"/>
    </w:pPr>
    <w:rPr>
      <w:rFonts w:ascii="宋体"/>
    </w:rPr>
  </w:style>
  <w:style w:type="paragraph" w:styleId="18">
    <w:name w:val="Balloon Text"/>
    <w:basedOn w:val="1"/>
    <w:link w:val="47"/>
    <w:semiHidden/>
    <w:unhideWhenUsed/>
    <w:qFormat/>
    <w:uiPriority w:val="99"/>
    <w:rPr>
      <w:sz w:val="18"/>
      <w:szCs w:val="18"/>
    </w:rPr>
  </w:style>
  <w:style w:type="paragraph" w:styleId="19">
    <w:name w:val="footer"/>
    <w:basedOn w:val="1"/>
    <w:link w:val="46"/>
    <w:qFormat/>
    <w:uiPriority w:val="99"/>
    <w:pPr>
      <w:tabs>
        <w:tab w:val="center" w:pos="4153"/>
        <w:tab w:val="right" w:pos="8306"/>
      </w:tabs>
      <w:adjustRightInd/>
      <w:snapToGrid w:val="0"/>
      <w:spacing w:line="240" w:lineRule="auto"/>
      <w:jc w:val="right"/>
    </w:pPr>
    <w:rPr>
      <w:rFonts w:ascii="宋体"/>
      <w:sz w:val="18"/>
      <w:szCs w:val="18"/>
    </w:rPr>
  </w:style>
  <w:style w:type="paragraph" w:styleId="20">
    <w:name w:val="header"/>
    <w:basedOn w:val="1"/>
    <w:link w:val="45"/>
    <w:qFormat/>
    <w:uiPriority w:val="99"/>
    <w:pPr>
      <w:tabs>
        <w:tab w:val="center" w:pos="4153"/>
        <w:tab w:val="right" w:pos="8306"/>
      </w:tabs>
      <w:adjustRightInd/>
      <w:snapToGrid w:val="0"/>
      <w:jc w:val="center"/>
    </w:pPr>
    <w:rPr>
      <w:sz w:val="18"/>
      <w:szCs w:val="18"/>
    </w:rPr>
  </w:style>
  <w:style w:type="paragraph" w:styleId="21">
    <w:name w:val="toc 1"/>
    <w:basedOn w:val="1"/>
    <w:next w:val="1"/>
    <w:autoRedefine/>
    <w:unhideWhenUsed/>
    <w:qFormat/>
    <w:uiPriority w:val="39"/>
    <w:pPr>
      <w:tabs>
        <w:tab w:val="right" w:leader="dot" w:pos="9344"/>
      </w:tabs>
      <w:jc w:val="left"/>
    </w:pPr>
    <w:rPr>
      <w:rFonts w:ascii="宋体"/>
    </w:rPr>
  </w:style>
  <w:style w:type="paragraph" w:styleId="22">
    <w:name w:val="toc 4"/>
    <w:basedOn w:val="1"/>
    <w:next w:val="1"/>
    <w:autoRedefine/>
    <w:unhideWhenUsed/>
    <w:qFormat/>
    <w:uiPriority w:val="39"/>
    <w:pPr>
      <w:tabs>
        <w:tab w:val="right" w:leader="dot" w:pos="9344"/>
      </w:tabs>
      <w:spacing w:line="300" w:lineRule="exact"/>
      <w:ind w:left="629"/>
    </w:pPr>
    <w:rPr>
      <w:rFonts w:ascii="宋体"/>
    </w:rPr>
  </w:style>
  <w:style w:type="paragraph" w:styleId="23">
    <w:name w:val="footnote text"/>
    <w:basedOn w:val="1"/>
    <w:next w:val="1"/>
    <w:link w:val="101"/>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4">
    <w:name w:val="toc 6"/>
    <w:basedOn w:val="1"/>
    <w:next w:val="1"/>
    <w:autoRedefine/>
    <w:unhideWhenUsed/>
    <w:qFormat/>
    <w:uiPriority w:val="39"/>
    <w:pPr>
      <w:spacing w:line="300" w:lineRule="exact"/>
      <w:ind w:left="1049"/>
    </w:pPr>
    <w:rPr>
      <w:rFonts w:ascii="宋体"/>
    </w:rPr>
  </w:style>
  <w:style w:type="paragraph" w:styleId="25">
    <w:name w:val="table of figures"/>
    <w:basedOn w:val="1"/>
    <w:next w:val="1"/>
    <w:semiHidden/>
    <w:qFormat/>
    <w:uiPriority w:val="0"/>
    <w:pPr>
      <w:adjustRightInd/>
      <w:spacing w:line="240" w:lineRule="auto"/>
      <w:jc w:val="left"/>
    </w:pPr>
    <w:rPr>
      <w:szCs w:val="24"/>
    </w:rPr>
  </w:style>
  <w:style w:type="paragraph" w:styleId="26">
    <w:name w:val="toc 2"/>
    <w:basedOn w:val="1"/>
    <w:next w:val="1"/>
    <w:autoRedefine/>
    <w:unhideWhenUsed/>
    <w:qFormat/>
    <w:uiPriority w:val="39"/>
    <w:pPr>
      <w:tabs>
        <w:tab w:val="right" w:leader="dot" w:pos="9344"/>
      </w:tabs>
      <w:spacing w:line="300" w:lineRule="exact"/>
      <w:ind w:left="210"/>
    </w:pPr>
    <w:rPr>
      <w:rFonts w:ascii="宋体"/>
    </w:rPr>
  </w:style>
  <w:style w:type="paragraph" w:styleId="27">
    <w:name w:val="Title"/>
    <w:basedOn w:val="1"/>
    <w:link w:val="50"/>
    <w:qFormat/>
    <w:uiPriority w:val="0"/>
    <w:pPr>
      <w:spacing w:before="240" w:after="60"/>
      <w:jc w:val="center"/>
      <w:outlineLvl w:val="0"/>
    </w:pPr>
    <w:rPr>
      <w:rFonts w:ascii="Arial" w:hAnsi="Arial" w:cs="Arial"/>
      <w:b/>
      <w:bCs/>
      <w:sz w:val="32"/>
      <w:szCs w:val="32"/>
    </w:rPr>
  </w:style>
  <w:style w:type="table" w:styleId="29">
    <w:name w:val="Table Grid"/>
    <w:basedOn w:val="2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qFormat/>
    <w:uiPriority w:val="22"/>
    <w:rPr>
      <w:b/>
      <w:bCs/>
    </w:rPr>
  </w:style>
  <w:style w:type="character" w:styleId="32">
    <w:name w:val="page number"/>
    <w:qFormat/>
    <w:uiPriority w:val="0"/>
    <w:rPr>
      <w:rFonts w:ascii="宋体" w:hAnsi="Times New Roman" w:eastAsia="宋体"/>
      <w:sz w:val="18"/>
    </w:rPr>
  </w:style>
  <w:style w:type="character" w:styleId="33">
    <w:name w:val="Emphasis"/>
    <w:qFormat/>
    <w:uiPriority w:val="20"/>
    <w:rPr>
      <w:i/>
      <w:iCs/>
    </w:rPr>
  </w:style>
  <w:style w:type="character" w:styleId="34">
    <w:name w:val="Hyperlink"/>
    <w:qFormat/>
    <w:uiPriority w:val="99"/>
    <w:rPr>
      <w:rFonts w:ascii="宋体" w:hAnsi="Times New Roman" w:eastAsia="宋体"/>
      <w:color w:val="auto"/>
      <w:spacing w:val="0"/>
      <w:w w:val="100"/>
      <w:position w:val="0"/>
      <w:sz w:val="21"/>
      <w:u w:val="none"/>
      <w:vertAlign w:val="baseline"/>
    </w:rPr>
  </w:style>
  <w:style w:type="character" w:styleId="35">
    <w:name w:val="footnote reference"/>
    <w:semiHidden/>
    <w:qFormat/>
    <w:uiPriority w:val="0"/>
    <w:rPr>
      <w:rFonts w:ascii="宋体" w:hAnsi="宋体" w:eastAsia="宋体" w:cs="Times New Roman"/>
      <w:spacing w:val="0"/>
      <w:sz w:val="18"/>
      <w:vertAlign w:val="superscript"/>
    </w:rPr>
  </w:style>
  <w:style w:type="character" w:customStyle="1" w:styleId="36">
    <w:name w:val="标题 1 字符"/>
    <w:link w:val="4"/>
    <w:qFormat/>
    <w:uiPriority w:val="0"/>
    <w:rPr>
      <w:b/>
      <w:bCs/>
      <w:kern w:val="44"/>
      <w:sz w:val="44"/>
      <w:szCs w:val="44"/>
    </w:rPr>
  </w:style>
  <w:style w:type="character" w:customStyle="1" w:styleId="37">
    <w:name w:val="标题 2 字符"/>
    <w:link w:val="5"/>
    <w:qFormat/>
    <w:uiPriority w:val="0"/>
    <w:rPr>
      <w:rFonts w:ascii="Arial" w:hAnsi="Arial" w:eastAsia="黑体"/>
      <w:b/>
      <w:bCs/>
      <w:kern w:val="2"/>
      <w:sz w:val="32"/>
      <w:szCs w:val="32"/>
    </w:rPr>
  </w:style>
  <w:style w:type="character" w:customStyle="1" w:styleId="38">
    <w:name w:val="标题 3 字符"/>
    <w:link w:val="6"/>
    <w:qFormat/>
    <w:uiPriority w:val="0"/>
    <w:rPr>
      <w:b/>
      <w:bCs/>
      <w:kern w:val="2"/>
      <w:sz w:val="32"/>
      <w:szCs w:val="32"/>
    </w:rPr>
  </w:style>
  <w:style w:type="character" w:customStyle="1" w:styleId="39">
    <w:name w:val="标题 4 字符"/>
    <w:link w:val="7"/>
    <w:qFormat/>
    <w:uiPriority w:val="0"/>
    <w:rPr>
      <w:rFonts w:ascii="Arial" w:hAnsi="Arial" w:eastAsia="黑体"/>
      <w:b/>
      <w:bCs/>
      <w:kern w:val="2"/>
      <w:sz w:val="28"/>
      <w:szCs w:val="28"/>
    </w:rPr>
  </w:style>
  <w:style w:type="character" w:customStyle="1" w:styleId="40">
    <w:name w:val="标题 5 字符"/>
    <w:link w:val="8"/>
    <w:qFormat/>
    <w:uiPriority w:val="0"/>
    <w:rPr>
      <w:b/>
      <w:bCs/>
      <w:kern w:val="2"/>
      <w:sz w:val="28"/>
      <w:szCs w:val="28"/>
    </w:rPr>
  </w:style>
  <w:style w:type="character" w:customStyle="1" w:styleId="41">
    <w:name w:val="标题 6 字符"/>
    <w:link w:val="9"/>
    <w:qFormat/>
    <w:uiPriority w:val="0"/>
    <w:rPr>
      <w:rFonts w:ascii="Arial" w:hAnsi="Arial" w:eastAsia="黑体"/>
      <w:b/>
      <w:bCs/>
      <w:kern w:val="2"/>
      <w:sz w:val="24"/>
      <w:szCs w:val="24"/>
    </w:rPr>
  </w:style>
  <w:style w:type="character" w:customStyle="1" w:styleId="42">
    <w:name w:val="标题 7 字符"/>
    <w:link w:val="10"/>
    <w:qFormat/>
    <w:uiPriority w:val="0"/>
    <w:rPr>
      <w:b/>
      <w:bCs/>
      <w:kern w:val="2"/>
      <w:sz w:val="24"/>
      <w:szCs w:val="24"/>
    </w:rPr>
  </w:style>
  <w:style w:type="character" w:customStyle="1" w:styleId="43">
    <w:name w:val="标题 8 字符"/>
    <w:link w:val="11"/>
    <w:qFormat/>
    <w:uiPriority w:val="0"/>
    <w:rPr>
      <w:rFonts w:ascii="Arial" w:hAnsi="Arial" w:eastAsia="黑体"/>
      <w:kern w:val="2"/>
      <w:sz w:val="24"/>
      <w:szCs w:val="24"/>
    </w:rPr>
  </w:style>
  <w:style w:type="character" w:customStyle="1" w:styleId="44">
    <w:name w:val="标题 9 字符"/>
    <w:link w:val="12"/>
    <w:qFormat/>
    <w:uiPriority w:val="0"/>
    <w:rPr>
      <w:rFonts w:ascii="Arial" w:hAnsi="Arial" w:eastAsia="黑体"/>
      <w:kern w:val="2"/>
      <w:sz w:val="21"/>
      <w:szCs w:val="21"/>
    </w:rPr>
  </w:style>
  <w:style w:type="character" w:customStyle="1" w:styleId="45">
    <w:name w:val="页眉 字符"/>
    <w:link w:val="20"/>
    <w:qFormat/>
    <w:uiPriority w:val="99"/>
    <w:rPr>
      <w:kern w:val="2"/>
      <w:sz w:val="18"/>
      <w:szCs w:val="18"/>
    </w:rPr>
  </w:style>
  <w:style w:type="character" w:customStyle="1" w:styleId="46">
    <w:name w:val="页脚 字符"/>
    <w:link w:val="19"/>
    <w:qFormat/>
    <w:uiPriority w:val="99"/>
    <w:rPr>
      <w:rFonts w:ascii="宋体"/>
      <w:kern w:val="2"/>
      <w:sz w:val="18"/>
      <w:szCs w:val="18"/>
    </w:rPr>
  </w:style>
  <w:style w:type="character" w:customStyle="1" w:styleId="47">
    <w:name w:val="批注框文本 字符"/>
    <w:link w:val="18"/>
    <w:semiHidden/>
    <w:qFormat/>
    <w:uiPriority w:val="99"/>
    <w:rPr>
      <w:kern w:val="2"/>
      <w:sz w:val="18"/>
      <w:szCs w:val="18"/>
    </w:rPr>
  </w:style>
  <w:style w:type="paragraph" w:styleId="48">
    <w:name w:val="Quote"/>
    <w:basedOn w:val="1"/>
    <w:next w:val="1"/>
    <w:link w:val="49"/>
    <w:qFormat/>
    <w:uiPriority w:val="29"/>
    <w:rPr>
      <w:i/>
      <w:iCs/>
      <w:color w:val="000000"/>
    </w:rPr>
  </w:style>
  <w:style w:type="character" w:customStyle="1" w:styleId="49">
    <w:name w:val="引用 字符"/>
    <w:link w:val="48"/>
    <w:qFormat/>
    <w:uiPriority w:val="29"/>
    <w:rPr>
      <w:i/>
      <w:iCs/>
      <w:color w:val="000000"/>
      <w:kern w:val="2"/>
      <w:sz w:val="21"/>
      <w:szCs w:val="21"/>
    </w:rPr>
  </w:style>
  <w:style w:type="character" w:customStyle="1" w:styleId="50">
    <w:name w:val="标题 字符"/>
    <w:link w:val="27"/>
    <w:qFormat/>
    <w:uiPriority w:val="0"/>
    <w:rPr>
      <w:rFonts w:ascii="Arial" w:hAnsi="Arial" w:cs="Arial"/>
      <w:b/>
      <w:bCs/>
      <w:kern w:val="2"/>
      <w:sz w:val="32"/>
      <w:szCs w:val="32"/>
    </w:rPr>
  </w:style>
  <w:style w:type="paragraph" w:customStyle="1" w:styleId="51">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2">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3">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4">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5">
    <w:name w:val="标准书眉一"/>
    <w:qFormat/>
    <w:uiPriority w:val="0"/>
    <w:pPr>
      <w:jc w:val="both"/>
    </w:pPr>
    <w:rPr>
      <w:rFonts w:ascii="Times New Roman" w:hAnsi="Times New Roman" w:eastAsia="宋体" w:cs="Times New Roman"/>
      <w:lang w:val="en-US" w:eastAsia="zh-CN" w:bidi="ar-SA"/>
    </w:rPr>
  </w:style>
  <w:style w:type="paragraph" w:customStyle="1" w:styleId="56">
    <w:name w:val="标准文件_ICS"/>
    <w:basedOn w:val="1"/>
    <w:qFormat/>
    <w:uiPriority w:val="0"/>
    <w:pPr>
      <w:spacing w:line="0" w:lineRule="atLeast"/>
    </w:pPr>
    <w:rPr>
      <w:rFonts w:ascii="黑体" w:hAnsi="宋体" w:eastAsia="黑体"/>
    </w:rPr>
  </w:style>
  <w:style w:type="paragraph" w:customStyle="1" w:styleId="57">
    <w:name w:val="标准文件_标准正文"/>
    <w:basedOn w:val="1"/>
    <w:next w:val="58"/>
    <w:qFormat/>
    <w:uiPriority w:val="0"/>
    <w:pPr>
      <w:snapToGrid w:val="0"/>
      <w:ind w:firstLine="200" w:firstLineChars="200"/>
    </w:pPr>
    <w:rPr>
      <w:kern w:val="0"/>
    </w:rPr>
  </w:style>
  <w:style w:type="paragraph" w:customStyle="1" w:styleId="58">
    <w:name w:val="标准文件_段"/>
    <w:link w:val="186"/>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9">
    <w:name w:val="标准文件_版本"/>
    <w:basedOn w:val="57"/>
    <w:qFormat/>
    <w:uiPriority w:val="0"/>
    <w:pPr>
      <w:adjustRightInd/>
      <w:snapToGrid/>
      <w:ind w:firstLine="0" w:firstLineChars="0"/>
    </w:pPr>
    <w:rPr>
      <w:rFonts w:ascii="宋体" w:hAnsi="宋体"/>
      <w:kern w:val="2"/>
    </w:rPr>
  </w:style>
  <w:style w:type="paragraph" w:customStyle="1" w:styleId="60">
    <w:name w:val="标准文件_标准部门"/>
    <w:basedOn w:val="1"/>
    <w:qFormat/>
    <w:uiPriority w:val="0"/>
    <w:pPr>
      <w:jc w:val="center"/>
    </w:pPr>
    <w:rPr>
      <w:rFonts w:ascii="黑体" w:eastAsia="黑体"/>
      <w:kern w:val="0"/>
      <w:sz w:val="44"/>
    </w:rPr>
  </w:style>
  <w:style w:type="paragraph" w:customStyle="1" w:styleId="61">
    <w:name w:val="标准文件_标准代替"/>
    <w:basedOn w:val="1"/>
    <w:next w:val="1"/>
    <w:qFormat/>
    <w:uiPriority w:val="0"/>
    <w:pPr>
      <w:spacing w:line="310" w:lineRule="exact"/>
      <w:jc w:val="right"/>
    </w:pPr>
    <w:rPr>
      <w:rFonts w:ascii="宋体" w:hAnsi="宋体"/>
      <w:kern w:val="0"/>
    </w:rPr>
  </w:style>
  <w:style w:type="paragraph" w:customStyle="1" w:styleId="62">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3">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4">
    <w:name w:val="标准文件_页眉偶数页"/>
    <w:basedOn w:val="63"/>
    <w:next w:val="1"/>
    <w:qFormat/>
    <w:uiPriority w:val="0"/>
    <w:pPr>
      <w:jc w:val="left"/>
    </w:pPr>
  </w:style>
  <w:style w:type="paragraph" w:customStyle="1" w:styleId="65">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6">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7">
    <w:name w:val="标准文件_二级条标题"/>
    <w:next w:val="58"/>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8">
    <w:name w:val="标准文件_发布"/>
    <w:qFormat/>
    <w:uiPriority w:val="0"/>
    <w:rPr>
      <w:rFonts w:ascii="黑体" w:eastAsia="黑体"/>
      <w:spacing w:val="0"/>
      <w:w w:val="100"/>
      <w:position w:val="3"/>
      <w:sz w:val="28"/>
    </w:rPr>
  </w:style>
  <w:style w:type="paragraph" w:customStyle="1" w:styleId="69">
    <w:name w:val="标准文件_方框数字列项"/>
    <w:basedOn w:val="58"/>
    <w:qFormat/>
    <w:uiPriority w:val="0"/>
    <w:pPr>
      <w:numPr>
        <w:ilvl w:val="0"/>
        <w:numId w:val="3"/>
      </w:numPr>
      <w:ind w:firstLine="0" w:firstLineChars="0"/>
    </w:pPr>
  </w:style>
  <w:style w:type="paragraph" w:customStyle="1" w:styleId="70">
    <w:name w:val="标准文件_封面标准编号"/>
    <w:basedOn w:val="1"/>
    <w:next w:val="61"/>
    <w:qFormat/>
    <w:uiPriority w:val="0"/>
    <w:pPr>
      <w:spacing w:line="310" w:lineRule="exact"/>
      <w:jc w:val="right"/>
    </w:pPr>
    <w:rPr>
      <w:rFonts w:ascii="黑体" w:eastAsia="黑体"/>
      <w:kern w:val="0"/>
      <w:sz w:val="28"/>
    </w:rPr>
  </w:style>
  <w:style w:type="paragraph" w:customStyle="1" w:styleId="71">
    <w:name w:val="标准文件_封面标准分类号"/>
    <w:basedOn w:val="1"/>
    <w:qFormat/>
    <w:uiPriority w:val="0"/>
    <w:rPr>
      <w:rFonts w:ascii="黑体" w:eastAsia="黑体"/>
      <w:b/>
      <w:kern w:val="0"/>
      <w:sz w:val="28"/>
    </w:rPr>
  </w:style>
  <w:style w:type="paragraph" w:customStyle="1" w:styleId="72">
    <w:name w:val="标准文件_封面标准名称"/>
    <w:basedOn w:val="1"/>
    <w:qFormat/>
    <w:uiPriority w:val="0"/>
    <w:pPr>
      <w:spacing w:line="240" w:lineRule="auto"/>
      <w:jc w:val="center"/>
    </w:pPr>
    <w:rPr>
      <w:rFonts w:ascii="黑体" w:eastAsia="黑体"/>
      <w:kern w:val="0"/>
      <w:sz w:val="52"/>
    </w:rPr>
  </w:style>
  <w:style w:type="paragraph" w:customStyle="1" w:styleId="73">
    <w:name w:val="标准文件_封面标准英文名称"/>
    <w:basedOn w:val="1"/>
    <w:qFormat/>
    <w:uiPriority w:val="0"/>
    <w:pPr>
      <w:spacing w:line="240" w:lineRule="auto"/>
      <w:jc w:val="center"/>
    </w:pPr>
    <w:rPr>
      <w:rFonts w:ascii="黑体" w:eastAsia="黑体"/>
      <w:b/>
      <w:sz w:val="28"/>
    </w:rPr>
  </w:style>
  <w:style w:type="paragraph" w:customStyle="1" w:styleId="74">
    <w:name w:val="标准文件_封面发布日期"/>
    <w:basedOn w:val="1"/>
    <w:qFormat/>
    <w:uiPriority w:val="0"/>
    <w:pPr>
      <w:spacing w:line="310" w:lineRule="exact"/>
    </w:pPr>
    <w:rPr>
      <w:rFonts w:ascii="黑体" w:eastAsia="黑体"/>
      <w:kern w:val="0"/>
      <w:sz w:val="28"/>
    </w:rPr>
  </w:style>
  <w:style w:type="paragraph" w:customStyle="1" w:styleId="75">
    <w:name w:val="标准文件_封面密级"/>
    <w:basedOn w:val="1"/>
    <w:qFormat/>
    <w:uiPriority w:val="0"/>
    <w:rPr>
      <w:rFonts w:eastAsia="黑体"/>
      <w:sz w:val="32"/>
    </w:rPr>
  </w:style>
  <w:style w:type="paragraph" w:customStyle="1" w:styleId="76">
    <w:name w:val="标准文件_封面实施日期"/>
    <w:basedOn w:val="1"/>
    <w:qFormat/>
    <w:uiPriority w:val="0"/>
    <w:pPr>
      <w:spacing w:line="310" w:lineRule="exact"/>
      <w:jc w:val="right"/>
    </w:pPr>
    <w:rPr>
      <w:rFonts w:ascii="黑体" w:eastAsia="黑体"/>
      <w:sz w:val="28"/>
    </w:rPr>
  </w:style>
  <w:style w:type="paragraph" w:customStyle="1" w:styleId="77">
    <w:name w:val="标准文件_封面抬头"/>
    <w:basedOn w:val="58"/>
    <w:qFormat/>
    <w:uiPriority w:val="0"/>
    <w:pPr>
      <w:adjustRightInd w:val="0"/>
      <w:spacing w:line="800" w:lineRule="exact"/>
      <w:ind w:firstLine="0" w:firstLineChars="0"/>
      <w:jc w:val="distribute"/>
    </w:pPr>
    <w:rPr>
      <w:rFonts w:ascii="黑体" w:eastAsia="黑体"/>
      <w:b/>
      <w:sz w:val="64"/>
    </w:rPr>
  </w:style>
  <w:style w:type="paragraph" w:customStyle="1" w:styleId="78">
    <w:name w:val="标准文件_附录标识"/>
    <w:next w:val="58"/>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9">
    <w:name w:val="标准文件_附录表标题"/>
    <w:next w:val="58"/>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80">
    <w:name w:val="标准文件_附录一级条标题"/>
    <w:next w:val="58"/>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1">
    <w:name w:val="标准文件_附录二级条标题"/>
    <w:basedOn w:val="80"/>
    <w:next w:val="58"/>
    <w:qFormat/>
    <w:uiPriority w:val="0"/>
    <w:pPr>
      <w:widowControl/>
      <w:numPr>
        <w:ilvl w:val="2"/>
      </w:numPr>
      <w:wordWrap w:val="0"/>
      <w:overflowPunct w:val="0"/>
      <w:autoSpaceDE w:val="0"/>
      <w:autoSpaceDN w:val="0"/>
      <w:textAlignment w:val="baseline"/>
      <w:outlineLvl w:val="3"/>
    </w:pPr>
  </w:style>
  <w:style w:type="paragraph" w:customStyle="1" w:styleId="82">
    <w:name w:val="标准文件_附录公式"/>
    <w:basedOn w:val="57"/>
    <w:next w:val="57"/>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3">
    <w:name w:val="标准文件_附录三级条标题"/>
    <w:next w:val="58"/>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4">
    <w:name w:val="标准文件_附录四级条标题"/>
    <w:next w:val="58"/>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5">
    <w:name w:val="标准文件_附录图标题"/>
    <w:next w:val="58"/>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6">
    <w:name w:val="标准文件_附录五级条标题"/>
    <w:next w:val="58"/>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7">
    <w:name w:val="标准文件_附录英文标识"/>
    <w:next w:val="15"/>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8">
    <w:name w:val="正文文本 字符"/>
    <w:link w:val="15"/>
    <w:qFormat/>
    <w:uiPriority w:val="0"/>
    <w:rPr>
      <w:kern w:val="2"/>
      <w:sz w:val="21"/>
      <w:szCs w:val="21"/>
    </w:rPr>
  </w:style>
  <w:style w:type="paragraph" w:customStyle="1" w:styleId="89">
    <w:name w:val="标准文件_附录章标题"/>
    <w:next w:val="58"/>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0">
    <w:name w:val="标准文件_公式后的破折号"/>
    <w:basedOn w:val="58"/>
    <w:next w:val="58"/>
    <w:qFormat/>
    <w:uiPriority w:val="0"/>
    <w:pPr>
      <w:ind w:left="488" w:leftChars="200" w:hanging="289" w:hangingChars="290"/>
    </w:pPr>
  </w:style>
  <w:style w:type="paragraph" w:customStyle="1" w:styleId="91">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2">
    <w:name w:val="标准文件_目次、标准名称标题"/>
    <w:basedOn w:val="91"/>
    <w:next w:val="58"/>
    <w:qFormat/>
    <w:uiPriority w:val="0"/>
    <w:pPr>
      <w:spacing w:line="460" w:lineRule="exact"/>
      <w:ind w:left="0" w:firstLine="0"/>
    </w:pPr>
  </w:style>
  <w:style w:type="paragraph" w:customStyle="1" w:styleId="93">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4">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5">
    <w:name w:val="标准文件_破折号列项（二级）"/>
    <w:basedOn w:val="94"/>
    <w:qFormat/>
    <w:uiPriority w:val="0"/>
    <w:pPr>
      <w:numPr>
        <w:numId w:val="10"/>
      </w:numPr>
    </w:pPr>
  </w:style>
  <w:style w:type="paragraph" w:customStyle="1" w:styleId="96">
    <w:name w:val="标准文件_三级条标题"/>
    <w:basedOn w:val="67"/>
    <w:next w:val="58"/>
    <w:qFormat/>
    <w:uiPriority w:val="0"/>
    <w:pPr>
      <w:widowControl/>
      <w:numPr>
        <w:ilvl w:val="4"/>
      </w:numPr>
      <w:outlineLvl w:val="3"/>
    </w:pPr>
  </w:style>
  <w:style w:type="character" w:customStyle="1" w:styleId="97">
    <w:name w:val="不明显参考1"/>
    <w:qFormat/>
    <w:uiPriority w:val="31"/>
    <w:rPr>
      <w:smallCaps/>
      <w:color w:val="C0504D"/>
      <w:u w:val="single"/>
    </w:rPr>
  </w:style>
  <w:style w:type="paragraph" w:customStyle="1" w:styleId="98">
    <w:name w:val="标准文件_示例后续"/>
    <w:basedOn w:val="1"/>
    <w:qFormat/>
    <w:uiPriority w:val="0"/>
    <w:pPr>
      <w:adjustRightInd/>
      <w:spacing w:line="240" w:lineRule="auto"/>
      <w:ind w:firstLine="200" w:firstLineChars="200"/>
    </w:pPr>
    <w:rPr>
      <w:sz w:val="18"/>
      <w:szCs w:val="24"/>
    </w:rPr>
  </w:style>
  <w:style w:type="paragraph" w:customStyle="1" w:styleId="99">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100">
    <w:name w:val="标准文件_四级条标题"/>
    <w:next w:val="58"/>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1">
    <w:name w:val="脚注文本 字符"/>
    <w:link w:val="23"/>
    <w:semiHidden/>
    <w:qFormat/>
    <w:uiPriority w:val="0"/>
    <w:rPr>
      <w:rFonts w:ascii="宋体"/>
      <w:kern w:val="2"/>
      <w:sz w:val="18"/>
      <w:szCs w:val="18"/>
    </w:rPr>
  </w:style>
  <w:style w:type="paragraph" w:customStyle="1" w:styleId="102">
    <w:name w:val="标准文件_条文脚注"/>
    <w:basedOn w:val="23"/>
    <w:qFormat/>
    <w:uiPriority w:val="0"/>
    <w:pPr>
      <w:adjustRightInd w:val="0"/>
      <w:spacing w:line="240" w:lineRule="auto"/>
      <w:ind w:left="0" w:leftChars="0" w:firstLine="200" w:firstLineChars="200"/>
      <w:jc w:val="both"/>
    </w:pPr>
    <w:rPr>
      <w:rFonts w:hAnsi="宋体"/>
    </w:rPr>
  </w:style>
  <w:style w:type="paragraph" w:customStyle="1" w:styleId="103">
    <w:name w:val="标准文件_图表脚注"/>
    <w:basedOn w:val="1"/>
    <w:next w:val="58"/>
    <w:qFormat/>
    <w:uiPriority w:val="0"/>
    <w:pPr>
      <w:numPr>
        <w:ilvl w:val="0"/>
        <w:numId w:val="12"/>
      </w:numPr>
      <w:spacing w:line="240" w:lineRule="auto"/>
      <w:jc w:val="left"/>
    </w:pPr>
    <w:rPr>
      <w:rFonts w:ascii="宋体" w:hAnsi="宋体"/>
      <w:sz w:val="18"/>
    </w:rPr>
  </w:style>
  <w:style w:type="character" w:customStyle="1" w:styleId="104">
    <w:name w:val="标准文件_图表脚注内容"/>
    <w:qFormat/>
    <w:uiPriority w:val="0"/>
    <w:rPr>
      <w:rFonts w:ascii="宋体" w:hAnsi="宋体" w:eastAsia="宋体" w:cs="Times New Roman"/>
      <w:spacing w:val="0"/>
      <w:sz w:val="18"/>
      <w:vertAlign w:val="superscript"/>
    </w:rPr>
  </w:style>
  <w:style w:type="paragraph" w:customStyle="1" w:styleId="105">
    <w:name w:val="标准文件_五级条标题"/>
    <w:next w:val="58"/>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6">
    <w:name w:val="标准文件_章标题"/>
    <w:next w:val="58"/>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7">
    <w:name w:val="标准文件_一级条标题"/>
    <w:basedOn w:val="106"/>
    <w:next w:val="58"/>
    <w:qFormat/>
    <w:uiPriority w:val="0"/>
    <w:pPr>
      <w:numPr>
        <w:ilvl w:val="2"/>
      </w:numPr>
      <w:spacing w:before="50" w:beforeLines="50" w:after="50" w:afterLines="50"/>
      <w:outlineLvl w:val="1"/>
    </w:pPr>
  </w:style>
  <w:style w:type="paragraph" w:customStyle="1" w:styleId="108">
    <w:name w:val="标准文件_一致程度"/>
    <w:basedOn w:val="1"/>
    <w:qFormat/>
    <w:uiPriority w:val="0"/>
    <w:pPr>
      <w:spacing w:line="440" w:lineRule="exact"/>
      <w:jc w:val="center"/>
    </w:pPr>
    <w:rPr>
      <w:sz w:val="28"/>
    </w:rPr>
  </w:style>
  <w:style w:type="paragraph" w:customStyle="1" w:styleId="109">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0">
    <w:name w:val="标准文件_英文图表脚注"/>
    <w:basedOn w:val="57"/>
    <w:qFormat/>
    <w:uiPriority w:val="0"/>
    <w:pPr>
      <w:widowControl/>
      <w:adjustRightInd/>
      <w:snapToGrid/>
      <w:spacing w:line="240" w:lineRule="auto"/>
      <w:ind w:left="79" w:hanging="79" w:hangingChars="80"/>
    </w:pPr>
    <w:rPr>
      <w:rFonts w:ascii="宋体" w:hAnsi="宋体"/>
    </w:rPr>
  </w:style>
  <w:style w:type="paragraph" w:customStyle="1" w:styleId="111">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2">
    <w:name w:val="标准文件_英文注："/>
    <w:basedOn w:val="1"/>
    <w:next w:val="58"/>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3">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4">
    <w:name w:val="标准文件_正文表标题"/>
    <w:next w:val="58"/>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公式"/>
    <w:basedOn w:val="1"/>
    <w:next w:val="57"/>
    <w:qFormat/>
    <w:uiPriority w:val="0"/>
    <w:pPr>
      <w:tabs>
        <w:tab w:val="center" w:pos="4678"/>
        <w:tab w:val="right" w:leader="middleDot" w:pos="9356"/>
      </w:tabs>
      <w:spacing w:line="240" w:lineRule="auto"/>
    </w:pPr>
    <w:rPr>
      <w:rFonts w:ascii="宋体" w:hAnsi="宋体"/>
    </w:rPr>
  </w:style>
  <w:style w:type="paragraph" w:customStyle="1" w:styleId="116">
    <w:name w:val="标准文件_正文图标题"/>
    <w:next w:val="58"/>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7">
    <w:name w:val="标准文件_正文英文表标题"/>
    <w:next w:val="58"/>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8">
    <w:name w:val="标准文件_正文英文图标题"/>
    <w:next w:val="58"/>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9">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20">
    <w:name w:val="二级无标题条"/>
    <w:basedOn w:val="1"/>
    <w:qFormat/>
    <w:uiPriority w:val="0"/>
    <w:pPr>
      <w:numPr>
        <w:ilvl w:val="3"/>
        <w:numId w:val="20"/>
      </w:numPr>
      <w:adjustRightInd/>
      <w:spacing w:line="240" w:lineRule="auto"/>
    </w:pPr>
    <w:rPr>
      <w:rFonts w:ascii="宋体" w:hAnsi="宋体"/>
      <w:szCs w:val="24"/>
    </w:rPr>
  </w:style>
  <w:style w:type="paragraph" w:customStyle="1" w:styleId="121">
    <w:name w:val="发布部门"/>
    <w:next w:val="58"/>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2">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3">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5">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6">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7">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8">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9">
    <w:name w:val="封面正文"/>
    <w:qFormat/>
    <w:uiPriority w:val="0"/>
    <w:pPr>
      <w:jc w:val="both"/>
    </w:pPr>
    <w:rPr>
      <w:rFonts w:ascii="Times New Roman" w:hAnsi="Times New Roman" w:eastAsia="宋体" w:cs="Times New Roman"/>
      <w:lang w:val="en-US" w:eastAsia="zh-CN" w:bidi="ar-SA"/>
    </w:rPr>
  </w:style>
  <w:style w:type="paragraph" w:customStyle="1" w:styleId="130">
    <w:name w:val="附录二级无标题条"/>
    <w:basedOn w:val="1"/>
    <w:next w:val="58"/>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1">
    <w:name w:val="附录三级无标题条"/>
    <w:basedOn w:val="130"/>
    <w:next w:val="58"/>
    <w:qFormat/>
    <w:uiPriority w:val="0"/>
    <w:pPr>
      <w:outlineLvl w:val="4"/>
    </w:pPr>
  </w:style>
  <w:style w:type="paragraph" w:customStyle="1" w:styleId="132">
    <w:name w:val="附录四级无标题条"/>
    <w:basedOn w:val="131"/>
    <w:next w:val="58"/>
    <w:qFormat/>
    <w:uiPriority w:val="0"/>
    <w:pPr>
      <w:outlineLvl w:val="5"/>
    </w:pPr>
  </w:style>
  <w:style w:type="paragraph" w:customStyle="1" w:styleId="133">
    <w:name w:val="附录图"/>
    <w:next w:val="58"/>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4">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5">
    <w:name w:val="附录五级无标题条"/>
    <w:basedOn w:val="132"/>
    <w:next w:val="58"/>
    <w:qFormat/>
    <w:uiPriority w:val="0"/>
    <w:pPr>
      <w:outlineLvl w:val="6"/>
    </w:pPr>
  </w:style>
  <w:style w:type="paragraph" w:customStyle="1" w:styleId="136">
    <w:name w:val="附录性质"/>
    <w:basedOn w:val="1"/>
    <w:qFormat/>
    <w:uiPriority w:val="0"/>
    <w:pPr>
      <w:widowControl/>
      <w:adjustRightInd/>
      <w:jc w:val="center"/>
    </w:pPr>
    <w:rPr>
      <w:rFonts w:ascii="黑体" w:eastAsia="黑体"/>
    </w:rPr>
  </w:style>
  <w:style w:type="paragraph" w:customStyle="1" w:styleId="137">
    <w:name w:val="附录一级无标题条"/>
    <w:basedOn w:val="89"/>
    <w:next w:val="58"/>
    <w:qFormat/>
    <w:uiPriority w:val="0"/>
    <w:pPr>
      <w:autoSpaceDN w:val="0"/>
      <w:outlineLvl w:val="2"/>
    </w:pPr>
    <w:rPr>
      <w:rFonts w:ascii="宋体" w:hAnsi="宋体" w:eastAsia="宋体"/>
    </w:rPr>
  </w:style>
  <w:style w:type="character" w:customStyle="1" w:styleId="138">
    <w:name w:val="个人答复风格"/>
    <w:qFormat/>
    <w:uiPriority w:val="0"/>
    <w:rPr>
      <w:rFonts w:ascii="Arial" w:hAnsi="Arial" w:eastAsia="宋体" w:cs="Arial"/>
      <w:color w:val="auto"/>
      <w:spacing w:val="0"/>
      <w:sz w:val="20"/>
    </w:rPr>
  </w:style>
  <w:style w:type="character" w:customStyle="1" w:styleId="139">
    <w:name w:val="个人撰写风格"/>
    <w:qFormat/>
    <w:uiPriority w:val="0"/>
    <w:rPr>
      <w:rFonts w:ascii="Arial" w:hAnsi="Arial" w:eastAsia="宋体" w:cs="Arial"/>
      <w:color w:val="auto"/>
      <w:spacing w:val="0"/>
      <w:sz w:val="20"/>
    </w:rPr>
  </w:style>
  <w:style w:type="paragraph" w:customStyle="1" w:styleId="140">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41">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2">
    <w:name w:val="列项·"/>
    <w:basedOn w:val="58"/>
    <w:qFormat/>
    <w:uiPriority w:val="0"/>
    <w:pPr>
      <w:tabs>
        <w:tab w:val="left" w:pos="840"/>
      </w:tabs>
    </w:pPr>
  </w:style>
  <w:style w:type="paragraph" w:customStyle="1" w:styleId="143">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4">
    <w:name w:val="目录 21"/>
    <w:basedOn w:val="1"/>
    <w:next w:val="1"/>
    <w:autoRedefine/>
    <w:semiHidden/>
    <w:qFormat/>
    <w:uiPriority w:val="0"/>
    <w:pPr>
      <w:adjustRightInd/>
      <w:spacing w:line="240" w:lineRule="auto"/>
      <w:jc w:val="left"/>
    </w:pPr>
    <w:rPr>
      <w:bCs/>
      <w:iCs/>
    </w:rPr>
  </w:style>
  <w:style w:type="paragraph" w:customStyle="1" w:styleId="145">
    <w:name w:val="目录 31"/>
    <w:basedOn w:val="1"/>
    <w:next w:val="1"/>
    <w:autoRedefine/>
    <w:semiHidden/>
    <w:qFormat/>
    <w:uiPriority w:val="0"/>
    <w:pPr>
      <w:spacing w:line="240" w:lineRule="auto"/>
    </w:pPr>
    <w:rPr>
      <w:rFonts w:ascii="宋体" w:hAnsi="宋体"/>
      <w:iCs/>
    </w:rPr>
  </w:style>
  <w:style w:type="paragraph" w:customStyle="1" w:styleId="146">
    <w:name w:val="目录 41"/>
    <w:basedOn w:val="1"/>
    <w:next w:val="1"/>
    <w:autoRedefine/>
    <w:semiHidden/>
    <w:qFormat/>
    <w:uiPriority w:val="0"/>
    <w:pPr>
      <w:adjustRightInd/>
      <w:spacing w:line="240" w:lineRule="auto"/>
      <w:jc w:val="left"/>
    </w:pPr>
  </w:style>
  <w:style w:type="paragraph" w:customStyle="1" w:styleId="147">
    <w:name w:val="目录 51"/>
    <w:basedOn w:val="1"/>
    <w:next w:val="1"/>
    <w:autoRedefine/>
    <w:semiHidden/>
    <w:qFormat/>
    <w:uiPriority w:val="0"/>
    <w:pPr>
      <w:spacing w:line="240" w:lineRule="auto"/>
    </w:pPr>
    <w:rPr>
      <w:rFonts w:ascii="宋体" w:hAnsi="宋体"/>
    </w:rPr>
  </w:style>
  <w:style w:type="paragraph" w:customStyle="1" w:styleId="148">
    <w:name w:val="目录 61"/>
    <w:basedOn w:val="1"/>
    <w:next w:val="1"/>
    <w:autoRedefine/>
    <w:semiHidden/>
    <w:qFormat/>
    <w:uiPriority w:val="0"/>
    <w:pPr>
      <w:adjustRightInd/>
      <w:spacing w:line="240" w:lineRule="auto"/>
      <w:jc w:val="left"/>
    </w:pPr>
  </w:style>
  <w:style w:type="paragraph" w:customStyle="1" w:styleId="149">
    <w:name w:val="目录 71"/>
    <w:basedOn w:val="148"/>
    <w:autoRedefine/>
    <w:semiHidden/>
    <w:qFormat/>
    <w:uiPriority w:val="0"/>
    <w:pPr>
      <w:ind w:left="1260"/>
    </w:pPr>
  </w:style>
  <w:style w:type="paragraph" w:customStyle="1" w:styleId="150">
    <w:name w:val="目录 81"/>
    <w:basedOn w:val="149"/>
    <w:autoRedefine/>
    <w:semiHidden/>
    <w:qFormat/>
    <w:uiPriority w:val="0"/>
    <w:pPr>
      <w:ind w:left="1470"/>
    </w:pPr>
  </w:style>
  <w:style w:type="paragraph" w:customStyle="1" w:styleId="151">
    <w:name w:val="目录 91"/>
    <w:basedOn w:val="150"/>
    <w:autoRedefine/>
    <w:semiHidden/>
    <w:qFormat/>
    <w:uiPriority w:val="0"/>
    <w:pPr>
      <w:ind w:left="1680"/>
    </w:pPr>
  </w:style>
  <w:style w:type="paragraph" w:customStyle="1" w:styleId="152">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3">
    <w:name w:val="其他发布部门"/>
    <w:basedOn w:val="121"/>
    <w:qFormat/>
    <w:uiPriority w:val="0"/>
    <w:pPr>
      <w:framePr w:wrap="around"/>
      <w:spacing w:line="0" w:lineRule="atLeast"/>
    </w:pPr>
    <w:rPr>
      <w:rFonts w:ascii="黑体" w:eastAsia="黑体"/>
      <w:b w:val="0"/>
    </w:rPr>
  </w:style>
  <w:style w:type="paragraph" w:customStyle="1" w:styleId="154">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5">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6">
    <w:name w:val="实施日期"/>
    <w:basedOn w:val="122"/>
    <w:qFormat/>
    <w:uiPriority w:val="0"/>
    <w:pPr>
      <w:framePr w:hSpace="0" w:wrap="around" w:xAlign="right"/>
      <w:jc w:val="right"/>
    </w:pPr>
  </w:style>
  <w:style w:type="paragraph" w:customStyle="1" w:styleId="157">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8">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9">
    <w:name w:val="无标题条"/>
    <w:next w:val="58"/>
    <w:qFormat/>
    <w:uiPriority w:val="0"/>
    <w:pPr>
      <w:jc w:val="both"/>
    </w:pPr>
    <w:rPr>
      <w:rFonts w:ascii="宋体" w:hAnsi="宋体" w:eastAsia="宋体" w:cs="Times New Roman"/>
      <w:sz w:val="21"/>
      <w:lang w:val="en-US" w:eastAsia="zh-CN" w:bidi="ar-SA"/>
    </w:rPr>
  </w:style>
  <w:style w:type="paragraph" w:customStyle="1" w:styleId="160">
    <w:name w:val="五级无标题条"/>
    <w:basedOn w:val="1"/>
    <w:qFormat/>
    <w:uiPriority w:val="0"/>
    <w:pPr>
      <w:numPr>
        <w:ilvl w:val="6"/>
        <w:numId w:val="20"/>
      </w:numPr>
      <w:adjustRightInd/>
    </w:pPr>
    <w:rPr>
      <w:szCs w:val="24"/>
    </w:rPr>
  </w:style>
  <w:style w:type="paragraph" w:customStyle="1" w:styleId="161">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2">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3">
    <w:name w:val="注×:后续"/>
    <w:basedOn w:val="162"/>
    <w:qFormat/>
    <w:uiPriority w:val="0"/>
    <w:pPr>
      <w:ind w:left="1406" w:leftChars="0" w:hanging="499" w:firstLineChars="0"/>
    </w:pPr>
  </w:style>
  <w:style w:type="paragraph" w:customStyle="1" w:styleId="164">
    <w:name w:val="标准文件_一级无标题"/>
    <w:basedOn w:val="107"/>
    <w:qFormat/>
    <w:uiPriority w:val="0"/>
    <w:pPr>
      <w:spacing w:before="0" w:beforeLines="0" w:after="0" w:afterLines="0"/>
      <w:outlineLvl w:val="9"/>
    </w:pPr>
    <w:rPr>
      <w:rFonts w:ascii="宋体" w:eastAsia="宋体"/>
    </w:rPr>
  </w:style>
  <w:style w:type="paragraph" w:customStyle="1" w:styleId="165">
    <w:name w:val="标准文件_五级无标题"/>
    <w:basedOn w:val="105"/>
    <w:qFormat/>
    <w:uiPriority w:val="0"/>
    <w:pPr>
      <w:spacing w:before="0" w:beforeLines="0" w:after="0" w:afterLines="0"/>
      <w:outlineLvl w:val="9"/>
    </w:pPr>
    <w:rPr>
      <w:rFonts w:ascii="宋体" w:eastAsia="宋体"/>
    </w:rPr>
  </w:style>
  <w:style w:type="paragraph" w:customStyle="1" w:styleId="166">
    <w:name w:val="标准文件_三级无标题"/>
    <w:basedOn w:val="96"/>
    <w:qFormat/>
    <w:uiPriority w:val="0"/>
    <w:pPr>
      <w:spacing w:before="0" w:beforeLines="0" w:after="0" w:afterLines="0"/>
      <w:outlineLvl w:val="9"/>
    </w:pPr>
    <w:rPr>
      <w:rFonts w:ascii="宋体" w:eastAsia="宋体"/>
    </w:rPr>
  </w:style>
  <w:style w:type="paragraph" w:customStyle="1" w:styleId="167">
    <w:name w:val="标准文件_二级无标题"/>
    <w:basedOn w:val="67"/>
    <w:qFormat/>
    <w:uiPriority w:val="0"/>
    <w:pPr>
      <w:spacing w:before="0" w:beforeLines="0" w:after="0" w:afterLines="0"/>
      <w:outlineLvl w:val="9"/>
    </w:pPr>
    <w:rPr>
      <w:rFonts w:ascii="宋体" w:eastAsia="宋体"/>
    </w:rPr>
  </w:style>
  <w:style w:type="paragraph" w:customStyle="1" w:styleId="168">
    <w:name w:val="标准_四级无标题"/>
    <w:basedOn w:val="100"/>
    <w:next w:val="58"/>
    <w:qFormat/>
    <w:uiPriority w:val="0"/>
    <w:rPr>
      <w:rFonts w:eastAsia="宋体"/>
    </w:rPr>
  </w:style>
  <w:style w:type="paragraph" w:customStyle="1" w:styleId="169">
    <w:name w:val="标准文件_四级无标题"/>
    <w:basedOn w:val="100"/>
    <w:qFormat/>
    <w:uiPriority w:val="0"/>
    <w:pPr>
      <w:spacing w:before="0" w:beforeLines="0" w:after="0" w:afterLines="0"/>
      <w:outlineLvl w:val="9"/>
    </w:pPr>
    <w:rPr>
      <w:rFonts w:ascii="宋体" w:hAnsi="黑体" w:eastAsia="宋体"/>
      <w:szCs w:val="52"/>
    </w:rPr>
  </w:style>
  <w:style w:type="paragraph" w:customStyle="1" w:styleId="170">
    <w:name w:val="标准文件_大写罗马数字编号列项"/>
    <w:basedOn w:val="58"/>
    <w:qFormat/>
    <w:uiPriority w:val="0"/>
    <w:pPr>
      <w:numPr>
        <w:ilvl w:val="0"/>
        <w:numId w:val="23"/>
      </w:numPr>
      <w:ind w:firstLine="0" w:firstLineChars="0"/>
    </w:pPr>
    <w:rPr>
      <w:rFonts w:ascii="Times New Roman" w:cs="Arial"/>
      <w:szCs w:val="28"/>
    </w:rPr>
  </w:style>
  <w:style w:type="paragraph" w:customStyle="1" w:styleId="171">
    <w:name w:val="标准文件_小写罗马数字编号列项"/>
    <w:basedOn w:val="58"/>
    <w:qFormat/>
    <w:uiPriority w:val="0"/>
    <w:pPr>
      <w:numPr>
        <w:ilvl w:val="0"/>
        <w:numId w:val="24"/>
      </w:numPr>
      <w:ind w:firstLine="0" w:firstLineChars="0"/>
    </w:pPr>
    <w:rPr>
      <w:rFonts w:cs="Arial"/>
      <w:szCs w:val="28"/>
    </w:rPr>
  </w:style>
  <w:style w:type="paragraph" w:customStyle="1" w:styleId="172">
    <w:name w:val="标准文件_附录标题"/>
    <w:basedOn w:val="78"/>
    <w:qFormat/>
    <w:uiPriority w:val="0"/>
    <w:pPr>
      <w:numPr>
        <w:numId w:val="0"/>
      </w:numPr>
      <w:spacing w:after="280"/>
      <w:outlineLvl w:val="9"/>
    </w:pPr>
  </w:style>
  <w:style w:type="paragraph" w:customStyle="1" w:styleId="173">
    <w:name w:val="标准文件_二级项"/>
    <w:qFormat/>
    <w:uiPriority w:val="0"/>
    <w:rPr>
      <w:rFonts w:ascii="宋体" w:hAnsi="Times New Roman" w:eastAsia="宋体" w:cs="Times New Roman"/>
      <w:sz w:val="21"/>
      <w:lang w:val="en-US" w:eastAsia="zh-CN" w:bidi="ar-SA"/>
    </w:rPr>
  </w:style>
  <w:style w:type="paragraph" w:customStyle="1" w:styleId="174">
    <w:name w:val="标准文件_三级项"/>
    <w:basedOn w:val="1"/>
    <w:qFormat/>
    <w:uiPriority w:val="0"/>
    <w:pPr>
      <w:numPr>
        <w:ilvl w:val="2"/>
        <w:numId w:val="21"/>
      </w:numPr>
      <w:spacing w:line="536870612" w:lineRule="auto"/>
    </w:pPr>
    <w:rPr>
      <w:rFonts w:ascii="Times New Roman" w:hAnsi="Times New Roman"/>
    </w:rPr>
  </w:style>
  <w:style w:type="paragraph" w:customStyle="1" w:styleId="175">
    <w:name w:val="图表脚注说明"/>
    <w:basedOn w:val="1"/>
    <w:next w:val="58"/>
    <w:qFormat/>
    <w:uiPriority w:val="0"/>
    <w:pPr>
      <w:numPr>
        <w:ilvl w:val="0"/>
        <w:numId w:val="25"/>
      </w:numPr>
      <w:adjustRightInd/>
      <w:spacing w:line="240" w:lineRule="auto"/>
    </w:pPr>
    <w:rPr>
      <w:rFonts w:ascii="宋体" w:hAnsi="Times New Roman"/>
      <w:sz w:val="18"/>
      <w:szCs w:val="18"/>
    </w:rPr>
  </w:style>
  <w:style w:type="paragraph" w:customStyle="1" w:styleId="176">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7">
    <w:name w:val="标准文件_索引字母"/>
    <w:next w:val="58"/>
    <w:qFormat/>
    <w:uiPriority w:val="0"/>
    <w:pPr>
      <w:jc w:val="center"/>
    </w:pPr>
    <w:rPr>
      <w:rFonts w:ascii="宋体" w:hAnsi="宋体" w:eastAsia="Times New Roman" w:cs="Times New Roman"/>
      <w:b/>
      <w:kern w:val="2"/>
      <w:sz w:val="21"/>
      <w:lang w:val="en-US" w:eastAsia="zh-CN" w:bidi="ar-SA"/>
    </w:rPr>
  </w:style>
  <w:style w:type="paragraph" w:customStyle="1" w:styleId="178">
    <w:name w:val="标准文件_附录前"/>
    <w:next w:val="58"/>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9">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80">
    <w:name w:val="标准文件_表格"/>
    <w:basedOn w:val="58"/>
    <w:qFormat/>
    <w:uiPriority w:val="0"/>
    <w:pPr>
      <w:ind w:firstLine="0" w:firstLineChars="0"/>
      <w:jc w:val="center"/>
    </w:pPr>
    <w:rPr>
      <w:sz w:val="18"/>
    </w:rPr>
  </w:style>
  <w:style w:type="paragraph" w:customStyle="1" w:styleId="181">
    <w:name w:val="标准文件_注："/>
    <w:next w:val="58"/>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2">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3">
    <w:name w:val="标准文件_示例："/>
    <w:next w:val="184"/>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4">
    <w:name w:val="标准文件_示例内容"/>
    <w:basedOn w:val="58"/>
    <w:qFormat/>
    <w:uiPriority w:val="0"/>
    <w:pPr>
      <w:ind w:firstLine="420"/>
    </w:pPr>
    <w:rPr>
      <w:sz w:val="18"/>
    </w:rPr>
  </w:style>
  <w:style w:type="paragraph" w:customStyle="1" w:styleId="185">
    <w:name w:val="标准文件_示例×："/>
    <w:basedOn w:val="1"/>
    <w:next w:val="184"/>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6">
    <w:name w:val="标准文件_段 Char"/>
    <w:link w:val="58"/>
    <w:qFormat/>
    <w:uiPriority w:val="0"/>
    <w:rPr>
      <w:rFonts w:ascii="宋体" w:hAnsi="Times New Roman"/>
      <w:sz w:val="21"/>
    </w:rPr>
  </w:style>
  <w:style w:type="paragraph" w:customStyle="1" w:styleId="187">
    <w:name w:val="标准文件_表格续"/>
    <w:basedOn w:val="58"/>
    <w:next w:val="58"/>
    <w:qFormat/>
    <w:uiPriority w:val="0"/>
    <w:pPr>
      <w:jc w:val="center"/>
    </w:pPr>
    <w:rPr>
      <w:rFonts w:ascii="黑体" w:hAnsi="黑体" w:eastAsia="黑体"/>
    </w:rPr>
  </w:style>
  <w:style w:type="character" w:styleId="188">
    <w:name w:val="Placeholder Text"/>
    <w:basedOn w:val="30"/>
    <w:semiHidden/>
    <w:qFormat/>
    <w:uiPriority w:val="99"/>
    <w:rPr>
      <w:color w:val="808080"/>
    </w:rPr>
  </w:style>
  <w:style w:type="paragraph" w:customStyle="1" w:styleId="189">
    <w:name w:val="标准文件_二级项2"/>
    <w:basedOn w:val="58"/>
    <w:qFormat/>
    <w:uiPriority w:val="0"/>
    <w:pPr>
      <w:numPr>
        <w:ilvl w:val="1"/>
        <w:numId w:val="21"/>
      </w:numPr>
      <w:ind w:firstLine="0" w:firstLineChars="0"/>
    </w:pPr>
  </w:style>
  <w:style w:type="paragraph" w:customStyle="1" w:styleId="190">
    <w:name w:val="标准文件_三级项2"/>
    <w:basedOn w:val="58"/>
    <w:qFormat/>
    <w:uiPriority w:val="0"/>
    <w:pPr>
      <w:numPr>
        <w:ilvl w:val="0"/>
        <w:numId w:val="30"/>
      </w:numPr>
      <w:spacing w:line="300" w:lineRule="exact"/>
      <w:ind w:firstLineChars="0"/>
    </w:pPr>
    <w:rPr>
      <w:rFonts w:ascii="Times New Roman"/>
    </w:rPr>
  </w:style>
  <w:style w:type="paragraph" w:customStyle="1" w:styleId="191">
    <w:name w:val="标准文件_一级项2"/>
    <w:basedOn w:val="58"/>
    <w:qFormat/>
    <w:uiPriority w:val="0"/>
    <w:pPr>
      <w:numPr>
        <w:ilvl w:val="0"/>
        <w:numId w:val="31"/>
      </w:numPr>
      <w:spacing w:line="300" w:lineRule="exact"/>
      <w:ind w:firstLineChars="0"/>
    </w:pPr>
    <w:rPr>
      <w:rFonts w:ascii="Times New Roman"/>
    </w:rPr>
  </w:style>
  <w:style w:type="paragraph" w:customStyle="1" w:styleId="192">
    <w:name w:val="标准文件_提示"/>
    <w:basedOn w:val="58"/>
    <w:next w:val="58"/>
    <w:qFormat/>
    <w:uiPriority w:val="0"/>
    <w:pPr>
      <w:ind w:firstLine="420"/>
    </w:pPr>
    <w:rPr>
      <w:rFonts w:ascii="黑体" w:eastAsia="黑体"/>
    </w:rPr>
  </w:style>
  <w:style w:type="character" w:customStyle="1" w:styleId="193">
    <w:name w:val="标准文件_来源"/>
    <w:basedOn w:val="30"/>
    <w:qFormat/>
    <w:uiPriority w:val="1"/>
    <w:rPr>
      <w:rFonts w:eastAsia="宋体"/>
      <w:sz w:val="21"/>
    </w:rPr>
  </w:style>
  <w:style w:type="paragraph" w:customStyle="1" w:styleId="194">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5">
    <w:name w:val="其他发布日期"/>
    <w:basedOn w:val="122"/>
    <w:qFormat/>
    <w:uiPriority w:val="0"/>
    <w:pPr>
      <w:framePr w:w="3997" w:h="471" w:hRule="exact" w:hSpace="0" w:vSpace="181" w:wrap="around" w:vAnchor="page" w:hAnchor="page" w:x="1419" w:y="14097"/>
    </w:pPr>
  </w:style>
  <w:style w:type="paragraph" w:customStyle="1" w:styleId="196">
    <w:name w:val="其他实施日期"/>
    <w:basedOn w:val="156"/>
    <w:qFormat/>
    <w:uiPriority w:val="0"/>
    <w:pPr>
      <w:framePr w:w="3997" w:h="471" w:hRule="exact" w:vSpace="181" w:wrap="around" w:vAnchor="page" w:hAnchor="page" w:x="7089" w:y="14097"/>
    </w:pPr>
  </w:style>
  <w:style w:type="paragraph" w:customStyle="1" w:styleId="197">
    <w:name w:val="标准文件_文件编号"/>
    <w:basedOn w:val="58"/>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8">
    <w:name w:val="标准文件_替换文件编号"/>
    <w:basedOn w:val="197"/>
    <w:qFormat/>
    <w:uiPriority w:val="0"/>
    <w:pPr>
      <w:spacing w:before="57"/>
    </w:pPr>
    <w:rPr>
      <w:sz w:val="21"/>
    </w:rPr>
  </w:style>
  <w:style w:type="paragraph" w:customStyle="1" w:styleId="199">
    <w:name w:val="标准文件_文件名称"/>
    <w:basedOn w:val="58"/>
    <w:next w:val="58"/>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00">
    <w:name w:val="标准文件_附录图标号"/>
    <w:basedOn w:val="58"/>
    <w:next w:val="58"/>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1">
    <w:name w:val="标准文件_附录表标号"/>
    <w:basedOn w:val="58"/>
    <w:next w:val="58"/>
    <w:qFormat/>
    <w:uiPriority w:val="0"/>
    <w:pPr>
      <w:numPr>
        <w:ilvl w:val="0"/>
        <w:numId w:val="5"/>
      </w:numPr>
      <w:spacing w:line="14" w:lineRule="exact"/>
      <w:ind w:firstLine="0" w:firstLineChars="0"/>
      <w:jc w:val="center"/>
    </w:pPr>
    <w:rPr>
      <w:rFonts w:eastAsia="黑体"/>
      <w:vanish/>
      <w:sz w:val="2"/>
    </w:rPr>
  </w:style>
  <w:style w:type="paragraph" w:customStyle="1" w:styleId="202">
    <w:name w:val="标准文件_引言一级条标题"/>
    <w:basedOn w:val="58"/>
    <w:next w:val="58"/>
    <w:qFormat/>
    <w:uiPriority w:val="0"/>
    <w:pPr>
      <w:numPr>
        <w:ilvl w:val="1"/>
        <w:numId w:val="8"/>
      </w:numPr>
      <w:spacing w:before="50" w:beforeLines="50" w:after="50" w:afterLines="50"/>
      <w:ind w:firstLineChars="0"/>
    </w:pPr>
    <w:rPr>
      <w:rFonts w:ascii="黑体" w:eastAsia="黑体"/>
    </w:rPr>
  </w:style>
  <w:style w:type="paragraph" w:customStyle="1" w:styleId="203">
    <w:name w:val="标准文件_引言二级条标题"/>
    <w:basedOn w:val="58"/>
    <w:next w:val="58"/>
    <w:qFormat/>
    <w:uiPriority w:val="0"/>
    <w:pPr>
      <w:numPr>
        <w:ilvl w:val="2"/>
        <w:numId w:val="8"/>
      </w:numPr>
      <w:spacing w:before="50" w:beforeLines="50" w:after="50" w:afterLines="50"/>
      <w:ind w:firstLineChars="0"/>
    </w:pPr>
    <w:rPr>
      <w:rFonts w:ascii="黑体" w:eastAsia="黑体"/>
    </w:rPr>
  </w:style>
  <w:style w:type="paragraph" w:customStyle="1" w:styleId="204">
    <w:name w:val="标准文件_引言三级条标题"/>
    <w:basedOn w:val="58"/>
    <w:next w:val="58"/>
    <w:qFormat/>
    <w:uiPriority w:val="0"/>
    <w:pPr>
      <w:numPr>
        <w:ilvl w:val="3"/>
        <w:numId w:val="8"/>
      </w:numPr>
      <w:spacing w:before="50" w:beforeLines="50" w:after="50" w:afterLines="50"/>
      <w:ind w:firstLineChars="0"/>
    </w:pPr>
    <w:rPr>
      <w:rFonts w:ascii="黑体" w:eastAsia="黑体"/>
    </w:rPr>
  </w:style>
  <w:style w:type="paragraph" w:customStyle="1" w:styleId="205">
    <w:name w:val="标准文件_引言四级条标题"/>
    <w:basedOn w:val="58"/>
    <w:next w:val="58"/>
    <w:qFormat/>
    <w:uiPriority w:val="0"/>
    <w:pPr>
      <w:numPr>
        <w:ilvl w:val="4"/>
        <w:numId w:val="8"/>
      </w:numPr>
      <w:spacing w:before="50" w:beforeLines="50" w:after="50" w:afterLines="50"/>
      <w:ind w:firstLineChars="0"/>
    </w:pPr>
    <w:rPr>
      <w:rFonts w:ascii="黑体" w:eastAsia="黑体"/>
    </w:rPr>
  </w:style>
  <w:style w:type="paragraph" w:customStyle="1" w:styleId="206">
    <w:name w:val="标准文件_引言五级条标题"/>
    <w:basedOn w:val="58"/>
    <w:next w:val="58"/>
    <w:qFormat/>
    <w:uiPriority w:val="0"/>
    <w:pPr>
      <w:numPr>
        <w:ilvl w:val="5"/>
        <w:numId w:val="8"/>
      </w:numPr>
      <w:spacing w:before="50" w:beforeLines="50" w:after="50" w:afterLines="50"/>
      <w:ind w:firstLineChars="0"/>
    </w:pPr>
    <w:rPr>
      <w:rFonts w:ascii="黑体" w:eastAsia="黑体"/>
    </w:rPr>
  </w:style>
  <w:style w:type="paragraph" w:customStyle="1" w:styleId="207">
    <w:name w:val="标准文件_注后"/>
    <w:basedOn w:val="58"/>
    <w:qFormat/>
    <w:uiPriority w:val="0"/>
    <w:pPr>
      <w:ind w:left="811" w:firstLine="0" w:firstLineChars="0"/>
    </w:pPr>
    <w:rPr>
      <w:sz w:val="18"/>
    </w:rPr>
  </w:style>
  <w:style w:type="paragraph" w:customStyle="1" w:styleId="208">
    <w:name w:val="标准文件_注X后"/>
    <w:basedOn w:val="58"/>
    <w:qFormat/>
    <w:uiPriority w:val="0"/>
    <w:pPr>
      <w:ind w:left="811" w:firstLine="0" w:firstLineChars="0"/>
    </w:pPr>
    <w:rPr>
      <w:sz w:val="18"/>
    </w:rPr>
  </w:style>
  <w:style w:type="paragraph" w:customStyle="1" w:styleId="209">
    <w:name w:val="标准文件_示例后"/>
    <w:basedOn w:val="58"/>
    <w:qFormat/>
    <w:uiPriority w:val="0"/>
    <w:pPr>
      <w:ind w:left="964" w:firstLine="0" w:firstLineChars="0"/>
    </w:pPr>
    <w:rPr>
      <w:sz w:val="18"/>
    </w:rPr>
  </w:style>
  <w:style w:type="paragraph" w:customStyle="1" w:styleId="210">
    <w:name w:val="标准文件_示例X后"/>
    <w:basedOn w:val="58"/>
    <w:link w:val="211"/>
    <w:qFormat/>
    <w:uiPriority w:val="0"/>
    <w:pPr>
      <w:ind w:left="1049" w:firstLine="0" w:firstLineChars="0"/>
    </w:pPr>
    <w:rPr>
      <w:sz w:val="18"/>
    </w:rPr>
  </w:style>
  <w:style w:type="character" w:customStyle="1" w:styleId="211">
    <w:name w:val="标准文件_示例X后 字符"/>
    <w:basedOn w:val="186"/>
    <w:link w:val="210"/>
    <w:qFormat/>
    <w:uiPriority w:val="0"/>
    <w:rPr>
      <w:rFonts w:ascii="宋体" w:hAnsi="Times New Roman"/>
      <w:sz w:val="18"/>
    </w:rPr>
  </w:style>
  <w:style w:type="paragraph" w:customStyle="1" w:styleId="212">
    <w:name w:val="标准文件_索引项"/>
    <w:basedOn w:val="58"/>
    <w:next w:val="58"/>
    <w:qFormat/>
    <w:uiPriority w:val="0"/>
    <w:pPr>
      <w:tabs>
        <w:tab w:val="right" w:leader="dot" w:pos="9356"/>
      </w:tabs>
      <w:ind w:left="210" w:hanging="210" w:firstLineChars="0"/>
      <w:jc w:val="left"/>
    </w:pPr>
  </w:style>
  <w:style w:type="paragraph" w:customStyle="1" w:styleId="213">
    <w:name w:val="标准文件_附录一级无标题"/>
    <w:basedOn w:val="80"/>
    <w:qFormat/>
    <w:uiPriority w:val="0"/>
    <w:pPr>
      <w:spacing w:before="0" w:beforeLines="0" w:after="0" w:afterLines="0" w:line="276" w:lineRule="auto"/>
      <w:outlineLvl w:val="9"/>
    </w:pPr>
    <w:rPr>
      <w:rFonts w:ascii="宋体" w:eastAsia="宋体"/>
    </w:rPr>
  </w:style>
  <w:style w:type="paragraph" w:customStyle="1" w:styleId="214">
    <w:name w:val="标准文件_附录二级无标题"/>
    <w:basedOn w:val="81"/>
    <w:qFormat/>
    <w:uiPriority w:val="0"/>
    <w:pPr>
      <w:spacing w:before="0" w:beforeLines="0" w:after="0" w:afterLines="0" w:line="276" w:lineRule="auto"/>
      <w:outlineLvl w:val="9"/>
    </w:pPr>
    <w:rPr>
      <w:rFonts w:ascii="宋体" w:eastAsia="宋体"/>
    </w:rPr>
  </w:style>
  <w:style w:type="paragraph" w:customStyle="1" w:styleId="215">
    <w:name w:val="标准文件_附录三级无标题"/>
    <w:basedOn w:val="83"/>
    <w:qFormat/>
    <w:uiPriority w:val="0"/>
    <w:pPr>
      <w:spacing w:before="0" w:beforeLines="0" w:after="0" w:afterLines="0" w:line="276" w:lineRule="auto"/>
      <w:outlineLvl w:val="9"/>
    </w:pPr>
    <w:rPr>
      <w:rFonts w:ascii="宋体" w:eastAsia="宋体"/>
    </w:rPr>
  </w:style>
  <w:style w:type="paragraph" w:customStyle="1" w:styleId="216">
    <w:name w:val="标准文件_附录四级无标题"/>
    <w:basedOn w:val="84"/>
    <w:qFormat/>
    <w:uiPriority w:val="0"/>
    <w:pPr>
      <w:spacing w:before="0" w:beforeLines="0" w:after="0" w:afterLines="0" w:line="276" w:lineRule="auto"/>
      <w:outlineLvl w:val="9"/>
    </w:pPr>
    <w:rPr>
      <w:rFonts w:ascii="宋体" w:eastAsia="宋体"/>
    </w:rPr>
  </w:style>
  <w:style w:type="paragraph" w:customStyle="1" w:styleId="217">
    <w:name w:val="标准文件_附录五级无标题"/>
    <w:basedOn w:val="86"/>
    <w:qFormat/>
    <w:uiPriority w:val="0"/>
    <w:pPr>
      <w:spacing w:before="0" w:beforeLines="0" w:after="0" w:afterLines="0" w:line="276" w:lineRule="auto"/>
      <w:outlineLvl w:val="9"/>
    </w:pPr>
    <w:rPr>
      <w:rFonts w:ascii="宋体" w:eastAsia="宋体"/>
    </w:rPr>
  </w:style>
  <w:style w:type="paragraph" w:customStyle="1" w:styleId="218">
    <w:name w:val="标准文件_引言一级无标题"/>
    <w:basedOn w:val="202"/>
    <w:next w:val="58"/>
    <w:qFormat/>
    <w:uiPriority w:val="0"/>
    <w:pPr>
      <w:spacing w:before="0" w:beforeLines="0" w:after="0" w:afterLines="0" w:line="276" w:lineRule="auto"/>
    </w:pPr>
    <w:rPr>
      <w:rFonts w:ascii="宋体" w:eastAsia="宋体"/>
    </w:rPr>
  </w:style>
  <w:style w:type="paragraph" w:customStyle="1" w:styleId="219">
    <w:name w:val="标准文件_引言二级无标题"/>
    <w:basedOn w:val="203"/>
    <w:next w:val="58"/>
    <w:qFormat/>
    <w:uiPriority w:val="0"/>
    <w:pPr>
      <w:spacing w:before="0" w:beforeLines="0" w:after="0" w:afterLines="0" w:line="276" w:lineRule="auto"/>
    </w:pPr>
    <w:rPr>
      <w:rFonts w:ascii="宋体" w:eastAsia="宋体"/>
    </w:rPr>
  </w:style>
  <w:style w:type="paragraph" w:customStyle="1" w:styleId="220">
    <w:name w:val="标准文件_引言三级无标题"/>
    <w:basedOn w:val="204"/>
    <w:qFormat/>
    <w:uiPriority w:val="0"/>
    <w:pPr>
      <w:spacing w:before="0" w:beforeLines="0" w:after="0" w:afterLines="0" w:line="276" w:lineRule="auto"/>
    </w:pPr>
    <w:rPr>
      <w:rFonts w:ascii="宋体" w:eastAsia="宋体"/>
    </w:rPr>
  </w:style>
  <w:style w:type="paragraph" w:customStyle="1" w:styleId="221">
    <w:name w:val="标准文件_引言四级无标题"/>
    <w:basedOn w:val="205"/>
    <w:next w:val="58"/>
    <w:qFormat/>
    <w:uiPriority w:val="0"/>
    <w:pPr>
      <w:spacing w:before="0" w:beforeLines="0" w:after="0" w:afterLines="0" w:line="276" w:lineRule="auto"/>
    </w:pPr>
    <w:rPr>
      <w:rFonts w:ascii="宋体" w:eastAsia="宋体"/>
    </w:rPr>
  </w:style>
  <w:style w:type="paragraph" w:customStyle="1" w:styleId="222">
    <w:name w:val="标准文件_引言五级无标题"/>
    <w:basedOn w:val="206"/>
    <w:next w:val="58"/>
    <w:qFormat/>
    <w:uiPriority w:val="0"/>
    <w:pPr>
      <w:spacing w:before="0" w:beforeLines="0" w:after="0" w:afterLines="0" w:line="276" w:lineRule="auto"/>
    </w:pPr>
    <w:rPr>
      <w:rFonts w:ascii="宋体" w:eastAsia="宋体"/>
    </w:rPr>
  </w:style>
  <w:style w:type="paragraph" w:customStyle="1" w:styleId="223">
    <w:name w:val="标准文件_索引标题"/>
    <w:basedOn w:val="65"/>
    <w:next w:val="58"/>
    <w:qFormat/>
    <w:uiPriority w:val="0"/>
    <w:rPr>
      <w:rFonts w:hAnsi="黑体"/>
    </w:rPr>
  </w:style>
  <w:style w:type="paragraph" w:customStyle="1" w:styleId="224">
    <w:name w:val="标准文件_脚注内容"/>
    <w:basedOn w:val="58"/>
    <w:qFormat/>
    <w:uiPriority w:val="0"/>
    <w:pPr>
      <w:ind w:left="400" w:leftChars="200" w:hanging="200" w:hangingChars="200"/>
    </w:pPr>
    <w:rPr>
      <w:sz w:val="15"/>
    </w:rPr>
  </w:style>
  <w:style w:type="paragraph" w:customStyle="1" w:styleId="225">
    <w:name w:val="标准文件_术语条一"/>
    <w:basedOn w:val="164"/>
    <w:next w:val="58"/>
    <w:qFormat/>
    <w:uiPriority w:val="0"/>
  </w:style>
  <w:style w:type="paragraph" w:customStyle="1" w:styleId="226">
    <w:name w:val="标准文件_术语条二"/>
    <w:basedOn w:val="167"/>
    <w:next w:val="58"/>
    <w:qFormat/>
    <w:uiPriority w:val="0"/>
  </w:style>
  <w:style w:type="paragraph" w:customStyle="1" w:styleId="227">
    <w:name w:val="标准文件_术语条三"/>
    <w:basedOn w:val="166"/>
    <w:next w:val="58"/>
    <w:qFormat/>
    <w:uiPriority w:val="0"/>
  </w:style>
  <w:style w:type="paragraph" w:customStyle="1" w:styleId="228">
    <w:name w:val="标准文件_术语条四"/>
    <w:basedOn w:val="169"/>
    <w:next w:val="58"/>
    <w:qFormat/>
    <w:uiPriority w:val="0"/>
  </w:style>
  <w:style w:type="paragraph" w:customStyle="1" w:styleId="229">
    <w:name w:val="标准文件_术语条五"/>
    <w:basedOn w:val="165"/>
    <w:next w:val="58"/>
    <w:qFormat/>
    <w:uiPriority w:val="0"/>
  </w:style>
  <w:style w:type="paragraph" w:customStyle="1" w:styleId="230">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1">
    <w:name w:val="发布"/>
    <w:basedOn w:val="30"/>
    <w:qFormat/>
    <w:uiPriority w:val="0"/>
    <w:rPr>
      <w:rFonts w:ascii="黑体" w:eastAsia="黑体"/>
      <w:spacing w:val="85"/>
      <w:w w:val="100"/>
      <w:position w:val="3"/>
      <w:sz w:val="28"/>
      <w:szCs w:val="28"/>
    </w:rPr>
  </w:style>
  <w:style w:type="paragraph" w:customStyle="1" w:styleId="232">
    <w:name w:val="样式1"/>
    <w:basedOn w:val="1"/>
    <w:autoRedefine/>
    <w:qFormat/>
    <w:uiPriority w:val="0"/>
    <w:pPr>
      <w:adjustRightInd/>
      <w:spacing w:line="240" w:lineRule="auto"/>
      <w:jc w:val="center"/>
    </w:pPr>
    <w:rPr>
      <w:rFonts w:ascii="等线" w:hAnsi="等线" w:eastAsia="等线"/>
      <w:szCs w:val="24"/>
    </w:rPr>
  </w:style>
  <w:style w:type="paragraph" w:customStyle="1" w:styleId="233">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234">
    <w:name w:val="一级条标题"/>
    <w:next w:val="233"/>
    <w:qFormat/>
    <w:uiPriority w:val="0"/>
    <w:pPr>
      <w:numPr>
        <w:ilvl w:val="2"/>
        <w:numId w:val="32"/>
      </w:numPr>
      <w:outlineLvl w:val="2"/>
    </w:pPr>
    <w:rPr>
      <w:rFonts w:ascii="Times New Roman" w:hAnsi="Times New Roman" w:eastAsia="黑体" w:cs="Times New Roman"/>
      <w:sz w:val="21"/>
      <w:lang w:val="en-US" w:eastAsia="zh-CN" w:bidi="ar-SA"/>
    </w:rPr>
  </w:style>
  <w:style w:type="paragraph" w:customStyle="1" w:styleId="235">
    <w:name w:val="章标题"/>
    <w:next w:val="233"/>
    <w:qFormat/>
    <w:uiPriority w:val="99"/>
    <w:pPr>
      <w:numPr>
        <w:ilvl w:val="1"/>
        <w:numId w:val="32"/>
      </w:numPr>
      <w:spacing w:beforeLines="50" w:afterLines="50"/>
      <w:jc w:val="both"/>
      <w:outlineLvl w:val="1"/>
    </w:pPr>
    <w:rPr>
      <w:rFonts w:ascii="黑体" w:hAnsi="Times New Roman" w:eastAsia="黑体" w:cs="Times New Roman"/>
      <w:sz w:val="21"/>
      <w:lang w:val="en-US" w:eastAsia="zh-CN" w:bidi="ar-SA"/>
    </w:rPr>
  </w:style>
  <w:style w:type="table" w:customStyle="1" w:styleId="236">
    <w:name w:val="网格型1"/>
    <w:basedOn w:val="2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37">
    <w:name w:val="BN"/>
    <w:basedOn w:val="1"/>
    <w:qFormat/>
    <w:uiPriority w:val="0"/>
    <w:pPr>
      <w:widowControl/>
      <w:snapToGrid w:val="0"/>
      <w:spacing w:beforeLines="20" w:afterLines="20"/>
      <w:jc w:val="center"/>
    </w:pPr>
    <w:rPr>
      <w:rFonts w:ascii="Times" w:hAnsi="Times"/>
      <w:kern w:val="0"/>
      <w:sz w:val="18"/>
      <w:szCs w:val="18"/>
    </w:rPr>
  </w:style>
  <w:style w:type="paragraph" w:customStyle="1" w:styleId="238">
    <w:name w:val="二级条标题"/>
    <w:basedOn w:val="234"/>
    <w:next w:val="233"/>
    <w:qFormat/>
    <w:uiPriority w:val="99"/>
    <w:pPr>
      <w:numPr>
        <w:ilvl w:val="0"/>
        <w:numId w:val="0"/>
      </w:numPr>
      <w:outlineLvl w:val="3"/>
    </w:pPr>
  </w:style>
  <w:style w:type="paragraph" w:customStyle="1" w:styleId="239">
    <w:name w:val="Table Paragraph"/>
    <w:basedOn w:val="1"/>
    <w:autoRedefine/>
    <w:qFormat/>
    <w:uiPriority w:val="1"/>
    <w:pPr>
      <w:jc w:val="center"/>
    </w:pPr>
    <w:rPr>
      <w:rFonts w:ascii="宋体" w:hAnsi="宋体" w:cs="宋体"/>
      <w:lang w:eastAsia="en-US"/>
    </w:rPr>
  </w:style>
  <w:style w:type="paragraph" w:styleId="240">
    <w:name w:val="List Paragraph"/>
    <w:basedOn w:val="1"/>
    <w:qFormat/>
    <w:uiPriority w:val="34"/>
    <w:pPr>
      <w:ind w:firstLine="420" w:firstLineChars="200"/>
    </w:pPr>
  </w:style>
  <w:style w:type="table" w:customStyle="1" w:styleId="241">
    <w:name w:val="TableGrid"/>
    <w:autoRedefine/>
    <w:qFormat/>
    <w:uiPriority w:val="0"/>
    <w:rPr>
      <w:rFonts w:ascii="等线" w:hAnsi="等线" w:eastAsia="等线"/>
      <w:kern w:val="2"/>
      <w:sz w:val="21"/>
      <w:szCs w:val="21"/>
    </w:rPr>
    <w:tblPr>
      <w:tblCellMar>
        <w:top w:w="0" w:type="dxa"/>
        <w:left w:w="0" w:type="dxa"/>
        <w:bottom w:w="0" w:type="dxa"/>
        <w:right w:w="0" w:type="dxa"/>
      </w:tblCellMar>
    </w:tblPr>
  </w:style>
  <w:style w:type="paragraph" w:customStyle="1" w:styleId="242">
    <w:name w:val="_Style 15"/>
    <w:next w:val="1"/>
    <w:autoRedefine/>
    <w:qFormat/>
    <w:uiPriority w:val="34"/>
    <w:pPr>
      <w:widowControl w:val="0"/>
      <w:spacing w:line="240" w:lineRule="atLeast"/>
      <w:ind w:firstLine="420" w:firstLineChars="200"/>
      <w:jc w:val="center"/>
      <w:textAlignment w:val="top"/>
    </w:pPr>
    <w:rPr>
      <w:rFonts w:ascii="Calibri" w:hAnsi="Calibri" w:eastAsia="宋体" w:cs="Times New Roman"/>
      <w:kern w:val="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3" Type="http://schemas.openxmlformats.org/officeDocument/2006/relationships/glossaryDocument" Target="glossary/document.xml"/><Relationship Id="rId82" Type="http://schemas.openxmlformats.org/officeDocument/2006/relationships/fontTable" Target="fontTable.xml"/><Relationship Id="rId81" Type="http://schemas.openxmlformats.org/officeDocument/2006/relationships/numbering" Target="numbering.xml"/><Relationship Id="rId80" Type="http://schemas.openxmlformats.org/officeDocument/2006/relationships/customXml" Target="../customXml/item1.xml"/><Relationship Id="rId8" Type="http://schemas.openxmlformats.org/officeDocument/2006/relationships/footer" Target="footer2.xml"/><Relationship Id="rId79" Type="http://schemas.openxmlformats.org/officeDocument/2006/relationships/image" Target="media/image39.jpeg"/><Relationship Id="rId78" Type="http://schemas.openxmlformats.org/officeDocument/2006/relationships/image" Target="media/image38.png"/><Relationship Id="rId77" Type="http://schemas.openxmlformats.org/officeDocument/2006/relationships/image" Target="media/image37.png"/><Relationship Id="rId76" Type="http://schemas.openxmlformats.org/officeDocument/2006/relationships/image" Target="media/image36.png"/><Relationship Id="rId75" Type="http://schemas.openxmlformats.org/officeDocument/2006/relationships/image" Target="media/image35.png"/><Relationship Id="rId74" Type="http://schemas.openxmlformats.org/officeDocument/2006/relationships/image" Target="media/image34.jpeg"/><Relationship Id="rId73" Type="http://schemas.openxmlformats.org/officeDocument/2006/relationships/image" Target="media/image33.png"/><Relationship Id="rId72" Type="http://schemas.openxmlformats.org/officeDocument/2006/relationships/image" Target="media/image32.png"/><Relationship Id="rId71" Type="http://schemas.openxmlformats.org/officeDocument/2006/relationships/oleObject" Target="embeddings/oleObject19.bin"/><Relationship Id="rId70" Type="http://schemas.openxmlformats.org/officeDocument/2006/relationships/image" Target="media/image31.wmf"/><Relationship Id="rId7" Type="http://schemas.openxmlformats.org/officeDocument/2006/relationships/footer" Target="footer1.xml"/><Relationship Id="rId69" Type="http://schemas.openxmlformats.org/officeDocument/2006/relationships/oleObject" Target="embeddings/oleObject18.bin"/><Relationship Id="rId68" Type="http://schemas.openxmlformats.org/officeDocument/2006/relationships/image" Target="media/image30.jpeg"/><Relationship Id="rId67" Type="http://schemas.openxmlformats.org/officeDocument/2006/relationships/image" Target="media/image29.jpeg"/><Relationship Id="rId66" Type="http://schemas.openxmlformats.org/officeDocument/2006/relationships/image" Target="media/image28.jpeg"/><Relationship Id="rId65" Type="http://schemas.openxmlformats.org/officeDocument/2006/relationships/image" Target="media/image27.jpeg"/><Relationship Id="rId64" Type="http://schemas.openxmlformats.org/officeDocument/2006/relationships/image" Target="media/image26.jpeg"/><Relationship Id="rId63" Type="http://schemas.openxmlformats.org/officeDocument/2006/relationships/image" Target="media/image25.png"/><Relationship Id="rId62" Type="http://schemas.openxmlformats.org/officeDocument/2006/relationships/image" Target="media/image24.jpeg"/><Relationship Id="rId61" Type="http://schemas.openxmlformats.org/officeDocument/2006/relationships/image" Target="media/image23.png"/><Relationship Id="rId60" Type="http://schemas.openxmlformats.org/officeDocument/2006/relationships/image" Target="media/image22.png"/><Relationship Id="rId6" Type="http://schemas.openxmlformats.org/officeDocument/2006/relationships/header" Target="header2.xml"/><Relationship Id="rId59" Type="http://schemas.openxmlformats.org/officeDocument/2006/relationships/image" Target="media/image21.png"/><Relationship Id="rId58" Type="http://schemas.openxmlformats.org/officeDocument/2006/relationships/image" Target="media/image20.png"/><Relationship Id="rId57" Type="http://schemas.openxmlformats.org/officeDocument/2006/relationships/image" Target="media/image19.png"/><Relationship Id="rId56" Type="http://schemas.openxmlformats.org/officeDocument/2006/relationships/image" Target="media/image18.png"/><Relationship Id="rId55" Type="http://schemas.openxmlformats.org/officeDocument/2006/relationships/image" Target="media/image17.png"/><Relationship Id="rId54" Type="http://schemas.openxmlformats.org/officeDocument/2006/relationships/image" Target="media/image16.wmf"/><Relationship Id="rId53" Type="http://schemas.openxmlformats.org/officeDocument/2006/relationships/oleObject" Target="embeddings/oleObject17.bin"/><Relationship Id="rId52" Type="http://schemas.openxmlformats.org/officeDocument/2006/relationships/image" Target="media/image15.wmf"/><Relationship Id="rId51" Type="http://schemas.openxmlformats.org/officeDocument/2006/relationships/oleObject" Target="embeddings/oleObject16.bin"/><Relationship Id="rId50" Type="http://schemas.openxmlformats.org/officeDocument/2006/relationships/image" Target="media/image14.wmf"/><Relationship Id="rId5" Type="http://schemas.openxmlformats.org/officeDocument/2006/relationships/header" Target="header1.xml"/><Relationship Id="rId49" Type="http://schemas.openxmlformats.org/officeDocument/2006/relationships/oleObject" Target="embeddings/oleObject15.bin"/><Relationship Id="rId48" Type="http://schemas.openxmlformats.org/officeDocument/2006/relationships/image" Target="media/image13.wmf"/><Relationship Id="rId47" Type="http://schemas.openxmlformats.org/officeDocument/2006/relationships/oleObject" Target="embeddings/oleObject14.bin"/><Relationship Id="rId46" Type="http://schemas.openxmlformats.org/officeDocument/2006/relationships/image" Target="media/image12.wmf"/><Relationship Id="rId45" Type="http://schemas.openxmlformats.org/officeDocument/2006/relationships/oleObject" Target="embeddings/oleObject13.bin"/><Relationship Id="rId44" Type="http://schemas.openxmlformats.org/officeDocument/2006/relationships/image" Target="media/image11.wmf"/><Relationship Id="rId43" Type="http://schemas.openxmlformats.org/officeDocument/2006/relationships/oleObject" Target="embeddings/oleObject12.bin"/><Relationship Id="rId42" Type="http://schemas.openxmlformats.org/officeDocument/2006/relationships/image" Target="media/image10.wmf"/><Relationship Id="rId41" Type="http://schemas.openxmlformats.org/officeDocument/2006/relationships/oleObject" Target="embeddings/oleObject11.bin"/><Relationship Id="rId40" Type="http://schemas.openxmlformats.org/officeDocument/2006/relationships/image" Target="media/image9.wmf"/><Relationship Id="rId4" Type="http://schemas.openxmlformats.org/officeDocument/2006/relationships/endnotes" Target="endnotes.xml"/><Relationship Id="rId39" Type="http://schemas.openxmlformats.org/officeDocument/2006/relationships/oleObject" Target="embeddings/oleObject10.bin"/><Relationship Id="rId38" Type="http://schemas.openxmlformats.org/officeDocument/2006/relationships/image" Target="media/image8.wmf"/><Relationship Id="rId37" Type="http://schemas.openxmlformats.org/officeDocument/2006/relationships/oleObject" Target="embeddings/oleObject9.bin"/><Relationship Id="rId36" Type="http://schemas.openxmlformats.org/officeDocument/2006/relationships/image" Target="media/image7.wmf"/><Relationship Id="rId35" Type="http://schemas.openxmlformats.org/officeDocument/2006/relationships/oleObject" Target="embeddings/oleObject8.bin"/><Relationship Id="rId34" Type="http://schemas.openxmlformats.org/officeDocument/2006/relationships/image" Target="media/image6.wmf"/><Relationship Id="rId33" Type="http://schemas.openxmlformats.org/officeDocument/2006/relationships/oleObject" Target="embeddings/oleObject7.bin"/><Relationship Id="rId32" Type="http://schemas.openxmlformats.org/officeDocument/2006/relationships/image" Target="media/image5.wmf"/><Relationship Id="rId31" Type="http://schemas.openxmlformats.org/officeDocument/2006/relationships/oleObject" Target="embeddings/oleObject6.bin"/><Relationship Id="rId30" Type="http://schemas.openxmlformats.org/officeDocument/2006/relationships/image" Target="media/image4.wmf"/><Relationship Id="rId3" Type="http://schemas.openxmlformats.org/officeDocument/2006/relationships/footnotes" Target="footnotes.xml"/><Relationship Id="rId29" Type="http://schemas.openxmlformats.org/officeDocument/2006/relationships/oleObject" Target="embeddings/oleObject5.bin"/><Relationship Id="rId28" Type="http://schemas.openxmlformats.org/officeDocument/2006/relationships/image" Target="media/image3.wmf"/><Relationship Id="rId27" Type="http://schemas.openxmlformats.org/officeDocument/2006/relationships/oleObject" Target="embeddings/oleObject4.bin"/><Relationship Id="rId26" Type="http://schemas.openxmlformats.org/officeDocument/2006/relationships/oleObject" Target="embeddings/oleObject3.bin"/><Relationship Id="rId25" Type="http://schemas.openxmlformats.org/officeDocument/2006/relationships/image" Target="media/image2.wmf"/><Relationship Id="rId24" Type="http://schemas.openxmlformats.org/officeDocument/2006/relationships/oleObject" Target="embeddings/oleObject2.bin"/><Relationship Id="rId23" Type="http://schemas.openxmlformats.org/officeDocument/2006/relationships/image" Target="media/image1.wmf"/><Relationship Id="rId22" Type="http://schemas.openxmlformats.org/officeDocument/2006/relationships/oleObject" Target="embeddings/oleObject1.bin"/><Relationship Id="rId21" Type="http://schemas.openxmlformats.org/officeDocument/2006/relationships/theme" Target="theme/theme1.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footer" Target="footer7.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FB2B3BD321441268821A001E40BDF0A"/>
        <w:style w:val=""/>
        <w:category>
          <w:name w:val="常规"/>
          <w:gallery w:val="placeholder"/>
        </w:category>
        <w:types>
          <w:type w:val="bbPlcHdr"/>
        </w:types>
        <w:behaviors>
          <w:behavior w:val="content"/>
        </w:behaviors>
        <w:description w:val=""/>
        <w:guid w:val="{C5A98043-C22C-44A6-9330-D42DCC940553}"/>
      </w:docPartPr>
      <w:docPartBody>
        <w:p w14:paraId="283B35F0">
          <w:pPr>
            <w:pStyle w:val="5"/>
            <w:rPr>
              <w:rFonts w:hint="eastAsia"/>
            </w:rPr>
          </w:pPr>
          <w:r>
            <w:rPr>
              <w:rStyle w:val="4"/>
              <w:rFonts w:hint="eastAsia"/>
            </w:rPr>
            <w:t>单击或点击此处输入文字。</w:t>
          </w:r>
        </w:p>
      </w:docPartBody>
    </w:docPart>
    <w:docPart>
      <w:docPartPr>
        <w:name w:val="EAC25B1303F84788A1F4AF6E6349250A"/>
        <w:style w:val=""/>
        <w:category>
          <w:name w:val="常规"/>
          <w:gallery w:val="placeholder"/>
        </w:category>
        <w:types>
          <w:type w:val="bbPlcHdr"/>
        </w:types>
        <w:behaviors>
          <w:behavior w:val="content"/>
        </w:behaviors>
        <w:description w:val=""/>
        <w:guid w:val="{6427FB5E-7AF3-4938-A353-933B818CC9D5}"/>
      </w:docPartPr>
      <w:docPartBody>
        <w:p w14:paraId="12044922">
          <w:pPr>
            <w:pStyle w:val="6"/>
            <w:rPr>
              <w:rFonts w:hint="eastAsia"/>
            </w:rPr>
          </w:pPr>
          <w:r>
            <w:rPr>
              <w:rStyle w:val="4"/>
              <w:rFonts w:hint="eastAsia"/>
            </w:rPr>
            <w:t>选择一项。</w:t>
          </w:r>
        </w:p>
      </w:docPartBody>
    </w:docPart>
    <w:docPart>
      <w:docPartPr>
        <w:name w:val="87BC8227F5214B2DA775314FC650F449"/>
        <w:style w:val=""/>
        <w:category>
          <w:name w:val="常规"/>
          <w:gallery w:val="placeholder"/>
        </w:category>
        <w:types>
          <w:type w:val="bbPlcHdr"/>
        </w:types>
        <w:behaviors>
          <w:behavior w:val="content"/>
        </w:behaviors>
        <w:description w:val=""/>
        <w:guid w:val="{AF563927-07C8-44EA-9D71-9A89CFA64788}"/>
      </w:docPartPr>
      <w:docPartBody>
        <w:p w14:paraId="6A83A694">
          <w:pPr>
            <w:pStyle w:val="7"/>
            <w:rPr>
              <w:rFonts w:hint="eastAsia"/>
            </w:rPr>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F59"/>
    <w:rsid w:val="000010F1"/>
    <w:rsid w:val="00040B7E"/>
    <w:rsid w:val="00060BCB"/>
    <w:rsid w:val="00086D76"/>
    <w:rsid w:val="000A528A"/>
    <w:rsid w:val="000D0E76"/>
    <w:rsid w:val="000E3E71"/>
    <w:rsid w:val="000E6D04"/>
    <w:rsid w:val="000F1C66"/>
    <w:rsid w:val="000F5707"/>
    <w:rsid w:val="0015082D"/>
    <w:rsid w:val="001540A2"/>
    <w:rsid w:val="001871B7"/>
    <w:rsid w:val="001F4FD5"/>
    <w:rsid w:val="00210A2E"/>
    <w:rsid w:val="00253699"/>
    <w:rsid w:val="0025793A"/>
    <w:rsid w:val="00266B41"/>
    <w:rsid w:val="00273FE8"/>
    <w:rsid w:val="00275537"/>
    <w:rsid w:val="002B290E"/>
    <w:rsid w:val="002C6E0A"/>
    <w:rsid w:val="003025C5"/>
    <w:rsid w:val="003824D6"/>
    <w:rsid w:val="003A417C"/>
    <w:rsid w:val="003B6597"/>
    <w:rsid w:val="00417E2C"/>
    <w:rsid w:val="004365D0"/>
    <w:rsid w:val="00446786"/>
    <w:rsid w:val="004475CF"/>
    <w:rsid w:val="004679E5"/>
    <w:rsid w:val="004902E0"/>
    <w:rsid w:val="004A729B"/>
    <w:rsid w:val="004F55A0"/>
    <w:rsid w:val="00504FA1"/>
    <w:rsid w:val="0051353D"/>
    <w:rsid w:val="00516DFF"/>
    <w:rsid w:val="00541427"/>
    <w:rsid w:val="005641D2"/>
    <w:rsid w:val="00581157"/>
    <w:rsid w:val="005A4C7F"/>
    <w:rsid w:val="005C4E3E"/>
    <w:rsid w:val="005C6545"/>
    <w:rsid w:val="00606FE9"/>
    <w:rsid w:val="00652030"/>
    <w:rsid w:val="006616A0"/>
    <w:rsid w:val="006904B4"/>
    <w:rsid w:val="00696081"/>
    <w:rsid w:val="006A19B2"/>
    <w:rsid w:val="006C6865"/>
    <w:rsid w:val="006E7BC4"/>
    <w:rsid w:val="006F2C8F"/>
    <w:rsid w:val="006F38B5"/>
    <w:rsid w:val="00713E4F"/>
    <w:rsid w:val="007510C7"/>
    <w:rsid w:val="007762EE"/>
    <w:rsid w:val="00784F59"/>
    <w:rsid w:val="007C21F7"/>
    <w:rsid w:val="00845636"/>
    <w:rsid w:val="00847945"/>
    <w:rsid w:val="0087246C"/>
    <w:rsid w:val="0087578A"/>
    <w:rsid w:val="00944D72"/>
    <w:rsid w:val="009466D6"/>
    <w:rsid w:val="0096295E"/>
    <w:rsid w:val="00966F9E"/>
    <w:rsid w:val="009C0C2F"/>
    <w:rsid w:val="009F54E9"/>
    <w:rsid w:val="00A34246"/>
    <w:rsid w:val="00A377FD"/>
    <w:rsid w:val="00A651E4"/>
    <w:rsid w:val="00A80139"/>
    <w:rsid w:val="00A80F8E"/>
    <w:rsid w:val="00A90917"/>
    <w:rsid w:val="00AA7E7D"/>
    <w:rsid w:val="00AF48DF"/>
    <w:rsid w:val="00AF4C46"/>
    <w:rsid w:val="00AF7EBF"/>
    <w:rsid w:val="00B3074D"/>
    <w:rsid w:val="00B7012E"/>
    <w:rsid w:val="00BA5162"/>
    <w:rsid w:val="00BB6184"/>
    <w:rsid w:val="00BD0030"/>
    <w:rsid w:val="00BE7F41"/>
    <w:rsid w:val="00C0006B"/>
    <w:rsid w:val="00C043E6"/>
    <w:rsid w:val="00C11591"/>
    <w:rsid w:val="00C153F2"/>
    <w:rsid w:val="00C25698"/>
    <w:rsid w:val="00C37107"/>
    <w:rsid w:val="00C607A2"/>
    <w:rsid w:val="00C76B8A"/>
    <w:rsid w:val="00CB03CC"/>
    <w:rsid w:val="00CC4650"/>
    <w:rsid w:val="00CD4B61"/>
    <w:rsid w:val="00D11E51"/>
    <w:rsid w:val="00D23237"/>
    <w:rsid w:val="00D31166"/>
    <w:rsid w:val="00D4431B"/>
    <w:rsid w:val="00D45153"/>
    <w:rsid w:val="00D46011"/>
    <w:rsid w:val="00D6145B"/>
    <w:rsid w:val="00DC3941"/>
    <w:rsid w:val="00E53F96"/>
    <w:rsid w:val="00E60311"/>
    <w:rsid w:val="00E77728"/>
    <w:rsid w:val="00F230C0"/>
    <w:rsid w:val="00F3546C"/>
    <w:rsid w:val="00F5078E"/>
    <w:rsid w:val="00F850F6"/>
    <w:rsid w:val="00FB0843"/>
    <w:rsid w:val="00FF26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3FB2B3BD321441268821A001E40BDF0A"/>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6">
    <w:name w:val="EAC25B1303F84788A1F4AF6E6349250A"/>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7">
    <w:name w:val="87BC8227F5214B2DA775314FC650F449"/>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团体标准</Template>
  <Company>PCMI</Company>
  <Pages>37</Pages>
  <Words>240</Words>
  <Characters>370</Characters>
  <Lines>1081</Lines>
  <Paragraphs>1416</Paragraphs>
  <TotalTime>2</TotalTime>
  <ScaleCrop>false</ScaleCrop>
  <LinksUpToDate>false</LinksUpToDate>
  <CharactersWithSpaces>415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2024-08-15T09:43:00Z</dcterms:created>
  <dc:creator>李佳乐</dc:creator>
  <dc:description>&lt;config cover="true" show_menu="true" version="1.0.0" doctype="SDKXY"&gt;_x000d_
&lt;/config&gt;</dc:description>
  <cp:lastModifiedBy>颜洲</cp:lastModifiedBy>
  <cp:lastPrinted>2024-08-16T03:13:00Z</cp:lastPrinted>
  <dcterms:modified xsi:type="dcterms:W3CDTF">2026-07-08T03:02:36Z</dcterms:modified>
  <dc:title>团体标准</dc:title>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DoublePage">
    <vt:lpwstr>true</vt:lpwstr>
  </property>
  <property fmtid="{D5CDD505-2E9C-101B-9397-08002B2CF9AE}" pid="15" name="KSOProductBuildVer">
    <vt:lpwstr>2052-12.1.0.19302</vt:lpwstr>
  </property>
  <property fmtid="{D5CDD505-2E9C-101B-9397-08002B2CF9AE}" pid="16" name="ICV">
    <vt:lpwstr>F7ED3FEFC8BE4A93847F3A6722C53B43_13</vt:lpwstr>
  </property>
  <property fmtid="{D5CDD505-2E9C-101B-9397-08002B2CF9AE}" pid="17" name="KSOTemplateDocerSaveRecord">
    <vt:lpwstr>eyJoZGlkIjoiODYwYjcwMzkxNWIyZTAzOTdhNmQxMTVmYjI5M2Y3ZGQiLCJ1c2VySWQiOiI0MzMxMDc1MTMifQ==</vt:lpwstr>
  </property>
</Properties>
</file>