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1E6CFB">
      <w:pPr>
        <w:rPr>
          <w:rFonts w:hint="eastAsia" w:asciiTheme="majorEastAsia" w:hAnsiTheme="majorEastAsia" w:eastAsiaTheme="majorEastAsia"/>
          <w:sz w:val="28"/>
          <w:szCs w:val="28"/>
        </w:rPr>
      </w:pPr>
      <w:r>
        <w:rPr>
          <w:rFonts w:hint="eastAsia" w:asciiTheme="majorEastAsia" w:hAnsiTheme="majorEastAsia" w:eastAsiaTheme="majorEastAsia"/>
          <w:sz w:val="28"/>
          <w:szCs w:val="28"/>
        </w:rPr>
        <w:t>附件4：</w:t>
      </w:r>
    </w:p>
    <w:p w14:paraId="7C47CAFF">
      <w:pPr>
        <w:widowControl/>
        <w:jc w:val="center"/>
        <w:rPr>
          <w:rFonts w:eastAsia="黑体"/>
          <w:sz w:val="28"/>
          <w:szCs w:val="28"/>
        </w:rPr>
      </w:pPr>
      <w:r>
        <w:rPr>
          <w:rFonts w:hint="eastAsia" w:eastAsia="黑体"/>
          <w:sz w:val="28"/>
          <w:szCs w:val="28"/>
        </w:rPr>
        <w:t>中汽协会《纯电动客车用电源管理芯片技术要求及试验》</w:t>
      </w:r>
    </w:p>
    <w:p w14:paraId="6943958A">
      <w:pPr>
        <w:widowControl/>
        <w:jc w:val="center"/>
        <w:rPr>
          <w:rFonts w:eastAsia="黑体"/>
          <w:sz w:val="28"/>
          <w:szCs w:val="28"/>
        </w:rPr>
      </w:pPr>
      <w:r>
        <w:rPr>
          <w:rFonts w:hint="eastAsia" w:eastAsia="黑体"/>
          <w:sz w:val="28"/>
          <w:szCs w:val="28"/>
        </w:rPr>
        <w:t>团体标准编制说明</w:t>
      </w:r>
    </w:p>
    <w:p w14:paraId="60CCC78A">
      <w:pPr>
        <w:numPr>
          <w:ilvl w:val="0"/>
          <w:numId w:val="1"/>
        </w:numPr>
        <w:spacing w:before="156" w:beforeLines="50" w:after="156" w:afterLines="50" w:line="360" w:lineRule="auto"/>
        <w:outlineLvl w:val="0"/>
        <w:rPr>
          <w:rFonts w:hint="eastAsia" w:ascii="黑体" w:hAnsi="黑体" w:eastAsia="黑体" w:cs="黑体"/>
          <w:color w:val="000000" w:themeColor="text1"/>
          <w:sz w:val="24"/>
          <w14:textFill>
            <w14:solidFill>
              <w14:schemeClr w14:val="tx1"/>
            </w14:solidFill>
          </w14:textFill>
        </w:rPr>
      </w:pPr>
      <w:r>
        <w:rPr>
          <w:rFonts w:hint="eastAsia" w:ascii="黑体" w:hAnsi="黑体" w:eastAsia="黑体" w:cs="黑体"/>
          <w:color w:val="000000" w:themeColor="text1"/>
          <w:sz w:val="24"/>
          <w14:textFill>
            <w14:solidFill>
              <w14:schemeClr w14:val="tx1"/>
            </w14:solidFill>
          </w14:textFill>
        </w:rPr>
        <w:t>工作简要过程</w:t>
      </w:r>
    </w:p>
    <w:p w14:paraId="2B0FF55E">
      <w:pPr>
        <w:numPr>
          <w:ilvl w:val="0"/>
          <w:numId w:val="2"/>
        </w:numPr>
        <w:spacing w:line="360" w:lineRule="auto"/>
        <w:ind w:left="0"/>
        <w:outlineLvl w:val="1"/>
        <w:rPr>
          <w:rFonts w:hint="eastAsia" w:ascii="黑体" w:hAnsi="黑体" w:eastAsia="黑体" w:cs="仿宋"/>
          <w:color w:val="000000" w:themeColor="text1"/>
          <w:sz w:val="24"/>
          <w14:textFill>
            <w14:solidFill>
              <w14:schemeClr w14:val="tx1"/>
            </w14:solidFill>
          </w14:textFill>
        </w:rPr>
      </w:pPr>
      <w:r>
        <w:rPr>
          <w:rFonts w:hint="eastAsia" w:ascii="黑体" w:hAnsi="黑体" w:eastAsia="黑体" w:cs="仿宋"/>
          <w:color w:val="000000" w:themeColor="text1"/>
          <w:sz w:val="24"/>
          <w14:textFill>
            <w14:solidFill>
              <w14:schemeClr w14:val="tx1"/>
            </w14:solidFill>
          </w14:textFill>
        </w:rPr>
        <w:t>任务来源</w:t>
      </w:r>
    </w:p>
    <w:p w14:paraId="1E44D0C5">
      <w:pPr>
        <w:spacing w:line="360" w:lineRule="auto"/>
        <w:ind w:firstLine="482"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b/>
          <w:bCs/>
          <w:color w:val="000000" w:themeColor="text1"/>
          <w:sz w:val="24"/>
          <w:lang w:val="en-US" w:eastAsia="zh-CN"/>
          <w14:textFill>
            <w14:solidFill>
              <w14:schemeClr w14:val="tx1"/>
            </w14:solidFill>
          </w14:textFill>
        </w:rPr>
        <w:t>1、</w:t>
      </w:r>
      <w:r>
        <w:rPr>
          <w:rFonts w:hint="eastAsia" w:ascii="仿宋" w:hAnsi="仿宋" w:eastAsia="仿宋" w:cs="仿宋"/>
          <w:b/>
          <w:bCs/>
          <w:color w:val="000000" w:themeColor="text1"/>
          <w:sz w:val="24"/>
          <w14:textFill>
            <w14:solidFill>
              <w14:schemeClr w14:val="tx1"/>
            </w14:solidFill>
          </w14:textFill>
        </w:rPr>
        <w:t>来源：</w:t>
      </w:r>
      <w:r>
        <w:rPr>
          <w:rFonts w:hint="eastAsia" w:ascii="仿宋" w:hAnsi="仿宋" w:eastAsia="仿宋" w:cs="仿宋"/>
          <w:color w:val="000000" w:themeColor="text1"/>
          <w:sz w:val="24"/>
          <w14:textFill>
            <w14:solidFill>
              <w14:schemeClr w14:val="tx1"/>
            </w14:solidFill>
          </w14:textFill>
        </w:rPr>
        <w:t>《纯电动客车用电源管理芯片技术要求及试验</w:t>
      </w:r>
      <w:r>
        <w:rPr>
          <w:rFonts w:hint="eastAsia" w:ascii="仿宋" w:hAnsi="仿宋" w:eastAsia="仿宋" w:cs="仿宋"/>
          <w:color w:val="000000" w:themeColor="text1"/>
          <w:sz w:val="24"/>
          <w:lang w:val="en-US" w:eastAsia="zh-CN"/>
          <w14:textFill>
            <w14:solidFill>
              <w14:schemeClr w14:val="tx1"/>
            </w14:solidFill>
          </w14:textFill>
        </w:rPr>
        <w:t>方法</w:t>
      </w:r>
      <w:r>
        <w:rPr>
          <w:rFonts w:hint="eastAsia" w:ascii="仿宋" w:hAnsi="仿宋" w:eastAsia="仿宋" w:cs="仿宋"/>
          <w:color w:val="000000" w:themeColor="text1"/>
          <w:sz w:val="24"/>
          <w14:textFill>
            <w14:solidFill>
              <w14:schemeClr w14:val="tx1"/>
            </w14:solidFill>
          </w14:textFill>
        </w:rPr>
        <w:t>》团体标准是由中国汽车工业协会标准法规工作委员会批准立项，文件号为：中汽协函字〔202</w:t>
      </w:r>
      <w:r>
        <w:rPr>
          <w:rFonts w:hint="eastAsia" w:ascii="仿宋" w:hAnsi="仿宋" w:eastAsia="仿宋" w:cs="仿宋"/>
          <w:color w:val="000000" w:themeColor="text1"/>
          <w:sz w:val="24"/>
          <w:lang w:val="en-US" w:eastAsia="zh-CN"/>
          <w14:textFill>
            <w14:solidFill>
              <w14:schemeClr w14:val="tx1"/>
            </w14:solidFill>
          </w14:textFill>
        </w:rPr>
        <w:t>6</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sz w:val="24"/>
          <w:lang w:val="en-US" w:eastAsia="zh-CN"/>
          <w14:textFill>
            <w14:solidFill>
              <w14:schemeClr w14:val="tx1"/>
            </w14:solidFill>
          </w14:textFill>
        </w:rPr>
        <w:t>26</w:t>
      </w:r>
      <w:r>
        <w:rPr>
          <w:rFonts w:hint="eastAsia" w:ascii="仿宋" w:hAnsi="仿宋" w:eastAsia="仿宋" w:cs="仿宋"/>
          <w:color w:val="000000" w:themeColor="text1"/>
          <w:sz w:val="24"/>
          <w14:textFill>
            <w14:solidFill>
              <w14:schemeClr w14:val="tx1"/>
            </w14:solidFill>
          </w14:textFill>
        </w:rPr>
        <w:t>7号，计划号为202</w:t>
      </w:r>
      <w:r>
        <w:rPr>
          <w:rFonts w:hint="eastAsia" w:ascii="仿宋" w:hAnsi="仿宋" w:eastAsia="仿宋" w:cs="仿宋"/>
          <w:color w:val="000000" w:themeColor="text1"/>
          <w:sz w:val="24"/>
          <w:lang w:val="en-US" w:eastAsia="zh-CN"/>
          <w14:textFill>
            <w14:solidFill>
              <w14:schemeClr w14:val="tx1"/>
            </w14:solidFill>
          </w14:textFill>
        </w:rPr>
        <w:t>6</w:t>
      </w:r>
      <w:r>
        <w:rPr>
          <w:rFonts w:hint="eastAsia" w:ascii="仿宋" w:hAnsi="仿宋" w:eastAsia="仿宋" w:cs="仿宋"/>
          <w:color w:val="000000" w:themeColor="text1"/>
          <w:sz w:val="24"/>
          <w14:textFill>
            <w14:solidFill>
              <w14:schemeClr w14:val="tx1"/>
            </w14:solidFill>
          </w14:textFill>
        </w:rPr>
        <w:t>-2</w:t>
      </w:r>
      <w:r>
        <w:rPr>
          <w:rFonts w:hint="eastAsia" w:ascii="仿宋" w:hAnsi="仿宋" w:eastAsia="仿宋" w:cs="仿宋"/>
          <w:color w:val="000000" w:themeColor="text1"/>
          <w:sz w:val="24"/>
          <w:lang w:val="en-US" w:eastAsia="zh-CN"/>
          <w14:textFill>
            <w14:solidFill>
              <w14:schemeClr w14:val="tx1"/>
            </w14:solidFill>
          </w14:textFill>
        </w:rPr>
        <w:t>9</w:t>
      </w:r>
      <w:r>
        <w:rPr>
          <w:rFonts w:hint="eastAsia" w:ascii="仿宋" w:hAnsi="仿宋" w:eastAsia="仿宋" w:cs="仿宋"/>
          <w:color w:val="000000" w:themeColor="text1"/>
          <w:sz w:val="24"/>
          <w14:textFill>
            <w14:solidFill>
              <w14:schemeClr w14:val="tx1"/>
            </w14:solidFill>
          </w14:textFill>
        </w:rPr>
        <w:t>。</w:t>
      </w:r>
    </w:p>
    <w:p w14:paraId="46CACA96">
      <w:pPr>
        <w:spacing w:line="360" w:lineRule="auto"/>
        <w:ind w:firstLine="482"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b/>
          <w:bCs/>
          <w:color w:val="000000" w:themeColor="text1"/>
          <w:sz w:val="24"/>
          <w:lang w:val="en-US" w:eastAsia="zh-CN"/>
          <w14:textFill>
            <w14:solidFill>
              <w14:schemeClr w14:val="tx1"/>
            </w14:solidFill>
          </w14:textFill>
        </w:rPr>
        <w:t>2、</w:t>
      </w:r>
      <w:r>
        <w:rPr>
          <w:rFonts w:hint="eastAsia" w:ascii="仿宋" w:hAnsi="仿宋" w:eastAsia="仿宋" w:cs="仿宋"/>
          <w:b/>
          <w:bCs/>
          <w:color w:val="000000" w:themeColor="text1"/>
          <w:sz w:val="24"/>
          <w14:textFill>
            <w14:solidFill>
              <w14:schemeClr w14:val="tx1"/>
            </w14:solidFill>
          </w14:textFill>
        </w:rPr>
        <w:t>背景：</w:t>
      </w:r>
      <w:r>
        <w:rPr>
          <w:rFonts w:hint="eastAsia" w:ascii="仿宋" w:hAnsi="仿宋" w:eastAsia="仿宋" w:cs="仿宋"/>
          <w:color w:val="000000" w:themeColor="text1"/>
          <w:sz w:val="24"/>
          <w14:textFill>
            <w14:solidFill>
              <w14:schemeClr w14:val="tx1"/>
            </w14:solidFill>
          </w14:textFill>
        </w:rPr>
        <w:t>随着国家“双碳”战略的深入推进与汽车“新四化”（电动化、网联化、智能化、共享化）浪潮的持续驱动，商用车电动化已进入全面落地实施的关键阶段。纯电动客车作为城市公共交通与商业运营的核心载体，其规模化应用对于交通领域的节能减排至关重要。当前，纯电动客车正加速向高电压平台（如600V-800V）、大电流充放电（峰值功率需求达数百千瓦）、复杂工况适应性（如频繁启停、重载爬坡、极寒高温）及智能化精细化管控方向演进。电源管理芯片作为连接电池系统与整车控制单元的“能源中枢”和硬件枢纽，其重要性愈发凸显。它承担着电压转换、电池状态实时监测（电压、电流、温度）、多级保护（过压、欠压、过流）、系统控制及通信交互等核心功能。其性能的优劣，如转换效率、监测精度、响应速度、电磁兼容性、功能安全等级及长期可靠性，直接决定了纯电动客车的整车能量利用效率、电池系统的健康与循环寿命、以及极端工况下的运行安全底线。例如，均衡管理精度直接影响电池组的一致性衰减速率，电磁兼容能力则关乎车载通信与感知系统的稳定性。</w:t>
      </w:r>
    </w:p>
    <w:p w14:paraId="1EDFACF8">
      <w:pPr>
        <w:spacing w:line="360" w:lineRule="auto"/>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然而，现阶段纯电动客车用电源管理芯片领域面临显著的‌标准空白‌与‌行业痛点‌。现有的车规级芯片标准体系，如国际上的ISO 26262（功能安全）和AEC-Q系列，主要基于传统燃油车或乘用车的任务剖面和技术指标制定。这些通用标准难以完全覆盖纯电动客车特有的应用场景与技术挑战：</w:t>
      </w:r>
    </w:p>
    <w:p w14:paraId="51589D3A">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840" w:leftChars="200" w:hanging="420" w:firstLineChars="0"/>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b w:val="0"/>
          <w:bCs w:val="0"/>
          <w:color w:val="000000" w:themeColor="text1"/>
          <w:sz w:val="24"/>
          <w14:textFill>
            <w14:solidFill>
              <w14:schemeClr w14:val="tx1"/>
            </w14:solidFill>
          </w14:textFill>
        </w:rPr>
        <w:t>‌技术指标脱节</w:t>
      </w:r>
      <w:r>
        <w:rPr>
          <w:rFonts w:hint="eastAsia" w:ascii="仿宋" w:hAnsi="仿宋" w:eastAsia="仿宋" w:cs="仿宋"/>
          <w:color w:val="000000" w:themeColor="text1"/>
          <w:sz w:val="24"/>
          <w14:textFill>
            <w14:solidFill>
              <w14:schemeClr w14:val="tx1"/>
            </w14:solidFill>
          </w14:textFill>
        </w:rPr>
        <w:t>‌：AEC-Q等可靠性标准中的温度循环次数、寿命模型和应力试验条件，与纯电动客车面临的800V高压平台应力、百安培级大电流快充循环、长达8-10年（或100万公里）的超长运营寿命要求，以及频繁启停、重载爬坡等极端工况存在显著偏差。</w:t>
      </w:r>
    </w:p>
    <w:p w14:paraId="291D63D6">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840" w:leftChars="200" w:hanging="420" w:firstLineChars="0"/>
        <w:textAlignment w:val="auto"/>
        <w:rPr>
          <w:rFonts w:hint="eastAsia" w:ascii="仿宋" w:hAnsi="仿宋" w:eastAsia="仿宋" w:cs="仿宋"/>
          <w:b w:val="0"/>
          <w:bCs w:val="0"/>
          <w:color w:val="000000" w:themeColor="text1"/>
          <w:sz w:val="24"/>
          <w14:textFill>
            <w14:solidFill>
              <w14:schemeClr w14:val="tx1"/>
            </w14:solidFill>
          </w14:textFill>
        </w:rPr>
      </w:pPr>
      <w:r>
        <w:rPr>
          <w:rFonts w:hint="eastAsia" w:ascii="仿宋" w:hAnsi="仿宋" w:eastAsia="仿宋" w:cs="仿宋"/>
          <w:b w:val="0"/>
          <w:bCs w:val="0"/>
          <w:color w:val="000000" w:themeColor="text1"/>
          <w:sz w:val="24"/>
          <w14:textFill>
            <w14:solidFill>
              <w14:schemeClr w14:val="tx1"/>
            </w14:solidFill>
          </w14:textFill>
        </w:rPr>
        <w:t>‌功能性能要求不统一‌：不同厂商的芯片在核心功能逻辑（如电源转换、监测、保护、模块定义与接口）、关键性能参数（如输出电压精度、转换效率、瞬态响应时间）上缺乏行业共识，导致整车企业在选型时无统一、权威的技术标尺，增加了系统集成、适配与验证的难度与成本。</w:t>
      </w:r>
    </w:p>
    <w:p w14:paraId="7C068FBD">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840" w:leftChars="200" w:hanging="420" w:firstLineChars="0"/>
        <w:textAlignment w:val="auto"/>
        <w:rPr>
          <w:rFonts w:hint="eastAsia" w:ascii="仿宋" w:hAnsi="仿宋" w:eastAsia="仿宋" w:cs="仿宋"/>
          <w:b w:val="0"/>
          <w:bCs w:val="0"/>
          <w:color w:val="000000" w:themeColor="text1"/>
          <w:sz w:val="24"/>
          <w14:textFill>
            <w14:solidFill>
              <w14:schemeClr w14:val="tx1"/>
            </w14:solidFill>
          </w14:textFill>
        </w:rPr>
      </w:pPr>
      <w:r>
        <w:rPr>
          <w:rFonts w:hint="eastAsia" w:ascii="仿宋" w:hAnsi="仿宋" w:eastAsia="仿宋" w:cs="仿宋"/>
          <w:b w:val="0"/>
          <w:bCs w:val="0"/>
          <w:color w:val="000000" w:themeColor="text1"/>
          <w:sz w:val="24"/>
          <w14:textFill>
            <w14:solidFill>
              <w14:schemeClr w14:val="tx1"/>
            </w14:solidFill>
          </w14:textFill>
        </w:rPr>
        <w:t>‌专项考核依据缺失‌：对于纯电动客车至关重要的高压大电流应力下的电迁移、热载流子注入、功率循环等失效机理，缺乏针对性的可靠性考核指标与方法。同时，针对商用车安全完整性等级（ASIL）要求的具体安全机制设计（如独立监测回路、看门狗定时器）、故障响应时间以及复杂车载电磁环境下的专项EMC要求，也未有明确规范。</w:t>
      </w:r>
    </w:p>
    <w:p w14:paraId="53FA6118">
      <w:pPr>
        <w:spacing w:line="360" w:lineRule="auto"/>
        <w:ind w:firstLine="482"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b/>
          <w:bCs/>
          <w:color w:val="000000" w:themeColor="text1"/>
          <w:sz w:val="24"/>
          <w:lang w:val="en-US" w:eastAsia="zh-CN"/>
          <w14:textFill>
            <w14:solidFill>
              <w14:schemeClr w14:val="tx1"/>
            </w14:solidFill>
          </w14:textFill>
        </w:rPr>
        <w:t>3、意义</w:t>
      </w:r>
      <w:r>
        <w:rPr>
          <w:rFonts w:hint="eastAsia" w:ascii="仿宋" w:hAnsi="仿宋" w:eastAsia="仿宋" w:cs="仿宋"/>
          <w:b/>
          <w:bCs/>
          <w:color w:val="000000" w:themeColor="text1"/>
          <w:sz w:val="24"/>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制定《纯电动客车用电源管理芯片技术要求及试验方法》团体标准，具有重要的意义：</w:t>
      </w:r>
    </w:p>
    <w:p w14:paraId="59ABE1DB">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840" w:leftChars="200" w:hanging="420" w:firstLineChars="0"/>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b w:val="0"/>
          <w:bCs w:val="0"/>
          <w:color w:val="000000" w:themeColor="text1"/>
          <w:sz w:val="24"/>
          <w14:textFill>
            <w14:solidFill>
              <w14:schemeClr w14:val="tx1"/>
            </w14:solidFill>
          </w14:textFill>
        </w:rPr>
        <w:t>‌填补标准体系空白，引领行业技术规范化</w:t>
      </w:r>
      <w:r>
        <w:rPr>
          <w:rFonts w:hint="eastAsia" w:ascii="仿宋" w:hAnsi="仿宋" w:eastAsia="仿宋" w:cs="仿宋"/>
          <w:b w:val="0"/>
          <w:bCs w:val="0"/>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本标准系统性填补我国在‌商用车专用电源管理芯片‌领域的技术标准空白。它并非简单照搬国际通用标准，而是基于纯电动客车的实际运行工况和技术发展需求，对电源管理芯片的功能、性能、可靠性、电磁兼容、功能安全</w:t>
      </w:r>
      <w:r>
        <w:rPr>
          <w:rFonts w:hint="eastAsia" w:ascii="仿宋" w:hAnsi="仿宋" w:eastAsia="仿宋" w:cs="仿宋"/>
          <w:color w:val="000000" w:themeColor="text1"/>
          <w:sz w:val="24"/>
          <w:lang w:val="en-US" w:eastAsia="zh-CN"/>
          <w14:textFill>
            <w14:solidFill>
              <w14:schemeClr w14:val="tx1"/>
            </w14:solidFill>
          </w14:textFill>
        </w:rPr>
        <w:t>多</w:t>
      </w:r>
      <w:r>
        <w:rPr>
          <w:rFonts w:hint="eastAsia" w:ascii="仿宋" w:hAnsi="仿宋" w:eastAsia="仿宋" w:cs="仿宋"/>
          <w:color w:val="000000" w:themeColor="text1"/>
          <w:sz w:val="24"/>
          <w14:textFill>
            <w14:solidFill>
              <w14:schemeClr w14:val="tx1"/>
            </w14:solidFill>
          </w14:textFill>
        </w:rPr>
        <w:t>个维度提出全链条、系统化的技术要求与试验方法。这为行业提供了一套统一、科学、可验证的技术规范，有助于结束当前技术指标“各自为政”、验证标准“借用通用”的混乱局面，推动行业形成统一的技术共识和发展方向。</w:t>
      </w:r>
    </w:p>
    <w:p w14:paraId="1D235972">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840" w:leftChars="200" w:hanging="420" w:firstLineChars="0"/>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b w:val="0"/>
          <w:bCs w:val="0"/>
          <w:color w:val="000000" w:themeColor="text1"/>
          <w:sz w:val="24"/>
          <w14:textFill>
            <w14:solidFill>
              <w14:schemeClr w14:val="tx1"/>
            </w14:solidFill>
          </w14:textFill>
        </w:rPr>
        <w:t>‌提升产品一致性与可靠性，保障整车安全与性能‌</w:t>
      </w:r>
      <w:r>
        <w:rPr>
          <w:rFonts w:hint="eastAsia" w:ascii="仿宋" w:hAnsi="仿宋" w:eastAsia="仿宋" w:cs="仿宋"/>
          <w:b w:val="0"/>
          <w:bCs w:val="0"/>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通过明确统一的技术要求和严格的试验方法，本标准为电源管理芯片的设计、制造、测试和选型提供了清晰的技术基准。这将从源头提升芯片产品的一致性和可靠性，确保其能够满足纯电动客车严苛的长期运行要求。‌保障安全底线‌：明确的功能安全与信息安全要求，为芯片在动力、制动等安全相关系统中的可靠运行及数据安全提供了机制保障，有助于预防因芯片失效导致的整车安全风险。‌优化整车性能‌：量化的性能指标为整车能量管理算法的优化提供了稳定、可预期的硬件基础，直接有助于提升纯电动客车的续航里程和能源利用效率。‌延长核心部件寿命‌：针对商用车超长寿命模型的可靠性验证要求，有助于筛选出真正耐用可靠的芯片，从而支撑电池系统乃至整车的长生命周期稳定运行。</w:t>
      </w:r>
    </w:p>
    <w:p w14:paraId="0C835817">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840" w:leftChars="200" w:hanging="420" w:firstLineChars="0"/>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b w:val="0"/>
          <w:bCs w:val="0"/>
          <w:color w:val="000000" w:themeColor="text1"/>
          <w:sz w:val="24"/>
          <w14:textFill>
            <w14:solidFill>
              <w14:schemeClr w14:val="tx1"/>
            </w14:solidFill>
          </w14:textFill>
        </w:rPr>
        <w:t>‌降低产业链成本与风险，促进高效协同</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标准的建立将为芯片供应商、整车企业及第三方检测机构提供一个共同的“技术语言”和“验收标尺”。‌对芯片商‌：明确了产品研发和性能提升的具体目标，减少了与整车厂反复沟通、定制验证的不确定性，降低了研发和市场导入成本。‌对整车厂‌：提供了清晰、权威的芯片选型与准入依据，缩短了验证周期，降低了因芯片不匹配或不达标带来的系统集成风险与后期维护成本。‌对检测机构‌：提供了标准化的测试依据，使检测结果更具公信力和可比性。这将有效降低产业链上下游的适配成本与技术沟通壁垒，促进整个产业生态的高效、协同发展。</w:t>
      </w:r>
    </w:p>
    <w:p w14:paraId="035DAF8A">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840" w:leftChars="200" w:hanging="420" w:firstLineChars="0"/>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‌支撑国产芯片产业化，助力供应链自主可控</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当前，推动汽车芯片，尤其是高可靠性车规级芯片的国产化替代是国家的重要战略方向。本标准通过构建符合我国纯电动客车实际需求的技术规范体系，为国产电源管理芯片的研发、测试和认证提供了明确的技术路径和准入门槛。它有助于引导国产芯片企业从满足通用车规要求向针对特定应用场景的‌专用化、定制化、高性能‌方向演进，提升国产芯片的市场竞争力与应用匹配度，从而加速国产高可靠性电源管理芯片的“上车”进程，为保障我国新能源汽车产业链、供应链的‌安全与自主可控‌提供坚实的技术支撑。</w:t>
      </w:r>
    </w:p>
    <w:p w14:paraId="3C23E15A">
      <w:pPr>
        <w:numPr>
          <w:ilvl w:val="0"/>
          <w:numId w:val="2"/>
        </w:numPr>
        <w:spacing w:before="156" w:beforeLines="50" w:after="156" w:afterLines="50" w:line="360" w:lineRule="auto"/>
        <w:ind w:left="0"/>
        <w:outlineLvl w:val="1"/>
        <w:rPr>
          <w:rFonts w:hint="eastAsia" w:ascii="黑体" w:hAnsi="黑体" w:eastAsia="黑体" w:cs="仿宋"/>
          <w:color w:val="000000" w:themeColor="text1"/>
          <w:sz w:val="24"/>
          <w14:textFill>
            <w14:solidFill>
              <w14:schemeClr w14:val="tx1"/>
            </w14:solidFill>
          </w14:textFill>
        </w:rPr>
      </w:pPr>
      <w:r>
        <w:rPr>
          <w:rFonts w:hint="eastAsia" w:ascii="黑体" w:hAnsi="黑体" w:eastAsia="黑体" w:cs="仿宋"/>
          <w:color w:val="000000" w:themeColor="text1"/>
          <w:sz w:val="24"/>
          <w14:textFill>
            <w14:solidFill>
              <w14:schemeClr w14:val="tx1"/>
            </w14:solidFill>
          </w14:textFill>
        </w:rPr>
        <w:t>主要起草单位及任务分工</w:t>
      </w:r>
    </w:p>
    <w:p w14:paraId="29EDEB6C">
      <w:pPr>
        <w:spacing w:line="360" w:lineRule="auto"/>
        <w:ind w:firstLine="480" w:firstLineChars="200"/>
        <w:rPr>
          <w:rFonts w:hint="eastAsia" w:ascii="仿宋" w:hAnsi="仿宋" w:eastAsia="仿宋" w:cs="宋体"/>
          <w:sz w:val="24"/>
        </w:rPr>
      </w:pPr>
      <w:r>
        <w:rPr>
          <w:rFonts w:hint="eastAsia" w:ascii="仿宋" w:hAnsi="仿宋" w:eastAsia="仿宋" w:cs="宋体"/>
          <w:sz w:val="24"/>
        </w:rPr>
        <w:t>标准立项后，</w:t>
      </w:r>
      <w:r>
        <w:rPr>
          <w:rFonts w:hint="eastAsia" w:ascii="仿宋" w:hAnsi="仿宋" w:eastAsia="仿宋" w:cs="宋体"/>
          <w:sz w:val="24"/>
          <w:lang w:val="en-US" w:eastAsia="zh-CN"/>
        </w:rPr>
        <w:t>北京国家新能源汽车技术创新中心有限公司和宇通客车股份有限公司</w:t>
      </w:r>
      <w:r>
        <w:rPr>
          <w:rFonts w:hint="eastAsia" w:ascii="仿宋" w:hAnsi="仿宋" w:eastAsia="仿宋" w:cs="宋体"/>
          <w:sz w:val="24"/>
        </w:rPr>
        <w:t>联合整车企业、零部件企业、芯片企业、</w:t>
      </w:r>
      <w:r>
        <w:rPr>
          <w:rFonts w:hint="eastAsia" w:ascii="仿宋" w:hAnsi="仿宋" w:eastAsia="仿宋" w:cs="宋体"/>
          <w:sz w:val="24"/>
          <w:lang w:val="en-US" w:eastAsia="zh-CN"/>
        </w:rPr>
        <w:t>第三方检测单位</w:t>
      </w:r>
      <w:r>
        <w:rPr>
          <w:rFonts w:hint="eastAsia" w:ascii="仿宋" w:hAnsi="仿宋" w:eastAsia="仿宋" w:cs="宋体"/>
          <w:sz w:val="24"/>
        </w:rPr>
        <w:t>等共同制定和完善标准草案。</w:t>
      </w:r>
    </w:p>
    <w:p w14:paraId="47891795">
      <w:pPr>
        <w:spacing w:line="360" w:lineRule="auto"/>
        <w:ind w:firstLine="480" w:firstLineChars="200"/>
        <w:rPr>
          <w:rFonts w:hint="eastAsia" w:ascii="仿宋" w:hAnsi="仿宋" w:eastAsia="仿宋"/>
          <w:sz w:val="24"/>
        </w:rPr>
      </w:pPr>
      <w:r>
        <w:rPr>
          <w:rFonts w:hint="eastAsia" w:ascii="仿宋" w:hAnsi="仿宋" w:eastAsia="仿宋" w:cs="宋体"/>
          <w:sz w:val="24"/>
          <w:lang w:val="en-US" w:eastAsia="zh-CN"/>
        </w:rPr>
        <w:t>编制</w:t>
      </w:r>
      <w:r>
        <w:rPr>
          <w:rFonts w:hint="eastAsia" w:ascii="仿宋" w:hAnsi="仿宋" w:eastAsia="仿宋" w:cs="宋体"/>
          <w:sz w:val="24"/>
        </w:rPr>
        <w:t>单位有：</w:t>
      </w:r>
      <w:r>
        <w:rPr>
          <w:rFonts w:hint="eastAsia" w:ascii="仿宋" w:hAnsi="仿宋" w:eastAsia="仿宋" w:cs="宋体"/>
          <w:sz w:val="24"/>
          <w:lang w:val="en-US" w:eastAsia="zh-CN"/>
        </w:rPr>
        <w:t>北京</w:t>
      </w:r>
      <w:r>
        <w:rPr>
          <w:rFonts w:hint="eastAsia" w:ascii="仿宋" w:hAnsi="仿宋" w:eastAsia="仿宋" w:cs="宋体"/>
          <w:sz w:val="24"/>
        </w:rPr>
        <w:t>国家新能源汽车技术创新中心</w:t>
      </w:r>
      <w:r>
        <w:rPr>
          <w:rFonts w:hint="eastAsia" w:ascii="仿宋" w:hAnsi="仿宋" w:eastAsia="仿宋" w:cs="宋体"/>
          <w:sz w:val="24"/>
          <w:lang w:val="en-US" w:eastAsia="zh-CN"/>
        </w:rPr>
        <w:t>有限公司</w:t>
      </w:r>
      <w:r>
        <w:rPr>
          <w:rFonts w:hint="eastAsia" w:ascii="仿宋" w:hAnsi="仿宋" w:eastAsia="仿宋" w:cs="宋体"/>
          <w:sz w:val="24"/>
        </w:rPr>
        <w:t>、宇通客车股份有限公司、郑州深澜动力科技有限公司、紫光同芯微电子有限公司、合肥艾创微电子科技有限公司、中国汽车工程研究院股份有限公司、小华半导体有限公司、上海芯思维信息科技有限公司、北京东土科技股份有限公司、重庆览山汽车电子有限公司</w:t>
      </w:r>
      <w:r>
        <w:rPr>
          <w:rFonts w:hint="eastAsia" w:ascii="仿宋" w:hAnsi="仿宋" w:eastAsia="仿宋" w:cs="宋体"/>
          <w:sz w:val="24"/>
          <w:lang w:eastAsia="zh-CN"/>
        </w:rPr>
        <w:t>、北京福田欧辉新能源汽车有限公司</w:t>
      </w:r>
      <w:r>
        <w:rPr>
          <w:rFonts w:hint="eastAsia" w:ascii="仿宋" w:hAnsi="仿宋" w:eastAsia="仿宋"/>
          <w:sz w:val="24"/>
        </w:rPr>
        <w:t>。</w:t>
      </w:r>
    </w:p>
    <w:p w14:paraId="715A7975">
      <w:pPr>
        <w:spacing w:line="360" w:lineRule="auto"/>
        <w:ind w:firstLine="480" w:firstLineChars="200"/>
        <w:rPr>
          <w:rFonts w:hint="eastAsia" w:ascii="仿宋" w:hAnsi="仿宋" w:eastAsia="仿宋"/>
          <w:sz w:val="24"/>
        </w:rPr>
      </w:pPr>
      <w:r>
        <w:rPr>
          <w:rFonts w:hint="eastAsia" w:ascii="仿宋" w:hAnsi="仿宋" w:eastAsia="仿宋"/>
          <w:sz w:val="24"/>
        </w:rPr>
        <w:t>其中，牵头单位的主要工作内容：</w:t>
      </w:r>
    </w:p>
    <w:p w14:paraId="36F25E89">
      <w:pPr>
        <w:numPr>
          <w:ilvl w:val="0"/>
          <w:numId w:val="4"/>
        </w:numPr>
        <w:spacing w:line="360" w:lineRule="auto"/>
        <w:ind w:firstLine="480" w:firstLineChars="200"/>
        <w:rPr>
          <w:rFonts w:hint="eastAsia" w:ascii="仿宋" w:hAnsi="仿宋" w:eastAsia="仿宋"/>
          <w:sz w:val="24"/>
        </w:rPr>
      </w:pPr>
      <w:r>
        <w:rPr>
          <w:rFonts w:hint="eastAsia" w:ascii="仿宋" w:hAnsi="仿宋" w:eastAsia="仿宋"/>
          <w:sz w:val="24"/>
        </w:rPr>
        <w:t>组织成立标准起草组;</w:t>
      </w:r>
    </w:p>
    <w:p w14:paraId="0B21904E">
      <w:pPr>
        <w:numPr>
          <w:ilvl w:val="0"/>
          <w:numId w:val="4"/>
        </w:numPr>
        <w:spacing w:line="360" w:lineRule="auto"/>
        <w:ind w:firstLine="480" w:firstLineChars="200"/>
        <w:rPr>
          <w:rFonts w:hint="eastAsia" w:ascii="仿宋" w:hAnsi="仿宋" w:eastAsia="仿宋"/>
          <w:sz w:val="24"/>
        </w:rPr>
      </w:pPr>
      <w:r>
        <w:rPr>
          <w:rFonts w:hint="eastAsia" w:ascii="仿宋" w:hAnsi="仿宋" w:eastAsia="仿宋"/>
          <w:sz w:val="24"/>
        </w:rPr>
        <w:t>组织并参加标准化起草活动;</w:t>
      </w:r>
    </w:p>
    <w:p w14:paraId="21A9AE58">
      <w:pPr>
        <w:numPr>
          <w:ilvl w:val="0"/>
          <w:numId w:val="4"/>
        </w:numPr>
        <w:spacing w:line="360" w:lineRule="auto"/>
        <w:ind w:firstLine="480" w:firstLineChars="200"/>
        <w:rPr>
          <w:rFonts w:hint="eastAsia" w:ascii="仿宋" w:hAnsi="仿宋" w:eastAsia="仿宋"/>
          <w:sz w:val="24"/>
        </w:rPr>
      </w:pPr>
      <w:r>
        <w:rPr>
          <w:rFonts w:hint="eastAsia" w:ascii="仿宋" w:hAnsi="仿宋" w:eastAsia="仿宋"/>
          <w:sz w:val="24"/>
        </w:rPr>
        <w:t>协调处理起草工作中出现的问题，根据以往经验，结合起草组各单位建议，完善标准草稿;</w:t>
      </w:r>
    </w:p>
    <w:p w14:paraId="05922DAE">
      <w:pPr>
        <w:numPr>
          <w:ilvl w:val="0"/>
          <w:numId w:val="4"/>
        </w:numPr>
        <w:spacing w:line="360" w:lineRule="auto"/>
        <w:ind w:firstLine="480" w:firstLineChars="200"/>
        <w:rPr>
          <w:rFonts w:hint="eastAsia" w:ascii="仿宋" w:hAnsi="仿宋" w:eastAsia="仿宋"/>
          <w:sz w:val="24"/>
        </w:rPr>
      </w:pPr>
      <w:r>
        <w:rPr>
          <w:rFonts w:hint="eastAsia" w:ascii="仿宋" w:hAnsi="仿宋" w:eastAsia="仿宋"/>
          <w:sz w:val="24"/>
        </w:rPr>
        <w:t>组织相关单位，对标准测试相关内容进行试验验证。</w:t>
      </w:r>
    </w:p>
    <w:p w14:paraId="53EF192B">
      <w:pPr>
        <w:spacing w:line="360" w:lineRule="auto"/>
        <w:ind w:firstLine="480" w:firstLineChars="200"/>
        <w:rPr>
          <w:rFonts w:hint="eastAsia" w:ascii="仿宋" w:hAnsi="仿宋" w:eastAsia="仿宋"/>
          <w:sz w:val="24"/>
        </w:rPr>
      </w:pPr>
      <w:r>
        <w:rPr>
          <w:rFonts w:hint="eastAsia" w:ascii="仿宋" w:hAnsi="仿宋" w:eastAsia="仿宋"/>
          <w:sz w:val="24"/>
        </w:rPr>
        <w:t>起草组成员的主要工作内容：</w:t>
      </w:r>
    </w:p>
    <w:p w14:paraId="16A55FDD">
      <w:pPr>
        <w:numPr>
          <w:ilvl w:val="0"/>
          <w:numId w:val="5"/>
        </w:numPr>
        <w:spacing w:line="360" w:lineRule="auto"/>
        <w:ind w:firstLine="480" w:firstLineChars="200"/>
        <w:rPr>
          <w:rFonts w:hint="eastAsia" w:ascii="仿宋" w:hAnsi="仿宋" w:eastAsia="仿宋"/>
          <w:sz w:val="24"/>
        </w:rPr>
      </w:pPr>
      <w:r>
        <w:rPr>
          <w:rFonts w:hint="eastAsia" w:ascii="仿宋" w:hAnsi="仿宋" w:eastAsia="仿宋"/>
          <w:sz w:val="24"/>
        </w:rPr>
        <w:t>配合牵头单位成立标准起草组配合牵头单位共同完成标准起草工作;</w:t>
      </w:r>
    </w:p>
    <w:p w14:paraId="615B6192">
      <w:pPr>
        <w:numPr>
          <w:ilvl w:val="0"/>
          <w:numId w:val="5"/>
        </w:numPr>
        <w:spacing w:line="360" w:lineRule="auto"/>
        <w:ind w:firstLine="480" w:firstLineChars="200"/>
        <w:rPr>
          <w:rFonts w:hint="eastAsia" w:ascii="仿宋" w:hAnsi="仿宋" w:eastAsia="仿宋"/>
          <w:sz w:val="24"/>
        </w:rPr>
      </w:pPr>
      <w:r>
        <w:rPr>
          <w:rFonts w:hint="eastAsia" w:ascii="仿宋" w:hAnsi="仿宋" w:eastAsia="仿宋"/>
          <w:sz w:val="24"/>
        </w:rPr>
        <w:t>根据分工，承担标准起草任务：相关单位根据自身经验，反馈汽车计算芯片信息安全检测内容和要求;</w:t>
      </w:r>
    </w:p>
    <w:p w14:paraId="09BB1867">
      <w:pPr>
        <w:numPr>
          <w:ilvl w:val="0"/>
          <w:numId w:val="5"/>
        </w:numPr>
        <w:spacing w:line="360" w:lineRule="auto"/>
        <w:ind w:firstLine="480" w:firstLineChars="200"/>
        <w:rPr>
          <w:rFonts w:hint="eastAsia" w:ascii="仿宋" w:hAnsi="仿宋" w:eastAsia="仿宋"/>
          <w:sz w:val="24"/>
        </w:rPr>
      </w:pPr>
      <w:r>
        <w:rPr>
          <w:rFonts w:hint="eastAsia" w:ascii="仿宋" w:hAnsi="仿宋" w:eastAsia="仿宋"/>
          <w:sz w:val="24"/>
        </w:rPr>
        <w:t>根据需要，配合开展标准的测试验证工作。</w:t>
      </w:r>
    </w:p>
    <w:p w14:paraId="69A3CC48">
      <w:pPr>
        <w:numPr>
          <w:ilvl w:val="0"/>
          <w:numId w:val="2"/>
        </w:numPr>
        <w:spacing w:before="156" w:beforeLines="50" w:after="156" w:afterLines="50" w:line="360" w:lineRule="auto"/>
        <w:ind w:left="0"/>
        <w:outlineLvl w:val="1"/>
        <w:rPr>
          <w:rFonts w:hint="eastAsia" w:ascii="黑体" w:hAnsi="黑体" w:eastAsia="黑体" w:cs="仿宋"/>
          <w:color w:val="000000" w:themeColor="text1"/>
          <w:sz w:val="24"/>
          <w14:textFill>
            <w14:solidFill>
              <w14:schemeClr w14:val="tx1"/>
            </w14:solidFill>
          </w14:textFill>
        </w:rPr>
      </w:pPr>
      <w:r>
        <w:rPr>
          <w:rFonts w:hint="eastAsia" w:ascii="黑体" w:hAnsi="黑体" w:eastAsia="黑体" w:cs="仿宋"/>
          <w:color w:val="000000" w:themeColor="text1"/>
          <w:sz w:val="24"/>
          <w14:textFill>
            <w14:solidFill>
              <w14:schemeClr w14:val="tx1"/>
            </w14:solidFill>
          </w14:textFill>
        </w:rPr>
        <w:t>标准研讨情况</w:t>
      </w:r>
    </w:p>
    <w:p w14:paraId="4BE0CE15">
      <w:pPr>
        <w:spacing w:line="360" w:lineRule="auto"/>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标准起草组遵守GB/T 1.1-2020等文件相关规定，结合标准制定工作程序的各个环节，进行了探讨和研究。对国内外的</w:t>
      </w:r>
      <w:r>
        <w:rPr>
          <w:rFonts w:hint="eastAsia" w:ascii="仿宋" w:hAnsi="仿宋" w:eastAsia="仿宋" w:cs="仿宋"/>
          <w:color w:val="000000" w:themeColor="text1"/>
          <w:sz w:val="24"/>
          <w:lang w:val="en-US" w:eastAsia="zh-CN"/>
          <w14:textFill>
            <w14:solidFill>
              <w14:schemeClr w14:val="tx1"/>
            </w14:solidFill>
          </w14:textFill>
        </w:rPr>
        <w:t>电源管理芯片技术及</w:t>
      </w:r>
      <w:r>
        <w:rPr>
          <w:rFonts w:hint="eastAsia" w:ascii="仿宋" w:hAnsi="仿宋" w:eastAsia="仿宋" w:cs="仿宋"/>
          <w:color w:val="000000" w:themeColor="text1"/>
          <w:sz w:val="24"/>
          <w14:textFill>
            <w14:solidFill>
              <w14:schemeClr w14:val="tx1"/>
            </w14:solidFill>
          </w14:textFill>
        </w:rPr>
        <w:t>标准进行系统研究，对行业现有标准技术文件和研究成果进行归纳整理，对比国内外车规半导体标准的技术要求，进行了必要的试验验证，保证标准研究方向的正确性及可行性。同时标准起草组广泛听取了行业知名专家的意见，组织相关技术人员对标准中各章节的技术指标、内容要求进行多次研讨。具体工作过程如下。</w:t>
      </w:r>
    </w:p>
    <w:p w14:paraId="0A4ED300">
      <w:pPr>
        <w:spacing w:line="360" w:lineRule="auto"/>
        <w:outlineLvl w:val="2"/>
        <w:rPr>
          <w:rFonts w:hint="eastAsia" w:ascii="黑体" w:hAnsi="黑体" w:eastAsia="黑体" w:cs="仿宋"/>
          <w:sz w:val="24"/>
        </w:rPr>
      </w:pPr>
      <w:r>
        <w:rPr>
          <w:rFonts w:hint="eastAsia" w:ascii="黑体" w:hAnsi="黑体" w:eastAsia="黑体" w:cs="仿宋"/>
          <w:sz w:val="24"/>
        </w:rPr>
        <w:t>1、预研</w:t>
      </w:r>
    </w:p>
    <w:p w14:paraId="0D015289">
      <w:pPr>
        <w:spacing w:line="360" w:lineRule="auto"/>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系统开展国内外产业与标准双向调研，一方面覆盖国内、欧洲、美国和日本主流车企的车规级电源管理芯片技术现状，梳理不同区域在芯片架构选型、工况适配策略、可靠性验证体系上的差异化技术路线，另一方面全面摸排国内车规电源管理芯片相关标准的立项进度、已发布规范的覆盖边界与待补短板，通过横向对标明确本标准的专属定位与差异化价值，最终锚定纯电动客车专用电源管理芯片技术规范的制定意义与核心目标。调研过程中同步梳理现有汽车芯片标准体系的整体框架：该体系以“汽车芯片应用场景”为横向出发点，覆盖动力系统、底盘系统、车身系统、座舱系统及智能驾驶五大领域，纵向按内容属性划分为基础通用、产品与技术应用和匹配试验三类标准，最终实现不同应用场景下汽车关键芯片从器件-模块-系统-整车的全链条技术标准全覆盖。经对标研判，当前已有的电源管理相关标准均归属于动力系统场景下的产品与技术应用类，仅能适配通用乘用车的常规工况，完全缺失针对纯电动客车高压平台、百安培级大电流充放循环、</w:t>
      </w:r>
      <w:r>
        <w:rPr>
          <w:rFonts w:hint="eastAsia" w:ascii="仿宋" w:hAnsi="仿宋" w:eastAsia="仿宋" w:cs="仿宋"/>
          <w:color w:val="000000" w:themeColor="text1"/>
          <w:sz w:val="24"/>
          <w:lang w:val="en-US" w:eastAsia="zh-CN"/>
          <w14:textFill>
            <w14:solidFill>
              <w14:schemeClr w14:val="tx1"/>
            </w14:solidFill>
          </w14:textFill>
        </w:rPr>
        <w:t>10</w:t>
      </w:r>
      <w:r>
        <w:rPr>
          <w:rFonts w:hint="eastAsia" w:ascii="仿宋" w:hAnsi="仿宋" w:eastAsia="仿宋" w:cs="仿宋"/>
          <w:color w:val="000000" w:themeColor="text1"/>
          <w:sz w:val="24"/>
          <w14:textFill>
            <w14:solidFill>
              <w14:schemeClr w14:val="tx1"/>
            </w14:solidFill>
          </w14:textFill>
        </w:rPr>
        <w:t>-1</w:t>
      </w:r>
      <w:r>
        <w:rPr>
          <w:rFonts w:hint="eastAsia" w:ascii="仿宋" w:hAnsi="仿宋" w:eastAsia="仿宋" w:cs="仿宋"/>
          <w:color w:val="000000" w:themeColor="text1"/>
          <w:sz w:val="24"/>
          <w:lang w:val="en-US" w:eastAsia="zh-CN"/>
          <w14:textFill>
            <w14:solidFill>
              <w14:schemeClr w14:val="tx1"/>
            </w14:solidFill>
          </w14:textFill>
        </w:rPr>
        <w:t>5</w:t>
      </w:r>
      <w:r>
        <w:rPr>
          <w:rFonts w:hint="eastAsia" w:ascii="仿宋" w:hAnsi="仿宋" w:eastAsia="仿宋" w:cs="仿宋"/>
          <w:color w:val="000000" w:themeColor="text1"/>
          <w:sz w:val="24"/>
          <w14:textFill>
            <w14:solidFill>
              <w14:schemeClr w14:val="tx1"/>
            </w14:solidFill>
          </w14:textFill>
        </w:rPr>
        <w:t>年超长运营周期、等极端复杂工况的专属技术要求，现有通用标准的指标阈值、试验条件完全无法匹配客车场景的特殊需求。基于全维度调研结果汇总形成产业共识结论，搭建完成标准框架草案与分阶段推进技术路线图，明确核心技术章节设置与全层级验证方案，最终输出可直接用于编制标准立项汇报材料与标准立项建议书的完整支撑素材，为后续标准正式起草筑牢全行业的技术共识与实测数据基础。</w:t>
      </w:r>
    </w:p>
    <w:p w14:paraId="06C819B4">
      <w:pPr>
        <w:spacing w:line="360" w:lineRule="auto"/>
        <w:outlineLvl w:val="2"/>
        <w:rPr>
          <w:rFonts w:hint="eastAsia" w:ascii="黑体" w:hAnsi="黑体" w:eastAsia="黑体" w:cs="仿宋"/>
          <w:sz w:val="24"/>
        </w:rPr>
      </w:pPr>
      <w:r>
        <w:rPr>
          <w:rFonts w:hint="eastAsia" w:ascii="黑体" w:hAnsi="黑体" w:eastAsia="黑体" w:cs="仿宋"/>
          <w:sz w:val="24"/>
        </w:rPr>
        <w:t>2、立项</w:t>
      </w:r>
    </w:p>
    <w:p w14:paraId="458ED041">
      <w:pPr>
        <w:spacing w:line="360" w:lineRule="auto"/>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依据汽车芯片标准体系建设整体设计思路，完成标准正文初稿框架结构内容初版编写，完成标准立项相关材料初版编写；召开内部评审会，听取行业整车企业、芯片企业与零部件企业专家意见并进行修订后，提交立项资料至</w:t>
      </w:r>
      <w:bookmarkStart w:id="0" w:name="OLE_LINK3"/>
      <w:r>
        <w:rPr>
          <w:rFonts w:ascii="仿宋" w:hAnsi="仿宋" w:eastAsia="仿宋" w:cs="仿宋"/>
          <w:color w:val="000000" w:themeColor="text1"/>
          <w:sz w:val="24"/>
          <w14:textFill>
            <w14:solidFill>
              <w14:schemeClr w14:val="tx1"/>
            </w14:solidFill>
          </w14:textFill>
        </w:rPr>
        <w:t>国家新能源汽车技术创新中心</w:t>
      </w:r>
      <w:bookmarkEnd w:id="0"/>
      <w:r>
        <w:rPr>
          <w:rFonts w:hint="eastAsia" w:ascii="仿宋" w:hAnsi="仿宋" w:eastAsia="仿宋" w:cs="仿宋"/>
          <w:color w:val="000000" w:themeColor="text1"/>
          <w:sz w:val="24"/>
          <w14:textFill>
            <w14:solidFill>
              <w14:schemeClr w14:val="tx1"/>
            </w14:solidFill>
          </w14:textFill>
        </w:rPr>
        <w:t>进行立项申报，202</w:t>
      </w:r>
      <w:r>
        <w:rPr>
          <w:rFonts w:hint="eastAsia" w:ascii="仿宋" w:hAnsi="仿宋" w:eastAsia="仿宋" w:cs="仿宋"/>
          <w:color w:val="000000" w:themeColor="text1"/>
          <w:sz w:val="24"/>
          <w:lang w:val="en-US" w:eastAsia="zh-CN"/>
          <w14:textFill>
            <w14:solidFill>
              <w14:schemeClr w14:val="tx1"/>
            </w14:solidFill>
          </w14:textFill>
        </w:rPr>
        <w:t>6</w:t>
      </w:r>
      <w:r>
        <w:rPr>
          <w:rFonts w:hint="eastAsia" w:ascii="仿宋" w:hAnsi="仿宋" w:eastAsia="仿宋" w:cs="仿宋"/>
          <w:color w:val="000000" w:themeColor="text1"/>
          <w:sz w:val="24"/>
          <w14:textFill>
            <w14:solidFill>
              <w14:schemeClr w14:val="tx1"/>
            </w14:solidFill>
          </w14:textFill>
        </w:rPr>
        <w:t>年</w:t>
      </w:r>
      <w:r>
        <w:rPr>
          <w:rFonts w:hint="eastAsia" w:ascii="仿宋" w:hAnsi="仿宋" w:eastAsia="仿宋" w:cs="仿宋"/>
          <w:color w:val="000000" w:themeColor="text1"/>
          <w:sz w:val="24"/>
          <w:lang w:val="en-US" w:eastAsia="zh-CN"/>
          <w14:textFill>
            <w14:solidFill>
              <w14:schemeClr w14:val="tx1"/>
            </w14:solidFill>
          </w14:textFill>
        </w:rPr>
        <w:t>4</w:t>
      </w:r>
      <w:r>
        <w:rPr>
          <w:rFonts w:hint="eastAsia" w:ascii="仿宋" w:hAnsi="仿宋" w:eastAsia="仿宋" w:cs="仿宋"/>
          <w:color w:val="000000" w:themeColor="text1"/>
          <w:sz w:val="24"/>
          <w14:textFill>
            <w14:solidFill>
              <w14:schemeClr w14:val="tx1"/>
            </w14:solidFill>
          </w14:textFill>
        </w:rPr>
        <w:t>月</w:t>
      </w:r>
      <w:r>
        <w:rPr>
          <w:rFonts w:hint="eastAsia" w:ascii="仿宋" w:hAnsi="仿宋" w:eastAsia="仿宋" w:cs="仿宋"/>
          <w:color w:val="000000" w:themeColor="text1"/>
          <w:sz w:val="24"/>
          <w:lang w:val="en-US" w:eastAsia="zh-CN"/>
          <w14:textFill>
            <w14:solidFill>
              <w14:schemeClr w14:val="tx1"/>
            </w14:solidFill>
          </w14:textFill>
        </w:rPr>
        <w:t>8</w:t>
      </w:r>
      <w:r>
        <w:rPr>
          <w:rFonts w:hint="eastAsia" w:ascii="仿宋" w:hAnsi="仿宋" w:eastAsia="仿宋" w:cs="仿宋"/>
          <w:color w:val="000000" w:themeColor="text1"/>
          <w:sz w:val="24"/>
          <w14:textFill>
            <w14:solidFill>
              <w14:schemeClr w14:val="tx1"/>
            </w14:solidFill>
          </w14:textFill>
        </w:rPr>
        <w:t>日由</w:t>
      </w:r>
      <w:r>
        <w:rPr>
          <w:rFonts w:ascii="仿宋" w:hAnsi="仿宋" w:eastAsia="仿宋" w:cs="仿宋"/>
          <w:color w:val="000000" w:themeColor="text1"/>
          <w:sz w:val="24"/>
          <w14:textFill>
            <w14:solidFill>
              <w14:schemeClr w14:val="tx1"/>
            </w14:solidFill>
          </w14:textFill>
        </w:rPr>
        <w:t>国家新能源汽车技术创新中心</w:t>
      </w:r>
      <w:r>
        <w:rPr>
          <w:rFonts w:hint="eastAsia" w:ascii="仿宋" w:hAnsi="仿宋" w:eastAsia="仿宋" w:cs="仿宋"/>
          <w:color w:val="000000" w:themeColor="text1"/>
          <w:sz w:val="24"/>
          <w14:textFill>
            <w14:solidFill>
              <w14:schemeClr w14:val="tx1"/>
            </w14:solidFill>
          </w14:textFill>
        </w:rPr>
        <w:t>组织汽车、芯片等行业专家进行标准立项审查，202</w:t>
      </w:r>
      <w:r>
        <w:rPr>
          <w:rFonts w:hint="eastAsia" w:ascii="仿宋" w:hAnsi="仿宋" w:eastAsia="仿宋" w:cs="仿宋"/>
          <w:color w:val="000000" w:themeColor="text1"/>
          <w:sz w:val="24"/>
          <w:lang w:val="en-US" w:eastAsia="zh-CN"/>
          <w14:textFill>
            <w14:solidFill>
              <w14:schemeClr w14:val="tx1"/>
            </w14:solidFill>
          </w14:textFill>
        </w:rPr>
        <w:t>6</w:t>
      </w:r>
      <w:r>
        <w:rPr>
          <w:rFonts w:hint="eastAsia" w:ascii="仿宋" w:hAnsi="仿宋" w:eastAsia="仿宋" w:cs="仿宋"/>
          <w:color w:val="000000" w:themeColor="text1"/>
          <w:sz w:val="24"/>
          <w14:textFill>
            <w14:solidFill>
              <w14:schemeClr w14:val="tx1"/>
            </w14:solidFill>
          </w14:textFill>
        </w:rPr>
        <w:t>年</w:t>
      </w:r>
      <w:r>
        <w:rPr>
          <w:rFonts w:hint="eastAsia" w:ascii="仿宋" w:hAnsi="仿宋" w:eastAsia="仿宋" w:cs="仿宋"/>
          <w:color w:val="000000" w:themeColor="text1"/>
          <w:sz w:val="24"/>
          <w:lang w:val="en-US" w:eastAsia="zh-CN"/>
          <w14:textFill>
            <w14:solidFill>
              <w14:schemeClr w14:val="tx1"/>
            </w14:solidFill>
          </w14:textFill>
        </w:rPr>
        <w:t>6</w:t>
      </w:r>
      <w:r>
        <w:rPr>
          <w:rFonts w:hint="eastAsia" w:ascii="仿宋" w:hAnsi="仿宋" w:eastAsia="仿宋" w:cs="仿宋"/>
          <w:color w:val="000000" w:themeColor="text1"/>
          <w:sz w:val="24"/>
          <w14:textFill>
            <w14:solidFill>
              <w14:schemeClr w14:val="tx1"/>
            </w14:solidFill>
          </w14:textFill>
        </w:rPr>
        <w:t>月1</w:t>
      </w:r>
      <w:r>
        <w:rPr>
          <w:rFonts w:hint="eastAsia" w:ascii="仿宋" w:hAnsi="仿宋" w:eastAsia="仿宋" w:cs="仿宋"/>
          <w:color w:val="000000" w:themeColor="text1"/>
          <w:sz w:val="24"/>
          <w:lang w:val="en-US" w:eastAsia="zh-CN"/>
          <w14:textFill>
            <w14:solidFill>
              <w14:schemeClr w14:val="tx1"/>
            </w14:solidFill>
          </w14:textFill>
        </w:rPr>
        <w:t>5</w:t>
      </w:r>
      <w:r>
        <w:rPr>
          <w:rFonts w:hint="eastAsia" w:ascii="仿宋" w:hAnsi="仿宋" w:eastAsia="仿宋" w:cs="仿宋"/>
          <w:color w:val="000000" w:themeColor="text1"/>
          <w:sz w:val="24"/>
          <w14:textFill>
            <w14:solidFill>
              <w14:schemeClr w14:val="tx1"/>
            </w14:solidFill>
          </w14:textFill>
        </w:rPr>
        <w:t>日，中国汽车工业协会</w:t>
      </w:r>
      <w:r>
        <w:rPr>
          <w:rFonts w:hint="eastAsia" w:ascii="仿宋" w:hAnsi="仿宋" w:eastAsia="仿宋" w:cs="仿宋"/>
          <w:color w:val="000000" w:themeColor="text1"/>
          <w:sz w:val="24"/>
          <w:lang w:val="en-US" w:eastAsia="zh-CN"/>
          <w14:textFill>
            <w14:solidFill>
              <w14:schemeClr w14:val="tx1"/>
            </w14:solidFill>
          </w14:textFill>
        </w:rPr>
        <w:t>发起团体标准</w:t>
      </w:r>
      <w:r>
        <w:rPr>
          <w:rFonts w:hint="eastAsia" w:ascii="仿宋" w:hAnsi="仿宋" w:eastAsia="仿宋" w:cs="仿宋"/>
          <w:color w:val="000000" w:themeColor="text1"/>
          <w:sz w:val="24"/>
          <w14:textFill>
            <w14:solidFill>
              <w14:schemeClr w14:val="tx1"/>
            </w14:solidFill>
          </w14:textFill>
        </w:rPr>
        <w:t>立项公示，202</w:t>
      </w:r>
      <w:r>
        <w:rPr>
          <w:rFonts w:hint="eastAsia" w:ascii="仿宋" w:hAnsi="仿宋" w:eastAsia="仿宋" w:cs="仿宋"/>
          <w:color w:val="000000" w:themeColor="text1"/>
          <w:sz w:val="24"/>
          <w:lang w:val="en-US" w:eastAsia="zh-CN"/>
          <w14:textFill>
            <w14:solidFill>
              <w14:schemeClr w14:val="tx1"/>
            </w14:solidFill>
          </w14:textFill>
        </w:rPr>
        <w:t>6</w:t>
      </w:r>
      <w:r>
        <w:rPr>
          <w:rFonts w:hint="eastAsia" w:ascii="仿宋" w:hAnsi="仿宋" w:eastAsia="仿宋" w:cs="仿宋"/>
          <w:color w:val="000000" w:themeColor="text1"/>
          <w:sz w:val="24"/>
          <w14:textFill>
            <w14:solidFill>
              <w14:schemeClr w14:val="tx1"/>
            </w14:solidFill>
          </w14:textFill>
        </w:rPr>
        <w:t>年</w:t>
      </w:r>
      <w:r>
        <w:rPr>
          <w:rFonts w:hint="eastAsia" w:ascii="仿宋" w:hAnsi="仿宋" w:eastAsia="仿宋" w:cs="仿宋"/>
          <w:color w:val="000000" w:themeColor="text1"/>
          <w:sz w:val="24"/>
          <w:lang w:val="en-US" w:eastAsia="zh-CN"/>
          <w14:textFill>
            <w14:solidFill>
              <w14:schemeClr w14:val="tx1"/>
            </w14:solidFill>
          </w14:textFill>
        </w:rPr>
        <w:t>6</w:t>
      </w:r>
      <w:r>
        <w:rPr>
          <w:rFonts w:hint="eastAsia" w:ascii="仿宋" w:hAnsi="仿宋" w:eastAsia="仿宋" w:cs="仿宋"/>
          <w:color w:val="000000" w:themeColor="text1"/>
          <w:sz w:val="24"/>
          <w14:textFill>
            <w14:solidFill>
              <w14:schemeClr w14:val="tx1"/>
            </w14:solidFill>
          </w14:textFill>
        </w:rPr>
        <w:t>月</w:t>
      </w:r>
      <w:r>
        <w:rPr>
          <w:rFonts w:hint="eastAsia" w:ascii="仿宋" w:hAnsi="仿宋" w:eastAsia="仿宋" w:cs="仿宋"/>
          <w:color w:val="000000" w:themeColor="text1"/>
          <w:sz w:val="24"/>
          <w:lang w:val="en-US" w:eastAsia="zh-CN"/>
          <w14:textFill>
            <w14:solidFill>
              <w14:schemeClr w14:val="tx1"/>
            </w14:solidFill>
          </w14:textFill>
        </w:rPr>
        <w:t>30，标准正式立项（</w:t>
      </w:r>
      <w:r>
        <w:rPr>
          <w:rFonts w:hint="eastAsia" w:ascii="仿宋" w:hAnsi="仿宋" w:eastAsia="仿宋" w:cs="仿宋"/>
          <w:color w:val="000000" w:themeColor="text1"/>
          <w:sz w:val="24"/>
          <w14:textFill>
            <w14:solidFill>
              <w14:schemeClr w14:val="tx1"/>
            </w14:solidFill>
          </w14:textFill>
        </w:rPr>
        <w:t>文件号为：中汽协函字〔2026〕267号</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计划号为2026-29。</w:t>
      </w:r>
    </w:p>
    <w:p w14:paraId="12D81A7E">
      <w:pPr>
        <w:spacing w:line="360" w:lineRule="auto"/>
        <w:outlineLvl w:val="2"/>
        <w:rPr>
          <w:rFonts w:hint="eastAsia" w:ascii="黑体" w:hAnsi="黑体" w:eastAsia="黑体" w:cs="仿宋"/>
          <w:sz w:val="24"/>
        </w:rPr>
      </w:pPr>
      <w:r>
        <w:rPr>
          <w:rFonts w:hint="eastAsia" w:ascii="黑体" w:hAnsi="黑体" w:eastAsia="黑体" w:cs="仿宋"/>
          <w:sz w:val="24"/>
        </w:rPr>
        <w:t>3、起草</w:t>
      </w:r>
    </w:p>
    <w:p w14:paraId="077D1531">
      <w:pPr>
        <w:spacing w:line="360" w:lineRule="auto"/>
        <w:ind w:firstLine="480" w:firstLineChars="200"/>
        <w:rPr>
          <w:rFonts w:hint="eastAsia" w:ascii="仿宋" w:hAnsi="仿宋" w:eastAsia="仿宋" w:cs="仿宋"/>
          <w:sz w:val="24"/>
        </w:rPr>
      </w:pPr>
      <w:r>
        <w:rPr>
          <w:rFonts w:hint="eastAsia" w:ascii="仿宋" w:hAnsi="仿宋" w:eastAsia="仿宋" w:cs="仿宋"/>
          <w:sz w:val="24"/>
        </w:rPr>
        <w:t>标准立项后，北京国家新能源汽车技术创新中心有限公司联合整车企业、零部件企业、芯片企业、检测公司、测试设备公司等共同制定和完善标准草案。参编单位有：</w:t>
      </w:r>
      <w:r>
        <w:rPr>
          <w:rFonts w:hint="eastAsia" w:ascii="仿宋" w:hAnsi="仿宋" w:eastAsia="仿宋" w:cs="宋体"/>
          <w:sz w:val="24"/>
        </w:rPr>
        <w:t>宇通客车股份有限公司、郑州深澜动力科技有限公司、紫光同芯微电子有限公司、合肥艾创微电子科技有限公司、中国汽车工程研究院股份有限公司、小华半导体有限公司、上海芯思维信息科技有限公司、北京东土科技股份有限公司、重庆览山汽车电子有限公司、北京福田欧辉新能源汽车有限公司等</w:t>
      </w:r>
      <w:r>
        <w:rPr>
          <w:rFonts w:hint="eastAsia" w:ascii="仿宋" w:hAnsi="仿宋" w:eastAsia="仿宋" w:cs="仿宋"/>
          <w:sz w:val="24"/>
        </w:rPr>
        <w:t>。</w:t>
      </w:r>
    </w:p>
    <w:p w14:paraId="64A29BDE">
      <w:pPr>
        <w:spacing w:line="360" w:lineRule="auto"/>
        <w:ind w:firstLine="480" w:firstLineChars="200"/>
        <w:rPr>
          <w:rFonts w:hint="eastAsia" w:ascii="仿宋" w:hAnsi="仿宋" w:eastAsia="仿宋" w:cs="仿宋"/>
          <w:sz w:val="24"/>
        </w:rPr>
      </w:pPr>
      <w:r>
        <w:rPr>
          <w:rFonts w:hint="eastAsia" w:ascii="仿宋" w:hAnsi="仿宋" w:eastAsia="仿宋" w:cs="仿宋"/>
          <w:sz w:val="24"/>
        </w:rPr>
        <w:t>202</w:t>
      </w:r>
      <w:r>
        <w:rPr>
          <w:rFonts w:hint="eastAsia" w:ascii="仿宋" w:hAnsi="仿宋" w:eastAsia="仿宋" w:cs="仿宋"/>
          <w:sz w:val="24"/>
          <w:lang w:val="en-US" w:eastAsia="zh-CN"/>
        </w:rPr>
        <w:t>6</w:t>
      </w:r>
      <w:r>
        <w:rPr>
          <w:rFonts w:hint="eastAsia" w:ascii="仿宋" w:hAnsi="仿宋" w:eastAsia="仿宋" w:cs="仿宋"/>
          <w:sz w:val="24"/>
        </w:rPr>
        <w:t>年5月</w:t>
      </w:r>
      <w:r>
        <w:rPr>
          <w:rFonts w:hint="eastAsia" w:ascii="仿宋" w:hAnsi="仿宋" w:eastAsia="仿宋" w:cs="仿宋"/>
          <w:sz w:val="24"/>
          <w:lang w:val="en-US" w:eastAsia="zh-CN"/>
        </w:rPr>
        <w:t>28</w:t>
      </w:r>
      <w:r>
        <w:rPr>
          <w:rFonts w:hint="eastAsia" w:ascii="仿宋" w:hAnsi="仿宋" w:eastAsia="仿宋" w:cs="仿宋"/>
          <w:sz w:val="24"/>
        </w:rPr>
        <w:t>日，由中国汽车工业协会汽车芯片标准专业委员会秘书处国家新能源汽车技术创新中心主办的《纯电动客车用电源管理芯片技术要求及试验方法》团体标准起草组第一次标准研讨会在北京顺利召开。来自整车企业、芯片公司及检测机构近20位专家、企业代表参加了本次标准研讨会</w:t>
      </w:r>
      <w:r>
        <w:rPr>
          <w:rFonts w:hint="eastAsia" w:ascii="仿宋" w:hAnsi="仿宋" w:eastAsia="仿宋" w:cs="仿宋"/>
          <w:sz w:val="24"/>
          <w:lang w:eastAsia="zh-CN"/>
        </w:rPr>
        <w:t>。</w:t>
      </w:r>
      <w:r>
        <w:rPr>
          <w:rFonts w:hint="eastAsia" w:ascii="仿宋" w:hAnsi="仿宋" w:eastAsia="仿宋" w:cs="仿宋"/>
          <w:sz w:val="24"/>
        </w:rPr>
        <w:t>会上，牵头单位就标准项目研究情况、立项论证专家意见等内容进行了汇报，会议就立项专家意见处理结果达成了共识。标准起草组重点围绕标准技术框架及关键内容进行了细致深入的研讨，针对纯电动客车用电源管理芯片功能/性能、工作环境温度、功能安全ASIL等级、电磁兼容及对应的试验方法等重点内容均提出了合理意见和建议。起草组经过讨论形成标准</w:t>
      </w:r>
      <w:r>
        <w:rPr>
          <w:rFonts w:hint="eastAsia" w:ascii="仿宋" w:hAnsi="仿宋" w:eastAsia="仿宋" w:cs="仿宋"/>
          <w:sz w:val="24"/>
          <w:lang w:val="en-US" w:eastAsia="zh-CN"/>
        </w:rPr>
        <w:t>框架</w:t>
      </w:r>
      <w:r>
        <w:rPr>
          <w:rFonts w:hint="eastAsia" w:ascii="仿宋" w:hAnsi="仿宋" w:eastAsia="仿宋" w:cs="仿宋"/>
          <w:sz w:val="24"/>
        </w:rPr>
        <w:t>并确定起草阶段工作计划及下一步工作计划。</w:t>
      </w:r>
    </w:p>
    <w:p w14:paraId="4D426DC9">
      <w:pPr>
        <w:spacing w:line="360" w:lineRule="auto"/>
        <w:ind w:firstLine="480" w:firstLineChars="200"/>
        <w:rPr>
          <w:rFonts w:hint="eastAsia" w:ascii="仿宋" w:hAnsi="仿宋" w:eastAsia="仿宋" w:cs="仿宋"/>
          <w:sz w:val="24"/>
        </w:rPr>
      </w:pPr>
      <w:r>
        <w:rPr>
          <w:rFonts w:hint="eastAsia" w:ascii="仿宋" w:hAnsi="仿宋" w:eastAsia="仿宋" w:cs="仿宋"/>
          <w:sz w:val="24"/>
        </w:rPr>
        <w:t>202</w:t>
      </w:r>
      <w:r>
        <w:rPr>
          <w:rFonts w:hint="eastAsia" w:ascii="仿宋" w:hAnsi="仿宋" w:eastAsia="仿宋" w:cs="仿宋"/>
          <w:sz w:val="24"/>
          <w:lang w:val="en-US" w:eastAsia="zh-CN"/>
        </w:rPr>
        <w:t>6</w:t>
      </w:r>
      <w:r>
        <w:rPr>
          <w:rFonts w:hint="eastAsia" w:ascii="仿宋" w:hAnsi="仿宋" w:eastAsia="仿宋" w:cs="仿宋"/>
          <w:sz w:val="24"/>
        </w:rPr>
        <w:t>年</w:t>
      </w:r>
      <w:r>
        <w:rPr>
          <w:rFonts w:hint="eastAsia" w:ascii="仿宋" w:hAnsi="仿宋" w:eastAsia="仿宋" w:cs="仿宋"/>
          <w:sz w:val="24"/>
          <w:lang w:val="en-US" w:eastAsia="zh-CN"/>
        </w:rPr>
        <w:t>6</w:t>
      </w:r>
      <w:r>
        <w:rPr>
          <w:rFonts w:hint="eastAsia" w:ascii="仿宋" w:hAnsi="仿宋" w:eastAsia="仿宋" w:cs="仿宋"/>
          <w:sz w:val="24"/>
        </w:rPr>
        <w:t>月</w:t>
      </w:r>
      <w:r>
        <w:rPr>
          <w:rFonts w:hint="eastAsia" w:ascii="仿宋" w:hAnsi="仿宋" w:eastAsia="仿宋" w:cs="仿宋"/>
          <w:sz w:val="24"/>
          <w:lang w:val="en-US" w:eastAsia="zh-CN"/>
        </w:rPr>
        <w:t>30</w:t>
      </w:r>
      <w:r>
        <w:rPr>
          <w:rFonts w:hint="eastAsia" w:ascii="仿宋" w:hAnsi="仿宋" w:eastAsia="仿宋" w:cs="仿宋"/>
          <w:sz w:val="24"/>
        </w:rPr>
        <w:t>日，中汽协汽车芯片专委会秘书处组织起草组单位召开了起草组第二次标准研讨会，</w:t>
      </w:r>
      <w:r>
        <w:rPr>
          <w:rFonts w:hint="eastAsia" w:ascii="仿宋" w:hAnsi="仿宋" w:eastAsia="仿宋" w:cs="仿宋"/>
          <w:sz w:val="24"/>
          <w:lang w:val="en-US" w:eastAsia="zh-CN"/>
        </w:rPr>
        <w:t>标</w:t>
      </w:r>
      <w:r>
        <w:rPr>
          <w:rFonts w:hint="eastAsia" w:ascii="仿宋" w:hAnsi="仿宋" w:eastAsia="仿宋" w:cs="仿宋"/>
          <w:sz w:val="24"/>
        </w:rPr>
        <w:t>准主笔单位国创中心汇报了第一次标准研讨会专家意见及近期各单位反馈标准意见的处理情况，结合标准草案对优化内容进行了介绍，会议就起草组意见反馈处理结果达成了共识。标准起草组重点围绕纯电动客车电源管理芯片关键内容进行了细致深入的研讨，针对芯片功能要求表述、性能要求指标、功能安全ASIL等级、试验方法步骤等内容均提出了合理意见和建议。</w:t>
      </w:r>
    </w:p>
    <w:p w14:paraId="087AA592">
      <w:pPr>
        <w:spacing w:line="360" w:lineRule="auto"/>
        <w:ind w:firstLine="480" w:firstLineChars="200"/>
        <w:rPr>
          <w:rFonts w:hint="eastAsia" w:ascii="仿宋" w:hAnsi="仿宋" w:eastAsia="仿宋" w:cs="仿宋"/>
          <w:sz w:val="24"/>
        </w:rPr>
      </w:pPr>
      <w:r>
        <w:rPr>
          <w:rFonts w:hint="eastAsia" w:ascii="仿宋" w:hAnsi="仿宋" w:eastAsia="仿宋" w:cs="仿宋"/>
          <w:sz w:val="24"/>
        </w:rPr>
        <w:t>2026年</w:t>
      </w:r>
      <w:r>
        <w:rPr>
          <w:rFonts w:hint="eastAsia" w:ascii="仿宋" w:hAnsi="仿宋" w:eastAsia="仿宋" w:cs="仿宋"/>
          <w:sz w:val="24"/>
          <w:lang w:val="en-US" w:eastAsia="zh-CN"/>
        </w:rPr>
        <w:t>7</w:t>
      </w:r>
      <w:r>
        <w:rPr>
          <w:rFonts w:hint="eastAsia" w:ascii="仿宋" w:hAnsi="仿宋" w:eastAsia="仿宋" w:cs="仿宋"/>
          <w:sz w:val="24"/>
        </w:rPr>
        <w:t>月</w:t>
      </w:r>
      <w:r>
        <w:rPr>
          <w:rFonts w:hint="eastAsia" w:ascii="仿宋" w:hAnsi="仿宋" w:eastAsia="仿宋" w:cs="仿宋"/>
          <w:sz w:val="24"/>
          <w:lang w:val="en-US" w:eastAsia="zh-CN"/>
        </w:rPr>
        <w:t>xx</w:t>
      </w:r>
      <w:r>
        <w:rPr>
          <w:rFonts w:hint="eastAsia" w:ascii="仿宋" w:hAnsi="仿宋" w:eastAsia="仿宋" w:cs="仿宋"/>
          <w:sz w:val="24"/>
        </w:rPr>
        <w:t>日，中汽协汽车芯片专委会秘书处组织通过线上会议组织起草组单位召开了起草组第三次标准研讨会，标准主笔人介绍了标准整体进展，起草组内对标准文本意见的处理情况，起草组对相关意见进行了讨论和确认。标准主笔人介绍了标准试验验证计划及后续的验证分工，相关单位根据会议要求，会后按期反馈试验报告及进行试验验证等。</w:t>
      </w:r>
    </w:p>
    <w:p w14:paraId="642E7494">
      <w:pPr>
        <w:spacing w:line="360" w:lineRule="auto"/>
        <w:outlineLvl w:val="2"/>
        <w:rPr>
          <w:rFonts w:hint="eastAsia" w:ascii="黑体" w:hAnsi="黑体" w:eastAsia="黑体" w:cs="仿宋"/>
          <w:sz w:val="24"/>
        </w:rPr>
      </w:pPr>
      <w:r>
        <w:rPr>
          <w:rFonts w:hint="eastAsia" w:ascii="黑体" w:hAnsi="黑体" w:eastAsia="黑体" w:cs="仿宋"/>
          <w:sz w:val="24"/>
        </w:rPr>
        <w:t>4、 试验验证</w:t>
      </w:r>
    </w:p>
    <w:p w14:paraId="653B47DA">
      <w:pPr>
        <w:spacing w:line="360" w:lineRule="auto"/>
        <w:ind w:firstLine="480" w:firstLineChars="200"/>
        <w:rPr>
          <w:rFonts w:hint="eastAsia" w:ascii="仿宋" w:hAnsi="仿宋" w:eastAsia="仿宋" w:cs="仿宋"/>
          <w:sz w:val="24"/>
        </w:rPr>
      </w:pPr>
      <w:r>
        <w:rPr>
          <w:rFonts w:hint="eastAsia" w:ascii="仿宋" w:hAnsi="仿宋" w:eastAsia="仿宋" w:cs="仿宋"/>
          <w:sz w:val="24"/>
        </w:rPr>
        <w:t>202</w:t>
      </w:r>
      <w:r>
        <w:rPr>
          <w:rFonts w:hint="eastAsia" w:ascii="仿宋" w:hAnsi="仿宋" w:eastAsia="仿宋" w:cs="仿宋"/>
          <w:sz w:val="24"/>
          <w:lang w:val="en-US" w:eastAsia="zh-CN"/>
        </w:rPr>
        <w:t>6</w:t>
      </w:r>
      <w:r>
        <w:rPr>
          <w:rFonts w:hint="eastAsia" w:ascii="仿宋" w:hAnsi="仿宋" w:eastAsia="仿宋" w:cs="仿宋"/>
          <w:sz w:val="24"/>
        </w:rPr>
        <w:t>年</w:t>
      </w:r>
      <w:r>
        <w:rPr>
          <w:rFonts w:hint="eastAsia" w:ascii="仿宋" w:hAnsi="仿宋" w:eastAsia="仿宋" w:cs="仿宋"/>
          <w:sz w:val="24"/>
          <w:lang w:val="en-US" w:eastAsia="zh-CN"/>
        </w:rPr>
        <w:t>6</w:t>
      </w:r>
      <w:r>
        <w:rPr>
          <w:rFonts w:hint="eastAsia" w:ascii="仿宋" w:hAnsi="仿宋" w:eastAsia="仿宋" w:cs="仿宋"/>
          <w:sz w:val="24"/>
        </w:rPr>
        <w:t>月，由牵头单位组织起草组单位，征集标准试验验证参与意向、验证内容，并根据参与意向及验证内容制定试验验证计划及方案。</w:t>
      </w:r>
    </w:p>
    <w:p w14:paraId="2E405A3A">
      <w:pPr>
        <w:spacing w:line="360" w:lineRule="auto"/>
        <w:ind w:firstLine="480" w:firstLineChars="200"/>
        <w:rPr>
          <w:rFonts w:hint="eastAsia" w:ascii="仿宋" w:hAnsi="仿宋" w:eastAsia="仿宋" w:cs="仿宋"/>
          <w:sz w:val="24"/>
        </w:rPr>
      </w:pPr>
      <w:r>
        <w:rPr>
          <w:rFonts w:hint="eastAsia" w:ascii="仿宋" w:hAnsi="仿宋" w:eastAsia="仿宋" w:cs="仿宋"/>
          <w:sz w:val="24"/>
        </w:rPr>
        <w:t>2025年</w:t>
      </w:r>
      <w:r>
        <w:rPr>
          <w:rFonts w:hint="eastAsia" w:ascii="仿宋" w:hAnsi="仿宋" w:eastAsia="仿宋" w:cs="仿宋"/>
          <w:sz w:val="24"/>
          <w:lang w:val="en-US" w:eastAsia="zh-CN"/>
        </w:rPr>
        <w:t>6</w:t>
      </w:r>
      <w:r>
        <w:rPr>
          <w:rFonts w:hint="eastAsia" w:ascii="仿宋" w:hAnsi="仿宋" w:eastAsia="仿宋" w:cs="仿宋"/>
          <w:sz w:val="24"/>
        </w:rPr>
        <w:t>月～2026年</w:t>
      </w:r>
      <w:r>
        <w:rPr>
          <w:rFonts w:hint="eastAsia" w:ascii="仿宋" w:hAnsi="仿宋" w:eastAsia="仿宋" w:cs="仿宋"/>
          <w:sz w:val="24"/>
          <w:lang w:val="en-US" w:eastAsia="zh-CN"/>
        </w:rPr>
        <w:t>7</w:t>
      </w:r>
      <w:r>
        <w:rPr>
          <w:rFonts w:hint="eastAsia" w:ascii="仿宋" w:hAnsi="仿宋" w:eastAsia="仿宋" w:cs="仿宋"/>
          <w:sz w:val="24"/>
        </w:rPr>
        <w:t>月，选取</w:t>
      </w:r>
      <w:r>
        <w:rPr>
          <w:rFonts w:hint="eastAsia" w:ascii="仿宋" w:hAnsi="仿宋" w:eastAsia="仿宋" w:cs="仿宋"/>
          <w:sz w:val="24"/>
          <w:lang w:val="en-US" w:eastAsia="zh-CN"/>
        </w:rPr>
        <w:t>电源管理芯片</w:t>
      </w:r>
      <w:r>
        <w:rPr>
          <w:rFonts w:hint="eastAsia" w:ascii="仿宋" w:hAnsi="仿宋" w:eastAsia="仿宋" w:cs="仿宋"/>
          <w:sz w:val="24"/>
        </w:rPr>
        <w:t>样品，依据《</w:t>
      </w:r>
      <w:r>
        <w:rPr>
          <w:rFonts w:hint="eastAsia" w:ascii="仿宋" w:hAnsi="仿宋" w:eastAsia="仿宋" w:cs="仿宋"/>
          <w:sz w:val="24"/>
          <w:lang w:val="en-US" w:eastAsia="zh-CN"/>
        </w:rPr>
        <w:t>纯电动客车用电源管理芯片</w:t>
      </w:r>
      <w:r>
        <w:rPr>
          <w:rFonts w:hint="eastAsia" w:ascii="仿宋" w:hAnsi="仿宋" w:eastAsia="仿宋" w:cs="仿宋"/>
          <w:sz w:val="24"/>
        </w:rPr>
        <w:t>技术要求及试验方法》进行了主要项目检验，通过分析试验过程以及测试数据，验证了标准内容的合理性和可行性。</w:t>
      </w:r>
    </w:p>
    <w:p w14:paraId="75D2295A">
      <w:pPr>
        <w:spacing w:line="360" w:lineRule="auto"/>
        <w:outlineLvl w:val="2"/>
        <w:rPr>
          <w:rFonts w:hint="eastAsia" w:ascii="黑体" w:hAnsi="黑体" w:eastAsia="黑体" w:cs="仿宋"/>
          <w:sz w:val="24"/>
        </w:rPr>
      </w:pPr>
      <w:r>
        <w:rPr>
          <w:rFonts w:hint="eastAsia" w:ascii="黑体" w:hAnsi="黑体" w:eastAsia="黑体" w:cs="仿宋"/>
          <w:sz w:val="24"/>
        </w:rPr>
        <w:t>5、征求意见</w:t>
      </w:r>
    </w:p>
    <w:p w14:paraId="1A894A13">
      <w:pPr>
        <w:spacing w:line="360" w:lineRule="auto"/>
        <w:ind w:left="360"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sz w:val="24"/>
        </w:rPr>
        <w:t>试验验证后，标准起草组修改标准文本、形成标准征求意见稿和编制说明，于2026年</w:t>
      </w:r>
      <w:r>
        <w:rPr>
          <w:rFonts w:hint="eastAsia" w:ascii="仿宋" w:hAnsi="仿宋" w:eastAsia="仿宋" w:cs="仿宋"/>
          <w:sz w:val="24"/>
          <w:lang w:val="en-US" w:eastAsia="zh-CN"/>
        </w:rPr>
        <w:t>7</w:t>
      </w:r>
      <w:r>
        <w:rPr>
          <w:rFonts w:hint="eastAsia" w:ascii="仿宋" w:hAnsi="仿宋" w:eastAsia="仿宋" w:cs="仿宋"/>
          <w:sz w:val="24"/>
        </w:rPr>
        <w:t>月提交中国汽车工业协会申请行业公开征求意见，未收到行业内的意见反馈。</w:t>
      </w:r>
    </w:p>
    <w:p w14:paraId="1FEB6F6E">
      <w:pPr>
        <w:spacing w:before="156" w:beforeLines="50" w:after="156" w:afterLines="50" w:line="360" w:lineRule="auto"/>
        <w:outlineLvl w:val="0"/>
        <w:rPr>
          <w:rFonts w:hint="eastAsia" w:ascii="黑体" w:hAnsi="黑体" w:eastAsia="黑体" w:cs="黑体"/>
          <w:color w:val="000000" w:themeColor="text1"/>
          <w:sz w:val="24"/>
          <w14:textFill>
            <w14:solidFill>
              <w14:schemeClr w14:val="tx1"/>
            </w14:solidFill>
          </w14:textFill>
        </w:rPr>
      </w:pPr>
      <w:r>
        <w:rPr>
          <w:rFonts w:hint="eastAsia" w:ascii="黑体" w:hAnsi="黑体" w:eastAsia="黑体" w:cs="黑体"/>
          <w:color w:val="000000" w:themeColor="text1"/>
          <w:sz w:val="24"/>
          <w14:textFill>
            <w14:solidFill>
              <w14:schemeClr w14:val="tx1"/>
            </w14:solidFill>
          </w14:textFill>
        </w:rPr>
        <w:t>二、标准编制原则和主要内容</w:t>
      </w:r>
    </w:p>
    <w:p w14:paraId="261E8F1A">
      <w:pPr>
        <w:spacing w:line="360" w:lineRule="auto"/>
        <w:outlineLvl w:val="1"/>
        <w:rPr>
          <w:rFonts w:hint="eastAsia" w:ascii="黑体" w:hAnsi="黑体" w:eastAsia="黑体"/>
          <w:sz w:val="24"/>
        </w:rPr>
      </w:pPr>
      <w:r>
        <w:rPr>
          <w:rFonts w:hint="eastAsia" w:ascii="黑体" w:hAnsi="黑体" w:eastAsia="黑体"/>
          <w:sz w:val="24"/>
        </w:rPr>
        <w:t>2.1 标准制定原则</w:t>
      </w:r>
    </w:p>
    <w:p w14:paraId="7D649E80">
      <w:pPr>
        <w:pStyle w:val="3"/>
        <w:spacing w:after="0" w:line="360" w:lineRule="auto"/>
        <w:ind w:firstLine="420" w:firstLineChars="0"/>
        <w:jc w:val="both"/>
        <w:rPr>
          <w:rFonts w:hint="eastAsia" w:ascii="仿宋" w:hAnsi="仿宋" w:eastAsia="仿宋" w:cs="宋体"/>
          <w:sz w:val="24"/>
          <w:szCs w:val="24"/>
        </w:rPr>
      </w:pPr>
      <w:r>
        <w:rPr>
          <w:rFonts w:hint="eastAsia" w:ascii="仿宋" w:hAnsi="仿宋" w:eastAsia="仿宋" w:cs="宋体"/>
          <w:sz w:val="24"/>
          <w:szCs w:val="24"/>
        </w:rPr>
        <w:t>1）本标准编写符合 GB/T 1.1—2020《标准化工作导则 第 1 部分：标准化文件的结构和起草规则》的规定起草。</w:t>
      </w:r>
    </w:p>
    <w:p w14:paraId="18218E56">
      <w:pPr>
        <w:pStyle w:val="3"/>
        <w:spacing w:after="0" w:line="360" w:lineRule="auto"/>
        <w:ind w:firstLine="420" w:firstLineChars="0"/>
        <w:jc w:val="both"/>
        <w:rPr>
          <w:rFonts w:hint="eastAsia" w:ascii="仿宋" w:hAnsi="仿宋" w:eastAsia="仿宋" w:cs="宋体"/>
          <w:sz w:val="24"/>
          <w:szCs w:val="24"/>
        </w:rPr>
      </w:pPr>
      <w:r>
        <w:rPr>
          <w:rFonts w:hint="eastAsia" w:ascii="仿宋" w:hAnsi="仿宋" w:eastAsia="仿宋" w:cs="宋体"/>
          <w:sz w:val="24"/>
          <w:szCs w:val="24"/>
        </w:rPr>
        <w:t>2）本标准无对应的国际或国外标准可供对照及参考。起草过程中，充分考虑与国内外现有相关标准的统一和协调，标准中的指标要求充分考虑了国内当前行业技术水平，草案内容已经过多次充分讨论、修改和完善，并在起草组内多次征求意见。本标准的制定是在对我国</w:t>
      </w:r>
      <w:r>
        <w:rPr>
          <w:rFonts w:hint="eastAsia" w:ascii="仿宋" w:hAnsi="仿宋" w:eastAsia="仿宋" w:cs="宋体"/>
          <w:sz w:val="24"/>
          <w:szCs w:val="24"/>
          <w:lang w:val="en-US" w:eastAsia="zh-CN"/>
        </w:rPr>
        <w:t>电源管理芯片及车规级电源管理</w:t>
      </w:r>
      <w:r>
        <w:rPr>
          <w:rFonts w:hint="eastAsia" w:ascii="仿宋" w:hAnsi="仿宋" w:eastAsia="仿宋" w:cs="宋体"/>
          <w:sz w:val="24"/>
          <w:szCs w:val="24"/>
        </w:rPr>
        <w:t>技术及应用现状进行调查，对相关国际、国外相关标准的关键技术指标在我国的适用性进行分析研究，并且对相关的试验方法在我国现阶段实施的可行性进行论证分析研究的基础上，结合我国实际情况提出的</w:t>
      </w:r>
      <w:r>
        <w:rPr>
          <w:rFonts w:hint="eastAsia" w:ascii="仿宋" w:hAnsi="仿宋" w:eastAsia="仿宋" w:cs="宋体"/>
          <w:sz w:val="24"/>
          <w:szCs w:val="24"/>
          <w:lang w:val="en-US" w:eastAsia="zh-CN"/>
        </w:rPr>
        <w:t>纯电动客车用电源管理芯片</w:t>
      </w:r>
      <w:r>
        <w:rPr>
          <w:rFonts w:hint="eastAsia" w:ascii="仿宋" w:hAnsi="仿宋" w:eastAsia="仿宋" w:cs="宋体"/>
          <w:sz w:val="24"/>
          <w:szCs w:val="24"/>
        </w:rPr>
        <w:t>技术要求；并通过验证试验，对试验方案的可行性进行了验证，确定了适合我国实际情况的</w:t>
      </w:r>
      <w:r>
        <w:rPr>
          <w:rFonts w:hint="eastAsia" w:ascii="仿宋" w:hAnsi="仿宋" w:eastAsia="仿宋" w:cs="宋体"/>
          <w:sz w:val="24"/>
          <w:szCs w:val="24"/>
          <w:lang w:val="en-US" w:eastAsia="zh-CN"/>
        </w:rPr>
        <w:t>标准框架及内容</w:t>
      </w:r>
      <w:r>
        <w:rPr>
          <w:rFonts w:hint="eastAsia" w:ascii="仿宋" w:hAnsi="仿宋" w:eastAsia="仿宋" w:cs="宋体"/>
          <w:sz w:val="24"/>
          <w:szCs w:val="24"/>
        </w:rPr>
        <w:t>。</w:t>
      </w:r>
    </w:p>
    <w:p w14:paraId="5A5E3A34">
      <w:pPr>
        <w:pStyle w:val="3"/>
        <w:spacing w:before="156" w:beforeLines="50" w:after="156" w:afterLines="50"/>
        <w:ind w:firstLine="0" w:firstLineChars="0"/>
        <w:outlineLvl w:val="2"/>
        <w:rPr>
          <w:rFonts w:hint="eastAsia" w:ascii="黑体" w:hAnsi="黑体" w:eastAsia="黑体" w:cs="黑体"/>
          <w:sz w:val="21"/>
          <w:szCs w:val="21"/>
        </w:rPr>
      </w:pPr>
      <w:r>
        <w:rPr>
          <w:rFonts w:hint="eastAsia" w:ascii="黑体" w:hAnsi="黑体" w:eastAsia="黑体" w:cs="黑体"/>
          <w:sz w:val="21"/>
          <w:szCs w:val="21"/>
        </w:rPr>
        <w:t>2.1.1 通用性原则</w:t>
      </w:r>
    </w:p>
    <w:p w14:paraId="75EF51C9">
      <w:pPr>
        <w:pStyle w:val="3"/>
        <w:spacing w:after="0" w:line="360" w:lineRule="auto"/>
        <w:ind w:firstLine="420" w:firstLineChars="0"/>
        <w:jc w:val="both"/>
        <w:rPr>
          <w:rFonts w:hint="eastAsia" w:ascii="仿宋" w:hAnsi="仿宋" w:eastAsia="仿宋" w:cs="宋体"/>
          <w:sz w:val="24"/>
          <w:szCs w:val="24"/>
        </w:rPr>
      </w:pPr>
      <w:r>
        <w:rPr>
          <w:rFonts w:hint="eastAsia" w:ascii="仿宋" w:hAnsi="仿宋" w:eastAsia="仿宋" w:cs="宋体"/>
          <w:sz w:val="24"/>
          <w:szCs w:val="24"/>
        </w:rPr>
        <w:t>编写《纯电动客车用电源管理芯片技术要求及试验方法》标准旨在确保该标准广泛适用于不同的纯电动客车应用场景、芯片制造商以及各类车规级电源管理芯片产品，同时维持技术规范的一致性与可比性。标准所提出的各项指标和要求契合纯电动客车电源管理芯片行业的当前发展水平，提供的试验方法切实可行、易于操作。</w:t>
      </w:r>
    </w:p>
    <w:p w14:paraId="11A29CEC">
      <w:pPr>
        <w:pStyle w:val="3"/>
        <w:spacing w:after="0" w:line="360" w:lineRule="auto"/>
        <w:ind w:firstLine="420" w:firstLineChars="0"/>
        <w:jc w:val="both"/>
        <w:rPr>
          <w:rFonts w:hint="eastAsia" w:ascii="仿宋" w:hAnsi="仿宋" w:eastAsia="仿宋" w:cs="宋体"/>
          <w:sz w:val="24"/>
          <w:szCs w:val="24"/>
        </w:rPr>
      </w:pPr>
      <w:r>
        <w:rPr>
          <w:rFonts w:hint="eastAsia" w:ascii="仿宋" w:hAnsi="仿宋" w:eastAsia="仿宋" w:cs="宋体"/>
          <w:sz w:val="24"/>
          <w:szCs w:val="24"/>
        </w:rPr>
        <w:t>1）中立性和普适性：标准在制定过程中应保持绝对中立，不偏向任何特定的芯片设计厂商、整车制造企业或电源管理技术路线。同时，标准需具备广泛的普适性，能够全面覆盖纯电动客车在各类运营场景（如城市公交、长途客运、景区通勤、专用作业客车等）以及不同动力架构（如600V高压平台、800V快充平台、分布式电池管理系统等）下的电源管理需求，确保无论何种类型的纯电动客车用电源管理芯片，都能依据本标准进行性能核验与可靠性测试。</w:t>
      </w:r>
    </w:p>
    <w:p w14:paraId="3F9E5C59">
      <w:pPr>
        <w:pStyle w:val="3"/>
        <w:spacing w:after="0" w:line="360" w:lineRule="auto"/>
        <w:ind w:firstLine="420" w:firstLineChars="0"/>
        <w:jc w:val="both"/>
        <w:rPr>
          <w:rFonts w:hint="eastAsia" w:ascii="仿宋" w:hAnsi="仿宋" w:eastAsia="仿宋" w:cs="宋体"/>
          <w:sz w:val="24"/>
          <w:szCs w:val="24"/>
        </w:rPr>
      </w:pPr>
      <w:r>
        <w:rPr>
          <w:rFonts w:hint="eastAsia" w:ascii="仿宋" w:hAnsi="仿宋" w:eastAsia="仿宋" w:cs="宋体"/>
          <w:sz w:val="24"/>
          <w:szCs w:val="24"/>
        </w:rPr>
        <w:t>2）基于国际标准和行业共识：在制定本标准的技术规范时，充分参考和借鉴了国际上已成熟的车规级芯片相关标准，如 AEC-Q100、ISO 26262 等，以及商用车领域内普遍认可的电源管理芯片应用共识和最佳实践。通过与国际标准和行业共识接轨，确保本标准与其他相关车规标准具有良好的兼容性，能够实现不同地区、不同厂商生产的电源管理芯片在纯电动客车动力系统中的适配性，促进纯电动客车电源管理芯片领域的规范化协同发展。</w:t>
      </w:r>
    </w:p>
    <w:p w14:paraId="1F44094F">
      <w:pPr>
        <w:pStyle w:val="3"/>
        <w:spacing w:after="0" w:line="360" w:lineRule="auto"/>
        <w:ind w:firstLine="420" w:firstLineChars="0"/>
        <w:jc w:val="both"/>
        <w:rPr>
          <w:rFonts w:hint="eastAsia" w:ascii="仿宋" w:hAnsi="仿宋" w:eastAsia="仿宋" w:cs="宋体"/>
          <w:sz w:val="24"/>
          <w:szCs w:val="24"/>
        </w:rPr>
      </w:pPr>
      <w:r>
        <w:rPr>
          <w:rFonts w:hint="eastAsia" w:ascii="仿宋" w:hAnsi="仿宋" w:eastAsia="仿宋" w:cs="宋体"/>
          <w:sz w:val="24"/>
          <w:szCs w:val="24"/>
        </w:rPr>
        <w:t>3）考虑技术进步和未来发展：鉴于纯电动客车高压平台技术以及电源管理芯片技术处于快速迭代阶段，本标准在制定时应充分考虑技术进步对电源管理芯片性能和需求的影响。也充分考虑了高压大电流功率循环、长寿命工况下的失效机理演化等前沿性的技术内容，以便能够适应未来新出现的高功率快充场景、智能电池管理架构以及全生命周期运维需求，确保标准在较长时间内保持有效性和前瞻性。</w:t>
      </w:r>
    </w:p>
    <w:p w14:paraId="229FF067">
      <w:pPr>
        <w:pStyle w:val="3"/>
        <w:spacing w:after="0" w:line="360" w:lineRule="auto"/>
        <w:ind w:firstLine="420" w:firstLineChars="0"/>
        <w:jc w:val="both"/>
        <w:rPr>
          <w:rFonts w:hint="eastAsia" w:ascii="仿宋" w:hAnsi="仿宋" w:eastAsia="仿宋" w:cs="宋体"/>
          <w:sz w:val="24"/>
          <w:szCs w:val="24"/>
        </w:rPr>
      </w:pPr>
      <w:r>
        <w:rPr>
          <w:rFonts w:hint="eastAsia" w:ascii="仿宋" w:hAnsi="仿宋" w:eastAsia="仿宋" w:cs="宋体"/>
          <w:sz w:val="24"/>
          <w:szCs w:val="24"/>
        </w:rPr>
        <w:t>4）测试方法和评估标准的统一：为保障纯电动客车用电源管理芯片性能和质量的可靠评估，必须制定统一、可重复的测试方法和评估标准。这些方法和标准应基于严谨的工程原理和丰富的商用车实测经验，能够客观、准确、全面地评价电源管理芯片的各项核心性能指标，如电压转换效率、监测精度、瞬态响应速度，以及芯片在极端温湿度、大电流冲击下的长期可靠性等。通过统一的测试方法和评估标准，确保不同实验室、不同测试机构对同一款纯电动客车用电源管理芯片的测试结果具有可比性和一致性。</w:t>
      </w:r>
    </w:p>
    <w:p w14:paraId="6CD65238">
      <w:pPr>
        <w:pStyle w:val="3"/>
        <w:spacing w:before="156" w:beforeLines="50" w:after="156" w:afterLines="50"/>
        <w:ind w:firstLine="0" w:firstLineChars="0"/>
        <w:outlineLvl w:val="2"/>
        <w:rPr>
          <w:rFonts w:hint="eastAsia" w:ascii="黑体" w:hAnsi="黑体" w:eastAsia="黑体" w:cs="黑体"/>
          <w:sz w:val="24"/>
          <w:szCs w:val="24"/>
        </w:rPr>
      </w:pPr>
      <w:r>
        <w:rPr>
          <w:rFonts w:hint="eastAsia" w:ascii="黑体" w:hAnsi="黑体" w:eastAsia="黑体" w:cs="黑体"/>
          <w:sz w:val="24"/>
          <w:szCs w:val="24"/>
        </w:rPr>
        <w:t>2.1.2 指导性原则</w:t>
      </w:r>
    </w:p>
    <w:p w14:paraId="72AF804C">
      <w:pPr>
        <w:pStyle w:val="3"/>
        <w:spacing w:after="0" w:line="360" w:lineRule="auto"/>
        <w:ind w:firstLine="420" w:firstLineChars="0"/>
        <w:jc w:val="both"/>
        <w:rPr>
          <w:rFonts w:hint="eastAsia" w:ascii="仿宋" w:hAnsi="仿宋" w:eastAsia="仿宋" w:cs="宋体"/>
          <w:sz w:val="24"/>
          <w:szCs w:val="24"/>
        </w:rPr>
      </w:pPr>
      <w:r>
        <w:rPr>
          <w:rFonts w:hint="eastAsia" w:ascii="仿宋" w:hAnsi="仿宋" w:eastAsia="仿宋" w:cs="宋体"/>
          <w:sz w:val="24"/>
          <w:szCs w:val="24"/>
        </w:rPr>
        <w:t>1）明确性和精确性：本标准清晰、详尽地阐述了纯电动客车用电源管理芯片的功能定义、性能阈值、可靠性要求及全流程试验方法，针对纯电动客车特有的高压大电流工况、长周期运营场景，对芯片的电压转换精度、电流监测误差、过流保护响应时间等关键指标给出量化的明确数值，对功率循环、高温高湿等专项试验的步骤、环境参数、判定边界做出无歧义的细致规定，确保芯片设计人员、整车集成工程师、第三方检测人员都能准确理解标准要求，无需二次解读即可严格依照标准开展产品研发、选型验证与检测工作，避免因指标模糊导致的产品适配偏差与安全隐患。</w:t>
      </w:r>
    </w:p>
    <w:p w14:paraId="180E15E8">
      <w:pPr>
        <w:pStyle w:val="3"/>
        <w:spacing w:after="0" w:line="360" w:lineRule="auto"/>
        <w:ind w:firstLine="420" w:firstLineChars="0"/>
        <w:jc w:val="both"/>
        <w:rPr>
          <w:rFonts w:hint="eastAsia" w:ascii="仿宋" w:hAnsi="仿宋" w:eastAsia="仿宋" w:cs="宋体"/>
          <w:sz w:val="24"/>
          <w:szCs w:val="24"/>
        </w:rPr>
      </w:pPr>
      <w:r>
        <w:rPr>
          <w:rFonts w:hint="eastAsia" w:ascii="仿宋" w:hAnsi="仿宋" w:eastAsia="仿宋" w:cs="宋体"/>
          <w:sz w:val="24"/>
          <w:szCs w:val="24"/>
        </w:rPr>
        <w:t>2）兼容性和互通性：考虑到纯电动客车动力系统架构的快速迭代发展，该标准应尽可能与现有的国际车规芯片通用标准、国内汽车电子可靠性规范、动力电池管理系统相关标准实现无缝兼容，避免出现技术要求冲突、试验方法重复的问题。同时充分考虑未来800V以上高压平台、无线快充、车网互动（V2G）等新兴技术的落地可能性，在标准框架中预留适配性扩展空间，保持足够的技术前瞻性，让标准既能适配当前主流的纯电动客车产品，也能支撑未来3-5年行业技术升级过程中的芯片验证需求。</w:t>
      </w:r>
    </w:p>
    <w:p w14:paraId="681145CC">
      <w:pPr>
        <w:pStyle w:val="3"/>
        <w:spacing w:after="0" w:line="360" w:lineRule="auto"/>
        <w:ind w:firstLine="420" w:firstLineChars="0"/>
        <w:jc w:val="both"/>
        <w:rPr>
          <w:rFonts w:hint="eastAsia" w:ascii="仿宋" w:hAnsi="仿宋" w:eastAsia="仿宋" w:cs="宋体"/>
          <w:sz w:val="24"/>
          <w:szCs w:val="24"/>
        </w:rPr>
      </w:pPr>
      <w:r>
        <w:rPr>
          <w:rFonts w:hint="eastAsia" w:ascii="仿宋" w:hAnsi="仿宋" w:eastAsia="仿宋" w:cs="宋体"/>
          <w:sz w:val="24"/>
          <w:szCs w:val="24"/>
        </w:rPr>
        <w:t>3）安全性和可靠性：纯电动客车用电源管理芯片直接关联整车动力能源系统的稳定运行，是保障车辆运营安全的核心硬件节点。在电气安全层面，标准明确要求芯片必须具备多重过压、欠压、过流、过温的分级保护机制，避免因芯片失效引发的动力电池热失控、动力中断等重大安全风险；在长期可靠性层面，针对纯电动客车8-10年、百万公里级的超长运营周期，规定芯片必须通过强化版的功率循环寿命试验，确保在频繁启停、重载爬坡、极寒极热等极端工况下，性能不会出现明显衰减，从芯片底层保障整车动力系统的全生命周期安全稳定运行。</w:t>
      </w:r>
    </w:p>
    <w:p w14:paraId="3069D62C">
      <w:pPr>
        <w:pStyle w:val="3"/>
        <w:spacing w:after="0" w:line="360" w:lineRule="auto"/>
        <w:ind w:firstLine="420" w:firstLineChars="0"/>
        <w:jc w:val="both"/>
        <w:rPr>
          <w:rFonts w:hint="eastAsia" w:ascii="仿宋" w:hAnsi="仿宋" w:eastAsia="仿宋" w:cs="宋体"/>
          <w:sz w:val="24"/>
          <w:szCs w:val="24"/>
        </w:rPr>
      </w:pPr>
      <w:r>
        <w:rPr>
          <w:rFonts w:hint="eastAsia" w:ascii="仿宋" w:hAnsi="仿宋" w:eastAsia="仿宋" w:cs="宋体"/>
          <w:sz w:val="24"/>
          <w:szCs w:val="24"/>
        </w:rPr>
        <w:t>4）可操作性和实用性：标准应兼顾不同规模芯片厂商的技术能力与不同类型客车企业的实际应用需求，所有试验项目均采用行业通用的检测设备即可完成，无需定制特殊试验装置，易于一线工程师和技术人员在实际生产、装车验证环节快速落地遵循。同时在制定技术规范时，既设置保障安全的底线指标，也为不同定位的客车产品预留合理的性能适配区间，平衡技术先进性与产业落地可行性，在保障产品质量安全的前提下，降低国产高可靠性电源管理芯片的上车适配门槛，促进适配纯电动客车场景的专用电源管理芯片的广泛应用和产业普及，助力商用车电动化的高质量发展。。</w:t>
      </w:r>
    </w:p>
    <w:p w14:paraId="674A1ED0">
      <w:pPr>
        <w:pStyle w:val="3"/>
        <w:spacing w:before="156" w:beforeLines="50" w:after="156" w:afterLines="50"/>
        <w:ind w:firstLine="0" w:firstLineChars="0"/>
        <w:outlineLvl w:val="2"/>
        <w:rPr>
          <w:rFonts w:hint="eastAsia" w:ascii="黑体" w:hAnsi="黑体" w:eastAsia="黑体" w:cs="黑体"/>
          <w:sz w:val="24"/>
          <w:szCs w:val="24"/>
        </w:rPr>
      </w:pPr>
      <w:r>
        <w:rPr>
          <w:rFonts w:hint="eastAsia" w:ascii="黑体" w:hAnsi="黑体" w:eastAsia="黑体" w:cs="黑体"/>
          <w:sz w:val="24"/>
          <w:szCs w:val="24"/>
        </w:rPr>
        <w:t>2.1.3 协调性原则</w:t>
      </w:r>
    </w:p>
    <w:p w14:paraId="57B1069D">
      <w:pPr>
        <w:pStyle w:val="3"/>
        <w:spacing w:after="0" w:line="360" w:lineRule="auto"/>
        <w:ind w:firstLine="420" w:firstLineChars="0"/>
        <w:jc w:val="both"/>
        <w:rPr>
          <w:rFonts w:hint="eastAsia" w:ascii="仿宋" w:hAnsi="仿宋" w:eastAsia="仿宋" w:cs="宋体"/>
          <w:sz w:val="24"/>
          <w:szCs w:val="24"/>
        </w:rPr>
      </w:pPr>
      <w:r>
        <w:rPr>
          <w:rFonts w:hint="eastAsia" w:ascii="仿宋" w:hAnsi="仿宋" w:eastAsia="仿宋" w:cs="宋体"/>
          <w:sz w:val="24"/>
          <w:szCs w:val="24"/>
        </w:rPr>
        <w:t>本标准提出的纯电动客车用电源管理芯片全链条技术要求与检验规范，在编制全流程中建立了覆盖全产业链的多主体协同论证机制，通过系统性组织整车企业、动力电池系统集成商、电源管理芯片设计制造企业、第三方权威检测机构、专用试验测试设备厂商、汽车领域科研院校等多方主体的技术专家开展多轮深度研讨、交叉论证与意见迭代，确保标准中设定的功能定义、性能阈值、可靠性试验项目、安全判定准则等核心内容，与产业链各环节的现行技术基础、生产工艺能力、测试验证条件深度适配、相互协调。</w:t>
      </w:r>
    </w:p>
    <w:p w14:paraId="0E24EAF2">
      <w:pPr>
        <w:pStyle w:val="3"/>
        <w:spacing w:after="0" w:line="360" w:lineRule="auto"/>
        <w:ind w:firstLine="420" w:firstLineChars="0"/>
        <w:jc w:val="both"/>
        <w:rPr>
          <w:rFonts w:hint="eastAsia" w:ascii="仿宋" w:hAnsi="仿宋" w:eastAsia="仿宋" w:cs="宋体"/>
          <w:sz w:val="24"/>
          <w:szCs w:val="24"/>
        </w:rPr>
      </w:pPr>
      <w:r>
        <w:rPr>
          <w:rFonts w:hint="eastAsia" w:ascii="仿宋" w:hAnsi="仿宋" w:eastAsia="仿宋" w:cs="宋体"/>
          <w:sz w:val="24"/>
          <w:szCs w:val="24"/>
        </w:rPr>
        <w:t>在横向标准协同层面，本标准主动做好与现有上位标准的衔接对齐，全面兼容ISO 26262汽车功能安全、AEC-Q100车规芯片可靠性等国际通用标准的核心要求，同时与国内已发布的汽车芯片基础通用类标准、动力电池管理系统相关规范、纯电动客车整车安全标准形成技术呼应，避免出现指标冲突、试验方法重复、要求边界重叠等问题，构建逻辑自洽、层级清晰的标准协同体系。</w:t>
      </w:r>
    </w:p>
    <w:p w14:paraId="218D00AF">
      <w:pPr>
        <w:pStyle w:val="3"/>
        <w:spacing w:after="0" w:line="360" w:lineRule="auto"/>
        <w:ind w:firstLine="420" w:firstLineChars="0"/>
        <w:jc w:val="both"/>
        <w:rPr>
          <w:rFonts w:hint="eastAsia" w:ascii="仿宋" w:hAnsi="仿宋" w:eastAsia="仿宋" w:cs="宋体"/>
          <w:sz w:val="24"/>
          <w:szCs w:val="24"/>
        </w:rPr>
      </w:pPr>
      <w:r>
        <w:rPr>
          <w:rFonts w:hint="eastAsia" w:ascii="仿宋" w:hAnsi="仿宋" w:eastAsia="仿宋" w:cs="宋体"/>
          <w:sz w:val="24"/>
          <w:szCs w:val="24"/>
        </w:rPr>
        <w:t>在纵向场景适配层面，充分兼顾不同规模市场主体的实际情况，既保障头部企业的技术先进性导向，也为中小芯片厂商的技术升级预留合理过渡空间，同时匹配不同类型纯电动客车（城市公交、长途客运、专用作业客车）的差异化运营需求，让标准既能守住纯电动客车动力系统的安全底线，又不会设置脱离产业实际的过高门槛，最终实现全产业链各参与方的技术共识与利益协同，保障标准发布后能够在芯片研发、整车选型、检测认证等各环节高效落地执行。</w:t>
      </w:r>
    </w:p>
    <w:p w14:paraId="395FFB5D">
      <w:pPr>
        <w:pStyle w:val="3"/>
        <w:spacing w:before="156" w:beforeLines="50" w:after="156" w:afterLines="50"/>
        <w:ind w:firstLine="0" w:firstLineChars="0"/>
        <w:outlineLvl w:val="2"/>
        <w:rPr>
          <w:rFonts w:hint="eastAsia" w:ascii="黑体" w:hAnsi="黑体" w:eastAsia="黑体" w:cs="黑体"/>
          <w:sz w:val="24"/>
          <w:szCs w:val="24"/>
        </w:rPr>
      </w:pPr>
      <w:r>
        <w:rPr>
          <w:rFonts w:hint="eastAsia" w:ascii="黑体" w:hAnsi="黑体" w:eastAsia="黑体" w:cs="黑体"/>
          <w:sz w:val="24"/>
          <w:szCs w:val="24"/>
        </w:rPr>
        <w:t>2.1.4 兼容性原则</w:t>
      </w:r>
    </w:p>
    <w:p w14:paraId="1FF96AF5">
      <w:pPr>
        <w:pStyle w:val="3"/>
        <w:spacing w:after="0" w:line="360" w:lineRule="auto"/>
        <w:ind w:firstLine="420" w:firstLineChars="0"/>
        <w:jc w:val="both"/>
        <w:rPr>
          <w:rFonts w:hint="eastAsia" w:ascii="仿宋" w:hAnsi="仿宋" w:eastAsia="仿宋" w:cs="宋体"/>
          <w:sz w:val="24"/>
          <w:szCs w:val="24"/>
        </w:rPr>
      </w:pPr>
      <w:r>
        <w:rPr>
          <w:rFonts w:hint="eastAsia" w:ascii="仿宋" w:hAnsi="仿宋" w:eastAsia="仿宋" w:cs="宋体"/>
          <w:sz w:val="24"/>
          <w:szCs w:val="24"/>
        </w:rPr>
        <w:t>本标准提出的纯电动客车用电源管理芯片全维度功能定义与技术指标要求，在制定过程中充分锚定当前国内车规级电源管理芯片的量产技术基线，深度兼顾当下产业落地实用性与未来3-5年行业技术迭代前瞻性，既不脱离现有芯片设计制造能力设置脱离实际的过高门槛，也不为迁就落后产能放宽纯电动客车场景必需的安全与可靠性底线。</w:t>
      </w:r>
    </w:p>
    <w:p w14:paraId="1CC2F499">
      <w:pPr>
        <w:pStyle w:val="3"/>
        <w:spacing w:after="0" w:line="360" w:lineRule="auto"/>
        <w:ind w:firstLine="420" w:firstLineChars="0"/>
        <w:jc w:val="both"/>
        <w:rPr>
          <w:rFonts w:hint="eastAsia" w:ascii="仿宋" w:hAnsi="仿宋" w:eastAsia="仿宋" w:cs="宋体"/>
          <w:sz w:val="24"/>
          <w:szCs w:val="24"/>
        </w:rPr>
      </w:pPr>
      <w:r>
        <w:rPr>
          <w:rFonts w:hint="eastAsia" w:ascii="仿宋" w:hAnsi="仿宋" w:eastAsia="仿宋" w:cs="宋体"/>
          <w:sz w:val="24"/>
          <w:szCs w:val="24"/>
        </w:rPr>
        <w:t>标准编制过程中系统性借鉴了国际上AEC-Q100车规芯片可靠性认证、ISO 26262汽车功能安全、ISO 21434汽车网络安全等成熟标准的先进经验，同时全面梳理了国内现有车规电源管理芯片通用规范、动力电池系统技术要求、纯电动客车整车安全标准的核心内容，对现有标准中未覆盖的纯电动客车专属场景要求进行针对性补充，而非简单重复已有通用条款，在整个汽车芯片标准体系中形成“通用基础-场景细化”的顺畅衔接，避免出现指标冲突、试验方法冗余等问题。</w:t>
      </w:r>
    </w:p>
    <w:p w14:paraId="323AE4B2">
      <w:pPr>
        <w:pStyle w:val="3"/>
        <w:spacing w:after="0" w:line="360" w:lineRule="auto"/>
        <w:ind w:left="0" w:leftChars="0" w:firstLine="0" w:firstLineChars="0"/>
        <w:jc w:val="both"/>
        <w:rPr>
          <w:rFonts w:hint="eastAsia" w:ascii="仿宋" w:hAnsi="仿宋" w:eastAsia="仿宋" w:cs="宋体"/>
          <w:sz w:val="24"/>
          <w:szCs w:val="24"/>
        </w:rPr>
      </w:pPr>
      <w:r>
        <w:rPr>
          <w:rFonts w:hint="eastAsia" w:ascii="仿宋" w:hAnsi="仿宋" w:eastAsia="仿宋" w:cs="宋体"/>
          <w:sz w:val="24"/>
          <w:szCs w:val="24"/>
        </w:rPr>
        <w:t>编制组还持续收集了近三年国内主流纯电动客车在实际运营中暴露的电源管理芯片相关失效案例、适配痛点与共性问题，针对高频出现的大电流冲击下性能漂移、长周期功率循环后失效、复杂电磁环境下通信丢包等典型问题，在现有相关标准的基础上进一步优化适配纯电动客车场景的性能参数与可靠性判定阈值，让标准既能兼容当前不同架构的电源管理芯片产品、不同技术路线的BMS系统以及不同平台的纯电动客车车型，也能为后续800V高压平台、V2G车网互动、智能电池全生命周期管理等新兴技术的落地预留适配空间，最终形成一套可落地、易衔接、能迭代的技术指引，精准指导整车企业、动力电池系统供应商、电源管理芯片厂商的定向研发与规模化量产适配工作。</w:t>
      </w:r>
    </w:p>
    <w:p w14:paraId="18644633">
      <w:pPr>
        <w:pStyle w:val="3"/>
        <w:spacing w:before="156" w:beforeLines="50" w:after="156" w:afterLines="50"/>
        <w:ind w:firstLine="0" w:firstLineChars="0"/>
        <w:outlineLvl w:val="1"/>
        <w:rPr>
          <w:rFonts w:hint="eastAsia" w:ascii="黑体" w:hAnsi="黑体" w:eastAsia="黑体" w:cs="黑体"/>
          <w:sz w:val="24"/>
          <w:szCs w:val="24"/>
        </w:rPr>
      </w:pPr>
      <w:r>
        <w:rPr>
          <w:rFonts w:hint="eastAsia" w:ascii="黑体" w:hAnsi="黑体" w:eastAsia="黑体" w:cs="黑体"/>
          <w:sz w:val="24"/>
          <w:szCs w:val="24"/>
        </w:rPr>
        <w:t>2.2 标准主要技术内容</w:t>
      </w:r>
    </w:p>
    <w:p w14:paraId="5160289A">
      <w:pPr>
        <w:pStyle w:val="3"/>
        <w:spacing w:after="0" w:line="360" w:lineRule="auto"/>
        <w:ind w:firstLine="420" w:firstLineChars="0"/>
        <w:jc w:val="both"/>
        <w:rPr>
          <w:rFonts w:hint="eastAsia" w:ascii="仿宋" w:hAnsi="仿宋" w:eastAsia="仿宋" w:cs="宋体"/>
          <w:sz w:val="24"/>
          <w:szCs w:val="24"/>
        </w:rPr>
      </w:pPr>
      <w:r>
        <w:rPr>
          <w:rFonts w:hint="eastAsia" w:ascii="仿宋" w:hAnsi="仿宋" w:eastAsia="仿宋" w:cs="宋体"/>
          <w:sz w:val="24"/>
          <w:szCs w:val="24"/>
        </w:rPr>
        <w:t>本文件规定了纯电动客车电源管理芯片的功能、性能、可靠性、电磁兼容、功能安全的技术要求和试验方法。</w:t>
      </w:r>
    </w:p>
    <w:p w14:paraId="6225C0CA">
      <w:pPr>
        <w:pStyle w:val="3"/>
        <w:spacing w:after="0" w:line="360" w:lineRule="auto"/>
        <w:ind w:firstLine="420" w:firstLineChars="0"/>
        <w:jc w:val="both"/>
        <w:rPr>
          <w:rFonts w:hint="eastAsia" w:ascii="仿宋" w:hAnsi="仿宋" w:eastAsia="仿宋" w:cs="宋体"/>
          <w:sz w:val="24"/>
          <w:szCs w:val="24"/>
        </w:rPr>
      </w:pPr>
      <w:r>
        <w:rPr>
          <w:rFonts w:hint="eastAsia" w:ascii="仿宋" w:hAnsi="仿宋" w:eastAsia="仿宋" w:cs="宋体"/>
          <w:sz w:val="24"/>
          <w:szCs w:val="24"/>
        </w:rPr>
        <w:t>本文件适用于纯电动客车用电源管理芯片。</w:t>
      </w:r>
    </w:p>
    <w:p w14:paraId="1521C0CC">
      <w:pPr>
        <w:pStyle w:val="3"/>
        <w:spacing w:after="0" w:line="360" w:lineRule="auto"/>
        <w:ind w:firstLine="420" w:firstLineChars="0"/>
        <w:jc w:val="both"/>
        <w:rPr>
          <w:rFonts w:hint="eastAsia" w:ascii="仿宋" w:hAnsi="仿宋" w:eastAsia="仿宋" w:cs="宋体"/>
          <w:sz w:val="24"/>
          <w:szCs w:val="24"/>
        </w:rPr>
      </w:pPr>
    </w:p>
    <w:p w14:paraId="73BB77CD">
      <w:pPr>
        <w:pStyle w:val="3"/>
        <w:spacing w:after="0" w:line="360" w:lineRule="auto"/>
        <w:ind w:firstLine="420" w:firstLineChars="0"/>
        <w:jc w:val="both"/>
        <w:rPr>
          <w:rFonts w:hint="eastAsia" w:ascii="仿宋" w:hAnsi="仿宋" w:eastAsia="仿宋" w:cs="宋体"/>
          <w:sz w:val="24"/>
          <w:szCs w:val="24"/>
        </w:rPr>
      </w:pPr>
    </w:p>
    <w:p w14:paraId="5D61E12B">
      <w:pPr>
        <w:spacing w:line="360" w:lineRule="auto"/>
        <w:outlineLvl w:val="1"/>
        <w:rPr>
          <w:rFonts w:hint="eastAsia" w:ascii="黑体" w:hAnsi="黑体" w:eastAsia="黑体"/>
          <w:sz w:val="24"/>
          <w:highlight w:val="none"/>
        </w:rPr>
      </w:pPr>
      <w:r>
        <w:rPr>
          <w:rFonts w:hint="eastAsia" w:ascii="黑体" w:hAnsi="黑体" w:eastAsia="黑体"/>
          <w:sz w:val="24"/>
          <w:highlight w:val="none"/>
        </w:rPr>
        <w:t>2.3 关键技术问题说明</w:t>
      </w:r>
    </w:p>
    <w:p w14:paraId="6A968DDB">
      <w:pPr>
        <w:pStyle w:val="3"/>
        <w:numPr>
          <w:ilvl w:val="0"/>
          <w:numId w:val="0"/>
        </w:numPr>
        <w:spacing w:after="0" w:line="360" w:lineRule="auto"/>
        <w:ind w:leftChars="0" w:firstLine="480" w:firstLineChars="200"/>
        <w:jc w:val="both"/>
        <w:rPr>
          <w:rFonts w:hint="eastAsia" w:ascii="仿宋" w:hAnsi="仿宋" w:eastAsia="仿宋" w:cs="宋体"/>
          <w:sz w:val="24"/>
          <w:szCs w:val="24"/>
        </w:rPr>
      </w:pPr>
      <w:r>
        <w:rPr>
          <w:rFonts w:hint="eastAsia" w:ascii="仿宋" w:hAnsi="仿宋" w:eastAsia="仿宋" w:cs="宋体"/>
          <w:sz w:val="24"/>
          <w:szCs w:val="24"/>
        </w:rPr>
        <w:t>1)</w:t>
      </w:r>
      <w:r>
        <w:rPr>
          <w:rFonts w:hint="eastAsia" w:ascii="仿宋" w:hAnsi="仿宋" w:eastAsia="仿宋" w:cs="宋体"/>
          <w:sz w:val="24"/>
          <w:szCs w:val="24"/>
          <w:lang w:val="en-US" w:eastAsia="zh-CN"/>
        </w:rPr>
        <w:t xml:space="preserve"> </w:t>
      </w:r>
      <w:r>
        <w:rPr>
          <w:rFonts w:hint="eastAsia" w:ascii="仿宋" w:hAnsi="仿宋" w:eastAsia="仿宋" w:cs="宋体"/>
          <w:sz w:val="24"/>
          <w:szCs w:val="24"/>
        </w:rPr>
        <w:t>功能要求：围绕电源管理芯片的“能源中枢”本质，系统定义其核心功能模块——输出电压和电流范围、源监测功能（电压/电流/温度实时监测）、电压转换功能、过压保护功能、欠压保护功能、过流保护功能、系统控制功能、通信功能（CAN/LIN/SPI/I2C等协议支持）来确保芯片具备完整的电源系统调度能力。</w:t>
      </w:r>
    </w:p>
    <w:p w14:paraId="2AFE771D">
      <w:pPr>
        <w:pStyle w:val="3"/>
        <w:numPr>
          <w:ilvl w:val="0"/>
          <w:numId w:val="0"/>
        </w:numPr>
        <w:spacing w:after="0" w:line="360" w:lineRule="auto"/>
        <w:ind w:leftChars="0" w:firstLine="480" w:firstLineChars="200"/>
        <w:jc w:val="both"/>
        <w:rPr>
          <w:rFonts w:hint="eastAsia" w:ascii="仿宋" w:hAnsi="仿宋" w:eastAsia="仿宋" w:cs="宋体"/>
          <w:sz w:val="24"/>
          <w:szCs w:val="24"/>
        </w:rPr>
      </w:pPr>
      <w:r>
        <w:rPr>
          <w:rFonts w:hint="eastAsia" w:ascii="仿宋" w:hAnsi="仿宋" w:eastAsia="仿宋" w:cs="宋体"/>
          <w:sz w:val="24"/>
          <w:szCs w:val="24"/>
        </w:rPr>
        <w:t>2)</w:t>
      </w:r>
      <w:r>
        <w:rPr>
          <w:rFonts w:hint="eastAsia" w:ascii="仿宋" w:hAnsi="仿宋" w:eastAsia="仿宋" w:cs="宋体"/>
          <w:sz w:val="24"/>
          <w:szCs w:val="24"/>
          <w:lang w:val="en-US" w:eastAsia="zh-CN"/>
        </w:rPr>
        <w:t xml:space="preserve"> </w:t>
      </w:r>
      <w:r>
        <w:rPr>
          <w:rFonts w:hint="eastAsia" w:ascii="仿宋" w:hAnsi="仿宋" w:eastAsia="仿宋" w:cs="宋体"/>
          <w:sz w:val="24"/>
          <w:szCs w:val="24"/>
        </w:rPr>
        <w:t>性能要求：量化关键性能指标，包括供电电压、供电电压范围、供电启动时间、低功耗模式功耗、异常反应时间、温度监测精度、负载效应、源电压效应、周期与随机偏移（PARD）、漂移（含长时间漂移与温漂）、过冲幅度、瞬态恢复时间、转换效率（含满载效率与轻载效率）、稳流精度、稳压精度、纹波系数、输出电流误差输出电压误差为整车能量优化提供可验证的性能基准。</w:t>
      </w:r>
    </w:p>
    <w:p w14:paraId="2310D92D">
      <w:pPr>
        <w:pStyle w:val="3"/>
        <w:numPr>
          <w:ilvl w:val="0"/>
          <w:numId w:val="0"/>
        </w:numPr>
        <w:spacing w:after="0" w:line="360" w:lineRule="auto"/>
        <w:ind w:leftChars="0" w:firstLine="480" w:firstLineChars="200"/>
        <w:jc w:val="both"/>
        <w:rPr>
          <w:rFonts w:hint="eastAsia" w:ascii="仿宋" w:hAnsi="仿宋" w:eastAsia="仿宋" w:cs="宋体"/>
          <w:sz w:val="24"/>
          <w:szCs w:val="24"/>
        </w:rPr>
      </w:pPr>
      <w:r>
        <w:rPr>
          <w:rFonts w:hint="eastAsia" w:ascii="仿宋" w:hAnsi="仿宋" w:eastAsia="仿宋" w:cs="宋体"/>
          <w:sz w:val="24"/>
          <w:szCs w:val="24"/>
        </w:rPr>
        <w:t>3)</w:t>
      </w:r>
      <w:r>
        <w:rPr>
          <w:rFonts w:hint="eastAsia" w:ascii="仿宋" w:hAnsi="仿宋" w:eastAsia="仿宋" w:cs="宋体"/>
          <w:sz w:val="24"/>
          <w:szCs w:val="24"/>
          <w:lang w:val="en-US" w:eastAsia="zh-CN"/>
        </w:rPr>
        <w:t xml:space="preserve"> </w:t>
      </w:r>
      <w:r>
        <w:rPr>
          <w:rFonts w:hint="eastAsia" w:ascii="仿宋" w:hAnsi="仿宋" w:eastAsia="仿宋" w:cs="宋体"/>
          <w:sz w:val="24"/>
          <w:szCs w:val="24"/>
        </w:rPr>
        <w:t>可靠性要求：针对纯电动客车特殊应用场景，规定预处理试验（PC）、稳态温湿度偏置寿命试验（THB）或强加速稳态湿热试验（HAST）、高压蒸煮（AC）或加速耐湿无偏置强加速应力试验（UHAST）或温湿度贮存试验（TH）、温度循环试验（TC）、功率负载温度循环（PTC）和高温储存寿命试验（HTSL）等系列可靠性验证项目，确保芯片在10年/100万公里寿命周期内的稳定运行。</w:t>
      </w:r>
    </w:p>
    <w:p w14:paraId="41C9F652">
      <w:pPr>
        <w:pStyle w:val="3"/>
        <w:numPr>
          <w:ilvl w:val="0"/>
          <w:numId w:val="0"/>
        </w:numPr>
        <w:spacing w:after="0" w:line="360" w:lineRule="auto"/>
        <w:ind w:leftChars="0" w:firstLine="480" w:firstLineChars="200"/>
        <w:jc w:val="both"/>
        <w:rPr>
          <w:rFonts w:hint="eastAsia" w:ascii="仿宋" w:hAnsi="仿宋" w:eastAsia="仿宋" w:cs="宋体"/>
          <w:sz w:val="24"/>
          <w:szCs w:val="24"/>
        </w:rPr>
      </w:pPr>
      <w:r>
        <w:rPr>
          <w:rFonts w:hint="eastAsia" w:ascii="仿宋" w:hAnsi="仿宋" w:eastAsia="仿宋" w:cs="宋体"/>
          <w:sz w:val="24"/>
          <w:szCs w:val="24"/>
        </w:rPr>
        <w:t>4)</w:t>
      </w:r>
      <w:r>
        <w:rPr>
          <w:rFonts w:hint="eastAsia" w:ascii="仿宋" w:hAnsi="仿宋" w:eastAsia="仿宋" w:cs="宋体"/>
          <w:sz w:val="24"/>
          <w:szCs w:val="24"/>
          <w:lang w:val="en-US" w:eastAsia="zh-CN"/>
        </w:rPr>
        <w:t xml:space="preserve"> </w:t>
      </w:r>
      <w:r>
        <w:rPr>
          <w:rFonts w:hint="eastAsia" w:ascii="仿宋" w:hAnsi="仿宋" w:eastAsia="仿宋" w:cs="宋体"/>
          <w:sz w:val="24"/>
          <w:szCs w:val="24"/>
        </w:rPr>
        <w:t>电磁兼容要求：规定辐射发射、传导发射、辐射抗扰度、传导抗扰度、脉冲抗扰度及系统级ESD的试验方法与判定准则，确保电源管理芯片在复杂车载电磁环境下（如电机驱动、无线通信等干扰源）的通信稳定性与控制可靠性。</w:t>
      </w:r>
    </w:p>
    <w:p w14:paraId="34533E5D">
      <w:pPr>
        <w:pStyle w:val="3"/>
        <w:numPr>
          <w:ilvl w:val="0"/>
          <w:numId w:val="0"/>
        </w:numPr>
        <w:spacing w:after="0" w:line="360" w:lineRule="auto"/>
        <w:ind w:leftChars="0" w:firstLine="480" w:firstLineChars="200"/>
        <w:jc w:val="both"/>
        <w:rPr>
          <w:rFonts w:hint="eastAsia" w:ascii="仿宋" w:hAnsi="仿宋" w:eastAsia="仿宋" w:cs="宋体"/>
          <w:sz w:val="24"/>
          <w:szCs w:val="24"/>
        </w:rPr>
      </w:pPr>
      <w:r>
        <w:rPr>
          <w:rFonts w:hint="eastAsia" w:ascii="仿宋" w:hAnsi="仿宋" w:eastAsia="仿宋" w:cs="宋体"/>
          <w:sz w:val="24"/>
          <w:szCs w:val="24"/>
        </w:rPr>
        <w:t>5)</w:t>
      </w:r>
      <w:r>
        <w:rPr>
          <w:rFonts w:hint="eastAsia" w:ascii="仿宋" w:hAnsi="仿宋" w:eastAsia="仿宋" w:cs="宋体"/>
          <w:sz w:val="24"/>
          <w:szCs w:val="24"/>
          <w:lang w:val="en-US" w:eastAsia="zh-CN"/>
        </w:rPr>
        <w:t xml:space="preserve"> </w:t>
      </w:r>
      <w:r>
        <w:rPr>
          <w:rFonts w:hint="eastAsia" w:ascii="仿宋" w:hAnsi="仿宋" w:eastAsia="仿宋" w:cs="宋体"/>
          <w:sz w:val="24"/>
          <w:szCs w:val="24"/>
        </w:rPr>
        <w:t>功能安全要求：基于GB/T 34590（ISO 26262）框架，针对应用于动力、制动、转向等安全相关系统的电源管理芯片，明确功能安全开发流程、安全机制设计、安全状态定义及故障处理时间间隔要求，支持ASIL-B/D等级的功能安全目标。</w:t>
      </w:r>
    </w:p>
    <w:p w14:paraId="1D3644FD">
      <w:pPr>
        <w:pStyle w:val="3"/>
        <w:spacing w:before="156" w:beforeLines="50" w:after="156" w:afterLines="50"/>
        <w:ind w:firstLine="0" w:firstLineChars="0"/>
        <w:outlineLvl w:val="1"/>
        <w:rPr>
          <w:rFonts w:hint="eastAsia" w:ascii="黑体" w:hAnsi="黑体" w:eastAsia="黑体" w:cs="黑体"/>
          <w:sz w:val="24"/>
          <w:szCs w:val="24"/>
          <w:highlight w:val="yellow"/>
        </w:rPr>
      </w:pPr>
      <w:r>
        <w:rPr>
          <w:rFonts w:hint="eastAsia" w:ascii="黑体" w:hAnsi="黑体" w:eastAsia="黑体" w:cs="黑体"/>
          <w:sz w:val="24"/>
          <w:szCs w:val="24"/>
          <w:highlight w:val="yellow"/>
        </w:rPr>
        <w:t>2.4 标准主要内容的论据</w:t>
      </w:r>
    </w:p>
    <w:p w14:paraId="6910BE36">
      <w:pPr>
        <w:pStyle w:val="3"/>
        <w:spacing w:after="0" w:line="360" w:lineRule="auto"/>
        <w:ind w:firstLine="420" w:firstLineChars="0"/>
        <w:jc w:val="both"/>
        <w:rPr>
          <w:rFonts w:hint="eastAsia" w:ascii="仿宋" w:hAnsi="仿宋" w:eastAsia="仿宋" w:cs="宋体"/>
          <w:sz w:val="24"/>
          <w:szCs w:val="24"/>
        </w:rPr>
      </w:pPr>
      <w:r>
        <w:rPr>
          <w:rFonts w:hint="eastAsia" w:ascii="仿宋" w:hAnsi="仿宋" w:eastAsia="仿宋" w:cs="宋体"/>
          <w:sz w:val="24"/>
          <w:szCs w:val="24"/>
        </w:rPr>
        <w:t>本标准核心内容的制定，依托全产业链多维度调研与实测数据形成扎实支撑，所有技术条款均具备明确的产业现实依据。</w:t>
      </w:r>
    </w:p>
    <w:p w14:paraId="46015AD4">
      <w:pPr>
        <w:pStyle w:val="3"/>
        <w:spacing w:after="0" w:line="360" w:lineRule="auto"/>
        <w:ind w:firstLine="420" w:firstLineChars="0"/>
        <w:jc w:val="both"/>
        <w:rPr>
          <w:rFonts w:hint="eastAsia" w:ascii="仿宋" w:hAnsi="仿宋" w:eastAsia="仿宋" w:cs="宋体"/>
          <w:sz w:val="24"/>
          <w:szCs w:val="24"/>
          <w:highlight w:val="yellow"/>
        </w:rPr>
      </w:pPr>
      <w:r>
        <w:rPr>
          <w:rFonts w:hint="eastAsia" w:ascii="仿宋" w:hAnsi="仿宋" w:eastAsia="仿宋" w:cs="宋体"/>
          <w:sz w:val="24"/>
          <w:szCs w:val="24"/>
        </w:rPr>
        <w:t>其一，基于对国内外主流车企、芯片厂商的深度调研，梳理出纯电动客车当前普遍面临的600V-800V高压平台适配难、百安级大电流下芯片可靠性不足、</w:t>
      </w:r>
      <w:r>
        <w:rPr>
          <w:rFonts w:hint="eastAsia" w:ascii="仿宋" w:hAnsi="仿宋" w:eastAsia="仿宋" w:cs="宋体"/>
          <w:sz w:val="24"/>
          <w:szCs w:val="24"/>
          <w:lang w:val="en-US" w:eastAsia="zh-CN"/>
        </w:rPr>
        <w:t>10</w:t>
      </w:r>
      <w:r>
        <w:rPr>
          <w:rFonts w:hint="eastAsia" w:ascii="仿宋" w:hAnsi="仿宋" w:eastAsia="仿宋" w:cs="宋体"/>
          <w:sz w:val="24"/>
          <w:szCs w:val="24"/>
        </w:rPr>
        <w:t>-1</w:t>
      </w:r>
      <w:r>
        <w:rPr>
          <w:rFonts w:hint="eastAsia" w:ascii="仿宋" w:hAnsi="仿宋" w:eastAsia="仿宋" w:cs="宋体"/>
          <w:sz w:val="24"/>
          <w:szCs w:val="24"/>
          <w:lang w:val="en-US" w:eastAsia="zh-CN"/>
        </w:rPr>
        <w:t>5</w:t>
      </w:r>
      <w:r>
        <w:rPr>
          <w:rFonts w:hint="eastAsia" w:ascii="仿宋" w:hAnsi="仿宋" w:eastAsia="仿宋" w:cs="宋体"/>
          <w:sz w:val="24"/>
          <w:szCs w:val="24"/>
        </w:rPr>
        <w:t>年超长运营周期内性能衰减失控等共性痛点，针对性设置了区别于乘用车的强化型功率循环、高温长时工作寿命等试验项目，填补通用车规标准与客车场景需求的适配空白。其二，通过对齐现有汽车芯片标准体系中动力系统领域的定位，在充分兼容AEC-Q100、ISO 26262等国际通用标准的基础上，新增了适配纯电动客车频繁启停、重载爬坡、极寒极热等极端工况的专属指标，避免与现有上位标准出现技术冲突，保障全产业链不同主体的技术衔接顺畅。其三，依托多轮产学研用联合论证与实测验证，将不同规模芯片企业的量产能力、整车厂的实际适配需求、第三方检测机构的可落地试验条件进行统筹平衡，最终形成的功能定义、性能阈值、判定规则均经过多场景实测校验，既守住了纯电动客车动力系统的安全底线，也为后续高功率快充、V2G等新兴技术预留了适配空间，确保标准发布后可直接指导芯片研发、选型验证与批量装车全流程</w:t>
      </w:r>
      <w:r>
        <w:rPr>
          <w:rFonts w:hint="eastAsia" w:ascii="仿宋" w:hAnsi="仿宋" w:eastAsia="仿宋" w:cs="宋体"/>
          <w:sz w:val="24"/>
          <w:szCs w:val="24"/>
          <w:highlight w:val="none"/>
        </w:rPr>
        <w:t>工作。</w:t>
      </w:r>
    </w:p>
    <w:p w14:paraId="3D064458">
      <w:pPr>
        <w:pStyle w:val="3"/>
        <w:spacing w:before="156" w:beforeLines="50" w:after="156" w:afterLines="50"/>
        <w:ind w:firstLine="0" w:firstLineChars="0"/>
        <w:outlineLvl w:val="1"/>
        <w:rPr>
          <w:rFonts w:hint="eastAsia" w:ascii="黑体" w:hAnsi="黑体" w:eastAsia="黑体" w:cs="黑体"/>
          <w:sz w:val="24"/>
          <w:szCs w:val="24"/>
        </w:rPr>
      </w:pPr>
      <w:r>
        <w:rPr>
          <w:rFonts w:hint="eastAsia" w:ascii="黑体" w:hAnsi="黑体" w:eastAsia="黑体" w:cs="黑体"/>
          <w:sz w:val="24"/>
          <w:szCs w:val="24"/>
        </w:rPr>
        <w:t>2.5 标准工作基础</w:t>
      </w:r>
    </w:p>
    <w:p w14:paraId="3478A8D4">
      <w:pPr>
        <w:pStyle w:val="15"/>
        <w:spacing w:line="360" w:lineRule="auto"/>
        <w:ind w:firstLine="480"/>
        <w:rPr>
          <w:rFonts w:hint="default" w:ascii="仿宋" w:hAnsi="仿宋" w:eastAsia="仿宋" w:cs="宋体"/>
          <w:sz w:val="24"/>
          <w:szCs w:val="24"/>
          <w:lang w:val="en-US" w:eastAsia="zh-CN"/>
        </w:rPr>
      </w:pPr>
      <w:r>
        <w:rPr>
          <w:rFonts w:hint="eastAsia" w:ascii="仿宋" w:hAnsi="仿宋" w:eastAsia="仿宋" w:cs="宋体"/>
          <w:sz w:val="24"/>
          <w:szCs w:val="24"/>
        </w:rPr>
        <w:t>本标准起草组单位由国内知名的整车企业、零部件企业、芯片企业、检测公司、测试设备公司、高校等等组成，涵盖了汽车行业各个主要环节，具备完整的汽车电子知识体系和行业经验，可以为本标准的制定和验证提供强有力的技术和资源支持。通过汽车芯片研发方、信息安全解决方案方，使用方、检测方等共同参与标准制定，在最大程度上保证了本标准的可操作性、可用性和实用性。</w:t>
      </w:r>
      <w:r>
        <w:rPr>
          <w:rFonts w:hint="eastAsia" w:ascii="仿宋" w:hAnsi="仿宋" w:eastAsia="仿宋" w:cs="宋体"/>
          <w:sz w:val="24"/>
          <w:szCs w:val="24"/>
          <w:lang w:val="en-US" w:eastAsia="zh-CN"/>
        </w:rPr>
        <w:t>其中表尊牵头单位：</w:t>
      </w:r>
    </w:p>
    <w:p w14:paraId="479DE8E7">
      <w:pPr>
        <w:pStyle w:val="15"/>
        <w:spacing w:line="360" w:lineRule="auto"/>
        <w:ind w:firstLine="480"/>
        <w:rPr>
          <w:rFonts w:hint="eastAsia" w:ascii="仿宋" w:hAnsi="仿宋" w:eastAsia="仿宋" w:cs="宋体"/>
          <w:sz w:val="24"/>
          <w:szCs w:val="24"/>
        </w:rPr>
      </w:pPr>
      <w:r>
        <w:rPr>
          <w:rFonts w:hint="eastAsia" w:ascii="仿宋" w:hAnsi="仿宋" w:eastAsia="仿宋" w:cs="宋体"/>
          <w:sz w:val="24"/>
          <w:szCs w:val="24"/>
        </w:rPr>
        <w:t>北京国家新能源汽车技术创新中心有限公司有限公司（简称“国创中心”）：成立于2018年，是国家科技部批准建设的我国汽车行业首个国家级技术创新中心，也是国内首个以市场化资源配置为机制、企业法人为主体的创新型平台。中心致力于建设国家新能源汽车领域的重大技术策源地和核心成果转化地，聚焦“电子电气智能化、能源动力电动化、汽车设计数字化”三大技术方向，着力打造“汽车芯片”与“数字化汽车”两大生态平台。国创中心拥有一支200余人的专业化研发团队，并组建了由30位国内外院士、专家构成的技术专家委员会，指导委员会汇聚了18名院士提供战略咨询。成立至今，国创中心累计承担国家/地方重大专项51项，项目总预算超26亿元，获批“国家高新技术企业”、“北京市专精特新”、“北京市工程研究中心”等荣誉，并设立博士后科研工作站。中心首创“芯片-系统-控制器-整车”垂直测试试验技术，建成5个CNAS认可的车规级芯片专业实验室，是国内领先的芯片第三方检测机构，同时获批建设“国家市场监督管理总局重点实验室（汽车芯片测试与评价）”。作为连接整车企业与前瞻技术企业的桥梁，国创中心通过“芯片联盟”“软件联盟”“产教融合”“行业标准”等组织，深化行业生态建设，推动产业生态协同发展。</w:t>
      </w:r>
    </w:p>
    <w:p w14:paraId="2FB55724">
      <w:pPr>
        <w:pStyle w:val="15"/>
        <w:spacing w:line="360" w:lineRule="auto"/>
        <w:ind w:firstLine="480"/>
        <w:rPr>
          <w:rFonts w:hint="eastAsia" w:ascii="仿宋" w:hAnsi="仿宋" w:eastAsia="仿宋" w:cs="宋体"/>
          <w:sz w:val="24"/>
          <w:szCs w:val="24"/>
        </w:rPr>
      </w:pPr>
      <w:r>
        <w:rPr>
          <w:rFonts w:hint="eastAsia" w:ascii="仿宋" w:hAnsi="仿宋" w:eastAsia="仿宋" w:cs="宋体"/>
          <w:sz w:val="24"/>
          <w:szCs w:val="24"/>
        </w:rPr>
        <w:t>宇通客车股份有限公司：总投资10亿元，专注于电动客车电控与安全技术研究，在电池管理系统（BMS）领域有深厚技术积累，曾获得"一种电源管理单元"发明专利授权，自主掌握新能源三电核心技术，构建了睿控E平台等电动专属平台，可实现电池智能热管理、能量优化分配等功能研发投入常年超营收5%，拥有行业首家博士后科研工作站和国家级技术中心，在极端环境适应性（如-38℃北极圈、吐鲁番火焰山）方面有丰富技术经验具备完整的新能源客车试验验证体系，可完成电池PACK、电机、电控等核心零部件的性能测试，建有高温、高原、高寒"三高"试验基地，能模拟全球极端气候环境，验证电源管理芯片在不同工况下的可靠性，拥有国家级检验检测资质，可开展电池循环寿命、热失控预警、电磁兼容性等多项核心测试</w:t>
      </w:r>
    </w:p>
    <w:p w14:paraId="13F1A416">
      <w:pPr>
        <w:spacing w:before="156" w:beforeLines="50" w:after="156" w:afterLines="50" w:line="360" w:lineRule="auto"/>
        <w:outlineLvl w:val="0"/>
        <w:rPr>
          <w:rFonts w:hint="eastAsia" w:ascii="黑体" w:hAnsi="黑体" w:eastAsia="黑体" w:cs="黑体"/>
          <w:color w:val="000000" w:themeColor="text1"/>
          <w:sz w:val="30"/>
          <w:szCs w:val="30"/>
          <w:highlight w:val="none"/>
          <w14:textFill>
            <w14:solidFill>
              <w14:schemeClr w14:val="tx1"/>
            </w14:solidFill>
          </w14:textFill>
        </w:rPr>
      </w:pPr>
      <w:r>
        <w:rPr>
          <w:rFonts w:hint="eastAsia" w:ascii="黑体" w:hAnsi="黑体" w:eastAsia="黑体" w:cs="黑体"/>
          <w:color w:val="000000" w:themeColor="text1"/>
          <w:sz w:val="24"/>
          <w:highlight w:val="none"/>
          <w14:textFill>
            <w14:solidFill>
              <w14:schemeClr w14:val="tx1"/>
            </w14:solidFill>
          </w14:textFill>
        </w:rPr>
        <w:t>三、采用国际标准和国外先进标准情况</w:t>
      </w:r>
    </w:p>
    <w:p w14:paraId="38309604">
      <w:pPr>
        <w:pStyle w:val="15"/>
        <w:spacing w:line="360" w:lineRule="auto"/>
        <w:ind w:firstLine="480"/>
        <w:rPr>
          <w:rFonts w:hint="eastAsia" w:ascii="仿宋" w:hAnsi="仿宋" w:eastAsia="仿宋" w:cs="宋体"/>
          <w:color w:val="auto"/>
          <w:sz w:val="24"/>
          <w:szCs w:val="24"/>
          <w:highlight w:val="none"/>
          <w:lang w:eastAsia="zh-CN"/>
        </w:rPr>
      </w:pPr>
      <w:r>
        <w:rPr>
          <w:rFonts w:hint="eastAsia" w:ascii="仿宋" w:hAnsi="仿宋" w:eastAsia="仿宋" w:cs="宋体"/>
          <w:color w:val="auto"/>
          <w:sz w:val="24"/>
          <w:szCs w:val="24"/>
          <w:highlight w:val="none"/>
        </w:rPr>
        <w:t>本标准</w:t>
      </w:r>
      <w:r>
        <w:rPr>
          <w:rFonts w:hint="eastAsia" w:ascii="仿宋" w:hAnsi="仿宋" w:eastAsia="仿宋" w:cs="宋体"/>
          <w:color w:val="auto"/>
          <w:sz w:val="24"/>
          <w:szCs w:val="24"/>
          <w:highlight w:val="none"/>
          <w:lang w:val="en-US" w:eastAsia="zh-CN"/>
        </w:rPr>
        <w:t>未采用</w:t>
      </w:r>
      <w:r>
        <w:rPr>
          <w:rFonts w:hint="eastAsia" w:ascii="仿宋" w:hAnsi="仿宋" w:eastAsia="仿宋" w:cs="宋体"/>
          <w:color w:val="auto"/>
          <w:sz w:val="24"/>
          <w:szCs w:val="24"/>
          <w:highlight w:val="none"/>
        </w:rPr>
        <w:t>国际</w:t>
      </w:r>
      <w:r>
        <w:rPr>
          <w:rFonts w:hint="eastAsia" w:ascii="仿宋" w:hAnsi="仿宋" w:eastAsia="仿宋" w:cs="宋体"/>
          <w:color w:val="auto"/>
          <w:sz w:val="24"/>
          <w:szCs w:val="24"/>
          <w:highlight w:val="none"/>
          <w:lang w:val="en-US" w:eastAsia="zh-CN"/>
        </w:rPr>
        <w:t>标准或</w:t>
      </w:r>
      <w:r>
        <w:rPr>
          <w:rFonts w:hint="eastAsia" w:ascii="仿宋" w:hAnsi="仿宋" w:eastAsia="仿宋" w:cs="宋体"/>
          <w:color w:val="auto"/>
          <w:sz w:val="24"/>
          <w:szCs w:val="24"/>
          <w:highlight w:val="none"/>
        </w:rPr>
        <w:t>国外标准</w:t>
      </w:r>
      <w:r>
        <w:rPr>
          <w:rFonts w:hint="eastAsia" w:ascii="仿宋" w:hAnsi="仿宋" w:eastAsia="仿宋" w:cs="宋体"/>
          <w:color w:val="auto"/>
          <w:sz w:val="24"/>
          <w:szCs w:val="24"/>
          <w:highlight w:val="none"/>
          <w:lang w:eastAsia="zh-CN"/>
        </w:rPr>
        <w:t>。</w:t>
      </w:r>
    </w:p>
    <w:p w14:paraId="54D59CB3">
      <w:pPr>
        <w:pStyle w:val="15"/>
        <w:spacing w:line="360" w:lineRule="auto"/>
        <w:ind w:firstLine="480"/>
        <w:rPr>
          <w:rFonts w:hint="eastAsia" w:ascii="仿宋" w:hAnsi="仿宋" w:eastAsia="仿宋" w:cs="宋体"/>
          <w:color w:val="auto"/>
          <w:sz w:val="24"/>
          <w:szCs w:val="24"/>
          <w:highlight w:val="none"/>
          <w:lang w:eastAsia="zh-CN"/>
        </w:rPr>
      </w:pPr>
      <w:r>
        <w:rPr>
          <w:rFonts w:hint="eastAsia" w:ascii="仿宋" w:hAnsi="仿宋" w:eastAsia="仿宋" w:cs="宋体"/>
          <w:color w:val="auto"/>
          <w:sz w:val="24"/>
          <w:szCs w:val="24"/>
          <w:highlight w:val="none"/>
          <w:lang w:eastAsia="zh-CN"/>
        </w:rPr>
        <w:t>国际上，车规级芯片领域以ISO 26262《道路车辆功能安全》和AEC-Q系列《基于失效机理的集成电路应力试验认证》为核心标准体系。ISO 26262给出了功能安全的通用框架和流程要求，但未明确电源管理芯片在不同商用车安全等级（ASIL）下的具体安全机制设计（如独立电压监测回路、看门狗定时器、内置自检等）及故障响应时间要求。AEC-Q系列标准主要基于传统燃油车任务剖面制定，其温度循环次数、寿命模型、应力试验条件与纯电动客车实际运行场景存在显著偏差。纯电动客车具有800V高压平台、百安培级大电流充放电、10年/100万公里超长寿命、频繁启停与重载爬坡等特殊工况，对电源管理芯片的电迁移、热载流子注入、功率循环等失效机理提出更高要求，而AEC-Q100并未明确相应应用场景的具体可靠性考核指标。</w:t>
      </w:r>
    </w:p>
    <w:p w14:paraId="5FC57DFE">
      <w:pPr>
        <w:spacing w:before="156" w:beforeLines="50" w:after="156" w:afterLines="50" w:line="360" w:lineRule="auto"/>
        <w:outlineLvl w:val="0"/>
        <w:rPr>
          <w:rFonts w:hint="eastAsia" w:ascii="黑体" w:hAnsi="黑体" w:eastAsia="黑体" w:cs="黑体"/>
          <w:color w:val="auto"/>
          <w:sz w:val="24"/>
          <w:highlight w:val="none"/>
        </w:rPr>
      </w:pPr>
      <w:r>
        <w:rPr>
          <w:rFonts w:hint="eastAsia" w:ascii="黑体" w:hAnsi="黑体" w:eastAsia="黑体" w:cs="黑体"/>
          <w:color w:val="auto"/>
          <w:sz w:val="24"/>
          <w:highlight w:val="none"/>
        </w:rPr>
        <w:t>四、主要关键指标及试验验证情况</w:t>
      </w:r>
    </w:p>
    <w:p w14:paraId="07776770">
      <w:pPr>
        <w:pStyle w:val="3"/>
        <w:spacing w:before="156" w:beforeLines="50" w:after="156" w:afterLines="50"/>
        <w:ind w:firstLine="0" w:firstLineChars="0"/>
        <w:outlineLvl w:val="1"/>
        <w:rPr>
          <w:rFonts w:hint="eastAsia" w:ascii="黑体" w:hAnsi="黑体" w:eastAsia="黑体" w:cs="黑体"/>
          <w:sz w:val="24"/>
          <w:szCs w:val="24"/>
          <w:highlight w:val="none"/>
        </w:rPr>
      </w:pPr>
      <w:r>
        <w:rPr>
          <w:rFonts w:hint="eastAsia" w:ascii="黑体" w:hAnsi="黑体" w:eastAsia="黑体" w:cs="黑体"/>
          <w:sz w:val="24"/>
          <w:szCs w:val="24"/>
          <w:highlight w:val="none"/>
        </w:rPr>
        <w:t>4.1 验证试验基本情况</w:t>
      </w:r>
    </w:p>
    <w:p w14:paraId="734366D6">
      <w:pPr>
        <w:spacing w:line="360" w:lineRule="auto"/>
        <w:rPr>
          <w:rFonts w:hint="eastAsia" w:ascii="仿宋" w:hAnsi="仿宋" w:eastAsia="仿宋" w:cs="宋体"/>
          <w:kern w:val="0"/>
          <w:sz w:val="24"/>
          <w:highlight w:val="none"/>
        </w:rPr>
      </w:pPr>
      <w:r>
        <w:rPr>
          <w:rFonts w:hint="eastAsia" w:ascii="仿宋" w:hAnsi="仿宋" w:eastAsia="仿宋" w:cs="宋体"/>
          <w:kern w:val="0"/>
          <w:sz w:val="24"/>
          <w:highlight w:val="none"/>
          <w:lang w:val="en-US" w:eastAsia="zh-CN"/>
        </w:rPr>
        <w:t>1、</w:t>
      </w:r>
      <w:r>
        <w:rPr>
          <w:rFonts w:hint="eastAsia" w:ascii="仿宋" w:hAnsi="仿宋" w:eastAsia="仿宋" w:cs="宋体"/>
          <w:kern w:val="0"/>
          <w:sz w:val="24"/>
          <w:highlight w:val="none"/>
        </w:rPr>
        <w:t>验证目的与依据‌：</w:t>
      </w:r>
    </w:p>
    <w:p w14:paraId="6FE7E591">
      <w:pPr>
        <w:spacing w:line="360" w:lineRule="auto"/>
        <w:ind w:firstLine="420"/>
        <w:rPr>
          <w:rFonts w:hint="eastAsia" w:ascii="仿宋" w:hAnsi="仿宋" w:eastAsia="仿宋" w:cs="宋体"/>
          <w:kern w:val="0"/>
          <w:sz w:val="24"/>
          <w:highlight w:val="none"/>
        </w:rPr>
      </w:pPr>
    </w:p>
    <w:p w14:paraId="210D41C5">
      <w:pPr>
        <w:spacing w:line="360" w:lineRule="auto"/>
        <w:ind w:firstLine="420"/>
        <w:rPr>
          <w:rFonts w:hint="eastAsia" w:ascii="仿宋" w:hAnsi="仿宋" w:eastAsia="仿宋" w:cs="宋体"/>
          <w:kern w:val="0"/>
          <w:sz w:val="24"/>
          <w:highlight w:val="none"/>
        </w:rPr>
      </w:pPr>
      <w:r>
        <w:rPr>
          <w:rFonts w:hint="eastAsia" w:ascii="仿宋" w:hAnsi="仿宋" w:eastAsia="仿宋" w:cs="宋体"/>
          <w:kern w:val="0"/>
          <w:sz w:val="24"/>
          <w:highlight w:val="none"/>
        </w:rPr>
        <w:t>本次验证试验旨在依据《纯电动客车用电源管理芯片技术要求及试验》</w:t>
      </w:r>
      <w:r>
        <w:rPr>
          <w:rFonts w:hint="eastAsia" w:ascii="仿宋" w:hAnsi="仿宋" w:eastAsia="仿宋" w:cs="宋体"/>
          <w:kern w:val="0"/>
          <w:sz w:val="24"/>
          <w:highlight w:val="none"/>
          <w:lang w:val="en-US" w:eastAsia="zh-CN"/>
        </w:rPr>
        <w:t>标准内容</w:t>
      </w:r>
      <w:r>
        <w:rPr>
          <w:rFonts w:hint="eastAsia" w:ascii="仿宋" w:hAnsi="仿宋" w:eastAsia="仿宋" w:cs="宋体"/>
          <w:kern w:val="0"/>
          <w:sz w:val="24"/>
          <w:highlight w:val="none"/>
        </w:rPr>
        <w:t>的要求，对具有低静态电流特性的双路电源管理芯片SCCK0269HW进行全面的功能、性能及可靠性测试，以评估其是否满足设计目标和技术要求。</w:t>
      </w:r>
    </w:p>
    <w:p w14:paraId="2AAAA5D4">
      <w:pPr>
        <w:spacing w:line="360" w:lineRule="auto"/>
        <w:rPr>
          <w:rFonts w:hint="eastAsia" w:ascii="仿宋" w:hAnsi="仿宋" w:eastAsia="仿宋" w:cs="宋体"/>
          <w:kern w:val="0"/>
          <w:sz w:val="24"/>
          <w:highlight w:val="none"/>
        </w:rPr>
      </w:pPr>
      <w:r>
        <w:rPr>
          <w:rFonts w:hint="eastAsia" w:ascii="仿宋" w:hAnsi="仿宋" w:eastAsia="仿宋" w:cs="宋体"/>
          <w:kern w:val="0"/>
          <w:sz w:val="24"/>
          <w:highlight w:val="none"/>
          <w:lang w:val="en-US" w:eastAsia="zh-CN"/>
        </w:rPr>
        <w:t>2、</w:t>
      </w:r>
      <w:r>
        <w:rPr>
          <w:rFonts w:hint="eastAsia" w:ascii="仿宋" w:hAnsi="仿宋" w:eastAsia="仿宋" w:cs="宋体"/>
          <w:kern w:val="0"/>
          <w:sz w:val="24"/>
          <w:highlight w:val="none"/>
        </w:rPr>
        <w:t>样品信息‌：</w:t>
      </w:r>
    </w:p>
    <w:p w14:paraId="7367C48B">
      <w:pPr>
        <w:spacing w:line="360" w:lineRule="auto"/>
        <w:ind w:firstLine="420"/>
        <w:rPr>
          <w:rFonts w:hint="eastAsia" w:ascii="仿宋" w:hAnsi="仿宋" w:eastAsia="仿宋" w:cs="宋体"/>
          <w:kern w:val="0"/>
          <w:sz w:val="24"/>
          <w:highlight w:val="none"/>
        </w:rPr>
      </w:pPr>
      <w:r>
        <w:rPr>
          <w:rFonts w:hint="eastAsia" w:ascii="仿宋" w:hAnsi="仿宋" w:eastAsia="仿宋" w:cs="宋体"/>
          <w:kern w:val="0"/>
          <w:sz w:val="24"/>
          <w:highlight w:val="none"/>
        </w:rPr>
        <w:t>样品名称：低静态电流特性的双路电源管理芯片。</w:t>
      </w:r>
    </w:p>
    <w:p w14:paraId="2D493C21">
      <w:pPr>
        <w:spacing w:line="360" w:lineRule="auto"/>
        <w:ind w:firstLine="420"/>
        <w:rPr>
          <w:rFonts w:hint="eastAsia" w:ascii="仿宋" w:hAnsi="仿宋" w:eastAsia="仿宋" w:cs="宋体"/>
          <w:kern w:val="0"/>
          <w:sz w:val="24"/>
          <w:highlight w:val="none"/>
        </w:rPr>
      </w:pPr>
      <w:r>
        <w:rPr>
          <w:rFonts w:hint="eastAsia" w:ascii="仿宋" w:hAnsi="仿宋" w:eastAsia="仿宋" w:cs="宋体"/>
          <w:kern w:val="0"/>
          <w:sz w:val="24"/>
          <w:highlight w:val="none"/>
        </w:rPr>
        <w:t>型号：SCCK0269HW。</w:t>
      </w:r>
    </w:p>
    <w:p w14:paraId="762FC158">
      <w:pPr>
        <w:spacing w:line="360" w:lineRule="auto"/>
        <w:ind w:firstLine="420"/>
        <w:rPr>
          <w:rFonts w:hint="eastAsia" w:ascii="仿宋" w:hAnsi="仿宋" w:eastAsia="仿宋" w:cs="宋体"/>
          <w:kern w:val="0"/>
          <w:sz w:val="24"/>
          <w:highlight w:val="none"/>
        </w:rPr>
      </w:pPr>
      <w:r>
        <w:rPr>
          <w:rFonts w:hint="eastAsia" w:ascii="仿宋" w:hAnsi="仿宋" w:eastAsia="仿宋" w:cs="宋体"/>
          <w:kern w:val="0"/>
          <w:sz w:val="24"/>
          <w:highlight w:val="none"/>
        </w:rPr>
        <w:t>封装：VQFN-40（内部为单DIE，塑料封装）。</w:t>
      </w:r>
    </w:p>
    <w:p w14:paraId="5CCE769B">
      <w:pPr>
        <w:spacing w:line="360" w:lineRule="auto"/>
        <w:ind w:firstLine="420"/>
        <w:rPr>
          <w:rFonts w:hint="eastAsia" w:ascii="仿宋" w:hAnsi="仿宋" w:eastAsia="仿宋" w:cs="宋体"/>
          <w:kern w:val="0"/>
          <w:sz w:val="24"/>
          <w:highlight w:val="none"/>
        </w:rPr>
      </w:pPr>
      <w:r>
        <w:rPr>
          <w:rFonts w:hint="eastAsia" w:ascii="仿宋" w:hAnsi="仿宋" w:eastAsia="仿宋" w:cs="宋体"/>
          <w:kern w:val="0"/>
          <w:sz w:val="24"/>
          <w:highlight w:val="none"/>
        </w:rPr>
        <w:t>工作温度等级：-40°C 至 +1</w:t>
      </w:r>
      <w:r>
        <w:rPr>
          <w:rFonts w:hint="eastAsia" w:ascii="仿宋" w:hAnsi="仿宋" w:eastAsia="仿宋" w:cs="宋体"/>
          <w:kern w:val="0"/>
          <w:sz w:val="24"/>
          <w:highlight w:val="none"/>
          <w:lang w:val="en-US" w:eastAsia="zh-CN"/>
        </w:rPr>
        <w:t>50</w:t>
      </w:r>
      <w:r>
        <w:rPr>
          <w:rFonts w:hint="eastAsia" w:ascii="仿宋" w:hAnsi="仿宋" w:eastAsia="仿宋" w:cs="宋体"/>
          <w:kern w:val="0"/>
          <w:sz w:val="24"/>
          <w:highlight w:val="none"/>
        </w:rPr>
        <w:t>°C。</w:t>
      </w:r>
    </w:p>
    <w:tbl>
      <w:tblPr>
        <w:tblStyle w:val="9"/>
        <w:tblW w:w="461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52DF8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0" w:hRule="atLeast"/>
          <w:jc w:val="center"/>
        </w:trPr>
        <w:tc>
          <w:tcPr>
            <w:tcW w:w="2451" w:type="pct"/>
          </w:tcPr>
          <w:p w14:paraId="6BF5B5F1">
            <w:pPr>
              <w:jc w:val="center"/>
              <w:rPr>
                <w:rFonts w:eastAsiaTheme="minorEastAsia"/>
                <w:highlight w:val="none"/>
                <w:lang w:eastAsia="zh-CN"/>
              </w:rPr>
            </w:pPr>
          </w:p>
          <w:p w14:paraId="5E39C151">
            <w:pPr>
              <w:jc w:val="center"/>
              <w:rPr>
                <w:rFonts w:eastAsiaTheme="minorEastAsia"/>
                <w:highlight w:val="none"/>
                <w:lang w:eastAsia="zh-CN"/>
              </w:rPr>
            </w:pPr>
            <w:r>
              <w:rPr>
                <w:rFonts w:hint="eastAsia" w:eastAsiaTheme="minorEastAsia"/>
                <w:highlight w:val="none"/>
                <w:lang w:eastAsia="zh-CN"/>
              </w:rPr>
              <w:drawing>
                <wp:inline distT="0" distB="0" distL="114300" distR="114300">
                  <wp:extent cx="2578735" cy="1934210"/>
                  <wp:effectExtent l="0" t="0" r="12065" b="8890"/>
                  <wp:docPr id="1" name="图片 1" descr="微信图片_20241121151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41121151714"/>
                          <pic:cNvPicPr>
                            <a:picLocks noChangeAspect="1"/>
                          </pic:cNvPicPr>
                        </pic:nvPicPr>
                        <pic:blipFill>
                          <a:blip r:embed="rId4"/>
                          <a:stretch>
                            <a:fillRect/>
                          </a:stretch>
                        </pic:blipFill>
                        <pic:spPr>
                          <a:xfrm>
                            <a:off x="0" y="0"/>
                            <a:ext cx="2578735" cy="1934210"/>
                          </a:xfrm>
                          <a:prstGeom prst="rect">
                            <a:avLst/>
                          </a:prstGeom>
                        </pic:spPr>
                      </pic:pic>
                    </a:graphicData>
                  </a:graphic>
                </wp:inline>
              </w:drawing>
            </w:r>
          </w:p>
        </w:tc>
        <w:tc>
          <w:tcPr>
            <w:tcW w:w="2548" w:type="pct"/>
          </w:tcPr>
          <w:p w14:paraId="0F010DA5">
            <w:pPr>
              <w:jc w:val="center"/>
              <w:rPr>
                <w:rFonts w:eastAsiaTheme="minorEastAsia"/>
                <w:highlight w:val="none"/>
                <w:lang w:eastAsia="zh-CN"/>
              </w:rPr>
            </w:pPr>
          </w:p>
          <w:p w14:paraId="736EAF91">
            <w:pPr>
              <w:jc w:val="center"/>
              <w:rPr>
                <w:rFonts w:eastAsiaTheme="minorEastAsia"/>
                <w:highlight w:val="none"/>
                <w:lang w:eastAsia="zh-CN"/>
              </w:rPr>
            </w:pPr>
            <w:r>
              <w:rPr>
                <w:rFonts w:hint="eastAsia" w:eastAsiaTheme="minorEastAsia"/>
                <w:highlight w:val="none"/>
                <w:lang w:eastAsia="zh-CN"/>
              </w:rPr>
              <w:drawing>
                <wp:inline distT="0" distB="0" distL="114300" distR="114300">
                  <wp:extent cx="2578735" cy="1934210"/>
                  <wp:effectExtent l="0" t="0" r="12065" b="8890"/>
                  <wp:docPr id="2" name="图片 2" descr="微信图片_20241121151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41121151657"/>
                          <pic:cNvPicPr>
                            <a:picLocks noChangeAspect="1"/>
                          </pic:cNvPicPr>
                        </pic:nvPicPr>
                        <pic:blipFill>
                          <a:blip r:embed="rId5"/>
                          <a:stretch>
                            <a:fillRect/>
                          </a:stretch>
                        </pic:blipFill>
                        <pic:spPr>
                          <a:xfrm>
                            <a:off x="0" y="0"/>
                            <a:ext cx="2578735" cy="1934210"/>
                          </a:xfrm>
                          <a:prstGeom prst="rect">
                            <a:avLst/>
                          </a:prstGeom>
                        </pic:spPr>
                      </pic:pic>
                    </a:graphicData>
                  </a:graphic>
                </wp:inline>
              </w:drawing>
            </w:r>
          </w:p>
        </w:tc>
      </w:tr>
      <w:tr w14:paraId="13BAC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2451" w:type="pct"/>
          </w:tcPr>
          <w:p w14:paraId="10F45DA3">
            <w:pPr>
              <w:jc w:val="center"/>
              <w:rPr>
                <w:rFonts w:eastAsiaTheme="minorEastAsia"/>
                <w:highlight w:val="none"/>
              </w:rPr>
            </w:pPr>
            <w:r>
              <w:rPr>
                <w:rFonts w:hint="eastAsia" w:eastAsiaTheme="minorEastAsia"/>
                <w:highlight w:val="none"/>
                <w:lang w:eastAsia="zh-CN"/>
              </w:rPr>
              <w:t>芯片</w:t>
            </w:r>
            <w:r>
              <w:rPr>
                <w:rFonts w:eastAsiaTheme="minorEastAsia"/>
                <w:highlight w:val="none"/>
              </w:rPr>
              <w:t>正面</w:t>
            </w:r>
          </w:p>
        </w:tc>
        <w:tc>
          <w:tcPr>
            <w:tcW w:w="2548" w:type="pct"/>
          </w:tcPr>
          <w:p w14:paraId="2CFD56C7">
            <w:pPr>
              <w:jc w:val="center"/>
              <w:rPr>
                <w:rFonts w:eastAsiaTheme="minorEastAsia"/>
                <w:highlight w:val="none"/>
              </w:rPr>
            </w:pPr>
            <w:r>
              <w:rPr>
                <w:rFonts w:hint="eastAsia" w:eastAsiaTheme="minorEastAsia"/>
                <w:highlight w:val="none"/>
                <w:lang w:eastAsia="zh-CN"/>
              </w:rPr>
              <w:t>芯片</w:t>
            </w:r>
            <w:r>
              <w:rPr>
                <w:rFonts w:eastAsiaTheme="minorEastAsia"/>
                <w:highlight w:val="none"/>
              </w:rPr>
              <w:t>背面</w:t>
            </w:r>
          </w:p>
        </w:tc>
      </w:tr>
    </w:tbl>
    <w:p w14:paraId="330D4857">
      <w:pPr>
        <w:spacing w:line="360" w:lineRule="auto"/>
        <w:ind w:firstLine="420"/>
        <w:jc w:val="center"/>
        <w:rPr>
          <w:rFonts w:hint="default" w:ascii="仿宋" w:hAnsi="仿宋" w:eastAsia="仿宋" w:cs="宋体"/>
          <w:kern w:val="0"/>
          <w:sz w:val="24"/>
          <w:highlight w:val="none"/>
          <w:lang w:val="en-US"/>
        </w:rPr>
      </w:pPr>
      <w:r>
        <w:rPr>
          <w:rFonts w:hint="eastAsia" w:ascii="仿宋" w:hAnsi="仿宋" w:eastAsia="仿宋" w:cs="宋体"/>
          <w:kern w:val="0"/>
          <w:sz w:val="24"/>
          <w:highlight w:val="none"/>
        </w:rPr>
        <w:t xml:space="preserve">图1 </w:t>
      </w:r>
      <w:r>
        <w:rPr>
          <w:rFonts w:hint="eastAsia" w:ascii="仿宋" w:hAnsi="仿宋" w:eastAsia="仿宋" w:cs="宋体"/>
          <w:kern w:val="0"/>
          <w:sz w:val="24"/>
          <w:highlight w:val="none"/>
          <w:lang w:val="en-US" w:eastAsia="zh-CN"/>
        </w:rPr>
        <w:t>被</w:t>
      </w:r>
      <w:r>
        <w:rPr>
          <w:rFonts w:hint="eastAsia" w:ascii="仿宋" w:hAnsi="仿宋" w:eastAsia="仿宋" w:cs="宋体"/>
          <w:kern w:val="0"/>
          <w:sz w:val="24"/>
          <w:highlight w:val="none"/>
        </w:rPr>
        <w:t>测试芯片</w:t>
      </w:r>
    </w:p>
    <w:p w14:paraId="61CC8CFC">
      <w:pPr>
        <w:spacing w:line="360" w:lineRule="auto"/>
        <w:rPr>
          <w:rFonts w:hint="eastAsia" w:ascii="仿宋" w:hAnsi="仿宋" w:eastAsia="仿宋" w:cs="宋体"/>
          <w:kern w:val="0"/>
          <w:sz w:val="24"/>
          <w:highlight w:val="none"/>
        </w:rPr>
      </w:pPr>
      <w:r>
        <w:rPr>
          <w:rFonts w:hint="eastAsia" w:ascii="仿宋" w:hAnsi="仿宋" w:eastAsia="仿宋" w:cs="宋体"/>
          <w:kern w:val="0"/>
          <w:sz w:val="24"/>
          <w:highlight w:val="none"/>
          <w:lang w:val="en-US" w:eastAsia="zh-CN"/>
        </w:rPr>
        <w:t>3、</w:t>
      </w:r>
      <w:r>
        <w:rPr>
          <w:rFonts w:hint="eastAsia" w:ascii="仿宋" w:hAnsi="仿宋" w:eastAsia="仿宋" w:cs="宋体"/>
          <w:kern w:val="0"/>
          <w:sz w:val="24"/>
          <w:highlight w:val="none"/>
        </w:rPr>
        <w:t>测试机构与环境‌：</w:t>
      </w:r>
      <w:bookmarkStart w:id="1" w:name="_GoBack"/>
      <w:bookmarkEnd w:id="1"/>
    </w:p>
    <w:p w14:paraId="3CFEF7C7">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630" w:leftChars="100" w:hanging="420" w:firstLineChars="0"/>
        <w:textAlignment w:val="auto"/>
        <w:rPr>
          <w:rFonts w:hint="eastAsia" w:ascii="仿宋" w:hAnsi="仿宋" w:eastAsia="仿宋" w:cs="宋体"/>
          <w:kern w:val="0"/>
          <w:sz w:val="24"/>
          <w:highlight w:val="none"/>
        </w:rPr>
      </w:pPr>
      <w:r>
        <w:rPr>
          <w:rFonts w:hint="eastAsia" w:ascii="仿宋" w:hAnsi="仿宋" w:eastAsia="仿宋" w:cs="宋体"/>
          <w:kern w:val="0"/>
          <w:sz w:val="24"/>
          <w:highlight w:val="none"/>
        </w:rPr>
        <w:t>本次验证</w:t>
      </w:r>
      <w:r>
        <w:rPr>
          <w:rFonts w:hint="eastAsia" w:ascii="仿宋" w:hAnsi="仿宋" w:eastAsia="仿宋" w:cs="宋体"/>
          <w:kern w:val="0"/>
          <w:sz w:val="24"/>
          <w:highlight w:val="none"/>
          <w:lang w:val="en-US" w:eastAsia="zh-CN"/>
        </w:rPr>
        <w:t>在</w:t>
      </w:r>
      <w:r>
        <w:rPr>
          <w:rFonts w:hint="eastAsia" w:ascii="仿宋" w:hAnsi="仿宋" w:eastAsia="仿宋" w:cs="宋体"/>
          <w:kern w:val="0"/>
          <w:sz w:val="24"/>
          <w:highlight w:val="none"/>
        </w:rPr>
        <w:t>国家新能源汽车技术创新中心试验中心（北京国家新能源汽车技术创新中心有限公司）进行。</w:t>
      </w:r>
    </w:p>
    <w:p w14:paraId="628E495B">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630" w:leftChars="100" w:hanging="420" w:firstLineChars="0"/>
        <w:textAlignment w:val="auto"/>
        <w:rPr>
          <w:rFonts w:hint="eastAsia" w:ascii="仿宋" w:hAnsi="仿宋" w:eastAsia="仿宋" w:cs="宋体"/>
          <w:kern w:val="0"/>
          <w:sz w:val="24"/>
          <w:highlight w:val="none"/>
        </w:rPr>
      </w:pPr>
      <w:r>
        <w:rPr>
          <w:rFonts w:hint="eastAsia" w:ascii="仿宋" w:hAnsi="仿宋" w:eastAsia="仿宋" w:cs="宋体"/>
          <w:kern w:val="0"/>
          <w:sz w:val="24"/>
          <w:highlight w:val="none"/>
        </w:rPr>
        <w:t>检测地点：北京市经济技术开发区泰河三街9号院国盛高新科技工业园。</w:t>
      </w:r>
    </w:p>
    <w:p w14:paraId="6014D0AD">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630" w:leftChars="100" w:hanging="420" w:firstLineChars="0"/>
        <w:textAlignment w:val="auto"/>
        <w:rPr>
          <w:rFonts w:hint="eastAsia" w:ascii="仿宋" w:hAnsi="仿宋" w:eastAsia="仿宋" w:cs="宋体"/>
          <w:kern w:val="0"/>
          <w:sz w:val="24"/>
          <w:highlight w:val="none"/>
        </w:rPr>
      </w:pPr>
      <w:r>
        <w:rPr>
          <w:rFonts w:hint="eastAsia" w:ascii="仿宋" w:hAnsi="仿宋" w:eastAsia="仿宋" w:cs="宋体"/>
          <w:kern w:val="0"/>
          <w:sz w:val="24"/>
          <w:highlight w:val="none"/>
        </w:rPr>
        <w:t>测试仪器包括直流电源、电子负载、示波器、万用表、高低温箱、热成像仪等（具体设备型号见报告正文），均处于计量有效期内，确保了测试结果的准确性。</w:t>
      </w:r>
    </w:p>
    <w:p w14:paraId="7FF06524">
      <w:pPr>
        <w:spacing w:line="360" w:lineRule="auto"/>
        <w:rPr>
          <w:rFonts w:hint="eastAsia" w:ascii="仿宋" w:hAnsi="仿宋" w:eastAsia="仿宋" w:cs="宋体"/>
          <w:kern w:val="0"/>
          <w:sz w:val="24"/>
          <w:highlight w:val="none"/>
        </w:rPr>
      </w:pPr>
      <w:r>
        <w:rPr>
          <w:rFonts w:hint="eastAsia" w:ascii="仿宋" w:hAnsi="仿宋" w:eastAsia="仿宋" w:cs="宋体"/>
          <w:kern w:val="0"/>
          <w:sz w:val="24"/>
          <w:highlight w:val="none"/>
          <w:lang w:val="en-US" w:eastAsia="zh-CN"/>
        </w:rPr>
        <w:t>4、</w:t>
      </w:r>
      <w:r>
        <w:rPr>
          <w:rFonts w:hint="eastAsia" w:ascii="仿宋" w:hAnsi="仿宋" w:eastAsia="仿宋" w:cs="宋体"/>
          <w:kern w:val="0"/>
          <w:sz w:val="24"/>
          <w:highlight w:val="none"/>
        </w:rPr>
        <w:t>主要测试项目范围‌：</w:t>
      </w:r>
    </w:p>
    <w:p w14:paraId="21D2DE79">
      <w:pPr>
        <w:spacing w:line="360" w:lineRule="auto"/>
        <w:ind w:firstLine="420"/>
        <w:rPr>
          <w:rFonts w:hint="eastAsia" w:ascii="仿宋" w:hAnsi="仿宋" w:eastAsia="仿宋" w:cs="宋体"/>
          <w:kern w:val="0"/>
          <w:sz w:val="24"/>
          <w:highlight w:val="none"/>
          <w:lang w:eastAsia="zh-CN"/>
        </w:rPr>
      </w:pPr>
      <w:r>
        <w:rPr>
          <w:rFonts w:hint="eastAsia" w:ascii="仿宋" w:hAnsi="仿宋" w:eastAsia="仿宋" w:cs="宋体"/>
          <w:kern w:val="0"/>
          <w:sz w:val="24"/>
          <w:highlight w:val="none"/>
        </w:rPr>
        <w:t>验证涵盖功能、性能、封装、环境适应性和工作稳定性等多个维度，分为三大板块</w:t>
      </w:r>
      <w:r>
        <w:rPr>
          <w:rFonts w:hint="eastAsia" w:ascii="仿宋" w:hAnsi="仿宋" w:eastAsia="仿宋" w:cs="宋体"/>
          <w:kern w:val="0"/>
          <w:sz w:val="24"/>
          <w:highlight w:val="none"/>
          <w:lang w:eastAsia="zh-CN"/>
        </w:rPr>
        <w:t>。</w:t>
      </w:r>
    </w:p>
    <w:p w14:paraId="0551C8BB">
      <w:pPr>
        <w:pStyle w:val="3"/>
        <w:spacing w:before="156" w:beforeLines="50" w:after="156" w:afterLines="50"/>
        <w:ind w:firstLine="0" w:firstLineChars="0"/>
        <w:outlineLvl w:val="1"/>
        <w:rPr>
          <w:rFonts w:hint="eastAsia" w:ascii="仿宋" w:hAnsi="仿宋" w:eastAsia="仿宋" w:cs="宋体"/>
          <w:kern w:val="0"/>
          <w:sz w:val="24"/>
          <w:highlight w:val="none"/>
        </w:rPr>
      </w:pPr>
      <w:r>
        <w:rPr>
          <w:rFonts w:hint="eastAsia" w:ascii="黑体" w:hAnsi="黑体" w:eastAsia="黑体" w:cs="黑体"/>
          <w:kern w:val="0"/>
          <w:sz w:val="24"/>
          <w:szCs w:val="24"/>
          <w:highlight w:val="none"/>
          <w:lang w:val="en-US" w:eastAsia="zh-CN" w:bidi="ar-SA"/>
        </w:rPr>
        <w:t>4.2 验证试验结果分析</w:t>
      </w:r>
      <w:r>
        <w:rPr>
          <w:rFonts w:hint="eastAsia" w:ascii="仿宋" w:hAnsi="仿宋" w:eastAsia="仿宋" w:cs="宋体"/>
          <w:kern w:val="0"/>
          <w:sz w:val="24"/>
          <w:highlight w:val="none"/>
        </w:rPr>
        <w:t>‌</w:t>
      </w:r>
    </w:p>
    <w:p w14:paraId="6DFA4CA7">
      <w:pPr>
        <w:spacing w:line="360" w:lineRule="auto"/>
        <w:ind w:firstLine="420"/>
        <w:rPr>
          <w:rFonts w:hint="eastAsia" w:ascii="仿宋" w:hAnsi="仿宋" w:eastAsia="仿宋" w:cs="宋体"/>
          <w:kern w:val="0"/>
          <w:sz w:val="24"/>
          <w:highlight w:val="none"/>
        </w:rPr>
      </w:pPr>
    </w:p>
    <w:p w14:paraId="00D94E6D">
      <w:pPr>
        <w:spacing w:line="360" w:lineRule="auto"/>
        <w:ind w:firstLine="420"/>
        <w:rPr>
          <w:rFonts w:hint="eastAsia" w:ascii="仿宋" w:hAnsi="仿宋" w:eastAsia="仿宋" w:cs="宋体"/>
          <w:kern w:val="0"/>
          <w:sz w:val="24"/>
          <w:highlight w:val="none"/>
        </w:rPr>
      </w:pPr>
      <w:r>
        <w:rPr>
          <w:rFonts w:hint="eastAsia" w:ascii="仿宋" w:hAnsi="仿宋" w:eastAsia="仿宋" w:cs="宋体"/>
          <w:kern w:val="0"/>
          <w:sz w:val="24"/>
          <w:highlight w:val="none"/>
        </w:rPr>
        <w:t>该芯片所有检测项目均被判定为合格，符合指标要求。从结果上看，其在多项关键性能指标上表现优异，且具备对复杂工况的适应性与稳定性。以下为针对纯电动客车应用场景的关键指标分析：</w:t>
      </w:r>
    </w:p>
    <w:p w14:paraId="1253284F">
      <w:pPr>
        <w:keepNext w:val="0"/>
        <w:keepLines w:val="0"/>
        <w:pageBreakBefore w:val="0"/>
        <w:widowControl w:val="0"/>
        <w:numPr>
          <w:ilvl w:val="0"/>
          <w:numId w:val="7"/>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宋体"/>
          <w:kern w:val="0"/>
          <w:sz w:val="24"/>
          <w:highlight w:val="none"/>
        </w:rPr>
      </w:pPr>
      <w:r>
        <w:rPr>
          <w:rFonts w:hint="eastAsia" w:ascii="仿宋" w:hAnsi="仿宋" w:eastAsia="仿宋" w:cs="宋体"/>
          <w:kern w:val="0"/>
          <w:sz w:val="24"/>
          <w:highlight w:val="none"/>
        </w:rPr>
        <w:t>宽输入/输出电压范围与高效率</w:t>
      </w:r>
      <w:r>
        <w:rPr>
          <w:rFonts w:hint="eastAsia" w:ascii="仿宋" w:hAnsi="仿宋" w:eastAsia="仿宋" w:cs="宋体"/>
          <w:kern w:val="0"/>
          <w:sz w:val="24"/>
          <w:highlight w:val="none"/>
          <w:lang w:eastAsia="zh-CN"/>
        </w:rPr>
        <w:t>：</w:t>
      </w:r>
      <w:r>
        <w:rPr>
          <w:rFonts w:hint="eastAsia" w:ascii="仿宋" w:hAnsi="仿宋" w:eastAsia="仿宋" w:cs="宋体"/>
          <w:kern w:val="0"/>
          <w:sz w:val="24"/>
          <w:highlight w:val="none"/>
        </w:rPr>
        <w:t>实测输入电压范围为</w:t>
      </w:r>
      <w:r>
        <w:rPr>
          <w:rFonts w:hint="eastAsia" w:ascii="仿宋" w:hAnsi="仿宋" w:eastAsia="仿宋" w:cs="宋体"/>
          <w:kern w:val="0"/>
          <w:sz w:val="24"/>
          <w:highlight w:val="none"/>
          <w:lang w:val="en-US" w:eastAsia="zh-CN"/>
        </w:rPr>
        <w:t>4</w:t>
      </w:r>
      <w:r>
        <w:rPr>
          <w:rFonts w:hint="eastAsia" w:ascii="仿宋" w:hAnsi="仿宋" w:eastAsia="仿宋" w:cs="宋体"/>
          <w:kern w:val="0"/>
          <w:sz w:val="24"/>
          <w:highlight w:val="none"/>
        </w:rPr>
        <w:t>V至</w:t>
      </w:r>
      <w:r>
        <w:rPr>
          <w:rFonts w:hint="eastAsia" w:ascii="仿宋" w:hAnsi="仿宋" w:eastAsia="仿宋" w:cs="宋体"/>
          <w:kern w:val="0"/>
          <w:sz w:val="24"/>
          <w:highlight w:val="none"/>
          <w:lang w:val="en-US" w:eastAsia="zh-CN"/>
        </w:rPr>
        <w:t>60</w:t>
      </w:r>
      <w:r>
        <w:rPr>
          <w:rFonts w:hint="eastAsia" w:ascii="仿宋" w:hAnsi="仿宋" w:eastAsia="仿宋" w:cs="宋体"/>
          <w:kern w:val="0"/>
          <w:sz w:val="24"/>
          <w:highlight w:val="none"/>
        </w:rPr>
        <w:t>V，涵盖了商用车应用中常见的12V、24V系统以及更高电压平台的需求。在低至3.5V输入下仍能支持3.3V输出，保证了电池系统低电量或冷启动时的基本功能维持。在输入电压9V至36V、双路满载（各5A）条件下，效率最高达‌87.97%‌，表现出优异的能量转换效率，这对延长纯电动客车续航里程至关重要。</w:t>
      </w:r>
    </w:p>
    <w:p w14:paraId="3F9CCB2C">
      <w:pPr>
        <w:numPr>
          <w:ilvl w:val="0"/>
          <w:numId w:val="7"/>
        </w:numPr>
        <w:spacing w:line="360" w:lineRule="auto"/>
        <w:ind w:left="0" w:leftChars="0" w:firstLine="480" w:firstLineChars="200"/>
        <w:rPr>
          <w:rFonts w:hint="eastAsia" w:ascii="仿宋" w:hAnsi="仿宋" w:eastAsia="仿宋" w:cs="宋体"/>
          <w:kern w:val="0"/>
          <w:sz w:val="24"/>
          <w:highlight w:val="none"/>
        </w:rPr>
      </w:pPr>
      <w:r>
        <w:rPr>
          <w:rFonts w:hint="eastAsia" w:ascii="仿宋" w:hAnsi="仿宋" w:eastAsia="仿宋" w:cs="宋体"/>
          <w:kern w:val="0"/>
          <w:sz w:val="24"/>
          <w:highlight w:val="none"/>
        </w:rPr>
        <w:t>极低的静态功耗与优秀的轻载表现‌：关断模式电流‌（VIN=12V，EN1=EN2=0V）仅为‌0.46μA‌，远优于≤4μA的要求。空载待机电流‌（通道1工作）低至‌12.7μA‌（优于≤15μA的要求）。在超低功耗模式下（ISTANDBY3/4），电流也控制在‌20.2μA/20.1μA‌的极低水平（要求≤20.4μA）。这些特性极大降低了整车非工作或待机模式下的能量损耗，契合纯电动客车对能量管理效率和长时待机电能消耗的严苛要求。</w:t>
      </w:r>
    </w:p>
    <w:p w14:paraId="51DE5096">
      <w:pPr>
        <w:numPr>
          <w:ilvl w:val="0"/>
          <w:numId w:val="7"/>
        </w:numPr>
        <w:spacing w:line="360" w:lineRule="auto"/>
        <w:ind w:left="0" w:leftChars="0" w:firstLine="480" w:firstLineChars="200"/>
        <w:rPr>
          <w:rFonts w:hint="eastAsia" w:ascii="仿宋" w:hAnsi="仿宋" w:eastAsia="仿宋" w:cs="宋体"/>
          <w:kern w:val="0"/>
          <w:sz w:val="24"/>
          <w:highlight w:val="none"/>
        </w:rPr>
      </w:pPr>
      <w:r>
        <w:rPr>
          <w:rFonts w:hint="eastAsia" w:ascii="仿宋" w:hAnsi="仿宋" w:eastAsia="仿宋" w:cs="宋体"/>
          <w:kern w:val="0"/>
          <w:sz w:val="24"/>
          <w:highlight w:val="none"/>
        </w:rPr>
        <w:t>保护机制完善且响应可靠‌：</w:t>
      </w:r>
    </w:p>
    <w:p w14:paraId="7155EFD8">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840" w:leftChars="200" w:hanging="420" w:firstLineChars="0"/>
        <w:textAlignment w:val="auto"/>
        <w:rPr>
          <w:rFonts w:hint="eastAsia" w:ascii="仿宋" w:hAnsi="仿宋" w:eastAsia="仿宋" w:cs="宋体"/>
          <w:kern w:val="0"/>
          <w:sz w:val="24"/>
          <w:highlight w:val="none"/>
        </w:rPr>
      </w:pPr>
      <w:r>
        <w:rPr>
          <w:rFonts w:hint="eastAsia" w:ascii="仿宋" w:hAnsi="仿宋" w:eastAsia="仿宋" w:cs="宋体"/>
          <w:kern w:val="0"/>
          <w:sz w:val="24"/>
          <w:highlight w:val="none"/>
        </w:rPr>
        <w:t>电流保护</w:t>
      </w:r>
      <w:r>
        <w:rPr>
          <w:rFonts w:hint="eastAsia" w:ascii="仿宋" w:hAnsi="仿宋" w:eastAsia="仿宋" w:cs="宋体"/>
          <w:kern w:val="0"/>
          <w:sz w:val="24"/>
          <w:highlight w:val="none"/>
          <w:lang w:val="en-US" w:eastAsia="zh-CN"/>
        </w:rPr>
        <w:t>—</w:t>
      </w:r>
      <w:r>
        <w:rPr>
          <w:rFonts w:hint="eastAsia" w:ascii="仿宋" w:hAnsi="仿宋" w:eastAsia="仿宋" w:cs="宋体"/>
          <w:kern w:val="0"/>
          <w:sz w:val="24"/>
          <w:highlight w:val="none"/>
        </w:rPr>
        <w:t>具备精准的过流保护功能，可在输出电流超标时快速关断输出并可在过流条件解除后恢复（保护动作电流约8.6A-9.2A），为下游负载和电源本身提供安全保障。</w:t>
      </w:r>
    </w:p>
    <w:p w14:paraId="26871980">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840" w:leftChars="200" w:hanging="420" w:firstLineChars="0"/>
        <w:textAlignment w:val="auto"/>
        <w:rPr>
          <w:rFonts w:hint="eastAsia" w:ascii="仿宋" w:hAnsi="仿宋" w:eastAsia="仿宋" w:cs="宋体"/>
          <w:kern w:val="0"/>
          <w:sz w:val="24"/>
          <w:highlight w:val="none"/>
        </w:rPr>
      </w:pPr>
      <w:r>
        <w:rPr>
          <w:rFonts w:hint="eastAsia" w:ascii="仿宋" w:hAnsi="仿宋" w:eastAsia="仿宋" w:cs="宋体"/>
          <w:kern w:val="0"/>
          <w:sz w:val="24"/>
          <w:highlight w:val="none"/>
        </w:rPr>
        <w:t>电压保护</w:t>
      </w:r>
      <w:r>
        <w:rPr>
          <w:rFonts w:hint="eastAsia" w:ascii="仿宋" w:hAnsi="仿宋" w:eastAsia="仿宋" w:cs="宋体"/>
          <w:kern w:val="0"/>
          <w:sz w:val="24"/>
          <w:highlight w:val="none"/>
          <w:lang w:val="en-US" w:eastAsia="zh-CN"/>
        </w:rPr>
        <w:t>—</w:t>
      </w:r>
      <w:r>
        <w:rPr>
          <w:rFonts w:hint="eastAsia" w:ascii="仿宋" w:hAnsi="仿宋" w:eastAsia="仿宋" w:cs="宋体"/>
          <w:kern w:val="0"/>
          <w:sz w:val="24"/>
          <w:highlight w:val="none"/>
        </w:rPr>
        <w:t>保护均有效触发，迟滞值满足要求。温度保护</w:t>
      </w:r>
      <w:r>
        <w:rPr>
          <w:rFonts w:hint="eastAsia" w:ascii="仿宋" w:hAnsi="仿宋" w:eastAsia="仿宋" w:cs="宋体"/>
          <w:kern w:val="0"/>
          <w:sz w:val="24"/>
          <w:highlight w:val="none"/>
          <w:lang w:val="en-US" w:eastAsia="zh-CN"/>
        </w:rPr>
        <w:t>—</w:t>
      </w:r>
      <w:r>
        <w:rPr>
          <w:rFonts w:hint="eastAsia" w:ascii="仿宋" w:hAnsi="仿宋" w:eastAsia="仿宋" w:cs="宋体"/>
          <w:kern w:val="0"/>
          <w:sz w:val="24"/>
          <w:highlight w:val="none"/>
        </w:rPr>
        <w:t>热关断功能有效，关断温度为175℃，并设置了25℃的恢复阈值，可实现故障恢复，提升了系统长期运行的容错能力。</w:t>
      </w:r>
    </w:p>
    <w:p w14:paraId="1AAE0CA3">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840" w:leftChars="200" w:hanging="420" w:firstLineChars="0"/>
        <w:textAlignment w:val="auto"/>
        <w:rPr>
          <w:rFonts w:hint="eastAsia" w:ascii="仿宋" w:hAnsi="仿宋" w:eastAsia="仿宋" w:cs="宋体"/>
          <w:kern w:val="0"/>
          <w:sz w:val="24"/>
          <w:highlight w:val="none"/>
        </w:rPr>
      </w:pPr>
      <w:r>
        <w:rPr>
          <w:rFonts w:hint="eastAsia" w:ascii="仿宋" w:hAnsi="仿宋" w:eastAsia="仿宋" w:cs="宋体"/>
          <w:kern w:val="0"/>
          <w:sz w:val="24"/>
          <w:highlight w:val="none"/>
        </w:rPr>
        <w:t>状态指示‌：独立的PGOOD（电源良好）信号功能完善，欠压和过压检测阈值及迟滞范围符合设计要求，为系统监控提供了清晰的上报机制。</w:t>
      </w:r>
    </w:p>
    <w:p w14:paraId="7C1D5382">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840" w:leftChars="200" w:hanging="420" w:firstLineChars="0"/>
        <w:textAlignment w:val="auto"/>
        <w:rPr>
          <w:rFonts w:hint="eastAsia" w:ascii="仿宋" w:hAnsi="仿宋" w:eastAsia="仿宋" w:cs="宋体"/>
          <w:kern w:val="0"/>
          <w:sz w:val="24"/>
          <w:highlight w:val="none"/>
        </w:rPr>
      </w:pPr>
      <w:r>
        <w:rPr>
          <w:rFonts w:hint="eastAsia" w:ascii="仿宋" w:hAnsi="仿宋" w:eastAsia="仿宋" w:cs="宋体"/>
          <w:kern w:val="0"/>
          <w:sz w:val="24"/>
          <w:highlight w:val="none"/>
        </w:rPr>
        <w:t>独立ENABLE‌（使能）引脚，支持对各路输出的独立开关控制，便于系统实现精细化电源管理。</w:t>
      </w:r>
    </w:p>
    <w:p w14:paraId="236E9937">
      <w:pPr>
        <w:numPr>
          <w:ilvl w:val="0"/>
          <w:numId w:val="7"/>
        </w:numPr>
        <w:spacing w:line="360" w:lineRule="auto"/>
        <w:ind w:left="0" w:leftChars="0" w:firstLine="480" w:firstLineChars="200"/>
        <w:rPr>
          <w:rFonts w:hint="eastAsia" w:ascii="仿宋" w:hAnsi="仿宋" w:eastAsia="仿宋" w:cs="宋体"/>
          <w:kern w:val="0"/>
          <w:sz w:val="24"/>
          <w:highlight w:val="none"/>
        </w:rPr>
      </w:pPr>
      <w:r>
        <w:rPr>
          <w:rFonts w:hint="eastAsia" w:ascii="仿宋" w:hAnsi="仿宋" w:eastAsia="仿宋" w:cs="宋体"/>
          <w:kern w:val="0"/>
          <w:sz w:val="24"/>
          <w:highlight w:val="none"/>
        </w:rPr>
        <w:t>动态性能与稳压精度‌：</w:t>
      </w:r>
    </w:p>
    <w:p w14:paraId="5DD25807">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840" w:leftChars="200" w:hanging="420" w:firstLineChars="0"/>
        <w:textAlignment w:val="auto"/>
        <w:rPr>
          <w:rFonts w:hint="eastAsia" w:ascii="仿宋" w:hAnsi="仿宋" w:eastAsia="仿宋" w:cs="宋体"/>
          <w:kern w:val="0"/>
          <w:sz w:val="24"/>
          <w:highlight w:val="none"/>
        </w:rPr>
      </w:pPr>
      <w:r>
        <w:rPr>
          <w:rFonts w:hint="eastAsia" w:ascii="仿宋" w:hAnsi="仿宋" w:eastAsia="仿宋" w:cs="宋体"/>
          <w:kern w:val="0"/>
          <w:sz w:val="24"/>
          <w:highlight w:val="none"/>
        </w:rPr>
        <w:t>电压调整率和负载调整率‌：在高低温、全电压和全负载范围（0A-5A）内，两个通道的输出电压调整率均≤‌0.1%‌，负载调整率均≤‌0.6%‌，展现了卓越的稳压精度，这保证了核心处理器及传感器的供电稳定性。</w:t>
      </w:r>
    </w:p>
    <w:p w14:paraId="106C5B80">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840" w:leftChars="200" w:hanging="420" w:firstLineChars="0"/>
        <w:textAlignment w:val="auto"/>
        <w:rPr>
          <w:rFonts w:hint="eastAsia" w:ascii="仿宋" w:hAnsi="仿宋" w:eastAsia="仿宋" w:cs="宋体"/>
          <w:kern w:val="0"/>
          <w:sz w:val="24"/>
          <w:highlight w:val="none"/>
        </w:rPr>
      </w:pPr>
      <w:r>
        <w:rPr>
          <w:rFonts w:hint="eastAsia" w:ascii="仿宋" w:hAnsi="仿宋" w:eastAsia="仿宋" w:cs="宋体"/>
          <w:kern w:val="0"/>
          <w:sz w:val="24"/>
          <w:highlight w:val="none"/>
        </w:rPr>
        <w:t>动态负载响应‌：负载在25%-50%-25%及50%-75%-50%跃变（1A/us斜率）时，输出电压恢复时间小于‌105μs‌，过冲幅度控制在±‌1.2%‌ 以内（最大允许±5%），快速而稳定的动态响应能满足电驱动系统或总线系统中其他负载突变时对电源稳定性的要求。</w:t>
      </w:r>
    </w:p>
    <w:p w14:paraId="504470DC">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840" w:leftChars="200" w:hanging="420" w:firstLineChars="0"/>
        <w:textAlignment w:val="auto"/>
        <w:rPr>
          <w:rFonts w:hint="eastAsia" w:ascii="仿宋" w:hAnsi="仿宋" w:eastAsia="仿宋" w:cs="宋体"/>
          <w:kern w:val="0"/>
          <w:sz w:val="24"/>
          <w:highlight w:val="none"/>
        </w:rPr>
      </w:pPr>
      <w:r>
        <w:rPr>
          <w:rFonts w:hint="eastAsia" w:ascii="仿宋" w:hAnsi="仿宋" w:eastAsia="仿宋" w:cs="宋体"/>
          <w:kern w:val="0"/>
          <w:sz w:val="24"/>
          <w:highlight w:val="none"/>
        </w:rPr>
        <w:t>纹波噪声‌：纹波峰-峰值≤‌10mV‌，有效值≤‌9mV‌，均远低于50mV的阈值要求，为车载通讯系统及敏感模拟电路提供了极纯净的供电质量。</w:t>
      </w:r>
    </w:p>
    <w:p w14:paraId="2B9B5BE2">
      <w:pPr>
        <w:numPr>
          <w:ilvl w:val="0"/>
          <w:numId w:val="7"/>
        </w:numPr>
        <w:spacing w:line="360" w:lineRule="auto"/>
        <w:ind w:left="0" w:leftChars="0" w:firstLine="480" w:firstLineChars="200"/>
        <w:rPr>
          <w:rFonts w:hint="eastAsia" w:ascii="仿宋" w:hAnsi="仿宋" w:eastAsia="仿宋" w:cs="宋体"/>
          <w:kern w:val="0"/>
          <w:sz w:val="24"/>
          <w:highlight w:val="none"/>
        </w:rPr>
      </w:pPr>
      <w:r>
        <w:rPr>
          <w:rFonts w:hint="eastAsia" w:ascii="仿宋" w:hAnsi="仿宋" w:eastAsia="仿宋" w:cs="宋体"/>
          <w:kern w:val="0"/>
          <w:sz w:val="24"/>
          <w:highlight w:val="none"/>
        </w:rPr>
        <w:t>环境适应性‌：芯片通过了在‌-40℃‌和‌+125℃‌环境温度下的高低温工作实验。在上述极端温度条件下，反复开关机正常，输出电压纹波、稳压精度均满足要求（±1%），证明其完全满足车规级芯片宽温工作的可靠性要求，可适应纯电动客车在不同气候和恶劣工况下的运行环境。</w:t>
      </w:r>
    </w:p>
    <w:p w14:paraId="21F322A8">
      <w:pPr>
        <w:spacing w:line="360" w:lineRule="auto"/>
        <w:ind w:firstLine="420"/>
        <w:rPr>
          <w:rFonts w:hint="eastAsia" w:ascii="仿宋" w:hAnsi="仿宋" w:eastAsia="仿宋" w:cs="宋体"/>
          <w:kern w:val="0"/>
          <w:sz w:val="24"/>
          <w:highlight w:val="none"/>
        </w:rPr>
      </w:pPr>
      <w:r>
        <w:rPr>
          <w:rFonts w:hint="eastAsia" w:ascii="仿宋" w:hAnsi="仿宋" w:eastAsia="仿宋" w:cs="宋体"/>
          <w:kern w:val="0"/>
          <w:sz w:val="24"/>
          <w:highlight w:val="none"/>
        </w:rPr>
        <w:t>结温耐受‌：根据数据手册，芯片结温范围为-40℃至150℃，为内部元件的可靠运行提供了保障。实际满载温升测试（环境25℃，双路满载）显示芯片表面温升为42.6℃，核心温度控制在安全范围内。</w:t>
      </w:r>
    </w:p>
    <w:p w14:paraId="067062EB">
      <w:pPr>
        <w:numPr>
          <w:ilvl w:val="0"/>
          <w:numId w:val="7"/>
        </w:numPr>
        <w:spacing w:line="360" w:lineRule="auto"/>
        <w:ind w:left="0" w:leftChars="0" w:firstLine="480" w:firstLineChars="200"/>
        <w:rPr>
          <w:rFonts w:hint="eastAsia" w:ascii="仿宋" w:hAnsi="仿宋" w:eastAsia="仿宋" w:cs="宋体"/>
          <w:kern w:val="0"/>
          <w:sz w:val="24"/>
          <w:highlight w:val="none"/>
        </w:rPr>
      </w:pPr>
      <w:r>
        <w:rPr>
          <w:rFonts w:hint="eastAsia" w:ascii="仿宋" w:hAnsi="仿宋" w:eastAsia="仿宋" w:cs="宋体"/>
          <w:kern w:val="0"/>
          <w:sz w:val="24"/>
          <w:highlight w:val="none"/>
          <w:lang w:val="en-US" w:eastAsia="zh-CN"/>
        </w:rPr>
        <w:t>芯片</w:t>
      </w:r>
      <w:r>
        <w:rPr>
          <w:rFonts w:hint="eastAsia" w:ascii="仿宋" w:hAnsi="仿宋" w:eastAsia="仿宋" w:cs="宋体"/>
          <w:kern w:val="0"/>
          <w:sz w:val="24"/>
          <w:highlight w:val="none"/>
        </w:rPr>
        <w:t>可靠性‌：</w:t>
      </w:r>
    </w:p>
    <w:p w14:paraId="10ACC734">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840" w:leftChars="200" w:hanging="420" w:firstLineChars="0"/>
        <w:textAlignment w:val="auto"/>
        <w:rPr>
          <w:rFonts w:hint="eastAsia" w:ascii="仿宋" w:hAnsi="仿宋" w:eastAsia="仿宋" w:cs="宋体"/>
          <w:kern w:val="0"/>
          <w:sz w:val="24"/>
          <w:highlight w:val="none"/>
        </w:rPr>
      </w:pPr>
      <w:r>
        <w:rPr>
          <w:rFonts w:hint="eastAsia" w:ascii="仿宋" w:hAnsi="仿宋" w:eastAsia="仿宋" w:cs="宋体"/>
          <w:kern w:val="0"/>
          <w:sz w:val="24"/>
          <w:highlight w:val="none"/>
        </w:rPr>
        <w:t>开关频率范围‌：可在‌100kHz至2.2MHz‌的宽频率范围内工作，既支持高效率优化，也利于系统EMI设计优化。</w:t>
      </w:r>
    </w:p>
    <w:p w14:paraId="76F8CEAE">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840" w:leftChars="200" w:hanging="420" w:firstLineChars="0"/>
        <w:textAlignment w:val="auto"/>
        <w:rPr>
          <w:rFonts w:hint="eastAsia" w:ascii="仿宋" w:hAnsi="仿宋" w:eastAsia="仿宋" w:cs="宋体"/>
          <w:kern w:val="0"/>
          <w:sz w:val="24"/>
          <w:highlight w:val="none"/>
        </w:rPr>
      </w:pPr>
      <w:r>
        <w:rPr>
          <w:rFonts w:hint="eastAsia" w:ascii="仿宋" w:hAnsi="仿宋" w:eastAsia="仿宋" w:cs="宋体"/>
          <w:kern w:val="0"/>
          <w:sz w:val="24"/>
          <w:highlight w:val="none"/>
        </w:rPr>
        <w:t>SSC功能‌：具备展频功能，有效频率调制范围约8.18%，有助于降低系统的传导EMI干扰，满足严苛的车载电磁兼容环境。</w:t>
      </w:r>
    </w:p>
    <w:p w14:paraId="218520BE">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840" w:leftChars="200" w:hanging="420" w:firstLineChars="0"/>
        <w:textAlignment w:val="auto"/>
        <w:rPr>
          <w:rFonts w:hint="eastAsia" w:ascii="仿宋" w:hAnsi="仿宋" w:eastAsia="仿宋" w:cs="宋体"/>
          <w:kern w:val="0"/>
          <w:sz w:val="24"/>
          <w:highlight w:val="none"/>
        </w:rPr>
      </w:pPr>
      <w:r>
        <w:rPr>
          <w:rFonts w:hint="eastAsia" w:ascii="仿宋" w:hAnsi="仿宋" w:eastAsia="仿宋" w:cs="宋体"/>
          <w:kern w:val="0"/>
          <w:sz w:val="24"/>
          <w:highlight w:val="none"/>
        </w:rPr>
        <w:t>开关时间‌：导通与关断时间分别达到‌29ns‌和‌63ns‌，显示了快速的开关能力，有助于优化开关损耗和磁芯元件的体积。</w:t>
      </w:r>
    </w:p>
    <w:p w14:paraId="5E543E90">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840" w:leftChars="200" w:hanging="420" w:firstLineChars="0"/>
        <w:textAlignment w:val="auto"/>
        <w:rPr>
          <w:rFonts w:hint="eastAsia" w:ascii="仿宋" w:hAnsi="仿宋" w:eastAsia="仿宋" w:cs="宋体"/>
          <w:kern w:val="0"/>
          <w:sz w:val="24"/>
          <w:highlight w:val="none"/>
        </w:rPr>
      </w:pPr>
      <w:r>
        <w:rPr>
          <w:rFonts w:hint="eastAsia" w:ascii="仿宋" w:hAnsi="仿宋" w:eastAsia="仿宋" w:cs="宋体"/>
          <w:kern w:val="0"/>
          <w:sz w:val="24"/>
          <w:highlight w:val="none"/>
        </w:rPr>
        <w:t>短路保护‌：在9V、12V、24V、36V等多种输入电压下进行输出短路试验，均能可靠保护并在短路解除后自动恢复，验证了其在极端故障条件下的鲁棒性。</w:t>
      </w:r>
    </w:p>
    <w:p w14:paraId="798FFBBD">
      <w:pPr>
        <w:pStyle w:val="3"/>
        <w:spacing w:before="156" w:beforeLines="50" w:after="156" w:afterLines="50"/>
        <w:ind w:firstLine="0" w:firstLineChars="0"/>
        <w:outlineLvl w:val="1"/>
        <w:rPr>
          <w:rFonts w:hint="eastAsia" w:ascii="仿宋" w:hAnsi="仿宋" w:eastAsia="仿宋" w:cs="宋体"/>
          <w:kern w:val="0"/>
          <w:sz w:val="24"/>
          <w:highlight w:val="none"/>
        </w:rPr>
      </w:pPr>
      <w:r>
        <w:rPr>
          <w:rFonts w:hint="eastAsia" w:ascii="黑体" w:hAnsi="黑体" w:eastAsia="黑体" w:cs="黑体"/>
          <w:kern w:val="0"/>
          <w:sz w:val="24"/>
          <w:szCs w:val="24"/>
          <w:highlight w:val="none"/>
          <w:lang w:val="en-US" w:eastAsia="zh-CN" w:bidi="ar-SA"/>
        </w:rPr>
        <w:t>4.3 验证试验总结</w:t>
      </w:r>
      <w:r>
        <w:rPr>
          <w:rFonts w:hint="eastAsia" w:ascii="仿宋" w:hAnsi="仿宋" w:eastAsia="仿宋" w:cs="宋体"/>
          <w:kern w:val="0"/>
          <w:sz w:val="24"/>
          <w:highlight w:val="none"/>
        </w:rPr>
        <w:t>‌</w:t>
      </w:r>
    </w:p>
    <w:p w14:paraId="137F3F1B">
      <w:pPr>
        <w:spacing w:line="360" w:lineRule="auto"/>
        <w:ind w:firstLine="420"/>
        <w:rPr>
          <w:rFonts w:hint="eastAsia" w:ascii="仿宋" w:hAnsi="仿宋" w:eastAsia="仿宋" w:cs="宋体"/>
          <w:kern w:val="0"/>
          <w:sz w:val="24"/>
          <w:highlight w:val="none"/>
        </w:rPr>
      </w:pPr>
      <w:r>
        <w:rPr>
          <w:rFonts w:hint="eastAsia" w:ascii="仿宋" w:hAnsi="仿宋" w:eastAsia="仿宋" w:cs="宋体"/>
          <w:kern w:val="0"/>
          <w:sz w:val="24"/>
          <w:highlight w:val="none"/>
        </w:rPr>
        <w:t>本次检测的SCCK0269HW电源管理芯片，其全部功能、性能及环境适应性指标均满足纯电动客车用电源管理芯片技术要求及试验方法及自身《数据手册》规定的要求。在宽电压输入/输出范围、极低的静态电流、高达87%以上的转换效率、优异的动态响应能力（电压调整率&lt;0.1%，负载调整率&lt;0.6%）以及卓越的动态负载恢复表现（恢复时间&lt;105μs）等方面表现突出，验证了该芯片作为高品质电源管理方案的关键能力。</w:t>
      </w:r>
    </w:p>
    <w:p w14:paraId="3F2FB43E">
      <w:pPr>
        <w:spacing w:line="360" w:lineRule="auto"/>
        <w:ind w:firstLine="420"/>
        <w:rPr>
          <w:rFonts w:hint="eastAsia" w:ascii="仿宋" w:hAnsi="仿宋" w:eastAsia="仿宋" w:cs="宋体"/>
          <w:kern w:val="0"/>
          <w:sz w:val="24"/>
          <w:highlight w:val="none"/>
        </w:rPr>
      </w:pPr>
      <w:r>
        <w:rPr>
          <w:rFonts w:hint="eastAsia" w:ascii="仿宋" w:hAnsi="仿宋" w:eastAsia="仿宋" w:cs="宋体"/>
          <w:kern w:val="0"/>
          <w:sz w:val="24"/>
          <w:highlight w:val="none"/>
        </w:rPr>
        <w:t>验证结果表明，该芯片在设计、工艺和验证层面达到了一个较高的水平，特别是在低静态功耗和宽温适应性方面表现出色，‌具备了作为纯电动客用车载核心供电模块控制芯片的基本潜质‌。其宽输入电压范围特别适合高压平台或混用传统及高压系统的商用车场景。本次验证的维度（功能、性能、环境、保护、效率、可靠性）‌可作为《纯电动客车用电源管理芯片技术要求及试验》标准中技术要求和测试方法的起草蓝本‌，尤其是验证报告中详细的测试条件、方法、判据和结果，为标准中的具体参数指标设定提供了坚实的数据参考。该试验的成功实施，也说明制定统一的、符合客车特殊应用需求的电源管理芯片检测标准，不仅是必要的，也是完全可行和有效的，有助于行业内产品的一致性评估和可靠性提升。</w:t>
      </w:r>
    </w:p>
    <w:p w14:paraId="30F0B3F5">
      <w:pPr>
        <w:spacing w:before="156" w:beforeLines="50" w:after="156" w:afterLines="50" w:line="360" w:lineRule="auto"/>
        <w:outlineLvl w:val="0"/>
        <w:rPr>
          <w:rFonts w:hint="eastAsia" w:ascii="黑体" w:hAnsi="黑体" w:eastAsia="黑体" w:cs="黑体"/>
          <w:color w:val="000000" w:themeColor="text1"/>
          <w:sz w:val="24"/>
          <w14:textFill>
            <w14:solidFill>
              <w14:schemeClr w14:val="tx1"/>
            </w14:solidFill>
          </w14:textFill>
        </w:rPr>
      </w:pPr>
      <w:r>
        <w:rPr>
          <w:rFonts w:hint="eastAsia" w:ascii="黑体" w:hAnsi="黑体" w:eastAsia="黑体" w:cs="黑体"/>
          <w:color w:val="000000" w:themeColor="text1"/>
          <w:sz w:val="24"/>
          <w14:textFill>
            <w14:solidFill>
              <w14:schemeClr w14:val="tx1"/>
            </w14:solidFill>
          </w14:textFill>
        </w:rPr>
        <w:t>五、与现行法律、法规和政策及相关标准的协调性</w:t>
      </w:r>
    </w:p>
    <w:p w14:paraId="48AC1E38">
      <w:pPr>
        <w:spacing w:line="360" w:lineRule="auto"/>
        <w:ind w:firstLine="480" w:firstLineChars="200"/>
        <w:rPr>
          <w:rFonts w:hint="eastAsia" w:ascii="仿宋" w:hAnsi="仿宋" w:eastAsia="仿宋" w:cs="宋体"/>
          <w:sz w:val="24"/>
        </w:rPr>
      </w:pPr>
      <w:r>
        <w:rPr>
          <w:rFonts w:hint="eastAsia" w:ascii="仿宋" w:hAnsi="仿宋" w:eastAsia="仿宋" w:cs="宋体"/>
          <w:sz w:val="24"/>
        </w:rPr>
        <w:t>国内已积极开展相关标准转化工作，相继发布GB/T 34590.11-2022《道路车辆 功能安全 第11部分：半导体应用指南》、GB/T 46894-2025《车辆集成电路电磁兼容试验通用规范》、QC/T 1136-2020《电动汽车用绝缘栅双极晶体管（IGBT）模块环境试验要求及试验方法》及SJ/T 11875《电动汽车用半导体集成电路应力试验程序》等标准。然而，上述标准均未明确纯电动客车应用场景下电源管理芯片的功能、性能、可靠性、功能安全、电磁兼容的技术要求和相应试验方法。现有汽车用集成电路标准多聚焦于通用测试方法或乘用车应用场景，尚未形成针对商用车电源管理芯片的专项技术规范。</w:t>
      </w:r>
    </w:p>
    <w:p w14:paraId="44647DA6">
      <w:pPr>
        <w:spacing w:line="360" w:lineRule="auto"/>
        <w:ind w:firstLine="480" w:firstLineChars="200"/>
        <w:rPr>
          <w:rFonts w:hint="eastAsia" w:ascii="仿宋" w:hAnsi="仿宋" w:eastAsia="仿宋" w:cs="宋体"/>
          <w:sz w:val="24"/>
        </w:rPr>
      </w:pPr>
      <w:r>
        <w:rPr>
          <w:rFonts w:hint="eastAsia" w:ascii="仿宋" w:hAnsi="仿宋" w:eastAsia="仿宋" w:cs="宋体"/>
          <w:sz w:val="24"/>
          <w:lang w:val="en-US" w:eastAsia="zh-CN"/>
        </w:rPr>
        <w:t>本标准</w:t>
      </w:r>
      <w:r>
        <w:rPr>
          <w:rFonts w:hint="eastAsia" w:ascii="仿宋" w:hAnsi="仿宋" w:eastAsia="仿宋" w:cs="宋体"/>
          <w:sz w:val="24"/>
        </w:rPr>
        <w:t>明确</w:t>
      </w:r>
      <w:r>
        <w:rPr>
          <w:rFonts w:hint="eastAsia" w:ascii="仿宋" w:hAnsi="仿宋" w:eastAsia="仿宋" w:cs="宋体"/>
          <w:sz w:val="24"/>
          <w:lang w:val="en-US" w:eastAsia="zh-CN"/>
        </w:rPr>
        <w:t>了</w:t>
      </w:r>
      <w:r>
        <w:rPr>
          <w:rFonts w:hint="eastAsia" w:ascii="仿宋" w:hAnsi="仿宋" w:eastAsia="仿宋" w:cs="宋体"/>
          <w:sz w:val="24"/>
        </w:rPr>
        <w:t>纯电动客车电源管理芯片的功能、性能、高压大电流应力、商用车寿命模型、功能安全具体机制等要求及相应试验方法，填补我国纯电动客车电源管理芯片的标准空白，是对现有汽车芯片标准体系的重要细化和补充。</w:t>
      </w:r>
    </w:p>
    <w:p w14:paraId="05926C91">
      <w:pPr>
        <w:spacing w:line="360" w:lineRule="auto"/>
        <w:ind w:firstLine="480" w:firstLineChars="200"/>
        <w:rPr>
          <w:rFonts w:hint="eastAsia" w:ascii="仿宋" w:hAnsi="仿宋" w:eastAsia="仿宋" w:cs="宋体"/>
          <w:sz w:val="24"/>
        </w:rPr>
      </w:pPr>
      <w:r>
        <w:rPr>
          <w:rFonts w:hint="eastAsia" w:ascii="仿宋" w:hAnsi="仿宋" w:eastAsia="仿宋" w:cs="宋体"/>
          <w:sz w:val="24"/>
        </w:rPr>
        <w:t>本项目为新标准制定，</w:t>
      </w:r>
      <w:r>
        <w:rPr>
          <w:rFonts w:hint="eastAsia" w:ascii="仿宋" w:hAnsi="仿宋" w:eastAsia="仿宋" w:cs="宋体"/>
          <w:sz w:val="24"/>
          <w:lang w:val="en-US" w:eastAsia="zh-CN"/>
        </w:rPr>
        <w:t>相关</w:t>
      </w:r>
      <w:r>
        <w:rPr>
          <w:rFonts w:hint="eastAsia" w:ascii="仿宋" w:hAnsi="仿宋" w:eastAsia="仿宋" w:cs="宋体"/>
          <w:sz w:val="24"/>
        </w:rPr>
        <w:t>条目符合国家有关法律、法规和相关强制性标准的要求，与现行的国家标准、行业标准相协调。。</w:t>
      </w:r>
    </w:p>
    <w:p w14:paraId="5D5BB0AB">
      <w:pPr>
        <w:spacing w:before="156" w:beforeLines="50" w:after="156" w:afterLines="50" w:line="360" w:lineRule="auto"/>
        <w:outlineLvl w:val="0"/>
        <w:rPr>
          <w:rFonts w:hint="eastAsia" w:ascii="黑体" w:hAnsi="黑体" w:eastAsia="黑体" w:cs="黑体"/>
          <w:color w:val="000000" w:themeColor="text1"/>
          <w:sz w:val="24"/>
          <w14:textFill>
            <w14:solidFill>
              <w14:schemeClr w14:val="tx1"/>
            </w14:solidFill>
          </w14:textFill>
        </w:rPr>
      </w:pPr>
      <w:r>
        <w:rPr>
          <w:rFonts w:hint="eastAsia" w:ascii="黑体" w:hAnsi="黑体" w:eastAsia="黑体" w:cs="黑体"/>
          <w:color w:val="000000" w:themeColor="text1"/>
          <w:sz w:val="24"/>
          <w14:textFill>
            <w14:solidFill>
              <w14:schemeClr w14:val="tx1"/>
            </w14:solidFill>
          </w14:textFill>
        </w:rPr>
        <w:t>六、贯彻标准的要求和措施建议</w:t>
      </w:r>
    </w:p>
    <w:p w14:paraId="28118E57">
      <w:pPr>
        <w:pStyle w:val="15"/>
        <w:spacing w:line="360" w:lineRule="auto"/>
        <w:ind w:firstLine="480"/>
        <w:rPr>
          <w:rFonts w:hint="eastAsia" w:ascii="仿宋" w:hAnsi="仿宋" w:eastAsia="仿宋" w:cs="宋体"/>
          <w:sz w:val="24"/>
          <w:szCs w:val="24"/>
          <w:lang w:val="en-US" w:eastAsia="zh-CN"/>
        </w:rPr>
      </w:pPr>
      <w:r>
        <w:rPr>
          <w:rFonts w:hint="eastAsia" w:ascii="仿宋" w:hAnsi="仿宋" w:eastAsia="仿宋" w:cs="宋体"/>
          <w:sz w:val="24"/>
          <w:szCs w:val="24"/>
        </w:rPr>
        <w:t>邀请汽车芯片领域资深技术专家、全程参与标准起草的核心单位代表，围绕标准的编制背景、核心技术条款、试验操作细节、等内容开展逐章逐条的深度解读，结合标准制定过程中积累的典型验证案例拆解说明，帮助产业链各环节企业全面</w:t>
      </w:r>
      <w:r>
        <w:rPr>
          <w:rFonts w:hint="eastAsia" w:ascii="仿宋" w:hAnsi="仿宋" w:eastAsia="仿宋" w:cs="宋体"/>
          <w:sz w:val="24"/>
          <w:szCs w:val="24"/>
          <w:lang w:val="en-US" w:eastAsia="zh-CN"/>
        </w:rPr>
        <w:t>了解本标准，</w:t>
      </w:r>
      <w:r>
        <w:rPr>
          <w:rFonts w:hint="eastAsia" w:ascii="仿宋" w:hAnsi="仿宋" w:eastAsia="仿宋" w:cs="宋体"/>
          <w:sz w:val="24"/>
          <w:szCs w:val="24"/>
        </w:rPr>
        <w:t>对检验工程师进行理论学习和操作培训，保证检验方法操作的准确性</w:t>
      </w:r>
      <w:r>
        <w:rPr>
          <w:rFonts w:hint="eastAsia" w:ascii="仿宋" w:hAnsi="仿宋" w:eastAsia="仿宋" w:cs="宋体"/>
          <w:sz w:val="24"/>
          <w:szCs w:val="24"/>
          <w:lang w:eastAsia="zh-CN"/>
        </w:rPr>
        <w:t>。</w:t>
      </w:r>
    </w:p>
    <w:p w14:paraId="7F72ECFB">
      <w:pPr>
        <w:spacing w:before="156" w:beforeLines="50" w:after="156" w:afterLines="50" w:line="360" w:lineRule="auto"/>
        <w:outlineLvl w:val="0"/>
        <w:rPr>
          <w:rFonts w:hint="eastAsia" w:ascii="黑体" w:hAnsi="黑体" w:eastAsia="黑体" w:cs="黑体"/>
          <w:color w:val="000000" w:themeColor="text1"/>
          <w:sz w:val="24"/>
          <w14:textFill>
            <w14:solidFill>
              <w14:schemeClr w14:val="tx1"/>
            </w14:solidFill>
          </w14:textFill>
        </w:rPr>
      </w:pPr>
      <w:r>
        <w:rPr>
          <w:rFonts w:hint="eastAsia" w:ascii="黑体" w:hAnsi="黑体" w:eastAsia="黑体" w:cs="黑体"/>
          <w:color w:val="000000" w:themeColor="text1"/>
          <w:sz w:val="24"/>
          <w14:textFill>
            <w14:solidFill>
              <w14:schemeClr w14:val="tx1"/>
            </w14:solidFill>
          </w14:textFill>
        </w:rPr>
        <w:t>七、其他需要说明的事项</w:t>
      </w:r>
    </w:p>
    <w:p w14:paraId="76FA4800">
      <w:pPr>
        <w:spacing w:line="360" w:lineRule="auto"/>
        <w:ind w:firstLine="960" w:firstLineChars="400"/>
        <w:rPr>
          <w:rFonts w:hint="eastAsia" w:ascii="仿宋" w:hAnsi="仿宋" w:eastAsia="仿宋" w:cs="宋体"/>
          <w:kern w:val="0"/>
          <w:sz w:val="24"/>
        </w:rPr>
      </w:pPr>
      <w:r>
        <w:rPr>
          <w:rFonts w:hint="eastAsia" w:ascii="仿宋" w:hAnsi="仿宋" w:eastAsia="仿宋" w:cs="宋体"/>
          <w:kern w:val="0"/>
          <w:sz w:val="24"/>
        </w:rPr>
        <w:t>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Light">
    <w:panose1 w:val="020B0502040204020203"/>
    <w:charset w:val="86"/>
    <w:family w:val="swiss"/>
    <w:pitch w:val="default"/>
    <w:sig w:usb0="80000287" w:usb1="2ACF0010" w:usb2="00000016" w:usb3="00000000" w:csb0="0004001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9A6A1C"/>
    <w:multiLevelType w:val="singleLevel"/>
    <w:tmpl w:val="809A6A1C"/>
    <w:lvl w:ilvl="0" w:tentative="0">
      <w:start w:val="1"/>
      <w:numFmt w:val="decimal"/>
      <w:suff w:val="nothing"/>
      <w:lvlText w:val="%1）"/>
      <w:lvlJc w:val="left"/>
    </w:lvl>
  </w:abstractNum>
  <w:abstractNum w:abstractNumId="1">
    <w:nsid w:val="C760A38F"/>
    <w:multiLevelType w:val="singleLevel"/>
    <w:tmpl w:val="C760A38F"/>
    <w:lvl w:ilvl="0" w:tentative="0">
      <w:start w:val="1"/>
      <w:numFmt w:val="chineseCounting"/>
      <w:suff w:val="nothing"/>
      <w:lvlText w:val="%1、"/>
      <w:lvlJc w:val="left"/>
      <w:rPr>
        <w:rFonts w:hint="eastAsia"/>
      </w:rPr>
    </w:lvl>
  </w:abstractNum>
  <w:abstractNum w:abstractNumId="2">
    <w:nsid w:val="DAB58070"/>
    <w:multiLevelType w:val="singleLevel"/>
    <w:tmpl w:val="DAB58070"/>
    <w:lvl w:ilvl="0" w:tentative="0">
      <w:start w:val="1"/>
      <w:numFmt w:val="bullet"/>
      <w:lvlText w:val=""/>
      <w:lvlJc w:val="left"/>
      <w:pPr>
        <w:ind w:left="420" w:hanging="420"/>
      </w:pPr>
      <w:rPr>
        <w:rFonts w:hint="default" w:ascii="Wingdings" w:hAnsi="Wingdings"/>
      </w:rPr>
    </w:lvl>
  </w:abstractNum>
  <w:abstractNum w:abstractNumId="3">
    <w:nsid w:val="E319F839"/>
    <w:multiLevelType w:val="singleLevel"/>
    <w:tmpl w:val="E319F839"/>
    <w:lvl w:ilvl="0" w:tentative="0">
      <w:start w:val="1"/>
      <w:numFmt w:val="chineseCounting"/>
      <w:suff w:val="nothing"/>
      <w:lvlText w:val="（%1）"/>
      <w:lvlJc w:val="left"/>
      <w:pPr>
        <w:ind w:left="360" w:firstLine="0"/>
      </w:pPr>
      <w:rPr>
        <w:rFonts w:hint="eastAsia"/>
      </w:rPr>
    </w:lvl>
  </w:abstractNum>
  <w:abstractNum w:abstractNumId="4">
    <w:nsid w:val="EA378BAA"/>
    <w:multiLevelType w:val="singleLevel"/>
    <w:tmpl w:val="EA378BAA"/>
    <w:lvl w:ilvl="0" w:tentative="0">
      <w:start w:val="1"/>
      <w:numFmt w:val="decimal"/>
      <w:suff w:val="space"/>
      <w:lvlText w:val="%1）"/>
      <w:lvlJc w:val="left"/>
    </w:lvl>
  </w:abstractNum>
  <w:abstractNum w:abstractNumId="5">
    <w:nsid w:val="1648CE1E"/>
    <w:multiLevelType w:val="singleLevel"/>
    <w:tmpl w:val="1648CE1E"/>
    <w:lvl w:ilvl="0" w:tentative="0">
      <w:start w:val="1"/>
      <w:numFmt w:val="bullet"/>
      <w:lvlText w:val=""/>
      <w:lvlJc w:val="left"/>
      <w:pPr>
        <w:ind w:left="420" w:hanging="420"/>
      </w:pPr>
      <w:rPr>
        <w:rFonts w:hint="default" w:ascii="Wingdings" w:hAnsi="Wingdings"/>
      </w:rPr>
    </w:lvl>
  </w:abstractNum>
  <w:abstractNum w:abstractNumId="6">
    <w:nsid w:val="18CCE27C"/>
    <w:multiLevelType w:val="singleLevel"/>
    <w:tmpl w:val="18CCE27C"/>
    <w:lvl w:ilvl="0" w:tentative="0">
      <w:start w:val="1"/>
      <w:numFmt w:val="bullet"/>
      <w:lvlText w:val=""/>
      <w:lvlJc w:val="left"/>
      <w:pPr>
        <w:ind w:left="420" w:hanging="420"/>
      </w:pPr>
      <w:rPr>
        <w:rFonts w:hint="default" w:ascii="Wingdings" w:hAnsi="Wingdings"/>
      </w:rPr>
    </w:lvl>
  </w:abstractNum>
  <w:abstractNum w:abstractNumId="7">
    <w:nsid w:val="54336163"/>
    <w:multiLevelType w:val="singleLevel"/>
    <w:tmpl w:val="54336163"/>
    <w:lvl w:ilvl="0" w:tentative="0">
      <w:start w:val="1"/>
      <w:numFmt w:val="decimal"/>
      <w:suff w:val="nothing"/>
      <w:lvlText w:val="%1）"/>
      <w:lvlJc w:val="left"/>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F71"/>
    <w:rsid w:val="00063052"/>
    <w:rsid w:val="0006607A"/>
    <w:rsid w:val="000E33B8"/>
    <w:rsid w:val="000F46ED"/>
    <w:rsid w:val="001028D3"/>
    <w:rsid w:val="00120D86"/>
    <w:rsid w:val="001A1421"/>
    <w:rsid w:val="001A5BBC"/>
    <w:rsid w:val="001D17D0"/>
    <w:rsid w:val="001D732A"/>
    <w:rsid w:val="002015CE"/>
    <w:rsid w:val="00212F80"/>
    <w:rsid w:val="00235D5E"/>
    <w:rsid w:val="00250392"/>
    <w:rsid w:val="002516C2"/>
    <w:rsid w:val="0026410E"/>
    <w:rsid w:val="00297F71"/>
    <w:rsid w:val="002A72E5"/>
    <w:rsid w:val="00315DAC"/>
    <w:rsid w:val="00323C64"/>
    <w:rsid w:val="00337F73"/>
    <w:rsid w:val="00354AB7"/>
    <w:rsid w:val="00375FBD"/>
    <w:rsid w:val="003855AC"/>
    <w:rsid w:val="004127B0"/>
    <w:rsid w:val="004A11D0"/>
    <w:rsid w:val="004C6815"/>
    <w:rsid w:val="004D2F78"/>
    <w:rsid w:val="00573BD5"/>
    <w:rsid w:val="00583F1B"/>
    <w:rsid w:val="005B1A65"/>
    <w:rsid w:val="005E42DF"/>
    <w:rsid w:val="00605FE8"/>
    <w:rsid w:val="00641017"/>
    <w:rsid w:val="006B3A63"/>
    <w:rsid w:val="006C2821"/>
    <w:rsid w:val="006D50AE"/>
    <w:rsid w:val="006D54E6"/>
    <w:rsid w:val="00712432"/>
    <w:rsid w:val="00742ED2"/>
    <w:rsid w:val="0074571D"/>
    <w:rsid w:val="00755F36"/>
    <w:rsid w:val="00766FC7"/>
    <w:rsid w:val="007F7E8B"/>
    <w:rsid w:val="008200D7"/>
    <w:rsid w:val="0087531C"/>
    <w:rsid w:val="00887FE3"/>
    <w:rsid w:val="008C0E5E"/>
    <w:rsid w:val="008C5F32"/>
    <w:rsid w:val="008F1ACE"/>
    <w:rsid w:val="009241A8"/>
    <w:rsid w:val="00945383"/>
    <w:rsid w:val="00953104"/>
    <w:rsid w:val="00957976"/>
    <w:rsid w:val="0098782A"/>
    <w:rsid w:val="00987AC9"/>
    <w:rsid w:val="009A1D17"/>
    <w:rsid w:val="009D6477"/>
    <w:rsid w:val="009E3C20"/>
    <w:rsid w:val="009F211B"/>
    <w:rsid w:val="009F3D16"/>
    <w:rsid w:val="00A22C24"/>
    <w:rsid w:val="00A511E4"/>
    <w:rsid w:val="00A85655"/>
    <w:rsid w:val="00A86B67"/>
    <w:rsid w:val="00A944A2"/>
    <w:rsid w:val="00AD6A48"/>
    <w:rsid w:val="00B54E09"/>
    <w:rsid w:val="00B75950"/>
    <w:rsid w:val="00B776B2"/>
    <w:rsid w:val="00BE56B5"/>
    <w:rsid w:val="00BF7794"/>
    <w:rsid w:val="00CB45AA"/>
    <w:rsid w:val="00CC6DAE"/>
    <w:rsid w:val="00CE3D7F"/>
    <w:rsid w:val="00D30C85"/>
    <w:rsid w:val="00D470AA"/>
    <w:rsid w:val="00D55C4D"/>
    <w:rsid w:val="00D933E3"/>
    <w:rsid w:val="00E332E1"/>
    <w:rsid w:val="00E35C30"/>
    <w:rsid w:val="00EA46DC"/>
    <w:rsid w:val="00EA4EA6"/>
    <w:rsid w:val="00EB7A75"/>
    <w:rsid w:val="00EE1580"/>
    <w:rsid w:val="00EF7D19"/>
    <w:rsid w:val="00F071AB"/>
    <w:rsid w:val="00F07B44"/>
    <w:rsid w:val="00F135F0"/>
    <w:rsid w:val="00F542F4"/>
    <w:rsid w:val="00F67BEB"/>
    <w:rsid w:val="00FB0F5B"/>
    <w:rsid w:val="00FD1BA5"/>
    <w:rsid w:val="02AD58FC"/>
    <w:rsid w:val="049743AD"/>
    <w:rsid w:val="07E13D6B"/>
    <w:rsid w:val="09750C0F"/>
    <w:rsid w:val="0B252643"/>
    <w:rsid w:val="0B6E4E50"/>
    <w:rsid w:val="0CEA2936"/>
    <w:rsid w:val="0D866934"/>
    <w:rsid w:val="0D896A37"/>
    <w:rsid w:val="0E286588"/>
    <w:rsid w:val="0ED91C40"/>
    <w:rsid w:val="122F22A3"/>
    <w:rsid w:val="12774044"/>
    <w:rsid w:val="14C173FE"/>
    <w:rsid w:val="14CD7B51"/>
    <w:rsid w:val="15D14D0C"/>
    <w:rsid w:val="17FE211F"/>
    <w:rsid w:val="1B324BB2"/>
    <w:rsid w:val="1B530620"/>
    <w:rsid w:val="1CD90307"/>
    <w:rsid w:val="1E780B2E"/>
    <w:rsid w:val="1F0D587D"/>
    <w:rsid w:val="21667363"/>
    <w:rsid w:val="2187084D"/>
    <w:rsid w:val="21D2410C"/>
    <w:rsid w:val="2409047A"/>
    <w:rsid w:val="269F6165"/>
    <w:rsid w:val="275F53B8"/>
    <w:rsid w:val="29422464"/>
    <w:rsid w:val="29B71C8F"/>
    <w:rsid w:val="2BA51E11"/>
    <w:rsid w:val="2C702EEC"/>
    <w:rsid w:val="31D65E3F"/>
    <w:rsid w:val="31FB3AF8"/>
    <w:rsid w:val="33EF143A"/>
    <w:rsid w:val="39F72C7E"/>
    <w:rsid w:val="3A3029B7"/>
    <w:rsid w:val="3BFF41E4"/>
    <w:rsid w:val="3EAB0654"/>
    <w:rsid w:val="422B5D33"/>
    <w:rsid w:val="48107E1B"/>
    <w:rsid w:val="51611199"/>
    <w:rsid w:val="52733A34"/>
    <w:rsid w:val="570556BE"/>
    <w:rsid w:val="587753D7"/>
    <w:rsid w:val="5B6E411E"/>
    <w:rsid w:val="5BB552E9"/>
    <w:rsid w:val="5EB60923"/>
    <w:rsid w:val="61EE0BAA"/>
    <w:rsid w:val="6292418B"/>
    <w:rsid w:val="63260125"/>
    <w:rsid w:val="66F127F8"/>
    <w:rsid w:val="69842F80"/>
    <w:rsid w:val="6A6634FD"/>
    <w:rsid w:val="6C596138"/>
    <w:rsid w:val="6C941525"/>
    <w:rsid w:val="6F5222A2"/>
    <w:rsid w:val="701612EA"/>
    <w:rsid w:val="70231548"/>
    <w:rsid w:val="706C7393"/>
    <w:rsid w:val="72DE3FCB"/>
    <w:rsid w:val="73C179F6"/>
    <w:rsid w:val="75314597"/>
    <w:rsid w:val="76724FD8"/>
    <w:rsid w:val="77364257"/>
    <w:rsid w:val="799040F2"/>
    <w:rsid w:val="7C036DFE"/>
    <w:rsid w:val="7ED800F2"/>
    <w:rsid w:val="7F2877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widowControl/>
      <w:spacing w:after="120"/>
      <w:ind w:firstLine="425" w:firstLineChars="193"/>
      <w:jc w:val="left"/>
    </w:pPr>
    <w:rPr>
      <w:kern w:val="0"/>
      <w:sz w:val="22"/>
      <w:szCs w:val="20"/>
    </w:rPr>
  </w:style>
  <w:style w:type="paragraph" w:styleId="4">
    <w:name w:val="annotation text"/>
    <w:basedOn w:val="1"/>
    <w:qFormat/>
    <w:uiPriority w:val="0"/>
    <w:pPr>
      <w:jc w:val="left"/>
    </w:pPr>
  </w:style>
  <w:style w:type="paragraph" w:styleId="5">
    <w:name w:val="footer"/>
    <w:basedOn w:val="1"/>
    <w:link w:val="14"/>
    <w:qFormat/>
    <w:uiPriority w:val="0"/>
    <w:pPr>
      <w:tabs>
        <w:tab w:val="center" w:pos="4153"/>
        <w:tab w:val="right" w:pos="8306"/>
      </w:tabs>
      <w:snapToGrid w:val="0"/>
      <w:jc w:val="left"/>
    </w:pPr>
    <w:rPr>
      <w:sz w:val="18"/>
      <w:szCs w:val="18"/>
    </w:rPr>
  </w:style>
  <w:style w:type="paragraph" w:styleId="6">
    <w:name w:val="header"/>
    <w:basedOn w:val="1"/>
    <w:link w:val="13"/>
    <w:qFormat/>
    <w:uiPriority w:val="0"/>
    <w:pP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customStyle="1" w:styleId="12">
    <w:name w:val="font31"/>
    <w:basedOn w:val="10"/>
    <w:qFormat/>
    <w:uiPriority w:val="0"/>
    <w:rPr>
      <w:rFonts w:hint="eastAsia" w:ascii="仿宋" w:hAnsi="仿宋" w:eastAsia="仿宋" w:cs="仿宋"/>
      <w:color w:val="000000"/>
      <w:sz w:val="20"/>
      <w:szCs w:val="20"/>
      <w:u w:val="none"/>
    </w:rPr>
  </w:style>
  <w:style w:type="character" w:customStyle="1" w:styleId="13">
    <w:name w:val="页眉 字符"/>
    <w:basedOn w:val="10"/>
    <w:link w:val="6"/>
    <w:qFormat/>
    <w:uiPriority w:val="0"/>
    <w:rPr>
      <w:kern w:val="2"/>
      <w:sz w:val="18"/>
      <w:szCs w:val="18"/>
    </w:rPr>
  </w:style>
  <w:style w:type="character" w:customStyle="1" w:styleId="14">
    <w:name w:val="页脚 字符"/>
    <w:basedOn w:val="10"/>
    <w:link w:val="5"/>
    <w:qFormat/>
    <w:uiPriority w:val="0"/>
    <w:rPr>
      <w:kern w:val="2"/>
      <w:sz w:val="18"/>
      <w:szCs w:val="18"/>
    </w:rPr>
  </w:style>
  <w:style w:type="paragraph" w:customStyle="1" w:styleId="15">
    <w:name w:val="段"/>
    <w:link w:val="16"/>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16">
    <w:name w:val="段 Char"/>
    <w:link w:val="15"/>
    <w:qFormat/>
    <w:uiPriority w:val="0"/>
    <w:rPr>
      <w:rFonts w:ascii="宋体"/>
      <w:sz w:val="21"/>
    </w:rPr>
  </w:style>
  <w:style w:type="paragraph" w:styleId="17">
    <w:name w:val="List Paragraph"/>
    <w:basedOn w:val="1"/>
    <w:unhideWhenUsed/>
    <w:qFormat/>
    <w:uiPriority w:val="99"/>
    <w:pPr>
      <w:ind w:firstLine="420" w:firstLineChars="200"/>
    </w:pPr>
  </w:style>
  <w:style w:type="character" w:customStyle="1" w:styleId="18">
    <w:name w:val="font21"/>
    <w:basedOn w:val="10"/>
    <w:qFormat/>
    <w:uiPriority w:val="0"/>
    <w:rPr>
      <w:rFonts w:hint="eastAsia" w:ascii="微软雅黑 Light" w:hAnsi="微软雅黑 Light" w:eastAsia="微软雅黑 Light" w:cs="微软雅黑 Light"/>
      <w:color w:val="000000"/>
      <w:sz w:val="18"/>
      <w:szCs w:val="18"/>
      <w:u w:val="none"/>
    </w:rPr>
  </w:style>
  <w:style w:type="character" w:customStyle="1" w:styleId="19">
    <w:name w:val="font41"/>
    <w:basedOn w:val="10"/>
    <w:qFormat/>
    <w:uiPriority w:val="0"/>
    <w:rPr>
      <w:rFonts w:hint="eastAsia" w:ascii="微软雅黑 Light" w:hAnsi="微软雅黑 Light" w:eastAsia="微软雅黑 Light" w:cs="微软雅黑 Light"/>
      <w:color w:val="FF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11358</Words>
  <Characters>11739</Characters>
  <Lines>221</Lines>
  <Paragraphs>146</Paragraphs>
  <TotalTime>18</TotalTime>
  <ScaleCrop>false</ScaleCrop>
  <LinksUpToDate>false</LinksUpToDate>
  <CharactersWithSpaces>11783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2026-03-19T17:25:00Z</dcterms:created>
  <dc:creator>ZHQ</dc:creator>
  <cp:lastModifiedBy>颜洲</cp:lastModifiedBy>
  <dcterms:modified xsi:type="dcterms:W3CDTF">2026-07-07T09:33:12Z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eyJoZGlkIjoiODYwYjcwMzkxNWIyZTAzOTdhNmQxMTVmYjI5M2Y3ZGQiLCJ1c2VySWQiOiI0MzMxMDc1MTMifQ==</vt:lpwstr>
  </property>
  <property fmtid="{D5CDD505-2E9C-101B-9397-08002B2CF9AE}" pid="4" name="ICV">
    <vt:lpwstr>5901EAD0E20747B7BD5428F97E3136DF_13</vt:lpwstr>
  </property>
</Properties>
</file>