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B3F80">
      <w:pPr>
        <w:spacing w:after="160" w:line="278" w:lineRule="auto"/>
        <w:rPr>
          <w:rFonts w:hint="eastAsia" w:cs="Times New Roman" w:asciiTheme="majorEastAsia" w:hAnsiTheme="majorEastAsia" w:eastAsiaTheme="majorEastAsia"/>
          <w:kern w:val="2"/>
          <w:sz w:val="28"/>
          <w:szCs w:val="28"/>
          <w:lang w:val="en-US" w:eastAsia="zh-CN" w:bidi="ar-SA"/>
        </w:rPr>
      </w:pPr>
      <w:r>
        <w:rPr>
          <w:rFonts w:hint="eastAsia" w:cs="Times New Roman" w:asciiTheme="majorEastAsia" w:hAnsiTheme="majorEastAsia" w:eastAsiaTheme="majorEastAsia"/>
          <w:kern w:val="2"/>
          <w:sz w:val="28"/>
          <w:szCs w:val="28"/>
          <w:lang w:val="en-US" w:eastAsia="zh-CN" w:bidi="ar-SA"/>
        </w:rPr>
        <w:t>附件4：</w:t>
      </w:r>
    </w:p>
    <w:p w14:paraId="2828F821">
      <w:pPr>
        <w:pStyle w:val="16"/>
        <w:widowControl/>
      </w:pPr>
      <w:r>
        <w:rPr>
          <w:rFonts w:hint="eastAsia" w:ascii="Times New Roman" w:hAnsi="Times New Roman" w:eastAsia="黑体" w:cs="Times New Roman"/>
          <w:kern w:val="2"/>
          <w:sz w:val="28"/>
          <w:szCs w:val="28"/>
          <w:lang w:val="en-US" w:eastAsia="zh-CN" w:bidi="ar-SA"/>
        </w:rPr>
        <w:t>中汽协会《配电台区自适应功率调节有序充放电技术规范》团体标</w:t>
      </w:r>
      <w:r>
        <w:t>准编制说明</w:t>
      </w:r>
    </w:p>
    <w:p w14:paraId="7D16EFCD">
      <w:pPr>
        <w:pStyle w:val="2"/>
        <w:numPr>
          <w:ilvl w:val="0"/>
          <w:numId w:val="1"/>
        </w:numPr>
        <w:topLinePunct w:val="0"/>
        <w:ind w:left="0" w:leftChars="0" w:firstLine="480" w:firstLineChars="0"/>
        <w:rPr>
          <w:b w:val="0"/>
        </w:rPr>
      </w:pPr>
      <w:bookmarkStart w:id="0" w:name="heading_0"/>
      <w:r>
        <w:t>工作简要过程</w:t>
      </w:r>
      <w:bookmarkEnd w:id="0"/>
    </w:p>
    <w:p w14:paraId="51C39376">
      <w:pPr>
        <w:pStyle w:val="3"/>
        <w:numPr>
          <w:ilvl w:val="0"/>
          <w:numId w:val="2"/>
        </w:numPr>
        <w:topLinePunct w:val="0"/>
        <w:ind w:left="0" w:leftChars="0" w:firstLine="357" w:firstLineChars="0"/>
        <w:rPr>
          <w:b/>
        </w:rPr>
      </w:pPr>
      <w:bookmarkStart w:id="1" w:name="heading_1"/>
      <w:r>
        <w:t>任务来源</w:t>
      </w:r>
      <w:bookmarkEnd w:id="1"/>
    </w:p>
    <w:p w14:paraId="3F1C8E4B">
      <w:pPr>
        <w:pStyle w:val="20"/>
        <w:spacing w:line="360" w:lineRule="auto"/>
        <w:ind w:firstLine="422"/>
        <w:rPr>
          <w:rFonts w:hint="eastAsia" w:cs="Times New Roman"/>
          <w:color w:val="auto"/>
          <w:sz w:val="21"/>
          <w:lang w:eastAsia="zh-CN"/>
        </w:rPr>
      </w:pPr>
      <w:r>
        <w:rPr>
          <w:rFonts w:hint="eastAsia" w:ascii="Times New Roman" w:hAnsi="Times New Roman"/>
          <w:b/>
          <w:szCs w:val="21"/>
        </w:rPr>
        <w:t>1、</w:t>
      </w:r>
      <w:r>
        <w:rPr>
          <w:rFonts w:ascii="Times New Roman" w:hAnsi="Times New Roman"/>
          <w:b/>
          <w:szCs w:val="21"/>
        </w:rPr>
        <w:t>任务来源</w:t>
      </w:r>
    </w:p>
    <w:p w14:paraId="72F3BB01">
      <w:pPr>
        <w:pStyle w:val="20"/>
        <w:spacing w:line="360" w:lineRule="auto"/>
      </w:pPr>
      <w:r>
        <w:rPr>
          <w:rFonts w:hint="eastAsia" w:cs="Times New Roman"/>
          <w:color w:val="auto"/>
          <w:sz w:val="21"/>
          <w:lang w:eastAsia="zh-CN"/>
        </w:rPr>
        <w:t>《配电台区自适应功率调节有序充放电技术规范》</w:t>
      </w:r>
      <w:r>
        <w:rPr>
          <w:rFonts w:hint="eastAsia" w:ascii="Times New Roman" w:hAnsi="Times New Roman"/>
          <w:szCs w:val="21"/>
        </w:rPr>
        <w:t>中国汽车工业协会批准立项，</w:t>
      </w:r>
      <w:r>
        <w:rPr>
          <w:rFonts w:hint="eastAsia" w:ascii="Times New Roman" w:hAnsi="Times New Roman"/>
        </w:rPr>
        <w:t>文件号中汽协函字〔2026〕0</w:t>
      </w:r>
      <w:r>
        <w:rPr>
          <w:rFonts w:hint="eastAsia" w:ascii="Times New Roman" w:hAnsi="Times New Roman"/>
          <w:lang w:val="en-US" w:eastAsia="zh-CN"/>
        </w:rPr>
        <w:t>21</w:t>
      </w:r>
      <w:r>
        <w:rPr>
          <w:rFonts w:hint="eastAsia" w:ascii="Times New Roman" w:hAnsi="Times New Roman"/>
        </w:rPr>
        <w:t>号，项目计划号202</w:t>
      </w:r>
      <w:r>
        <w:rPr>
          <w:rFonts w:hint="eastAsia" w:ascii="Times New Roman" w:hAnsi="Times New Roman"/>
          <w:lang w:val="en-US" w:eastAsia="zh-CN"/>
        </w:rPr>
        <w:t>6</w:t>
      </w:r>
      <w:r>
        <w:rPr>
          <w:rFonts w:hint="eastAsia" w:ascii="Times New Roman" w:hAnsi="Times New Roman"/>
        </w:rPr>
        <w:t>-</w:t>
      </w:r>
      <w:r>
        <w:rPr>
          <w:rFonts w:hint="eastAsia" w:ascii="Times New Roman" w:hAnsi="Times New Roman"/>
          <w:lang w:val="en-US" w:eastAsia="zh-CN"/>
        </w:rPr>
        <w:t>04</w:t>
      </w:r>
      <w:r>
        <w:rPr>
          <w:rFonts w:hint="eastAsia"/>
        </w:rPr>
        <w:t>。</w:t>
      </w:r>
    </w:p>
    <w:p w14:paraId="3D395FB3">
      <w:pPr>
        <w:pStyle w:val="20"/>
        <w:spacing w:line="360" w:lineRule="auto"/>
        <w:ind w:firstLine="422"/>
        <w:rPr>
          <w:rFonts w:hint="eastAsia" w:cs="Times New Roman"/>
          <w:color w:val="auto"/>
          <w:sz w:val="21"/>
          <w:lang w:val="en-US" w:eastAsia="zh-CN"/>
        </w:rPr>
      </w:pPr>
      <w:r>
        <w:rPr>
          <w:rFonts w:hint="eastAsia"/>
          <w:b/>
        </w:rPr>
        <w:t>2、编制背景与目标</w:t>
      </w:r>
    </w:p>
    <w:p w14:paraId="70F1D500">
      <w:pPr>
        <w:pStyle w:val="20"/>
        <w:spacing w:line="360" w:lineRule="auto"/>
        <w:rPr>
          <w:rFonts w:hint="eastAsia" w:cs="Times New Roman"/>
          <w:color w:val="auto"/>
          <w:sz w:val="21"/>
          <w:lang w:val="en-US" w:eastAsia="zh-CN"/>
        </w:rPr>
      </w:pPr>
      <w:bookmarkStart w:id="2" w:name="OLE_LINK1"/>
      <w:r>
        <w:rPr>
          <w:rFonts w:hint="eastAsia" w:ascii="Times New Roman" w:hAnsi="Times New Roman"/>
          <w:szCs w:val="21"/>
        </w:rPr>
        <w:t>行业背景-科学问题-解决方式-达成效果-后续推广</w:t>
      </w:r>
    </w:p>
    <w:bookmarkEnd w:id="2"/>
    <w:p w14:paraId="3A903A31">
      <w:pPr>
        <w:pStyle w:val="11"/>
        <w:rPr>
          <w:rFonts w:hint="default" w:cs="Times New Roman"/>
          <w:color w:val="auto"/>
          <w:sz w:val="21"/>
          <w:lang w:val="en-US" w:eastAsia="zh-CN"/>
        </w:rPr>
      </w:pPr>
      <w:r>
        <w:rPr>
          <w:rFonts w:ascii="Times New Roman" w:hAnsi="Calibri" w:eastAsia="宋体" w:cs="Times New Roman"/>
          <w:color w:val="auto"/>
          <w:sz w:val="21"/>
        </w:rPr>
        <w:t>随着电动汽车规模化普及</w:t>
      </w:r>
      <w:r>
        <w:rPr>
          <w:rFonts w:hint="eastAsia" w:cs="Times New Roman"/>
          <w:color w:val="auto"/>
          <w:sz w:val="21"/>
          <w:lang w:val="en-US" w:eastAsia="zh-CN"/>
        </w:rPr>
        <w:t>及车网互动技术的发展</w:t>
      </w:r>
      <w:r>
        <w:rPr>
          <w:rFonts w:ascii="Times New Roman" w:hAnsi="Calibri" w:eastAsia="宋体" w:cs="Times New Roman"/>
          <w:color w:val="auto"/>
          <w:sz w:val="21"/>
        </w:rPr>
        <w:t>，</w:t>
      </w:r>
      <w:r>
        <w:rPr>
          <w:rFonts w:hint="eastAsia" w:cs="Times New Roman"/>
          <w:color w:val="auto"/>
          <w:sz w:val="21"/>
          <w:lang w:val="en-US" w:eastAsia="zh-CN"/>
        </w:rPr>
        <w:t>电动汽车无序充放电会导致局部区域负荷激增，频繁引发布点区域配电变压器过载、三相负荷严重不平衡以及电压暂降等电能质量问题，制约了充放电设施的进一步普及，也影响配电网安全稳定运行，严重时电网的约束限制还会影响客户充放电服务体验。</w:t>
      </w:r>
    </w:p>
    <w:p w14:paraId="473FA62E">
      <w:pPr>
        <w:pStyle w:val="11"/>
        <w:rPr>
          <w:rFonts w:ascii="Times New Roman" w:hAnsi="Calibri" w:eastAsia="宋体" w:cs="Times New Roman"/>
          <w:color w:val="auto"/>
          <w:sz w:val="21"/>
        </w:rPr>
      </w:pPr>
      <w:r>
        <w:rPr>
          <w:rFonts w:ascii="Times New Roman" w:hAnsi="Calibri" w:eastAsia="宋体" w:cs="Times New Roman"/>
          <w:color w:val="auto"/>
          <w:sz w:val="21"/>
        </w:rPr>
        <w:t>现有的有序充电技术仍存在显著的科学与工程化难题。传统的集中式调控方案通常依赖云端指令下发，通信链路长，导致控制响应滞后，难以适应台区负荷的秒级快速波动；同时，现有方案往往采用“一刀切”的静态策略，缺乏对不同台区负载特性、用户充电需求及光伏、储能等多元要素的动态适配能力。此外，大规模更换具备双向互动功能的新型充电桩涉及高昂的硬件改造与施工成本，导致车网互动技术在配网侧的规模化落地面临巨大的经济壁垒。</w:t>
      </w:r>
    </w:p>
    <w:p w14:paraId="6B136C7A">
      <w:pPr>
        <w:pStyle w:val="11"/>
        <w:rPr>
          <w:rFonts w:hint="eastAsia" w:ascii="Times New Roman" w:hAnsi="Calibri" w:eastAsia="宋体" w:cs="Times New Roman"/>
          <w:color w:val="auto"/>
          <w:sz w:val="21"/>
        </w:rPr>
      </w:pPr>
      <w:r>
        <w:rPr>
          <w:rFonts w:hint="eastAsia" w:ascii="Times New Roman" w:hAnsi="Calibri" w:eastAsia="宋体" w:cs="Times New Roman"/>
          <w:color w:val="auto"/>
          <w:sz w:val="21"/>
        </w:rPr>
        <w:t>为解决这些问题，本标准旨在建立一套配电台区本地化自适应的功率调节技术体系。通过创新采用“</w:t>
      </w:r>
      <w:r>
        <w:rPr>
          <w:rFonts w:hint="eastAsia" w:cs="Times New Roman"/>
          <w:color w:val="auto"/>
          <w:sz w:val="21"/>
          <w:lang w:val="en-US" w:eastAsia="zh-CN"/>
        </w:rPr>
        <w:t>智能终端</w:t>
      </w:r>
      <w:r>
        <w:rPr>
          <w:rFonts w:hint="eastAsia" w:ascii="Times New Roman" w:hAnsi="Calibri" w:eastAsia="宋体" w:cs="Times New Roman"/>
          <w:color w:val="auto"/>
          <w:sz w:val="21"/>
        </w:rPr>
        <w:t>+双模桩”的架构，融合高速电力线载波（HPLC）与高可靠无线通信（HRF）技术，实现台区数据的本地闭环决策与秒级精准调控。本标准将重点规范基于实时负荷监测的动态柔控策略、三相平衡优化算法以及V2G双向互动接口，通过软硬件解耦设计，最大限度利用存量设备，大幅降低改造成本，推动有序充电技术从“云端主控”向“边缘自治”升级。</w:t>
      </w:r>
    </w:p>
    <w:p w14:paraId="567198CA">
      <w:pPr>
        <w:pStyle w:val="11"/>
        <w:rPr>
          <w:rFonts w:hint="eastAsia" w:ascii="Times New Roman" w:hAnsi="Calibri" w:eastAsia="宋体" w:cs="Times New Roman"/>
          <w:color w:val="auto"/>
          <w:sz w:val="21"/>
        </w:rPr>
      </w:pPr>
      <w:r>
        <w:rPr>
          <w:rFonts w:hint="eastAsia" w:ascii="Times New Roman" w:hAnsi="Calibri" w:eastAsia="宋体" w:cs="Times New Roman"/>
          <w:color w:val="auto"/>
          <w:sz w:val="21"/>
        </w:rPr>
        <w:t>本标准的发布与实施，将填补国内配电台区自适应功率调节领域的标准空白，达成显著的技术与经济效果。在技术层面，将响应时间从分钟级缩短至秒级，有效平抑负荷波动，消除过载风险，提升配电网的承载力与灵活性；在经济层面，通过低成本改造方案将单桩升级成本大幅降低，加速技术普惠化，为光储充一体化、车网互动等新型能源生态提供坚实支撑。最终，本标准将推动形成“一台区一策略”的精细化管理模式，建立可复制、可推广的典型应用范例，助力构建安全、高效、绿色的新型电力系统，为落实国家能源战略和实现“双碳”目标提供关键技术保障。</w:t>
      </w:r>
    </w:p>
    <w:p w14:paraId="4A000F24">
      <w:pPr>
        <w:pStyle w:val="11"/>
        <w:rPr>
          <w:rFonts w:ascii="Times New Roman" w:hAnsi="Calibri" w:eastAsia="宋体" w:cs="Times New Roman"/>
          <w:color w:val="auto"/>
          <w:sz w:val="21"/>
        </w:rPr>
      </w:pPr>
    </w:p>
    <w:p w14:paraId="751350BF">
      <w:pPr>
        <w:pStyle w:val="3"/>
        <w:numPr>
          <w:ilvl w:val="0"/>
          <w:numId w:val="2"/>
        </w:numPr>
        <w:topLinePunct w:val="0"/>
        <w:ind w:left="0" w:leftChars="0" w:firstLine="357" w:firstLineChars="0"/>
        <w:rPr>
          <w:b/>
        </w:rPr>
      </w:pPr>
      <w:bookmarkStart w:id="3" w:name="heading_2"/>
      <w:r>
        <w:t>主要起草单位及任务分工</w:t>
      </w:r>
      <w:bookmarkEnd w:id="3"/>
    </w:p>
    <w:p w14:paraId="033CBE3A">
      <w:pPr>
        <w:spacing w:after="0" w:line="360" w:lineRule="auto"/>
        <w:ind w:firstLine="420" w:firstLineChars="200"/>
        <w:rPr>
          <w:rFonts w:hint="eastAsia" w:ascii="Times New Roman" w:hAnsi="Times New Roman" w:eastAsia="宋体" w:cs="Times New Roman"/>
          <w:kern w:val="2"/>
          <w:szCs w:val="21"/>
          <w:lang w:val="en-US" w:eastAsia="zh-CN" w:bidi="ar-SA"/>
        </w:rPr>
      </w:pPr>
      <w:r>
        <w:rPr>
          <w:rFonts w:hint="eastAsia" w:ascii="Times New Roman" w:hAnsi="Times New Roman" w:eastAsia="宋体" w:cs="Times New Roman"/>
          <w:kern w:val="2"/>
          <w:szCs w:val="21"/>
          <w:lang w:val="en-US" w:eastAsia="zh-CN" w:bidi="ar-SA"/>
        </w:rPr>
        <w:t>标准起草组主要由：产品研发单位、检测单位、应用单位、科研院所组成。牵头起草单位国网冀北电力有限公司、中国电动汽车充电基础设施促进联盟，参与单位：山东鲁软数字科技有限公司、国网智慧车联网技术有限公司、国网北京市电力公司、武汉蔚来能源有限公司、北京智研信通科技有限公司、上海启源芯动力、青岛英利达能源有限公司、烟台东方威思顿电气有限公司、许继电源有限公司、北京群菱能源科技有限公司、中电瑞兴新能源科技（天津）有限公司、山东德源电力科技股份有限公司、河南平高智慧能源有限公司等。</w:t>
      </w:r>
      <w:bookmarkStart w:id="14" w:name="_GoBack"/>
      <w:bookmarkEnd w:id="14"/>
    </w:p>
    <w:p w14:paraId="0BBA86B6">
      <w:pPr>
        <w:pStyle w:val="11"/>
        <w:numPr>
          <w:ilvl w:val="0"/>
          <w:numId w:val="3"/>
        </w:numPr>
        <w:ind w:left="0" w:leftChars="0" w:firstLine="420" w:firstLineChars="0"/>
        <w:rPr>
          <w:rFonts w:ascii="Times New Roman" w:hAnsi="Calibri" w:eastAsia="宋体" w:cs="Times New Roman"/>
          <w:b w:val="0"/>
          <w:color w:val="auto"/>
          <w:sz w:val="21"/>
        </w:rPr>
      </w:pPr>
      <w:r>
        <w:rPr>
          <w:rFonts w:ascii="Times New Roman" w:hAnsi="Calibri" w:eastAsia="宋体" w:cs="Times New Roman"/>
          <w:b/>
          <w:color w:val="auto"/>
          <w:sz w:val="21"/>
        </w:rPr>
        <w:t>任务分工</w:t>
      </w:r>
      <w:r>
        <w:rPr>
          <w:rFonts w:ascii="Times New Roman" w:hAnsi="Calibri" w:eastAsia="宋体" w:cs="Times New Roman"/>
          <w:color w:val="auto"/>
          <w:sz w:val="21"/>
        </w:rPr>
        <w:t>：</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9"/>
        <w:gridCol w:w="2637"/>
      </w:tblGrid>
      <w:tr w14:paraId="40CC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9" w:type="dxa"/>
          </w:tcPr>
          <w:p w14:paraId="39C82173">
            <w:pPr>
              <w:spacing w:after="0" w:line="360" w:lineRule="auto"/>
              <w:jc w:val="center"/>
              <w:rPr>
                <w:b/>
                <w:bCs/>
                <w:szCs w:val="21"/>
              </w:rPr>
            </w:pPr>
            <w:r>
              <w:rPr>
                <w:rFonts w:hint="eastAsia"/>
                <w:b/>
                <w:bCs/>
                <w:szCs w:val="21"/>
              </w:rPr>
              <w:t>单位</w:t>
            </w:r>
          </w:p>
        </w:tc>
        <w:tc>
          <w:tcPr>
            <w:tcW w:w="2637" w:type="dxa"/>
          </w:tcPr>
          <w:p w14:paraId="2A9C05D5">
            <w:pPr>
              <w:spacing w:after="0" w:line="360" w:lineRule="auto"/>
              <w:jc w:val="center"/>
              <w:rPr>
                <w:b/>
                <w:bCs/>
                <w:szCs w:val="21"/>
              </w:rPr>
            </w:pPr>
            <w:r>
              <w:rPr>
                <w:rFonts w:hint="eastAsia"/>
                <w:b/>
                <w:bCs/>
                <w:szCs w:val="21"/>
              </w:rPr>
              <w:t>主要分工</w:t>
            </w:r>
          </w:p>
        </w:tc>
      </w:tr>
      <w:tr w14:paraId="6604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9" w:type="dxa"/>
            <w:vAlign w:val="center"/>
          </w:tcPr>
          <w:p w14:paraId="547CDAD6">
            <w:pPr>
              <w:spacing w:after="0" w:line="360" w:lineRule="auto"/>
              <w:jc w:val="center"/>
              <w:rPr>
                <w:szCs w:val="21"/>
              </w:rPr>
            </w:pPr>
            <w:r>
              <w:rPr>
                <w:rFonts w:hint="eastAsia"/>
                <w:szCs w:val="21"/>
              </w:rPr>
              <w:t>国网冀北电力有限公司</w:t>
            </w:r>
          </w:p>
        </w:tc>
        <w:tc>
          <w:tcPr>
            <w:tcW w:w="2637" w:type="dxa"/>
            <w:vAlign w:val="center"/>
          </w:tcPr>
          <w:p w14:paraId="61EC9FD7">
            <w:pPr>
              <w:spacing w:after="0" w:line="360" w:lineRule="auto"/>
              <w:jc w:val="center"/>
              <w:rPr>
                <w:szCs w:val="21"/>
              </w:rPr>
            </w:pPr>
            <w:r>
              <w:rPr>
                <w:rFonts w:hint="eastAsia"/>
                <w:szCs w:val="21"/>
              </w:rPr>
              <w:t>工作统筹、会议组织、行业调研、测试验证</w:t>
            </w:r>
          </w:p>
        </w:tc>
      </w:tr>
      <w:tr w14:paraId="4A2DF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9" w:type="dxa"/>
            <w:vAlign w:val="center"/>
          </w:tcPr>
          <w:p w14:paraId="4FA7D2EF">
            <w:pPr>
              <w:spacing w:after="0" w:line="360" w:lineRule="auto"/>
              <w:jc w:val="center"/>
              <w:rPr>
                <w:rFonts w:hint="eastAsia" w:asciiTheme="minorHAnsi" w:hAnsiTheme="minorHAnsi" w:eastAsiaTheme="minorEastAsia" w:cstheme="minorBidi"/>
                <w:sz w:val="21"/>
                <w:szCs w:val="21"/>
                <w:lang w:val="en-US" w:eastAsia="zh-CN"/>
              </w:rPr>
            </w:pPr>
            <w:r>
              <w:rPr>
                <w:rFonts w:hint="eastAsia"/>
                <w:szCs w:val="21"/>
              </w:rPr>
              <w:t>中国电动汽车充电基础设施促进联盟</w:t>
            </w:r>
          </w:p>
        </w:tc>
        <w:tc>
          <w:tcPr>
            <w:tcW w:w="2637" w:type="dxa"/>
            <w:vAlign w:val="center"/>
          </w:tcPr>
          <w:p w14:paraId="1E15F28C">
            <w:pPr>
              <w:spacing w:after="0" w:line="360" w:lineRule="auto"/>
              <w:jc w:val="center"/>
              <w:rPr>
                <w:rFonts w:hint="eastAsia" w:asciiTheme="minorHAnsi" w:hAnsiTheme="minorHAnsi" w:eastAsiaTheme="minorEastAsia" w:cstheme="minorBidi"/>
                <w:sz w:val="21"/>
                <w:szCs w:val="21"/>
                <w:lang w:val="en-US" w:eastAsia="zh-CN"/>
              </w:rPr>
            </w:pPr>
            <w:r>
              <w:rPr>
                <w:rFonts w:hint="eastAsia"/>
                <w:szCs w:val="21"/>
              </w:rPr>
              <w:t>会议组织</w:t>
            </w:r>
            <w:r>
              <w:rPr>
                <w:rFonts w:hint="eastAsia"/>
                <w:szCs w:val="21"/>
                <w:lang w:eastAsia="zh-CN"/>
              </w:rPr>
              <w:t>、</w:t>
            </w:r>
            <w:r>
              <w:rPr>
                <w:rFonts w:hint="eastAsia"/>
                <w:szCs w:val="21"/>
              </w:rPr>
              <w:t>标准规范性、结构合理性编制支持</w:t>
            </w:r>
          </w:p>
        </w:tc>
      </w:tr>
      <w:tr w14:paraId="5397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9" w:type="dxa"/>
            <w:vAlign w:val="center"/>
          </w:tcPr>
          <w:p w14:paraId="4452A0E7">
            <w:pPr>
              <w:spacing w:after="0" w:line="360" w:lineRule="auto"/>
              <w:jc w:val="center"/>
              <w:rPr>
                <w:szCs w:val="21"/>
              </w:rPr>
            </w:pPr>
            <w:r>
              <w:rPr>
                <w:rFonts w:hint="eastAsia" w:ascii="Times New Roman" w:hAnsi="Times New Roman" w:eastAsia="宋体" w:cs="Times New Roman"/>
                <w:kern w:val="2"/>
                <w:szCs w:val="21"/>
                <w:lang w:val="en-US" w:eastAsia="zh-CN" w:bidi="ar-SA"/>
              </w:rPr>
              <w:t>山东鲁软数字科技有限公司</w:t>
            </w:r>
            <w:r>
              <w:rPr>
                <w:rFonts w:hint="eastAsia" w:eastAsia="宋体"/>
                <w:szCs w:val="21"/>
                <w:lang w:eastAsia="zh-CN"/>
              </w:rPr>
              <w:t>、</w:t>
            </w:r>
            <w:r>
              <w:rPr>
                <w:rFonts w:hint="eastAsia" w:ascii="Times New Roman" w:hAnsi="Times New Roman" w:eastAsia="宋体" w:cs="Times New Roman"/>
                <w:kern w:val="2"/>
                <w:szCs w:val="21"/>
                <w:lang w:val="en-US" w:eastAsia="zh-CN" w:bidi="ar-SA"/>
              </w:rPr>
              <w:t>烟台东方威思顿电气有限公司、北京智研信通科技有限公司、青岛英利达能源有限公司</w:t>
            </w:r>
            <w:r>
              <w:rPr>
                <w:rFonts w:hint="eastAsia" w:eastAsia="宋体"/>
                <w:szCs w:val="21"/>
                <w:lang w:eastAsia="zh-CN"/>
              </w:rPr>
              <w:t>、</w:t>
            </w:r>
            <w:r>
              <w:rPr>
                <w:rFonts w:hint="eastAsia" w:ascii="Times New Roman" w:hAnsi="Times New Roman" w:eastAsia="宋体" w:cs="Times New Roman"/>
                <w:kern w:val="2"/>
                <w:szCs w:val="21"/>
                <w:lang w:val="en-US" w:eastAsia="zh-CN" w:bidi="ar-SA"/>
              </w:rPr>
              <w:t>许继电源有限公司、山东德源电力科技股份有限公司、河南平高智慧能源有限公司</w:t>
            </w:r>
          </w:p>
        </w:tc>
        <w:tc>
          <w:tcPr>
            <w:tcW w:w="2637" w:type="dxa"/>
            <w:vAlign w:val="center"/>
          </w:tcPr>
          <w:p w14:paraId="6907EFB3">
            <w:pPr>
              <w:spacing w:after="0" w:line="360" w:lineRule="auto"/>
              <w:jc w:val="center"/>
              <w:rPr>
                <w:szCs w:val="21"/>
              </w:rPr>
            </w:pPr>
            <w:r>
              <w:rPr>
                <w:rFonts w:hint="eastAsia"/>
                <w:szCs w:val="21"/>
              </w:rPr>
              <w:t>技术支撑、</w:t>
            </w:r>
            <w:r>
              <w:rPr>
                <w:rFonts w:hint="eastAsia"/>
                <w:szCs w:val="21"/>
                <w:lang w:val="en-US" w:eastAsia="zh-CN"/>
              </w:rPr>
              <w:t>产品研发、参数优化</w:t>
            </w:r>
          </w:p>
        </w:tc>
      </w:tr>
      <w:tr w14:paraId="4E5CF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9" w:type="dxa"/>
            <w:vAlign w:val="center"/>
          </w:tcPr>
          <w:p w14:paraId="5A7C2267">
            <w:pPr>
              <w:spacing w:after="0" w:line="360" w:lineRule="auto"/>
              <w:jc w:val="center"/>
              <w:rPr>
                <w:rFonts w:hint="default"/>
                <w:szCs w:val="21"/>
                <w:lang w:val="en-US"/>
              </w:rPr>
            </w:pPr>
            <w:r>
              <w:rPr>
                <w:rFonts w:hint="eastAsia" w:ascii="Times New Roman" w:hAnsi="Times New Roman" w:eastAsia="宋体" w:cs="Times New Roman"/>
                <w:kern w:val="2"/>
                <w:szCs w:val="21"/>
                <w:lang w:val="en-US" w:eastAsia="zh-CN" w:bidi="ar-SA"/>
              </w:rPr>
              <w:t>国网北京市电力公司</w:t>
            </w:r>
            <w:r>
              <w:rPr>
                <w:rFonts w:hint="eastAsia"/>
                <w:szCs w:val="21"/>
              </w:rPr>
              <w:t>、</w:t>
            </w:r>
            <w:r>
              <w:rPr>
                <w:rFonts w:hint="eastAsia" w:ascii="Times New Roman" w:hAnsi="Times New Roman" w:eastAsia="宋体" w:cs="Times New Roman"/>
                <w:kern w:val="2"/>
                <w:szCs w:val="21"/>
                <w:lang w:val="en-US" w:eastAsia="zh-CN" w:bidi="ar-SA"/>
              </w:rPr>
              <w:t>北京群菱能源科技有限公司</w:t>
            </w:r>
            <w:r>
              <w:rPr>
                <w:rFonts w:hint="eastAsia"/>
                <w:szCs w:val="21"/>
              </w:rPr>
              <w:t>、</w:t>
            </w:r>
            <w:r>
              <w:rPr>
                <w:rFonts w:hint="eastAsia" w:ascii="Times New Roman" w:hAnsi="Times New Roman" w:eastAsia="宋体" w:cs="Times New Roman"/>
                <w:kern w:val="2"/>
                <w:szCs w:val="21"/>
                <w:lang w:val="en-US" w:eastAsia="zh-CN" w:bidi="ar-SA"/>
              </w:rPr>
              <w:t>武汉蔚来能源有限公司</w:t>
            </w:r>
            <w:r>
              <w:rPr>
                <w:rFonts w:hint="eastAsia"/>
                <w:szCs w:val="21"/>
              </w:rPr>
              <w:t>、</w:t>
            </w:r>
            <w:r>
              <w:rPr>
                <w:rFonts w:hint="eastAsia" w:ascii="Times New Roman" w:hAnsi="Times New Roman" w:eastAsia="宋体" w:cs="Times New Roman"/>
                <w:kern w:val="2"/>
                <w:szCs w:val="21"/>
                <w:lang w:val="en-US" w:eastAsia="zh-CN" w:bidi="ar-SA"/>
              </w:rPr>
              <w:t>上海启源芯动力</w:t>
            </w:r>
            <w:r>
              <w:rPr>
                <w:rFonts w:hint="eastAsia"/>
                <w:szCs w:val="21"/>
              </w:rPr>
              <w:t>，</w:t>
            </w:r>
            <w:r>
              <w:rPr>
                <w:rFonts w:hint="eastAsia" w:ascii="Times New Roman" w:hAnsi="Times New Roman" w:eastAsia="宋体" w:cs="Times New Roman"/>
                <w:kern w:val="2"/>
                <w:szCs w:val="21"/>
                <w:lang w:val="en-US" w:eastAsia="zh-CN" w:bidi="ar-SA"/>
              </w:rPr>
              <w:t>中电瑞兴新能源科技（天津）有限公司</w:t>
            </w:r>
          </w:p>
        </w:tc>
        <w:tc>
          <w:tcPr>
            <w:tcW w:w="2637" w:type="dxa"/>
            <w:vAlign w:val="center"/>
          </w:tcPr>
          <w:p w14:paraId="66D52DB7">
            <w:pPr>
              <w:spacing w:after="0" w:line="360" w:lineRule="auto"/>
              <w:jc w:val="center"/>
              <w:rPr>
                <w:szCs w:val="21"/>
              </w:rPr>
            </w:pPr>
            <w:r>
              <w:rPr>
                <w:rFonts w:hint="eastAsia"/>
                <w:szCs w:val="21"/>
              </w:rPr>
              <w:t>技术支撑、</w:t>
            </w:r>
            <w:r>
              <w:rPr>
                <w:rFonts w:hint="eastAsia"/>
                <w:szCs w:val="21"/>
                <w:lang w:val="en-US" w:eastAsia="zh-CN"/>
              </w:rPr>
              <w:t>产品检测、兼容性验证</w:t>
            </w:r>
          </w:p>
        </w:tc>
      </w:tr>
      <w:tr w14:paraId="00B5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9" w:type="dxa"/>
            <w:vAlign w:val="center"/>
          </w:tcPr>
          <w:p w14:paraId="776549BD">
            <w:pPr>
              <w:spacing w:after="0" w:line="360" w:lineRule="auto"/>
              <w:jc w:val="center"/>
              <w:rPr>
                <w:szCs w:val="21"/>
              </w:rPr>
            </w:pPr>
            <w:r>
              <w:rPr>
                <w:rFonts w:hint="eastAsia"/>
                <w:szCs w:val="21"/>
              </w:rPr>
              <w:t>国网智慧车联网技术有限公司</w:t>
            </w:r>
          </w:p>
        </w:tc>
        <w:tc>
          <w:tcPr>
            <w:tcW w:w="2637" w:type="dxa"/>
            <w:vAlign w:val="center"/>
          </w:tcPr>
          <w:p w14:paraId="6251183D">
            <w:pPr>
              <w:spacing w:after="0" w:line="360" w:lineRule="auto"/>
              <w:jc w:val="center"/>
              <w:rPr>
                <w:rFonts w:hint="default" w:eastAsiaTheme="minorEastAsia"/>
                <w:szCs w:val="21"/>
                <w:lang w:val="en-US" w:eastAsia="zh-CN"/>
              </w:rPr>
            </w:pPr>
            <w:r>
              <w:rPr>
                <w:rFonts w:hint="eastAsia"/>
                <w:szCs w:val="21"/>
              </w:rPr>
              <w:t>运营端数据支撑</w:t>
            </w:r>
            <w:r>
              <w:rPr>
                <w:rFonts w:hint="eastAsia"/>
                <w:szCs w:val="21"/>
                <w:lang w:eastAsia="zh-CN"/>
              </w:rPr>
              <w:t>、</w:t>
            </w:r>
            <w:r>
              <w:rPr>
                <w:rFonts w:hint="eastAsia"/>
                <w:szCs w:val="21"/>
                <w:lang w:val="en-US" w:eastAsia="zh-CN"/>
              </w:rPr>
              <w:t>数据分析</w:t>
            </w:r>
          </w:p>
        </w:tc>
      </w:tr>
    </w:tbl>
    <w:p w14:paraId="1DA97D87">
      <w:pPr>
        <w:pStyle w:val="3"/>
        <w:numPr>
          <w:ilvl w:val="0"/>
          <w:numId w:val="2"/>
        </w:numPr>
        <w:topLinePunct w:val="0"/>
        <w:ind w:left="0" w:leftChars="0" w:firstLine="357" w:firstLineChars="0"/>
        <w:rPr>
          <w:b/>
        </w:rPr>
      </w:pPr>
      <w:bookmarkStart w:id="4" w:name="heading_3"/>
      <w:r>
        <w:t>标准研讨情况</w:t>
      </w:r>
      <w:bookmarkEnd w:id="4"/>
    </w:p>
    <w:p w14:paraId="3B9897A1">
      <w:pPr>
        <w:spacing w:line="360" w:lineRule="auto"/>
        <w:ind w:left="357" w:firstLine="420" w:firstLineChars="200"/>
        <w:rPr>
          <w:szCs w:val="21"/>
        </w:rPr>
      </w:pPr>
      <w:r>
        <w:rPr>
          <w:rFonts w:hint="eastAsia"/>
          <w:szCs w:val="21"/>
        </w:rPr>
        <w:t>本标准</w:t>
      </w:r>
      <w:r>
        <w:rPr>
          <w:rFonts w:hint="eastAsia"/>
          <w:szCs w:val="21"/>
          <w:lang w:val="en-US" w:eastAsia="zh-CN"/>
        </w:rPr>
        <w:t>编制</w:t>
      </w:r>
      <w:r>
        <w:rPr>
          <w:rFonts w:hint="eastAsia"/>
          <w:szCs w:val="21"/>
        </w:rPr>
        <w:t>主要过程如下：</w:t>
      </w:r>
    </w:p>
    <w:p w14:paraId="700F8C3C">
      <w:pPr>
        <w:pStyle w:val="12"/>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0" w:firstLine="420" w:firstLineChars="200"/>
        <w:textAlignment w:val="auto"/>
        <w:rPr>
          <w:rFonts w:hint="eastAsia" w:ascii="Times New Roman" w:hAnsi="Times New Roman" w:eastAsia="宋体" w:cs="Times New Roman"/>
          <w:kern w:val="2"/>
          <w:szCs w:val="21"/>
          <w:lang w:val="en-US" w:eastAsia="zh-CN" w:bidi="ar-SA"/>
        </w:rPr>
      </w:pPr>
      <w:r>
        <w:rPr>
          <w:rFonts w:hint="eastAsia" w:ascii="Times New Roman" w:hAnsi="Times New Roman" w:eastAsia="宋体" w:cs="Times New Roman"/>
          <w:kern w:val="2"/>
          <w:szCs w:val="21"/>
          <w:lang w:val="en-US" w:eastAsia="zh-CN" w:bidi="ar-SA"/>
        </w:rPr>
        <w:t>2025年1月，国网冀北电力有限公司开展行业调研，针对发现的技术问题制订了台区自适应有序充放电控制的技术路线。</w:t>
      </w:r>
    </w:p>
    <w:p w14:paraId="566DF877">
      <w:pPr>
        <w:pStyle w:val="12"/>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0" w:firstLine="420" w:firstLineChars="200"/>
        <w:textAlignment w:val="auto"/>
        <w:rPr>
          <w:rFonts w:hint="eastAsia" w:ascii="Times New Roman" w:hAnsi="Times New Roman" w:eastAsia="宋体" w:cs="Times New Roman"/>
          <w:kern w:val="2"/>
          <w:szCs w:val="21"/>
          <w:lang w:val="en-US" w:eastAsia="zh-CN" w:bidi="ar-SA"/>
        </w:rPr>
      </w:pPr>
      <w:r>
        <w:rPr>
          <w:rFonts w:hint="eastAsia" w:ascii="Times New Roman" w:hAnsi="Times New Roman" w:eastAsia="宋体" w:cs="Times New Roman"/>
          <w:kern w:val="2"/>
          <w:szCs w:val="21"/>
          <w:lang w:val="en-US" w:eastAsia="zh-CN" w:bidi="ar-SA"/>
        </w:rPr>
        <w:t>2025年4月，国网冀北电力有限公司组织山东鲁软数字科技有限公司等企业，开展台区自适应有序充电关键设备的产品的设计和开发和验证，验证了技术可行性。</w:t>
      </w:r>
    </w:p>
    <w:p w14:paraId="0E9CE0B4">
      <w:pPr>
        <w:pStyle w:val="12"/>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0" w:firstLine="420" w:firstLineChars="200"/>
        <w:textAlignment w:val="auto"/>
        <w:rPr>
          <w:rFonts w:hint="eastAsia" w:ascii="Times New Roman" w:hAnsi="Times New Roman" w:eastAsia="宋体" w:cs="Times New Roman"/>
          <w:kern w:val="2"/>
          <w:szCs w:val="21"/>
          <w:lang w:val="en-US" w:eastAsia="zh-CN" w:bidi="ar-SA"/>
        </w:rPr>
      </w:pPr>
      <w:r>
        <w:rPr>
          <w:rFonts w:hint="eastAsia" w:ascii="Times New Roman" w:hAnsi="Times New Roman" w:eastAsia="宋体" w:cs="Times New Roman"/>
          <w:kern w:val="2"/>
          <w:szCs w:val="21"/>
          <w:lang w:val="en-US" w:eastAsia="zh-CN" w:bidi="ar-SA"/>
        </w:rPr>
        <w:t>2025年8月，国网冀北电力有限公司向中国汽车工业协会提出立项申请。</w:t>
      </w:r>
    </w:p>
    <w:p w14:paraId="6B85D4D1">
      <w:pPr>
        <w:pStyle w:val="12"/>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0" w:firstLine="420" w:firstLineChars="200"/>
        <w:textAlignment w:val="auto"/>
        <w:rPr>
          <w:rFonts w:hint="eastAsia" w:ascii="Times New Roman" w:hAnsi="Times New Roman" w:eastAsia="宋体" w:cs="Times New Roman"/>
          <w:kern w:val="2"/>
          <w:szCs w:val="21"/>
          <w:lang w:val="en-US" w:eastAsia="zh-CN" w:bidi="ar-SA"/>
        </w:rPr>
      </w:pPr>
      <w:r>
        <w:rPr>
          <w:rFonts w:hint="eastAsia" w:ascii="Times New Roman" w:hAnsi="Times New Roman" w:eastAsia="宋体" w:cs="Times New Roman"/>
          <w:kern w:val="2"/>
          <w:szCs w:val="21"/>
          <w:lang w:val="en-US" w:eastAsia="zh-CN" w:bidi="ar-SA"/>
        </w:rPr>
        <w:t>2025年10 月召开立项评审会，由专家组织完成对技术必要性、可行性论证，确定标准核心框架与适用范围等核心内容的论证。</w:t>
      </w:r>
    </w:p>
    <w:p w14:paraId="10CECA4E">
      <w:pPr>
        <w:pStyle w:val="12"/>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0" w:firstLine="420" w:firstLineChars="200"/>
        <w:textAlignment w:val="auto"/>
        <w:rPr>
          <w:rFonts w:hint="eastAsia" w:ascii="Times New Roman" w:hAnsi="Times New Roman" w:eastAsia="宋体" w:cs="Times New Roman"/>
          <w:kern w:val="2"/>
          <w:szCs w:val="21"/>
          <w:lang w:val="en-US" w:eastAsia="zh-CN" w:bidi="ar-SA"/>
        </w:rPr>
      </w:pPr>
      <w:r>
        <w:rPr>
          <w:rFonts w:hint="eastAsia" w:ascii="Times New Roman" w:hAnsi="Times New Roman" w:eastAsia="宋体" w:cs="Times New Roman"/>
          <w:kern w:val="2"/>
          <w:szCs w:val="21"/>
          <w:lang w:val="en-US" w:eastAsia="zh-CN" w:bidi="ar-SA"/>
        </w:rPr>
        <w:t>2026年1月，标准正式立项，国网冀北电力有限公司研究确定编制团队制订编制工作计划。</w:t>
      </w:r>
    </w:p>
    <w:p w14:paraId="219CA8AA">
      <w:pPr>
        <w:pStyle w:val="12"/>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0" w:firstLine="420" w:firstLineChars="200"/>
        <w:textAlignment w:val="auto"/>
        <w:rPr>
          <w:rFonts w:hint="eastAsia" w:ascii="Times New Roman" w:hAnsi="Times New Roman" w:eastAsia="宋体" w:cs="Times New Roman"/>
          <w:kern w:val="2"/>
          <w:szCs w:val="21"/>
          <w:lang w:val="en-US" w:eastAsia="zh-CN" w:bidi="ar-SA"/>
        </w:rPr>
      </w:pPr>
      <w:r>
        <w:rPr>
          <w:rFonts w:hint="eastAsia" w:ascii="Times New Roman" w:hAnsi="Times New Roman" w:eastAsia="宋体" w:cs="Times New Roman"/>
          <w:kern w:val="2"/>
          <w:szCs w:val="21"/>
          <w:lang w:val="en-US" w:eastAsia="zh-CN" w:bidi="ar-SA"/>
        </w:rPr>
        <w:t>2026年4月，国网冀北电力有限公司会同山东鲁软数字科技工作编制完成标准草案，并召开了启动会与各参编单位讨论标准草案，确定了范围、技术架构、技术要求、验证方法及有关附录的设置。</w:t>
      </w:r>
    </w:p>
    <w:p w14:paraId="7B0E6B47">
      <w:pPr>
        <w:pStyle w:val="12"/>
        <w:numPr>
          <w:ilvl w:val="0"/>
          <w:numId w:val="4"/>
        </w:numPr>
        <w:spacing w:before="0" w:line="360" w:lineRule="auto"/>
        <w:ind w:left="0" w:firstLine="425"/>
        <w:rPr>
          <w:rFonts w:ascii="Times New Roman" w:hAnsi="Times New Roman"/>
          <w:szCs w:val="21"/>
        </w:rPr>
      </w:pPr>
      <w:r>
        <w:rPr>
          <w:rFonts w:hint="eastAsia" w:ascii="Times New Roman" w:hAnsi="Times New Roman" w:eastAsia="宋体" w:cs="Times New Roman"/>
          <w:kern w:val="2"/>
          <w:szCs w:val="21"/>
          <w:lang w:val="en-US" w:eastAsia="zh-CN" w:bidi="ar-SA"/>
        </w:rPr>
        <w:t>2026年6月，国网冀北电力有限公司完成第二轮集中研讨，对标准的内容进行完善，</w:t>
      </w:r>
      <w:r>
        <w:rPr>
          <w:rFonts w:hint="eastAsia" w:ascii="Times New Roman" w:hAnsi="Times New Roman"/>
          <w:szCs w:val="21"/>
        </w:rPr>
        <w:t>各企业就</w:t>
      </w:r>
      <w:r>
        <w:rPr>
          <w:rFonts w:hint="eastAsia" w:ascii="Times New Roman" w:hAnsi="Times New Roman"/>
          <w:szCs w:val="21"/>
          <w:lang w:val="en-US" w:eastAsia="zh-CN"/>
        </w:rPr>
        <w:t>台区自适应有序充电产品通用要求</w:t>
      </w:r>
      <w:r>
        <w:rPr>
          <w:rFonts w:hint="eastAsia" w:ascii="Times New Roman" w:hAnsi="Times New Roman"/>
          <w:szCs w:val="21"/>
        </w:rPr>
        <w:t>、</w:t>
      </w:r>
      <w:r>
        <w:rPr>
          <w:rFonts w:hint="eastAsia" w:ascii="Times New Roman" w:hAnsi="Times New Roman"/>
          <w:szCs w:val="21"/>
          <w:lang w:val="en-US" w:eastAsia="zh-CN"/>
        </w:rPr>
        <w:t>通信要求、策略要求、检验要求等内容</w:t>
      </w:r>
      <w:r>
        <w:rPr>
          <w:rFonts w:hint="eastAsia" w:ascii="Times New Roman" w:hAnsi="Times New Roman"/>
          <w:szCs w:val="21"/>
        </w:rPr>
        <w:t>进行深度讨论并达成一致</w:t>
      </w:r>
      <w:r>
        <w:rPr>
          <w:rFonts w:hint="eastAsia" w:ascii="Times New Roman" w:hAnsi="Times New Roman"/>
          <w:szCs w:val="21"/>
          <w:lang w:eastAsia="zh-CN"/>
        </w:rPr>
        <w:t>，</w:t>
      </w:r>
      <w:r>
        <w:rPr>
          <w:rFonts w:hint="eastAsia" w:ascii="Times New Roman" w:hAnsi="Times New Roman" w:eastAsia="宋体" w:cs="Times New Roman"/>
          <w:kern w:val="2"/>
          <w:szCs w:val="21"/>
          <w:lang w:val="en-US" w:eastAsia="zh-CN" w:bidi="ar-SA"/>
        </w:rPr>
        <w:t>形成可供行业意见征集的标准稿案。</w:t>
      </w:r>
    </w:p>
    <w:p w14:paraId="5BE66BF3">
      <w:pPr>
        <w:pStyle w:val="12"/>
        <w:numPr>
          <w:ilvl w:val="0"/>
          <w:numId w:val="4"/>
        </w:numPr>
        <w:spacing w:before="0" w:line="360" w:lineRule="auto"/>
        <w:ind w:left="0" w:firstLine="425"/>
        <w:rPr>
          <w:rFonts w:hint="eastAsia" w:ascii="Times New Roman" w:hAnsi="Times New Roman" w:eastAsia="宋体" w:cs="Times New Roman"/>
          <w:kern w:val="2"/>
          <w:szCs w:val="21"/>
          <w:lang w:val="en-US" w:eastAsia="zh-CN" w:bidi="ar-SA"/>
        </w:rPr>
      </w:pPr>
      <w:r>
        <w:rPr>
          <w:rFonts w:hint="eastAsia" w:ascii="Times New Roman" w:hAnsi="Times New Roman" w:eastAsia="宋体" w:cs="Times New Roman"/>
          <w:kern w:val="2"/>
          <w:szCs w:val="21"/>
          <w:lang w:val="en-US" w:eastAsia="zh-CN" w:bidi="ar-SA"/>
        </w:rPr>
        <w:t>2026年7月，由中汽协会统一组织进行全行业意见征集。</w:t>
      </w:r>
    </w:p>
    <w:p w14:paraId="3A111A8D">
      <w:pPr>
        <w:pStyle w:val="12"/>
        <w:spacing w:before="0" w:line="360" w:lineRule="auto"/>
        <w:ind w:firstLine="420" w:firstLineChars="200"/>
        <w:rPr>
          <w:rFonts w:ascii="Times New Roman" w:hAnsi="Times New Roman"/>
          <w:szCs w:val="21"/>
        </w:rPr>
      </w:pPr>
      <w:r>
        <w:rPr>
          <w:rFonts w:hint="eastAsia" w:ascii="Times New Roman" w:hAnsi="Times New Roman"/>
          <w:szCs w:val="21"/>
        </w:rPr>
        <w:t>除以上重要工作过程时间节点外，在标准制定过程中，项目组还多次召开内部技术讨论会对标准内容进行研讨和完善。</w:t>
      </w:r>
    </w:p>
    <w:p w14:paraId="0D223943">
      <w:pPr>
        <w:pStyle w:val="11"/>
        <w:numPr>
          <w:ilvl w:val="0"/>
          <w:numId w:val="0"/>
        </w:numPr>
        <w:ind w:left="420" w:leftChars="0"/>
        <w:rPr>
          <w:rFonts w:ascii="Times New Roman" w:hAnsi="Calibri" w:eastAsia="宋体" w:cs="Times New Roman"/>
          <w:b w:val="0"/>
          <w:color w:val="auto"/>
          <w:sz w:val="21"/>
        </w:rPr>
      </w:pPr>
    </w:p>
    <w:p w14:paraId="6B35604E">
      <w:pPr>
        <w:pStyle w:val="2"/>
        <w:numPr>
          <w:ilvl w:val="0"/>
          <w:numId w:val="1"/>
        </w:numPr>
        <w:topLinePunct w:val="0"/>
        <w:ind w:left="0" w:leftChars="0" w:firstLine="480" w:firstLineChars="0"/>
        <w:rPr>
          <w:b w:val="0"/>
        </w:rPr>
      </w:pPr>
      <w:bookmarkStart w:id="5" w:name="heading_4"/>
      <w:r>
        <w:t>标准编制原则和主要内容</w:t>
      </w:r>
      <w:bookmarkEnd w:id="5"/>
    </w:p>
    <w:p w14:paraId="33383D46">
      <w:pPr>
        <w:pStyle w:val="3"/>
        <w:numPr>
          <w:ilvl w:val="0"/>
          <w:numId w:val="5"/>
        </w:numPr>
        <w:topLinePunct w:val="0"/>
        <w:ind w:left="0" w:leftChars="0" w:firstLine="357" w:firstLineChars="0"/>
        <w:rPr>
          <w:b/>
        </w:rPr>
      </w:pPr>
      <w:bookmarkStart w:id="6" w:name="heading_5"/>
      <w:r>
        <w:t>编制原则</w:t>
      </w:r>
      <w:bookmarkEnd w:id="6"/>
    </w:p>
    <w:p w14:paraId="77B62F61">
      <w:pPr>
        <w:pStyle w:val="11"/>
        <w:numPr>
          <w:ilvl w:val="0"/>
          <w:numId w:val="6"/>
        </w:numPr>
        <w:ind w:left="0" w:leftChars="0" w:firstLine="420" w:firstLineChars="0"/>
        <w:rPr>
          <w:rFonts w:ascii="Times New Roman" w:hAnsi="Calibri" w:eastAsia="宋体" w:cs="Times New Roman"/>
          <w:b w:val="0"/>
          <w:color w:val="auto"/>
          <w:sz w:val="21"/>
        </w:rPr>
      </w:pPr>
      <w:r>
        <w:rPr>
          <w:rFonts w:ascii="Times New Roman" w:hAnsi="Calibri" w:eastAsia="宋体" w:cs="Times New Roman"/>
          <w:b/>
          <w:color w:val="auto"/>
          <w:sz w:val="21"/>
        </w:rPr>
        <w:t>合规性原则</w:t>
      </w:r>
      <w:r>
        <w:rPr>
          <w:rFonts w:ascii="Times New Roman" w:hAnsi="Calibri" w:eastAsia="宋体" w:cs="Times New Roman"/>
          <w:color w:val="auto"/>
          <w:sz w:val="21"/>
        </w:rPr>
        <w:t>：严格遵循国家法律法规</w:t>
      </w:r>
      <w:r>
        <w:rPr>
          <w:rFonts w:hint="eastAsia" w:cs="Times New Roman"/>
          <w:color w:val="auto"/>
          <w:sz w:val="21"/>
          <w:lang w:eastAsia="zh-CN"/>
        </w:rPr>
        <w:t>，</w:t>
      </w:r>
      <w:r>
        <w:rPr>
          <w:rFonts w:hint="eastAsia" w:cs="Times New Roman"/>
          <w:color w:val="auto"/>
          <w:sz w:val="21"/>
          <w:lang w:val="en-US" w:eastAsia="zh-CN"/>
        </w:rPr>
        <w:t>并</w:t>
      </w:r>
      <w:r>
        <w:rPr>
          <w:rFonts w:hint="eastAsia"/>
          <w:szCs w:val="21"/>
        </w:rPr>
        <w:t>按照GB/T 1.1―2020《标准化工作导则第1部分：标准化文件的结构和起草规则》给出的规则起草</w:t>
      </w:r>
      <w:r>
        <w:rPr>
          <w:rFonts w:ascii="Times New Roman" w:hAnsi="Calibri" w:eastAsia="宋体" w:cs="Times New Roman"/>
          <w:color w:val="auto"/>
          <w:sz w:val="21"/>
        </w:rPr>
        <w:t>求；</w:t>
      </w:r>
    </w:p>
    <w:p w14:paraId="2734C331">
      <w:pPr>
        <w:pStyle w:val="11"/>
        <w:numPr>
          <w:ilvl w:val="0"/>
          <w:numId w:val="6"/>
        </w:numPr>
        <w:ind w:left="0" w:leftChars="0" w:firstLine="420" w:firstLineChars="0"/>
        <w:rPr>
          <w:rFonts w:ascii="Times New Roman" w:hAnsi="Calibri" w:eastAsia="宋体" w:cs="Times New Roman"/>
          <w:b w:val="0"/>
          <w:color w:val="auto"/>
          <w:sz w:val="21"/>
        </w:rPr>
      </w:pPr>
      <w:r>
        <w:rPr>
          <w:rFonts w:ascii="Times New Roman" w:hAnsi="Calibri" w:eastAsia="宋体" w:cs="Times New Roman"/>
          <w:b/>
          <w:color w:val="auto"/>
          <w:sz w:val="21"/>
        </w:rPr>
        <w:t>先进</w:t>
      </w:r>
      <w:r>
        <w:rPr>
          <w:rFonts w:hint="eastAsia" w:cs="Times New Roman"/>
          <w:b/>
          <w:color w:val="auto"/>
          <w:sz w:val="21"/>
          <w:lang w:val="en-US" w:eastAsia="zh-CN"/>
        </w:rPr>
        <w:t>实用</w:t>
      </w:r>
      <w:r>
        <w:rPr>
          <w:rFonts w:ascii="Times New Roman" w:hAnsi="Calibri" w:eastAsia="宋体" w:cs="Times New Roman"/>
          <w:b/>
          <w:color w:val="auto"/>
          <w:sz w:val="21"/>
        </w:rPr>
        <w:t>原则</w:t>
      </w:r>
      <w:r>
        <w:rPr>
          <w:rFonts w:ascii="Times New Roman" w:hAnsi="Calibri" w:eastAsia="宋体" w:cs="Times New Roman"/>
          <w:color w:val="auto"/>
          <w:sz w:val="21"/>
        </w:rPr>
        <w:t>：融合本地自治、云边协同、双模通信等前沿技术，引领台区有序充放电技术升级</w:t>
      </w:r>
      <w:r>
        <w:rPr>
          <w:rFonts w:hint="eastAsia" w:cs="Times New Roman"/>
          <w:color w:val="auto"/>
          <w:sz w:val="21"/>
          <w:lang w:eastAsia="zh-CN"/>
        </w:rPr>
        <w:t>；</w:t>
      </w:r>
      <w:r>
        <w:rPr>
          <w:rFonts w:hint="eastAsia" w:cs="Times New Roman"/>
          <w:color w:val="auto"/>
          <w:sz w:val="21"/>
          <w:lang w:val="en-US" w:eastAsia="zh-CN"/>
        </w:rPr>
        <w:t>场景</w:t>
      </w:r>
      <w:r>
        <w:rPr>
          <w:rFonts w:ascii="Times New Roman" w:hAnsi="Calibri" w:eastAsia="宋体" w:cs="Times New Roman"/>
          <w:color w:val="auto"/>
          <w:sz w:val="21"/>
        </w:rPr>
        <w:t>贴合居民小区、公共场站、光储充一体化等实际场景，具备可落地、可复制性；</w:t>
      </w:r>
    </w:p>
    <w:p w14:paraId="2D7E0D27">
      <w:pPr>
        <w:pStyle w:val="11"/>
        <w:numPr>
          <w:ilvl w:val="0"/>
          <w:numId w:val="6"/>
        </w:numPr>
        <w:ind w:left="0" w:leftChars="0" w:firstLine="420" w:firstLineChars="0"/>
        <w:rPr>
          <w:rFonts w:ascii="Times New Roman" w:hAnsi="Calibri" w:eastAsia="宋体" w:cs="Times New Roman"/>
          <w:b w:val="0"/>
          <w:color w:val="auto"/>
          <w:sz w:val="21"/>
        </w:rPr>
      </w:pPr>
      <w:r>
        <w:rPr>
          <w:rFonts w:hint="eastAsia" w:cs="Times New Roman"/>
          <w:b/>
          <w:color w:val="auto"/>
          <w:sz w:val="21"/>
          <w:lang w:val="en-US" w:eastAsia="zh-CN"/>
        </w:rPr>
        <w:t>适度超前</w:t>
      </w:r>
      <w:r>
        <w:rPr>
          <w:rFonts w:ascii="Times New Roman" w:hAnsi="Calibri" w:eastAsia="宋体" w:cs="Times New Roman"/>
          <w:b/>
          <w:color w:val="auto"/>
          <w:sz w:val="21"/>
        </w:rPr>
        <w:t>原则</w:t>
      </w:r>
      <w:r>
        <w:rPr>
          <w:rFonts w:ascii="Times New Roman" w:hAnsi="Calibri" w:eastAsia="宋体" w:cs="Times New Roman"/>
          <w:color w:val="auto"/>
          <w:sz w:val="21"/>
        </w:rPr>
        <w:t>：</w:t>
      </w:r>
      <w:r>
        <w:rPr>
          <w:rFonts w:hint="eastAsia" w:ascii="Times New Roman" w:hAnsi="Calibri" w:eastAsia="宋体" w:cs="Times New Roman"/>
          <w:color w:val="auto"/>
          <w:sz w:val="21"/>
        </w:rPr>
        <w:t>立足当前配电台区存量改造与增量建设的现实需求，同时紧密跟踪车网互动（V2G）技术发展趋势。在技术指标设定上，摒弃了脱离实际的过度</w:t>
      </w:r>
      <w:r>
        <w:rPr>
          <w:rFonts w:hint="eastAsia" w:cs="Times New Roman"/>
          <w:color w:val="auto"/>
          <w:sz w:val="21"/>
          <w:lang w:val="en-US" w:eastAsia="zh-CN"/>
        </w:rPr>
        <w:t>改造</w:t>
      </w:r>
      <w:r>
        <w:rPr>
          <w:rFonts w:hint="eastAsia" w:ascii="Times New Roman" w:hAnsi="Calibri" w:eastAsia="宋体" w:cs="Times New Roman"/>
          <w:color w:val="auto"/>
          <w:sz w:val="21"/>
        </w:rPr>
        <w:t>，重点围绕“</w:t>
      </w:r>
      <w:r>
        <w:rPr>
          <w:rFonts w:hint="eastAsia" w:cs="Times New Roman"/>
          <w:color w:val="auto"/>
          <w:sz w:val="21"/>
          <w:lang w:val="en-US" w:eastAsia="zh-CN"/>
        </w:rPr>
        <w:t>智能终端</w:t>
      </w:r>
      <w:r>
        <w:rPr>
          <w:rFonts w:hint="eastAsia" w:ascii="Times New Roman" w:hAnsi="Calibri" w:eastAsia="宋体" w:cs="Times New Roman"/>
          <w:color w:val="auto"/>
          <w:sz w:val="21"/>
        </w:rPr>
        <w:t>+双模桩”这一高性价比架构，规范了基于本地边缘计算的秒级功率调节机制。</w:t>
      </w:r>
    </w:p>
    <w:p w14:paraId="342F3DCF">
      <w:pPr>
        <w:pStyle w:val="11"/>
        <w:numPr>
          <w:ilvl w:val="0"/>
          <w:numId w:val="6"/>
        </w:numPr>
        <w:ind w:left="0" w:leftChars="0" w:firstLine="420" w:firstLineChars="0"/>
        <w:rPr>
          <w:rFonts w:ascii="Times New Roman" w:hAnsi="Calibri" w:eastAsia="宋体" w:cs="Times New Roman"/>
          <w:b w:val="0"/>
          <w:color w:val="auto"/>
          <w:sz w:val="21"/>
        </w:rPr>
      </w:pPr>
      <w:r>
        <w:rPr>
          <w:rFonts w:ascii="Times New Roman" w:hAnsi="Calibri" w:eastAsia="宋体" w:cs="Times New Roman"/>
          <w:b/>
          <w:color w:val="auto"/>
          <w:sz w:val="21"/>
        </w:rPr>
        <w:t>安全性原则</w:t>
      </w:r>
      <w:r>
        <w:rPr>
          <w:rFonts w:ascii="Times New Roman" w:hAnsi="Calibri" w:eastAsia="宋体" w:cs="Times New Roman"/>
          <w:color w:val="auto"/>
          <w:sz w:val="21"/>
        </w:rPr>
        <w:t>：全覆盖电气安全、电网交互安全、信息安全要求，保障系统稳定运行。</w:t>
      </w:r>
    </w:p>
    <w:p w14:paraId="3F4AFE03">
      <w:pPr>
        <w:pStyle w:val="3"/>
        <w:numPr>
          <w:ilvl w:val="0"/>
          <w:numId w:val="5"/>
        </w:numPr>
        <w:topLinePunct w:val="0"/>
        <w:ind w:left="0" w:leftChars="0" w:firstLine="357" w:firstLineChars="0"/>
        <w:rPr>
          <w:b/>
        </w:rPr>
      </w:pPr>
      <w:bookmarkStart w:id="7" w:name="heading_6"/>
      <w:r>
        <w:t>主要内容</w:t>
      </w:r>
      <w:bookmarkEnd w:id="7"/>
    </w:p>
    <w:p w14:paraId="3441295D">
      <w:pPr>
        <w:pStyle w:val="11"/>
        <w:rPr>
          <w:rFonts w:ascii="Times New Roman" w:hAnsi="Calibri" w:eastAsia="宋体" w:cs="Times New Roman"/>
          <w:color w:val="auto"/>
          <w:sz w:val="21"/>
        </w:rPr>
      </w:pPr>
      <w:r>
        <w:rPr>
          <w:rFonts w:ascii="Times New Roman" w:hAnsi="Calibri" w:eastAsia="宋体" w:cs="Times New Roman"/>
          <w:color w:val="auto"/>
          <w:sz w:val="21"/>
        </w:rPr>
        <w:t>本标准共 12 章及 4 项附件，核心内容包括：</w:t>
      </w:r>
    </w:p>
    <w:p w14:paraId="7DD5D9F3">
      <w:pPr>
        <w:pStyle w:val="11"/>
        <w:numPr>
          <w:ilvl w:val="0"/>
          <w:numId w:val="7"/>
        </w:numPr>
        <w:ind w:left="0" w:leftChars="0" w:firstLine="420" w:firstLineChars="0"/>
        <w:rPr>
          <w:rFonts w:ascii="Times New Roman" w:hAnsi="Calibri" w:eastAsia="宋体" w:cs="Times New Roman"/>
          <w:b w:val="0"/>
          <w:color w:val="auto"/>
          <w:sz w:val="21"/>
        </w:rPr>
      </w:pPr>
      <w:r>
        <w:rPr>
          <w:rFonts w:ascii="Times New Roman" w:hAnsi="Calibri" w:eastAsia="宋体" w:cs="Times New Roman"/>
          <w:color w:val="auto"/>
          <w:sz w:val="21"/>
        </w:rPr>
        <w:t>明确</w:t>
      </w:r>
      <w:r>
        <w:rPr>
          <w:rFonts w:ascii="Times New Roman" w:hAnsi="Calibri" w:eastAsia="宋体" w:cs="Times New Roman"/>
          <w:b/>
          <w:color w:val="auto"/>
          <w:sz w:val="21"/>
        </w:rPr>
        <w:t>10kV/0.4kV 配电台区</w:t>
      </w:r>
      <w:r>
        <w:rPr>
          <w:rFonts w:ascii="Times New Roman" w:hAnsi="Calibri" w:eastAsia="宋体" w:cs="Times New Roman"/>
          <w:color w:val="auto"/>
          <w:sz w:val="21"/>
        </w:rPr>
        <w:t>自适应有序充放电系统的设计、安装、验收、运行维护全流程要求，覆盖居民私人桩、公共直流桩、光储充一体化及 V2G 场景；</w:t>
      </w:r>
    </w:p>
    <w:p w14:paraId="7A0FC733">
      <w:pPr>
        <w:pStyle w:val="11"/>
        <w:numPr>
          <w:ilvl w:val="0"/>
          <w:numId w:val="7"/>
        </w:numPr>
        <w:ind w:left="0" w:leftChars="0" w:firstLine="420" w:firstLineChars="0"/>
        <w:rPr>
          <w:rFonts w:ascii="Times New Roman" w:hAnsi="Calibri" w:eastAsia="宋体" w:cs="Times New Roman"/>
          <w:b w:val="0"/>
          <w:color w:val="auto"/>
          <w:sz w:val="21"/>
        </w:rPr>
      </w:pPr>
      <w:r>
        <w:rPr>
          <w:rFonts w:ascii="Times New Roman" w:hAnsi="Calibri" w:eastAsia="宋体" w:cs="Times New Roman"/>
          <w:color w:val="auto"/>
          <w:sz w:val="21"/>
        </w:rPr>
        <w:t>规定</w:t>
      </w:r>
      <w:r>
        <w:rPr>
          <w:rFonts w:ascii="Times New Roman" w:hAnsi="Calibri" w:eastAsia="宋体" w:cs="Times New Roman"/>
          <w:b/>
          <w:color w:val="auto"/>
          <w:sz w:val="21"/>
        </w:rPr>
        <w:t>本地自治 + 云边协同</w:t>
      </w:r>
      <w:r>
        <w:rPr>
          <w:rFonts w:ascii="Times New Roman" w:hAnsi="Calibri" w:eastAsia="宋体" w:cs="Times New Roman"/>
          <w:color w:val="auto"/>
          <w:sz w:val="21"/>
        </w:rPr>
        <w:t>双层架构，明确智能融合终端、双模充放电桩的设备性能与通信要求；</w:t>
      </w:r>
    </w:p>
    <w:p w14:paraId="76C797A0">
      <w:pPr>
        <w:pStyle w:val="11"/>
        <w:numPr>
          <w:ilvl w:val="0"/>
          <w:numId w:val="7"/>
        </w:numPr>
        <w:ind w:left="0" w:leftChars="0" w:firstLine="420" w:firstLineChars="0"/>
        <w:rPr>
          <w:rFonts w:ascii="Times New Roman" w:hAnsi="Calibri" w:eastAsia="宋体" w:cs="Times New Roman"/>
          <w:b w:val="0"/>
          <w:color w:val="auto"/>
          <w:sz w:val="21"/>
        </w:rPr>
      </w:pPr>
      <w:r>
        <w:rPr>
          <w:rFonts w:ascii="Times New Roman" w:hAnsi="Calibri" w:eastAsia="宋体" w:cs="Times New Roman"/>
          <w:color w:val="auto"/>
          <w:sz w:val="21"/>
        </w:rPr>
        <w:t>制定</w:t>
      </w:r>
      <w:r>
        <w:rPr>
          <w:rFonts w:ascii="Times New Roman" w:hAnsi="Calibri" w:eastAsia="宋体" w:cs="Times New Roman"/>
          <w:b/>
          <w:color w:val="auto"/>
          <w:sz w:val="21"/>
        </w:rPr>
        <w:t>一台区一策略</w:t>
      </w:r>
      <w:r>
        <w:rPr>
          <w:rFonts w:ascii="Times New Roman" w:hAnsi="Calibri" w:eastAsia="宋体" w:cs="Times New Roman"/>
          <w:color w:val="auto"/>
          <w:sz w:val="21"/>
        </w:rPr>
        <w:t>自适应调控机制，规范功率调节、三相不平衡治理、高低电压补偿等核心策略；</w:t>
      </w:r>
    </w:p>
    <w:p w14:paraId="6DC7093E">
      <w:pPr>
        <w:pStyle w:val="11"/>
        <w:numPr>
          <w:ilvl w:val="0"/>
          <w:numId w:val="7"/>
        </w:numPr>
        <w:ind w:left="0" w:leftChars="0" w:firstLine="420" w:firstLineChars="0"/>
        <w:rPr>
          <w:rFonts w:ascii="Times New Roman" w:hAnsi="Calibri" w:eastAsia="宋体" w:cs="Times New Roman"/>
          <w:b w:val="0"/>
          <w:color w:val="auto"/>
          <w:sz w:val="21"/>
        </w:rPr>
      </w:pPr>
      <w:r>
        <w:rPr>
          <w:rFonts w:ascii="Times New Roman" w:hAnsi="Calibri" w:eastAsia="宋体" w:cs="Times New Roman"/>
          <w:color w:val="auto"/>
          <w:sz w:val="21"/>
        </w:rPr>
        <w:t>细化电气安全、孤岛防护、信息加密等安全要求，明确检验验收与运维管理规范。</w:t>
      </w:r>
    </w:p>
    <w:p w14:paraId="60C73B8D">
      <w:pPr>
        <w:pStyle w:val="3"/>
        <w:numPr>
          <w:ilvl w:val="0"/>
          <w:numId w:val="5"/>
        </w:numPr>
        <w:topLinePunct w:val="0"/>
        <w:ind w:left="0" w:leftChars="0" w:firstLine="357" w:firstLineChars="0"/>
        <w:rPr>
          <w:b/>
        </w:rPr>
      </w:pPr>
      <w:bookmarkStart w:id="8" w:name="heading_7"/>
      <w:r>
        <w:t>技术先进性、创新性</w:t>
      </w:r>
      <w:bookmarkEnd w:id="8"/>
    </w:p>
    <w:p w14:paraId="05350636">
      <w:pPr>
        <w:pStyle w:val="11"/>
        <w:numPr>
          <w:ilvl w:val="0"/>
          <w:numId w:val="8"/>
        </w:numPr>
        <w:ind w:left="0" w:leftChars="0" w:firstLine="420" w:firstLineChars="0"/>
        <w:rPr>
          <w:rFonts w:ascii="Times New Roman" w:hAnsi="Calibri" w:eastAsia="宋体" w:cs="Times New Roman"/>
          <w:b w:val="0"/>
          <w:color w:val="auto"/>
          <w:sz w:val="21"/>
        </w:rPr>
      </w:pPr>
      <w:r>
        <w:rPr>
          <w:rFonts w:ascii="Times New Roman" w:hAnsi="Calibri" w:eastAsia="宋体" w:cs="Times New Roman"/>
          <w:b/>
          <w:color w:val="auto"/>
          <w:sz w:val="21"/>
        </w:rPr>
        <w:t>先进性</w:t>
      </w:r>
      <w:r>
        <w:rPr>
          <w:rFonts w:ascii="Times New Roman" w:hAnsi="Calibri" w:eastAsia="宋体" w:cs="Times New Roman"/>
          <w:color w:val="auto"/>
          <w:sz w:val="21"/>
        </w:rPr>
        <w:t>：调控响应时间从分钟级缩短至</w:t>
      </w:r>
      <w:r>
        <w:rPr>
          <w:rFonts w:ascii="Times New Roman" w:hAnsi="Calibri" w:eastAsia="宋体" w:cs="Times New Roman"/>
          <w:b/>
          <w:color w:val="auto"/>
          <w:sz w:val="21"/>
        </w:rPr>
        <w:t>秒级</w:t>
      </w:r>
      <w:r>
        <w:rPr>
          <w:rFonts w:ascii="Times New Roman" w:hAnsi="Calibri" w:eastAsia="宋体" w:cs="Times New Roman"/>
          <w:color w:val="auto"/>
          <w:sz w:val="21"/>
        </w:rPr>
        <w:t>，通信可靠率</w:t>
      </w:r>
      <w:r>
        <w:rPr>
          <w:rFonts w:hint="eastAsia" w:cs="Times New Roman"/>
          <w:color w:val="auto"/>
          <w:sz w:val="21"/>
          <w:lang w:eastAsia="zh-CN"/>
        </w:rPr>
        <w:t>、</w:t>
      </w:r>
      <w:r>
        <w:rPr>
          <w:rFonts w:ascii="Times New Roman" w:hAnsi="Calibri" w:eastAsia="宋体" w:cs="Times New Roman"/>
          <w:color w:val="auto"/>
          <w:sz w:val="21"/>
        </w:rPr>
        <w:t>三相不平衡度控制</w:t>
      </w:r>
      <w:r>
        <w:rPr>
          <w:rFonts w:hint="eastAsia" w:cs="Times New Roman"/>
          <w:color w:val="auto"/>
          <w:sz w:val="21"/>
          <w:lang w:val="en-US" w:eastAsia="zh-CN"/>
        </w:rPr>
        <w:t>均提升明显</w:t>
      </w:r>
      <w:r>
        <w:rPr>
          <w:rFonts w:ascii="Times New Roman" w:hAnsi="Calibri" w:eastAsia="宋体" w:cs="Times New Roman"/>
          <w:color w:val="auto"/>
          <w:sz w:val="21"/>
        </w:rPr>
        <w:t>；</w:t>
      </w:r>
    </w:p>
    <w:p w14:paraId="79386676">
      <w:pPr>
        <w:pStyle w:val="11"/>
        <w:numPr>
          <w:ilvl w:val="0"/>
          <w:numId w:val="8"/>
        </w:numPr>
        <w:ind w:left="0" w:leftChars="0" w:firstLine="420" w:firstLineChars="0"/>
        <w:rPr>
          <w:rFonts w:ascii="Times New Roman" w:hAnsi="Calibri" w:eastAsia="宋体" w:cs="Times New Roman"/>
          <w:b w:val="0"/>
          <w:color w:val="auto"/>
          <w:sz w:val="21"/>
        </w:rPr>
      </w:pPr>
      <w:r>
        <w:rPr>
          <w:rFonts w:ascii="Times New Roman" w:hAnsi="Calibri" w:eastAsia="宋体" w:cs="Times New Roman"/>
          <w:b/>
          <w:color w:val="auto"/>
          <w:sz w:val="21"/>
        </w:rPr>
        <w:t>创新性</w:t>
      </w:r>
      <w:r>
        <w:rPr>
          <w:rFonts w:ascii="Times New Roman" w:hAnsi="Calibri" w:eastAsia="宋体" w:cs="Times New Roman"/>
          <w:color w:val="auto"/>
          <w:sz w:val="21"/>
        </w:rPr>
        <w:t>：首创台区本地自适应功率调控、双模通信无缝切换、动态柔控无冲击调节技术，填补行业技术空白；</w:t>
      </w:r>
    </w:p>
    <w:p w14:paraId="45210094">
      <w:pPr>
        <w:pStyle w:val="2"/>
        <w:numPr>
          <w:ilvl w:val="0"/>
          <w:numId w:val="1"/>
        </w:numPr>
        <w:topLinePunct w:val="0"/>
        <w:ind w:left="0" w:leftChars="0" w:firstLine="480" w:firstLineChars="0"/>
        <w:rPr>
          <w:b w:val="0"/>
        </w:rPr>
      </w:pPr>
      <w:bookmarkStart w:id="9" w:name="heading_8"/>
      <w:r>
        <w:t>采用国际标准和国外先进标准情况</w:t>
      </w:r>
      <w:bookmarkEnd w:id="9"/>
    </w:p>
    <w:p w14:paraId="6453DA40">
      <w:pPr>
        <w:pStyle w:val="11"/>
        <w:rPr>
          <w:rFonts w:ascii="Times New Roman" w:hAnsi="Calibri" w:eastAsia="宋体" w:cs="Times New Roman"/>
          <w:color w:val="auto"/>
          <w:sz w:val="21"/>
        </w:rPr>
      </w:pPr>
      <w:bookmarkStart w:id="10" w:name="heading_9"/>
      <w:r>
        <w:rPr>
          <w:rFonts w:hint="eastAsia" w:ascii="Times New Roman" w:hAnsi="Calibri" w:eastAsia="宋体" w:cs="Times New Roman"/>
          <w:color w:val="auto"/>
          <w:sz w:val="21"/>
        </w:rPr>
        <w:t>国</w:t>
      </w:r>
      <w:r>
        <w:rPr>
          <w:rFonts w:hint="eastAsia" w:cs="Times New Roman"/>
          <w:color w:val="auto"/>
          <w:sz w:val="21"/>
          <w:lang w:val="en-US" w:eastAsia="zh-CN"/>
        </w:rPr>
        <w:t>外</w:t>
      </w:r>
      <w:r>
        <w:rPr>
          <w:rFonts w:hint="eastAsia" w:ascii="Times New Roman" w:hAnsi="Calibri" w:eastAsia="宋体" w:cs="Times New Roman"/>
          <w:color w:val="auto"/>
          <w:sz w:val="21"/>
        </w:rPr>
        <w:t>尚未发布此类标准，在国际上无对比对象。</w:t>
      </w:r>
    </w:p>
    <w:p w14:paraId="50E255B3">
      <w:pPr>
        <w:pStyle w:val="2"/>
        <w:numPr>
          <w:ilvl w:val="0"/>
          <w:numId w:val="1"/>
        </w:numPr>
        <w:topLinePunct w:val="0"/>
        <w:ind w:left="0" w:leftChars="0" w:firstLine="480" w:firstLineChars="0"/>
        <w:rPr>
          <w:b w:val="0"/>
        </w:rPr>
      </w:pPr>
      <w:r>
        <w:t>主要关键指标及试验验证情况</w:t>
      </w:r>
      <w:bookmarkEnd w:id="10"/>
    </w:p>
    <w:p w14:paraId="5B311181">
      <w:pPr>
        <w:pStyle w:val="11"/>
        <w:rPr>
          <w:rFonts w:ascii="Times New Roman" w:hAnsi="Calibri" w:eastAsia="宋体" w:cs="Times New Roman"/>
          <w:b w:val="0"/>
          <w:color w:val="auto"/>
          <w:sz w:val="21"/>
        </w:rPr>
      </w:pPr>
      <w:r>
        <w:rPr>
          <w:rFonts w:ascii="Times New Roman" w:hAnsi="Calibri" w:eastAsia="宋体" w:cs="Times New Roman"/>
          <w:color w:val="auto"/>
          <w:sz w:val="21"/>
        </w:rPr>
        <w:t>主要涵盖调控响应（秒级）、通信性能（双模切换秒级）、电能质量（三相不平衡度、电压波动）。试验依据相关标准，在典型台区试点验证。</w:t>
      </w:r>
    </w:p>
    <w:p w14:paraId="558F5607">
      <w:pPr>
        <w:pStyle w:val="2"/>
        <w:numPr>
          <w:ilvl w:val="0"/>
          <w:numId w:val="1"/>
        </w:numPr>
        <w:topLinePunct w:val="0"/>
        <w:ind w:left="0" w:leftChars="0" w:firstLine="480" w:firstLineChars="0"/>
        <w:rPr>
          <w:b w:val="0"/>
        </w:rPr>
      </w:pPr>
      <w:bookmarkStart w:id="11" w:name="heading_12"/>
      <w:r>
        <w:t>与现行法律、法规和政策及相关标准的协调性</w:t>
      </w:r>
      <w:bookmarkEnd w:id="11"/>
    </w:p>
    <w:p w14:paraId="4759F09C">
      <w:pPr>
        <w:pStyle w:val="11"/>
        <w:numPr>
          <w:ilvl w:val="0"/>
          <w:numId w:val="9"/>
        </w:numPr>
        <w:ind w:left="0" w:leftChars="0" w:firstLine="420" w:firstLineChars="0"/>
        <w:rPr>
          <w:rFonts w:ascii="Times New Roman" w:hAnsi="Calibri" w:eastAsia="宋体" w:cs="Times New Roman"/>
          <w:b w:val="0"/>
          <w:color w:val="auto"/>
          <w:sz w:val="21"/>
        </w:rPr>
      </w:pPr>
      <w:r>
        <w:rPr>
          <w:rFonts w:ascii="Times New Roman" w:hAnsi="Calibri" w:eastAsia="宋体" w:cs="Times New Roman"/>
          <w:b/>
          <w:color w:val="auto"/>
          <w:sz w:val="21"/>
        </w:rPr>
        <w:t>法律法规符合性</w:t>
      </w:r>
      <w:r>
        <w:rPr>
          <w:rFonts w:ascii="Times New Roman" w:hAnsi="Calibri" w:eastAsia="宋体" w:cs="Times New Roman"/>
          <w:color w:val="auto"/>
          <w:sz w:val="21"/>
        </w:rPr>
        <w:t>：符合《中华人民共和国个人信息保护法》《电力行业数据安全管理办法》《电力行业网络安全等级保护实施指南》等要求，用户隐私、电网数据安全得到全面保障；</w:t>
      </w:r>
    </w:p>
    <w:p w14:paraId="1412BC4A">
      <w:pPr>
        <w:pStyle w:val="11"/>
        <w:numPr>
          <w:ilvl w:val="0"/>
          <w:numId w:val="9"/>
        </w:numPr>
        <w:ind w:left="0" w:leftChars="0" w:firstLine="420" w:firstLineChars="0"/>
        <w:rPr>
          <w:rFonts w:ascii="Times New Roman" w:hAnsi="Calibri" w:eastAsia="宋体" w:cs="Times New Roman"/>
          <w:b w:val="0"/>
          <w:color w:val="auto"/>
          <w:sz w:val="21"/>
        </w:rPr>
      </w:pPr>
      <w:r>
        <w:rPr>
          <w:rFonts w:ascii="Times New Roman" w:hAnsi="Calibri" w:eastAsia="宋体" w:cs="Times New Roman"/>
          <w:b/>
          <w:color w:val="auto"/>
          <w:sz w:val="21"/>
        </w:rPr>
        <w:t>政策协调性</w:t>
      </w:r>
      <w:r>
        <w:rPr>
          <w:rFonts w:ascii="Times New Roman" w:hAnsi="Calibri" w:eastAsia="宋体" w:cs="Times New Roman"/>
          <w:color w:val="auto"/>
          <w:sz w:val="21"/>
        </w:rPr>
        <w:t>：契合新型电力系统、车网互动、双碳目标等国家政策导向，支撑电动汽车充电基础设施高质量发展；</w:t>
      </w:r>
    </w:p>
    <w:p w14:paraId="64CAF02E">
      <w:pPr>
        <w:pStyle w:val="11"/>
        <w:numPr>
          <w:ilvl w:val="0"/>
          <w:numId w:val="9"/>
        </w:numPr>
        <w:ind w:left="0" w:leftChars="0" w:firstLine="420" w:firstLineChars="0"/>
        <w:rPr>
          <w:rFonts w:ascii="Times New Roman" w:hAnsi="Calibri" w:eastAsia="宋体" w:cs="Times New Roman"/>
          <w:b w:val="0"/>
          <w:color w:val="auto"/>
          <w:sz w:val="21"/>
        </w:rPr>
      </w:pPr>
      <w:r>
        <w:rPr>
          <w:rFonts w:ascii="Times New Roman" w:hAnsi="Calibri" w:eastAsia="宋体" w:cs="Times New Roman"/>
          <w:b/>
          <w:color w:val="auto"/>
          <w:sz w:val="21"/>
        </w:rPr>
        <w:t>标准协调性</w:t>
      </w:r>
      <w:r>
        <w:rPr>
          <w:rFonts w:ascii="Times New Roman" w:hAnsi="Calibri" w:eastAsia="宋体" w:cs="Times New Roman"/>
          <w:color w:val="auto"/>
          <w:sz w:val="21"/>
        </w:rPr>
        <w:t>：全面兼容</w:t>
      </w:r>
      <w:r>
        <w:rPr>
          <w:rFonts w:ascii="Times New Roman" w:hAnsi="Calibri" w:eastAsia="宋体" w:cs="Times New Roman"/>
          <w:b/>
          <w:color w:val="auto"/>
          <w:sz w:val="21"/>
        </w:rPr>
        <w:t>GB/T 18487.1、GB/T 36278、DL/T 2806、NB/T 11305</w:t>
      </w:r>
      <w:r>
        <w:rPr>
          <w:rFonts w:ascii="Times New Roman" w:hAnsi="Calibri" w:eastAsia="宋体" w:cs="Times New Roman"/>
          <w:color w:val="auto"/>
          <w:sz w:val="21"/>
        </w:rPr>
        <w:t>等国家 / 行业标准，无技术冲突；针对现有标准未覆盖的台区自治调控场景，形成补充完善，整体协调统一。</w:t>
      </w:r>
    </w:p>
    <w:p w14:paraId="25256B04">
      <w:pPr>
        <w:pStyle w:val="2"/>
        <w:numPr>
          <w:ilvl w:val="0"/>
          <w:numId w:val="1"/>
        </w:numPr>
        <w:topLinePunct w:val="0"/>
        <w:ind w:left="0" w:leftChars="0" w:firstLine="480" w:firstLineChars="0"/>
        <w:rPr>
          <w:b w:val="0"/>
        </w:rPr>
      </w:pPr>
      <w:bookmarkStart w:id="12" w:name="heading_13"/>
      <w:r>
        <w:t>贯彻标准的要求和措施建议</w:t>
      </w:r>
      <w:bookmarkEnd w:id="12"/>
    </w:p>
    <w:p w14:paraId="426E50CB">
      <w:pPr>
        <w:pStyle w:val="11"/>
        <w:rPr>
          <w:rFonts w:ascii="Times New Roman" w:hAnsi="Calibri" w:eastAsia="宋体" w:cs="Times New Roman"/>
          <w:color w:val="auto"/>
          <w:sz w:val="21"/>
        </w:rPr>
      </w:pPr>
      <w:r>
        <w:rPr>
          <w:rFonts w:ascii="Times New Roman" w:hAnsi="Calibri" w:eastAsia="宋体" w:cs="Times New Roman"/>
          <w:color w:val="auto"/>
          <w:sz w:val="21"/>
        </w:rPr>
        <w:t>本标准为中国汽车工业协会团体标准，属于推荐性技术规范，适用于配电台区自适应功率调节有序充放电系统的设计、研发、应用与管理。</w:t>
      </w:r>
    </w:p>
    <w:p w14:paraId="671292DE">
      <w:pPr>
        <w:pStyle w:val="11"/>
        <w:rPr>
          <w:rFonts w:hint="eastAsia" w:ascii="Times New Roman" w:hAnsi="Calibri" w:eastAsia="宋体" w:cs="Times New Roman"/>
          <w:color w:val="auto"/>
          <w:sz w:val="21"/>
        </w:rPr>
      </w:pPr>
      <w:r>
        <w:rPr>
          <w:rFonts w:hint="eastAsia" w:ascii="Times New Roman" w:hAnsi="Calibri" w:eastAsia="宋体" w:cs="Times New Roman"/>
          <w:color w:val="auto"/>
          <w:sz w:val="21"/>
        </w:rPr>
        <w:t>本标准的贯彻实施应遵循“技术引领、试点先行、分步推广、注重实效”的原则</w:t>
      </w:r>
      <w:r>
        <w:rPr>
          <w:rFonts w:hint="eastAsia" w:cs="Times New Roman"/>
          <w:color w:val="auto"/>
          <w:sz w:val="21"/>
          <w:lang w:eastAsia="zh-CN"/>
        </w:rPr>
        <w:t>。</w:t>
      </w:r>
      <w:r>
        <w:rPr>
          <w:rFonts w:hint="eastAsia" w:ascii="Times New Roman" w:hAnsi="Calibri" w:eastAsia="宋体" w:cs="Times New Roman"/>
          <w:color w:val="auto"/>
          <w:sz w:val="21"/>
        </w:rPr>
        <w:t>标准发布后，相关企业应依据本标准规定的“</w:t>
      </w:r>
      <w:r>
        <w:rPr>
          <w:rFonts w:hint="eastAsia" w:cs="Times New Roman"/>
          <w:color w:val="auto"/>
          <w:sz w:val="21"/>
          <w:lang w:val="en-US" w:eastAsia="zh-CN"/>
        </w:rPr>
        <w:t>智能终端</w:t>
      </w:r>
      <w:r>
        <w:rPr>
          <w:rFonts w:hint="eastAsia" w:ascii="Times New Roman" w:hAnsi="Calibri" w:eastAsia="宋体" w:cs="Times New Roman"/>
          <w:color w:val="auto"/>
          <w:sz w:val="21"/>
        </w:rPr>
        <w:t>+双模桩”架构及通信协议，开展产品升级与适配性改造。考虑到不同地区配电台区的网架结构、负荷特性及新能源渗透率差异，</w:t>
      </w:r>
      <w:r>
        <w:rPr>
          <w:rFonts w:hint="eastAsia" w:cs="Times New Roman"/>
          <w:color w:val="auto"/>
          <w:sz w:val="21"/>
          <w:lang w:val="en-US" w:eastAsia="zh-CN"/>
        </w:rPr>
        <w:t>结合</w:t>
      </w:r>
      <w:r>
        <w:rPr>
          <w:rFonts w:hint="eastAsia" w:ascii="Times New Roman" w:hAnsi="Calibri" w:eastAsia="宋体" w:cs="Times New Roman"/>
          <w:color w:val="auto"/>
          <w:sz w:val="21"/>
        </w:rPr>
        <w:t>老旧小区、商业中心、工业园区等不同场景下，应结合本标准提供的“一台区一策略”动态柔控算法，制定差异化的落地实施方案，解决重过载与三相不平衡痛点。在推进标准落地过程中，必须严格遵守国家关于电力监控</w:t>
      </w:r>
      <w:r>
        <w:rPr>
          <w:rFonts w:hint="eastAsia" w:cs="Times New Roman"/>
          <w:color w:val="auto"/>
          <w:sz w:val="21"/>
          <w:lang w:val="en-US" w:eastAsia="zh-CN"/>
        </w:rPr>
        <w:t>信息</w:t>
      </w:r>
      <w:r>
        <w:rPr>
          <w:rFonts w:hint="eastAsia" w:ascii="Times New Roman" w:hAnsi="Calibri" w:eastAsia="宋体" w:cs="Times New Roman"/>
          <w:color w:val="auto"/>
          <w:sz w:val="21"/>
        </w:rPr>
        <w:t>系统安全防护的规定。</w:t>
      </w:r>
    </w:p>
    <w:p w14:paraId="3D5DD1E3">
      <w:pPr>
        <w:pStyle w:val="11"/>
        <w:rPr>
          <w:rFonts w:hint="eastAsia" w:ascii="Times New Roman" w:hAnsi="Calibri" w:eastAsia="宋体" w:cs="Times New Roman"/>
          <w:color w:val="auto"/>
          <w:sz w:val="21"/>
        </w:rPr>
      </w:pPr>
      <w:r>
        <w:rPr>
          <w:rFonts w:hint="eastAsia" w:ascii="Times New Roman" w:hAnsi="Calibri" w:eastAsia="宋体" w:cs="Times New Roman"/>
          <w:color w:val="auto"/>
          <w:sz w:val="21"/>
        </w:rPr>
        <w:t>为确保本标准得到有效实施并发挥最大效益，提出以下具体措施建议：</w:t>
      </w:r>
    </w:p>
    <w:p w14:paraId="3D2F0ACE">
      <w:pPr>
        <w:pStyle w:val="11"/>
        <w:rPr>
          <w:rFonts w:hint="eastAsia" w:ascii="Times New Roman" w:hAnsi="Calibri" w:eastAsia="宋体" w:cs="Times New Roman"/>
          <w:color w:val="auto"/>
          <w:sz w:val="21"/>
        </w:rPr>
      </w:pPr>
      <w:r>
        <w:rPr>
          <w:rFonts w:hint="eastAsia" w:ascii="Times New Roman" w:hAnsi="Calibri" w:eastAsia="宋体" w:cs="Times New Roman"/>
          <w:color w:val="auto"/>
          <w:sz w:val="21"/>
        </w:rPr>
        <w:t>开展典型场景试点示范工程</w:t>
      </w:r>
      <w:r>
        <w:rPr>
          <w:rFonts w:hint="eastAsia" w:cs="Times New Roman"/>
          <w:color w:val="auto"/>
          <w:sz w:val="21"/>
          <w:lang w:eastAsia="zh-CN"/>
        </w:rPr>
        <w:t>。</w:t>
      </w:r>
      <w:r>
        <w:rPr>
          <w:rFonts w:hint="eastAsia" w:ascii="Times New Roman" w:hAnsi="Calibri" w:eastAsia="宋体" w:cs="Times New Roman"/>
          <w:color w:val="auto"/>
          <w:sz w:val="21"/>
        </w:rPr>
        <w:t>选取新能源汽车渗透率高、配变重过载问题突出的典型城市或区域，建立“配电台区自适应功率调节”示范区。实地验证标准中定义的秒级响应机制在应对突发负荷时的有效性，以及低成本改造方案（单桩改造成本控制在百元级）的经济可行性。通过试点项目积累运行数据，形成可复制、可推广的典型设计图集与施工验收规范，为全面推广提供实证支撑。</w:t>
      </w:r>
    </w:p>
    <w:p w14:paraId="4F59E486">
      <w:pPr>
        <w:pStyle w:val="11"/>
        <w:rPr>
          <w:rFonts w:ascii="Times New Roman" w:hAnsi="Calibri" w:eastAsia="宋体" w:cs="Times New Roman"/>
          <w:color w:val="auto"/>
          <w:sz w:val="21"/>
        </w:rPr>
      </w:pPr>
      <w:r>
        <w:rPr>
          <w:rFonts w:hint="eastAsia" w:ascii="Times New Roman" w:hAnsi="Calibri" w:eastAsia="宋体" w:cs="Times New Roman"/>
          <w:color w:val="auto"/>
          <w:sz w:val="21"/>
        </w:rPr>
        <w:t>加强产业链协同与宣贯培训</w:t>
      </w:r>
      <w:r>
        <w:rPr>
          <w:rFonts w:hint="eastAsia" w:cs="Times New Roman"/>
          <w:color w:val="auto"/>
          <w:sz w:val="21"/>
          <w:lang w:eastAsia="zh-CN"/>
        </w:rPr>
        <w:t>。</w:t>
      </w:r>
      <w:r>
        <w:rPr>
          <w:rFonts w:hint="eastAsia" w:ascii="Times New Roman" w:hAnsi="Calibri" w:eastAsia="宋体" w:cs="Times New Roman"/>
          <w:color w:val="auto"/>
          <w:sz w:val="21"/>
        </w:rPr>
        <w:t>标准化技术委员会牵头，联合电网公司、充电桩运营商及设备制造商开展多层次宣贯。组织针对规划设计人员、运维人员的专项培训班，深入解读标准中关于功率调节策略、通信协议转换等核心技术条款。举办标准宣贯会及产业研讨会，引导设备厂商加快支持本标准的智能有序充电终端研发，打通“标准-产品-应用”的转化链条。</w:t>
      </w:r>
    </w:p>
    <w:p w14:paraId="7AA2EB34">
      <w:pPr>
        <w:pStyle w:val="2"/>
        <w:numPr>
          <w:ilvl w:val="0"/>
          <w:numId w:val="1"/>
        </w:numPr>
        <w:topLinePunct w:val="0"/>
        <w:ind w:left="0" w:leftChars="0" w:firstLine="480" w:firstLineChars="0"/>
        <w:rPr>
          <w:b w:val="0"/>
        </w:rPr>
      </w:pPr>
      <w:bookmarkStart w:id="13" w:name="heading_16"/>
      <w:r>
        <w:t>其他需要说明的事项</w:t>
      </w:r>
      <w:bookmarkEnd w:id="13"/>
    </w:p>
    <w:p w14:paraId="5662BF2A">
      <w:pPr>
        <w:spacing w:after="0" w:line="360" w:lineRule="auto"/>
        <w:ind w:firstLine="420" w:firstLineChars="200"/>
        <w:rPr>
          <w:szCs w:val="21"/>
        </w:rPr>
      </w:pPr>
      <w:r>
        <w:rPr>
          <w:rFonts w:hint="eastAsia"/>
          <w:szCs w:val="21"/>
        </w:rPr>
        <w:t>无。</w:t>
      </w:r>
    </w:p>
    <w:p w14:paraId="447DC97E">
      <w:pPr>
        <w:pStyle w:val="11"/>
        <w:rPr>
          <w:rFonts w:ascii="仿宋" w:hAnsi="Calibri" w:eastAsia="仿宋" w:cs="Times New Roman"/>
          <w:color w:val="auto"/>
          <w:sz w:val="21"/>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4260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79CC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C8231C"/>
    <w:multiLevelType w:val="singleLevel"/>
    <w:tmpl w:val="C2C8231C"/>
    <w:lvl w:ilvl="0" w:tentative="0">
      <w:start w:val="1"/>
      <w:numFmt w:val="decimal"/>
      <w:suff w:val="space"/>
      <w:lvlText w:val="%1."/>
      <w:lvlJc w:val="left"/>
      <w:pPr>
        <w:ind w:left="0" w:firstLine="420"/>
      </w:pPr>
      <w:rPr>
        <w:rFonts w:hint="default"/>
      </w:rPr>
    </w:lvl>
  </w:abstractNum>
  <w:abstractNum w:abstractNumId="1">
    <w:nsid w:val="FF9CBC0D"/>
    <w:multiLevelType w:val="singleLevel"/>
    <w:tmpl w:val="FF9CBC0D"/>
    <w:lvl w:ilvl="0" w:tentative="0">
      <w:start w:val="1"/>
      <w:numFmt w:val="decimal"/>
      <w:suff w:val="space"/>
      <w:lvlText w:val="%1."/>
      <w:lvlJc w:val="left"/>
      <w:pPr>
        <w:ind w:left="0" w:firstLine="420"/>
      </w:pPr>
      <w:rPr>
        <w:rFonts w:hint="default"/>
      </w:rPr>
    </w:lvl>
  </w:abstractNum>
  <w:abstractNum w:abstractNumId="2">
    <w:nsid w:val="02A07059"/>
    <w:multiLevelType w:val="singleLevel"/>
    <w:tmpl w:val="02A07059"/>
    <w:lvl w:ilvl="0" w:tentative="0">
      <w:start w:val="1"/>
      <w:numFmt w:val="chineseCounting"/>
      <w:suff w:val="nothing"/>
      <w:lvlText w:val="（%1）"/>
      <w:lvlJc w:val="left"/>
      <w:pPr>
        <w:ind w:left="0" w:firstLine="357"/>
      </w:pPr>
      <w:rPr>
        <w:rFonts w:hint="eastAsia"/>
      </w:rPr>
    </w:lvl>
  </w:abstractNum>
  <w:abstractNum w:abstractNumId="3">
    <w:nsid w:val="41B677DE"/>
    <w:multiLevelType w:val="singleLevel"/>
    <w:tmpl w:val="41B677DE"/>
    <w:lvl w:ilvl="0" w:tentative="0">
      <w:start w:val="1"/>
      <w:numFmt w:val="chineseCounting"/>
      <w:suff w:val="nothing"/>
      <w:lvlText w:val="%1、"/>
      <w:lvlJc w:val="left"/>
      <w:pPr>
        <w:ind w:left="0" w:firstLine="480"/>
      </w:pPr>
      <w:rPr>
        <w:rFonts w:hint="eastAsia"/>
      </w:rPr>
    </w:lvl>
  </w:abstractNum>
  <w:abstractNum w:abstractNumId="4">
    <w:nsid w:val="4E86FC50"/>
    <w:multiLevelType w:val="singleLevel"/>
    <w:tmpl w:val="4E86FC50"/>
    <w:lvl w:ilvl="0" w:tentative="0">
      <w:start w:val="1"/>
      <w:numFmt w:val="chineseCounting"/>
      <w:suff w:val="nothing"/>
      <w:lvlText w:val="（%1）"/>
      <w:lvlJc w:val="left"/>
      <w:pPr>
        <w:ind w:left="0" w:firstLine="357"/>
      </w:pPr>
      <w:rPr>
        <w:rFonts w:hint="eastAsia"/>
      </w:rPr>
    </w:lvl>
  </w:abstractNum>
  <w:abstractNum w:abstractNumId="5">
    <w:nsid w:val="5F16C42D"/>
    <w:multiLevelType w:val="singleLevel"/>
    <w:tmpl w:val="5F16C42D"/>
    <w:lvl w:ilvl="0" w:tentative="0">
      <w:start w:val="1"/>
      <w:numFmt w:val="decimal"/>
      <w:suff w:val="space"/>
      <w:lvlText w:val="%1."/>
      <w:lvlJc w:val="left"/>
      <w:pPr>
        <w:ind w:left="0" w:firstLine="420"/>
      </w:pPr>
      <w:rPr>
        <w:rFonts w:hint="default"/>
      </w:rPr>
    </w:lvl>
  </w:abstractNum>
  <w:abstractNum w:abstractNumId="6">
    <w:nsid w:val="60DE9EBC"/>
    <w:multiLevelType w:val="singleLevel"/>
    <w:tmpl w:val="60DE9EBC"/>
    <w:lvl w:ilvl="0" w:tentative="0">
      <w:start w:val="1"/>
      <w:numFmt w:val="decimal"/>
      <w:suff w:val="space"/>
      <w:lvlText w:val="%1."/>
      <w:lvlJc w:val="left"/>
      <w:pPr>
        <w:ind w:left="0" w:firstLine="420"/>
      </w:pPr>
      <w:rPr>
        <w:rFonts w:hint="default"/>
      </w:rPr>
    </w:lvl>
  </w:abstractNum>
  <w:abstractNum w:abstractNumId="7">
    <w:nsid w:val="6E303033"/>
    <w:multiLevelType w:val="singleLevel"/>
    <w:tmpl w:val="6E303033"/>
    <w:lvl w:ilvl="0" w:tentative="0">
      <w:start w:val="1"/>
      <w:numFmt w:val="decimal"/>
      <w:suff w:val="space"/>
      <w:lvlText w:val="%1."/>
      <w:lvlJc w:val="left"/>
      <w:pPr>
        <w:ind w:left="0" w:firstLine="420"/>
      </w:pPr>
      <w:rPr>
        <w:rFonts w:hint="default"/>
      </w:rPr>
    </w:lvl>
  </w:abstractNum>
  <w:abstractNum w:abstractNumId="8">
    <w:nsid w:val="7B2E621E"/>
    <w:multiLevelType w:val="multilevel"/>
    <w:tmpl w:val="7B2E621E"/>
    <w:lvl w:ilvl="0" w:tentative="0">
      <w:start w:val="1"/>
      <w:numFmt w:val="decimal"/>
      <w:lvlText w:val="%1)"/>
      <w:lvlJc w:val="left"/>
      <w:pPr>
        <w:ind w:left="785" w:hanging="360"/>
      </w:pPr>
      <w:rPr>
        <w:rFonts w:hint="default"/>
        <w:color w:val="auto"/>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num w:numId="1">
    <w:abstractNumId w:val="3"/>
  </w:num>
  <w:num w:numId="2">
    <w:abstractNumId w:val="2"/>
  </w:num>
  <w:num w:numId="3">
    <w:abstractNumId w:val="6"/>
  </w:num>
  <w:num w:numId="4">
    <w:abstractNumId w:val="8"/>
  </w:num>
  <w:num w:numId="5">
    <w:abstractNumId w:val="4"/>
  </w:num>
  <w:num w:numId="6">
    <w:abstractNumId w:val="1"/>
  </w:num>
  <w:num w:numId="7">
    <w:abstractNumId w:val="5"/>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8B33F9"/>
    <w:rsid w:val="11615A6E"/>
    <w:rsid w:val="33D44037"/>
    <w:rsid w:val="4B290281"/>
    <w:rsid w:val="50AC6DEA"/>
    <w:rsid w:val="5B8138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next w:val="1"/>
    <w:qFormat/>
    <w:uiPriority w:val="0"/>
    <w:pPr>
      <w:widowControl w:val="0"/>
      <w:spacing w:after="160" w:line="278" w:lineRule="auto"/>
      <w:ind w:firstLine="480" w:firstLineChars="200"/>
      <w:jc w:val="both"/>
      <w:outlineLvl w:val="0"/>
    </w:pPr>
    <w:rPr>
      <w:rFonts w:ascii="黑体" w:hAnsi="黑体" w:eastAsia="黑体" w:cs="黑体"/>
      <w:color w:val="000000" w:themeColor="text1"/>
      <w:kern w:val="2"/>
      <w:sz w:val="24"/>
      <w:szCs w:val="24"/>
      <w:lang w:bidi="ar-SA"/>
      <w14:textFill>
        <w14:solidFill>
          <w14:schemeClr w14:val="tx1"/>
        </w14:solidFill>
      </w14:textFill>
    </w:rPr>
  </w:style>
  <w:style w:type="paragraph" w:styleId="3">
    <w:name w:val="heading 2"/>
    <w:next w:val="1"/>
    <w:unhideWhenUsed/>
    <w:qFormat/>
    <w:uiPriority w:val="0"/>
    <w:pPr>
      <w:widowControl w:val="0"/>
      <w:spacing w:before="156" w:beforeLines="50" w:after="156" w:afterLines="50" w:line="360" w:lineRule="auto"/>
      <w:ind w:left="357"/>
      <w:jc w:val="both"/>
      <w:outlineLvl w:val="1"/>
    </w:pPr>
    <w:rPr>
      <w:rFonts w:ascii="仿宋" w:hAnsi="仿宋" w:eastAsia="仿宋" w:cs="仿宋"/>
      <w:b/>
      <w:bCs/>
      <w:color w:val="000000" w:themeColor="text1"/>
      <w:kern w:val="2"/>
      <w:sz w:val="24"/>
      <w:szCs w:val="24"/>
      <w:lang w:bidi="ar-SA"/>
      <w14:textFill>
        <w14:solidFill>
          <w14:schemeClr w14:val="tx1"/>
        </w14:solidFill>
      </w14:textFill>
    </w:rPr>
  </w:style>
  <w:style w:type="paragraph" w:styleId="4">
    <w:name w:val="heading 3"/>
    <w:next w:val="1"/>
    <w:semiHidden/>
    <w:unhideWhenUsed/>
    <w:qFormat/>
    <w:uiPriority w:val="0"/>
    <w:pPr>
      <w:widowControl w:val="0"/>
      <w:spacing w:after="0" w:line="360" w:lineRule="auto"/>
      <w:ind w:firstLine="422" w:firstLineChars="200"/>
      <w:jc w:val="both"/>
      <w:outlineLvl w:val="2"/>
    </w:pPr>
    <w:rPr>
      <w:rFonts w:ascii="Times New Roman" w:hAnsi="Times New Roman" w:eastAsia="宋体" w:cs="Times New Roman"/>
      <w:b/>
      <w:kern w:val="2"/>
      <w:sz w:val="21"/>
      <w:szCs w:val="21"/>
      <w:lang w:bidi="ar-SA"/>
    </w:rPr>
  </w:style>
  <w:style w:type="paragraph" w:styleId="5">
    <w:name w:val="heading 4"/>
    <w:next w:val="1"/>
    <w:semiHidden/>
    <w:unhideWhenUsed/>
    <w:qFormat/>
    <w:uiPriority w:val="0"/>
    <w:pPr>
      <w:keepNext/>
      <w:keepLines/>
      <w:widowControl w:val="0"/>
      <w:adjustRightInd w:val="0"/>
      <w:spacing w:before="100" w:after="100" w:line="360" w:lineRule="auto"/>
      <w:jc w:val="both"/>
      <w:outlineLvl w:val="3"/>
    </w:pPr>
    <w:rPr>
      <w:rFonts w:ascii="Times New Roman" w:hAnsi="Times New Roman" w:eastAsia="宋体" w:cs="Times New Roman"/>
      <w:b/>
      <w:bCs/>
      <w:kern w:val="2"/>
      <w:sz w:val="28"/>
      <w:szCs w:val="28"/>
      <w:lang w:bidi="ar-SA"/>
    </w:rPr>
  </w:style>
  <w:style w:type="paragraph" w:styleId="6">
    <w:name w:val="heading 5"/>
    <w:next w:val="1"/>
    <w:semiHidden/>
    <w:unhideWhenUsed/>
    <w:qFormat/>
    <w:uiPriority w:val="0"/>
    <w:pPr>
      <w:keepNext/>
      <w:keepLines/>
      <w:widowControl w:val="0"/>
      <w:adjustRightInd w:val="0"/>
      <w:spacing w:before="100" w:after="100" w:line="360" w:lineRule="auto"/>
      <w:jc w:val="both"/>
      <w:outlineLvl w:val="4"/>
    </w:pPr>
    <w:rPr>
      <w:rFonts w:ascii="Times New Roman" w:hAnsi="Times New Roman" w:eastAsia="宋体" w:cs="Times New Roman"/>
      <w:b/>
      <w:bCs/>
      <w:kern w:val="2"/>
      <w:sz w:val="28"/>
      <w:szCs w:val="28"/>
      <w:lang w:bidi="ar-SA"/>
    </w:rPr>
  </w:style>
  <w:style w:type="paragraph" w:styleId="7">
    <w:name w:val="heading 6"/>
    <w:next w:val="1"/>
    <w:semiHidden/>
    <w:unhideWhenUsed/>
    <w:qFormat/>
    <w:uiPriority w:val="0"/>
    <w:pPr>
      <w:keepNext/>
      <w:keepLines/>
      <w:widowControl w:val="0"/>
      <w:adjustRightInd w:val="0"/>
      <w:spacing w:before="100" w:after="100" w:line="360" w:lineRule="auto"/>
      <w:jc w:val="both"/>
      <w:outlineLvl w:val="5"/>
    </w:pPr>
    <w:rPr>
      <w:rFonts w:ascii="Times New Roman" w:hAnsi="Times New Roman" w:eastAsia="宋体" w:cs="Times New Roman"/>
      <w:b/>
      <w:bCs/>
      <w:kern w:val="2"/>
      <w:sz w:val="28"/>
      <w:szCs w:val="24"/>
      <w:lang w:bidi="ar-SA"/>
    </w:rPr>
  </w:style>
  <w:style w:type="paragraph" w:styleId="8">
    <w:name w:val="heading 7"/>
    <w:next w:val="1"/>
    <w:semiHidden/>
    <w:unhideWhenUsed/>
    <w:qFormat/>
    <w:uiPriority w:val="0"/>
    <w:pPr>
      <w:keepNext/>
      <w:keepLines/>
      <w:widowControl w:val="0"/>
      <w:adjustRightInd w:val="0"/>
      <w:spacing w:before="100" w:after="100" w:line="360" w:lineRule="auto"/>
      <w:jc w:val="both"/>
      <w:outlineLvl w:val="6"/>
    </w:pPr>
    <w:rPr>
      <w:rFonts w:ascii="Times New Roman" w:hAnsi="Times New Roman" w:eastAsia="宋体" w:cs="Times New Roman"/>
      <w:b/>
      <w:bCs/>
      <w:kern w:val="2"/>
      <w:sz w:val="24"/>
      <w:szCs w:val="24"/>
      <w:lang w:bidi="ar-SA"/>
    </w:rPr>
  </w:style>
  <w:style w:type="paragraph" w:styleId="9">
    <w:name w:val="heading 8"/>
    <w:next w:val="1"/>
    <w:semiHidden/>
    <w:unhideWhenUsed/>
    <w:qFormat/>
    <w:uiPriority w:val="0"/>
    <w:pPr>
      <w:keepNext/>
      <w:keepLines/>
      <w:widowControl w:val="0"/>
      <w:adjustRightInd w:val="0"/>
      <w:spacing w:before="100" w:after="100" w:line="360" w:lineRule="auto"/>
      <w:jc w:val="both"/>
      <w:outlineLvl w:val="7"/>
    </w:pPr>
    <w:rPr>
      <w:rFonts w:ascii="Times New Roman" w:hAnsi="Times New Roman" w:eastAsia="宋体" w:cs="Times New Roman"/>
      <w:b/>
      <w:kern w:val="2"/>
      <w:sz w:val="24"/>
      <w:szCs w:val="24"/>
      <w:lang w:bidi="ar-SA"/>
    </w:rPr>
  </w:style>
  <w:style w:type="paragraph" w:styleId="10">
    <w:name w:val="heading 9"/>
    <w:next w:val="1"/>
    <w:semiHidden/>
    <w:unhideWhenUsed/>
    <w:qFormat/>
    <w:uiPriority w:val="0"/>
    <w:pPr>
      <w:keepNext/>
      <w:keepLines/>
      <w:widowControl w:val="0"/>
      <w:adjustRightInd w:val="0"/>
      <w:spacing w:before="100" w:after="100" w:line="360" w:lineRule="auto"/>
      <w:jc w:val="both"/>
      <w:outlineLvl w:val="8"/>
    </w:pPr>
    <w:rPr>
      <w:rFonts w:ascii="Times New Roman" w:hAnsi="Times New Roman" w:eastAsia="宋体" w:cs="Times New Roman"/>
      <w:b/>
      <w:kern w:val="2"/>
      <w:sz w:val="21"/>
      <w:szCs w:val="21"/>
      <w:lang w:bidi="ar-SA"/>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Body Text"/>
    <w:uiPriority w:val="0"/>
    <w:pPr>
      <w:widowControl w:val="0"/>
      <w:spacing w:after="0" w:line="360" w:lineRule="auto"/>
      <w:ind w:firstLine="420" w:firstLineChars="200"/>
      <w:jc w:val="both"/>
      <w:outlineLvl w:val="9"/>
    </w:pPr>
    <w:rPr>
      <w:rFonts w:ascii="Times New Roman" w:hAnsi="Calibri" w:eastAsia="宋体" w:cs="Times New Roman"/>
      <w:sz w:val="21"/>
    </w:rPr>
  </w:style>
  <w:style w:type="paragraph" w:styleId="12">
    <w:name w:val="Body Text Indent"/>
    <w:basedOn w:val="1"/>
    <w:qFormat/>
    <w:uiPriority w:val="0"/>
    <w:pPr>
      <w:spacing w:before="120" w:after="0" w:line="240" w:lineRule="auto"/>
      <w:ind w:firstLine="425"/>
    </w:pPr>
    <w:rPr>
      <w:rFonts w:ascii="Arial" w:hAnsi="Arial"/>
      <w:szCs w:val="20"/>
    </w:rPr>
  </w:style>
  <w:style w:type="paragraph" w:styleId="13">
    <w:name w:val="footer"/>
    <w:basedOn w:val="1"/>
    <w:qFormat/>
    <w:uiPriority w:val="99"/>
    <w:pPr>
      <w:tabs>
        <w:tab w:val="center" w:pos="4153"/>
        <w:tab w:val="right" w:pos="8306"/>
      </w:tabs>
      <w:snapToGrid w:val="0"/>
      <w:spacing w:line="240" w:lineRule="auto"/>
      <w:jc w:val="left"/>
    </w:pPr>
    <w:rPr>
      <w:sz w:val="18"/>
      <w:szCs w:val="18"/>
    </w:rPr>
  </w:style>
  <w:style w:type="paragraph" w:styleId="14">
    <w:name w:val="Subtitle"/>
    <w:qFormat/>
    <w:uiPriority w:val="0"/>
    <w:pPr>
      <w:widowControl w:val="0"/>
      <w:adjustRightInd w:val="0"/>
      <w:spacing w:before="100" w:after="100" w:line="240" w:lineRule="auto"/>
      <w:jc w:val="center"/>
      <w:outlineLvl w:val="9"/>
    </w:pPr>
    <w:rPr>
      <w:rFonts w:ascii="Times New Roman" w:hAnsi="Times New Roman" w:eastAsia="黑体" w:cs="Times New Roman"/>
      <w:b/>
      <w:kern w:val="28"/>
      <w:sz w:val="32"/>
      <w:szCs w:val="24"/>
      <w:lang w:bidi="ar-SA"/>
    </w:rPr>
  </w:style>
  <w:style w:type="paragraph" w:styleId="1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6">
    <w:name w:val="Title"/>
    <w:qFormat/>
    <w:uiPriority w:val="0"/>
    <w:pPr>
      <w:widowControl/>
      <w:spacing w:after="160" w:line="278" w:lineRule="auto"/>
      <w:jc w:val="center"/>
      <w:outlineLvl w:val="9"/>
    </w:pPr>
    <w:rPr>
      <w:rFonts w:ascii="Times New Roman" w:hAnsi="Times New Roman" w:eastAsia="黑体" w:cs="Times New Roman"/>
      <w:kern w:val="2"/>
      <w:sz w:val="28"/>
      <w:szCs w:val="28"/>
      <w:lang w:bidi="ar-SA"/>
    </w:rPr>
  </w:style>
  <w:style w:type="table" w:styleId="18">
    <w:name w:val="Table Grid"/>
    <w:basedOn w:val="17"/>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List Paragraph"/>
    <w:basedOn w:val="1"/>
    <w:qFormat/>
    <w:uiPriority w:val="34"/>
    <w:pPr>
      <w:spacing w:after="0" w:line="240" w:lineRule="auto"/>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1493</Words>
  <Characters>1514</Characters>
  <TotalTime>5</TotalTime>
  <ScaleCrop>false</ScaleCrop>
  <LinksUpToDate>false</LinksUpToDate>
  <CharactersWithSpaces>1514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2026-05-08T01:46:00Z</dcterms:created>
  <dc:creator>Apache POI</dc:creator>
  <cp:lastModifiedBy>卜</cp:lastModifiedBy>
  <dcterms:modified xsi:type="dcterms:W3CDTF">2026-06-23T01:45:59Z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79BEE5B76DBE4CA1BDF8B8F2179DD133_13</vt:lpwstr>
  </property>
  <property fmtid="{D5CDD505-2E9C-101B-9397-08002B2CF9AE}" pid="4" name="KSOTemplateDocerSaveRecord">
    <vt:lpwstr>eyJoZGlkIjoiYTc2ZGZiNzZiNDVlOGViOWVmM2JhOTY0NGJkNjUyYzgiLCJ1c2VySWQiOiIxMDA4MzE5NTQyIn0=</vt:lpwstr>
  </property>
</Properties>
</file>