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52191DB">
      <w:pPr>
        <w:rPr>
          <w:rFonts w:asciiTheme="majorEastAsia" w:hAnsiTheme="majorEastAsia" w:eastAsiaTheme="majorEastAsia"/>
          <w:sz w:val="28"/>
          <w:szCs w:val="28"/>
        </w:rPr>
      </w:pPr>
      <w:r>
        <w:rPr>
          <w:rFonts w:hint="eastAsia" w:asciiTheme="majorEastAsia" w:hAnsiTheme="majorEastAsia" w:eastAsiaTheme="majorEastAsia"/>
          <w:sz w:val="28"/>
          <w:szCs w:val="28"/>
        </w:rPr>
        <w:t>附件4：</w:t>
      </w:r>
    </w:p>
    <w:p w14:paraId="19EEC23C">
      <w:pPr>
        <w:pStyle w:val="8"/>
        <w:framePr w:w="0" w:hRule="auto" w:wrap="auto" w:vAnchor="margin" w:hAnchor="text" w:xAlign="left" w:yAlign="inline"/>
        <w:spacing w:before="0"/>
        <w:rPr>
          <w:szCs w:val="28"/>
        </w:rPr>
      </w:pPr>
      <w:r>
        <w:rPr>
          <w:rFonts w:hint="eastAsia"/>
          <w:szCs w:val="28"/>
        </w:rPr>
        <w:t>中汽协会《车用甲醇燃料增程控制器技术条件及试验方法》</w:t>
      </w:r>
    </w:p>
    <w:p w14:paraId="7DAEC783">
      <w:pPr>
        <w:pStyle w:val="8"/>
        <w:framePr w:w="0" w:hRule="auto" w:wrap="auto" w:vAnchor="margin" w:hAnchor="text" w:xAlign="left" w:yAlign="inline"/>
        <w:spacing w:before="0"/>
        <w:rPr>
          <w:szCs w:val="28"/>
        </w:rPr>
      </w:pPr>
      <w:r>
        <w:rPr>
          <w:rFonts w:hint="eastAsia"/>
          <w:szCs w:val="28"/>
        </w:rPr>
        <w:t>团体标准编制说明</w:t>
      </w:r>
    </w:p>
    <w:p w14:paraId="331A2F0F">
      <w:pPr>
        <w:rPr>
          <w:rFonts w:ascii="黑体" w:hAnsi="黑体" w:eastAsia="黑体" w:cs="黑体"/>
          <w:color w:val="000000" w:themeColor="text1"/>
          <w:sz w:val="30"/>
          <w:szCs w:val="30"/>
          <w14:textFill>
            <w14:solidFill>
              <w14:schemeClr w14:val="tx1"/>
            </w14:solidFill>
          </w14:textFill>
        </w:rPr>
      </w:pPr>
    </w:p>
    <w:p w14:paraId="20A18B5F">
      <w:pPr>
        <w:numPr>
          <w:ilvl w:val="0"/>
          <w:numId w:val="1"/>
        </w:numPr>
        <w:ind w:firstLine="480" w:firstLineChars="200"/>
        <w:rPr>
          <w:rFonts w:ascii="黑体" w:hAnsi="黑体" w:eastAsia="黑体" w:cs="黑体"/>
          <w:color w:val="000000" w:themeColor="text1"/>
          <w:sz w:val="24"/>
          <w:szCs w:val="24"/>
          <w14:textFill>
            <w14:solidFill>
              <w14:schemeClr w14:val="tx1"/>
            </w14:solidFill>
          </w14:textFill>
        </w:rPr>
      </w:pPr>
      <w:r>
        <w:rPr>
          <w:rFonts w:hint="eastAsia" w:ascii="黑体" w:hAnsi="黑体" w:eastAsia="黑体" w:cs="黑体"/>
          <w:color w:val="000000" w:themeColor="text1"/>
          <w:sz w:val="24"/>
          <w:szCs w:val="24"/>
          <w14:textFill>
            <w14:solidFill>
              <w14:schemeClr w14:val="tx1"/>
            </w14:solidFill>
          </w14:textFill>
        </w:rPr>
        <w:t>工作简要过程</w:t>
      </w:r>
    </w:p>
    <w:p w14:paraId="05194457">
      <w:pPr>
        <w:numPr>
          <w:ilvl w:val="0"/>
          <w:numId w:val="2"/>
        </w:numPr>
        <w:rPr>
          <w:rFonts w:ascii="仿宋" w:hAnsi="仿宋" w:eastAsia="仿宋" w:cs="仿宋"/>
          <w:b/>
          <w:bCs/>
          <w:color w:val="000000" w:themeColor="text1"/>
          <w:sz w:val="24"/>
          <w:szCs w:val="24"/>
          <w14:textFill>
            <w14:solidFill>
              <w14:schemeClr w14:val="tx1"/>
            </w14:solidFill>
          </w14:textFill>
        </w:rPr>
      </w:pPr>
      <w:r>
        <w:rPr>
          <w:rFonts w:hint="eastAsia" w:ascii="仿宋" w:hAnsi="仿宋" w:eastAsia="仿宋" w:cs="仿宋"/>
          <w:b/>
          <w:bCs/>
          <w:color w:val="000000" w:themeColor="text1"/>
          <w:sz w:val="24"/>
          <w:szCs w:val="24"/>
          <w14:textFill>
            <w14:solidFill>
              <w14:schemeClr w14:val="tx1"/>
            </w14:solidFill>
          </w14:textFill>
        </w:rPr>
        <w:t>任务来源</w:t>
      </w:r>
    </w:p>
    <w:p w14:paraId="6E079C87">
      <w:pPr>
        <w:spacing w:line="240" w:lineRule="auto"/>
        <w:ind w:left="360" w:firstLine="480"/>
        <w:rPr>
          <w:rFonts w:ascii="仿宋" w:hAnsi="仿宋" w:eastAsia="仿宋" w:cs="仿宋"/>
          <w:iCs/>
          <w:color w:val="000000" w:themeColor="text1"/>
          <w:sz w:val="24"/>
          <w:szCs w:val="24"/>
          <w14:textFill>
            <w14:solidFill>
              <w14:schemeClr w14:val="tx1"/>
            </w14:solidFill>
          </w14:textFill>
        </w:rPr>
      </w:pPr>
      <w:r>
        <w:rPr>
          <w:rFonts w:hint="eastAsia" w:ascii="仿宋" w:hAnsi="仿宋" w:eastAsia="仿宋" w:cs="仿宋"/>
          <w:iCs/>
          <w:color w:val="000000" w:themeColor="text1"/>
          <w:sz w:val="24"/>
          <w:szCs w:val="24"/>
          <w14:textFill>
            <w14:solidFill>
              <w14:schemeClr w14:val="tx1"/>
            </w14:solidFill>
          </w14:textFill>
        </w:rPr>
        <w:t>项目围绕车用甲醇燃料增程控制器的技术条件及试验方法进行研究。围绕车用甲醇燃料增程器的测试方法提出控制系统相关功能、性能的测试方法标准，目的是验证车用甲醇燃料增程控制器是否满足相关技术条件规定或设计规范要求，确保车用甲醇燃料增程控制器应用的可靠性、稳定性。</w:t>
      </w:r>
    </w:p>
    <w:p w14:paraId="41DDD9DA">
      <w:pPr>
        <w:spacing w:line="240" w:lineRule="auto"/>
        <w:ind w:left="360" w:firstLine="480"/>
        <w:rPr>
          <w:rFonts w:ascii="仿宋" w:hAnsi="仿宋" w:eastAsia="仿宋" w:cs="仿宋"/>
          <w:color w:val="000000" w:themeColor="text1"/>
          <w:sz w:val="24"/>
          <w:szCs w:val="24"/>
          <w14:textFill>
            <w14:solidFill>
              <w14:schemeClr w14:val="tx1"/>
            </w14:solidFill>
          </w14:textFill>
        </w:rPr>
      </w:pPr>
      <w:r>
        <w:rPr>
          <w:rFonts w:hint="eastAsia" w:ascii="仿宋" w:hAnsi="仿宋" w:eastAsia="仿宋" w:cs="仿宋"/>
          <w:iCs/>
          <w:color w:val="000000" w:themeColor="text1"/>
          <w:sz w:val="24"/>
          <w:szCs w:val="24"/>
          <w14:textFill>
            <w14:solidFill>
              <w14:schemeClr w14:val="tx1"/>
            </w14:solidFill>
          </w14:textFill>
        </w:rPr>
        <w:t>中汽协会将《车用甲醇燃料增程控制器技术条件及试验方法》列为中国汽车工业协会团体标准研制计划，任务号为2022-53。</w:t>
      </w:r>
    </w:p>
    <w:p w14:paraId="5CCFD2E9">
      <w:pPr>
        <w:numPr>
          <w:ilvl w:val="0"/>
          <w:numId w:val="2"/>
        </w:numPr>
        <w:rPr>
          <w:rFonts w:ascii="仿宋" w:hAnsi="仿宋" w:eastAsia="仿宋" w:cs="仿宋"/>
          <w:b/>
          <w:bCs/>
          <w:color w:val="000000" w:themeColor="text1"/>
          <w:sz w:val="24"/>
          <w:szCs w:val="24"/>
          <w14:textFill>
            <w14:solidFill>
              <w14:schemeClr w14:val="tx1"/>
            </w14:solidFill>
          </w14:textFill>
        </w:rPr>
      </w:pPr>
      <w:r>
        <w:rPr>
          <w:rFonts w:hint="eastAsia" w:ascii="仿宋" w:hAnsi="仿宋" w:eastAsia="仿宋" w:cs="仿宋"/>
          <w:b/>
          <w:bCs/>
          <w:color w:val="000000" w:themeColor="text1"/>
          <w:sz w:val="24"/>
          <w:szCs w:val="24"/>
          <w14:textFill>
            <w14:solidFill>
              <w14:schemeClr w14:val="tx1"/>
            </w14:solidFill>
          </w14:textFill>
        </w:rPr>
        <w:t>主要起草单位及任务分工</w:t>
      </w:r>
    </w:p>
    <w:p w14:paraId="3161C4EC">
      <w:pPr>
        <w:spacing w:line="240" w:lineRule="auto"/>
        <w:ind w:left="360" w:firstLine="480"/>
        <w:rPr>
          <w:rFonts w:hint="eastAsia" w:ascii="仿宋" w:hAnsi="仿宋" w:eastAsia="仿宋" w:cs="仿宋"/>
          <w:iCs/>
          <w:color w:val="000000" w:themeColor="text1"/>
          <w:sz w:val="24"/>
          <w:szCs w:val="24"/>
          <w14:textFill>
            <w14:solidFill>
              <w14:schemeClr w14:val="tx1"/>
            </w14:solidFill>
          </w14:textFill>
        </w:rPr>
      </w:pPr>
      <w:r>
        <w:rPr>
          <w:rFonts w:hint="eastAsia" w:ascii="仿宋" w:hAnsi="仿宋" w:eastAsia="仿宋" w:cs="仿宋"/>
          <w:iCs/>
          <w:color w:val="000000" w:themeColor="text1"/>
          <w:sz w:val="24"/>
          <w:szCs w:val="24"/>
          <w14:textFill>
            <w14:solidFill>
              <w14:schemeClr w14:val="tx1"/>
            </w14:solidFill>
          </w14:textFill>
        </w:rPr>
        <w:t>浙江绿色智行科创有限公司：负责甲醇燃料增程控制器标准的立项起草、测试数据及规范的对接处理和审核工作。</w:t>
      </w:r>
    </w:p>
    <w:p w14:paraId="359D3991">
      <w:pPr>
        <w:spacing w:line="240" w:lineRule="auto"/>
        <w:ind w:left="360" w:firstLine="480"/>
        <w:rPr>
          <w:rFonts w:hint="eastAsia" w:ascii="仿宋" w:hAnsi="仿宋" w:eastAsia="仿宋" w:cs="仿宋"/>
          <w:iCs/>
          <w:color w:val="000000" w:themeColor="text1"/>
          <w:sz w:val="24"/>
          <w:szCs w:val="24"/>
          <w14:textFill>
            <w14:solidFill>
              <w14:schemeClr w14:val="tx1"/>
            </w14:solidFill>
          </w14:textFill>
        </w:rPr>
      </w:pPr>
      <w:r>
        <w:rPr>
          <w:rFonts w:hint="eastAsia" w:ascii="仿宋" w:hAnsi="仿宋" w:eastAsia="仿宋" w:cs="仿宋"/>
          <w:iCs/>
          <w:color w:val="000000" w:themeColor="text1"/>
          <w:sz w:val="24"/>
          <w:szCs w:val="24"/>
          <w14:textFill>
            <w14:solidFill>
              <w14:schemeClr w14:val="tx1"/>
            </w14:solidFill>
          </w14:textFill>
        </w:rPr>
        <w:t>浙江吉利新能源商用车集团有限公司：负责提供甲醇燃料增程控制器在车机等应用场景的测试及数据及规范收集工作。</w:t>
      </w:r>
    </w:p>
    <w:p w14:paraId="10280FB6">
      <w:pPr>
        <w:spacing w:line="240" w:lineRule="auto"/>
        <w:ind w:left="360" w:firstLine="480"/>
        <w:rPr>
          <w:rFonts w:hint="eastAsia" w:ascii="仿宋" w:hAnsi="仿宋" w:eastAsia="仿宋" w:cs="仿宋"/>
          <w:iCs/>
          <w:color w:val="000000" w:themeColor="text1"/>
          <w:sz w:val="24"/>
          <w:szCs w:val="24"/>
          <w14:textFill>
            <w14:solidFill>
              <w14:schemeClr w14:val="tx1"/>
            </w14:solidFill>
          </w14:textFill>
        </w:rPr>
      </w:pPr>
      <w:r>
        <w:rPr>
          <w:rFonts w:hint="eastAsia" w:ascii="仿宋" w:hAnsi="仿宋" w:eastAsia="仿宋" w:cs="仿宋"/>
          <w:iCs/>
          <w:color w:val="000000" w:themeColor="text1"/>
          <w:sz w:val="24"/>
          <w:szCs w:val="24"/>
          <w14:textFill>
            <w14:solidFill>
              <w14:schemeClr w14:val="tx1"/>
            </w14:solidFill>
          </w14:textFill>
        </w:rPr>
        <w:t>卓品智能科技无锡股份有限公司：负责提供甲醇燃料增程控制器耐久试验测试和生产运输过程数据及规范的收集工作。</w:t>
      </w:r>
    </w:p>
    <w:p w14:paraId="096C462E">
      <w:pPr>
        <w:numPr>
          <w:ilvl w:val="0"/>
          <w:numId w:val="2"/>
        </w:numPr>
        <w:rPr>
          <w:rFonts w:ascii="仿宋" w:hAnsi="仿宋" w:eastAsia="仿宋" w:cs="仿宋"/>
          <w:b/>
          <w:bCs/>
          <w:color w:val="000000" w:themeColor="text1"/>
          <w:sz w:val="24"/>
          <w:szCs w:val="24"/>
          <w14:textFill>
            <w14:solidFill>
              <w14:schemeClr w14:val="tx1"/>
            </w14:solidFill>
          </w14:textFill>
        </w:rPr>
      </w:pPr>
      <w:r>
        <w:rPr>
          <w:rFonts w:hint="eastAsia" w:ascii="仿宋" w:hAnsi="仿宋" w:eastAsia="仿宋" w:cs="仿宋"/>
          <w:b/>
          <w:bCs/>
          <w:color w:val="000000" w:themeColor="text1"/>
          <w:sz w:val="24"/>
          <w:szCs w:val="24"/>
          <w14:textFill>
            <w14:solidFill>
              <w14:schemeClr w14:val="tx1"/>
            </w14:solidFill>
          </w14:textFill>
        </w:rPr>
        <w:t>标准研讨情况</w:t>
      </w:r>
    </w:p>
    <w:p w14:paraId="7D3B2987">
      <w:pPr>
        <w:spacing w:line="240" w:lineRule="auto"/>
        <w:ind w:left="360" w:firstLine="480"/>
        <w:rPr>
          <w:rFonts w:hint="eastAsia" w:ascii="仿宋" w:hAnsi="仿宋" w:eastAsia="仿宋" w:cs="仿宋"/>
          <w:iCs/>
          <w:color w:val="000000" w:themeColor="text1"/>
          <w:sz w:val="24"/>
          <w:szCs w:val="24"/>
          <w14:textFill>
            <w14:solidFill>
              <w14:schemeClr w14:val="tx1"/>
            </w14:solidFill>
          </w14:textFill>
        </w:rPr>
      </w:pPr>
      <w:r>
        <w:rPr>
          <w:rFonts w:hint="eastAsia" w:ascii="仿宋" w:hAnsi="仿宋" w:eastAsia="仿宋" w:cs="仿宋"/>
          <w:iCs/>
          <w:color w:val="000000" w:themeColor="text1"/>
          <w:sz w:val="24"/>
          <w:szCs w:val="24"/>
          <w14:textFill>
            <w14:solidFill>
              <w14:schemeClr w14:val="tx1"/>
            </w14:solidFill>
          </w14:textFill>
        </w:rPr>
        <w:t>本标准202</w:t>
      </w:r>
      <w:r>
        <w:rPr>
          <w:rFonts w:hint="eastAsia" w:ascii="仿宋" w:hAnsi="仿宋" w:eastAsia="仿宋" w:cs="仿宋"/>
          <w:iCs/>
          <w:color w:val="000000" w:themeColor="text1"/>
          <w:sz w:val="24"/>
          <w:szCs w:val="24"/>
          <w:lang w:val="en-US" w:eastAsia="zh-CN"/>
          <w14:textFill>
            <w14:solidFill>
              <w14:schemeClr w14:val="tx1"/>
            </w14:solidFill>
          </w14:textFill>
        </w:rPr>
        <w:t>2</w:t>
      </w:r>
      <w:r>
        <w:rPr>
          <w:rFonts w:hint="eastAsia" w:ascii="仿宋" w:hAnsi="仿宋" w:eastAsia="仿宋" w:cs="仿宋"/>
          <w:iCs/>
          <w:color w:val="000000" w:themeColor="text1"/>
          <w:sz w:val="24"/>
          <w:szCs w:val="24"/>
          <w14:textFill>
            <w14:solidFill>
              <w14:schemeClr w14:val="tx1"/>
            </w14:solidFill>
          </w14:textFill>
        </w:rPr>
        <w:t>年7月完成立项，2024年8月14完成首次评审，已完成介绍标准立项、起草过程中召开的有关调研、讨论等会议情况，突出阶段性成果。</w:t>
      </w:r>
    </w:p>
    <w:p w14:paraId="237F24AE">
      <w:pPr>
        <w:ind w:firstLine="480" w:firstLineChars="200"/>
        <w:rPr>
          <w:rFonts w:ascii="黑体" w:hAnsi="黑体" w:eastAsia="黑体" w:cs="黑体"/>
          <w:color w:val="000000" w:themeColor="text1"/>
          <w:sz w:val="24"/>
          <w:szCs w:val="24"/>
          <w14:textFill>
            <w14:solidFill>
              <w14:schemeClr w14:val="tx1"/>
            </w14:solidFill>
          </w14:textFill>
        </w:rPr>
      </w:pPr>
      <w:r>
        <w:rPr>
          <w:rFonts w:hint="eastAsia" w:ascii="黑体" w:hAnsi="黑体" w:eastAsia="黑体" w:cs="黑体"/>
          <w:color w:val="000000" w:themeColor="text1"/>
          <w:sz w:val="24"/>
          <w:szCs w:val="24"/>
          <w14:textFill>
            <w14:solidFill>
              <w14:schemeClr w14:val="tx1"/>
            </w14:solidFill>
          </w14:textFill>
        </w:rPr>
        <w:t>二、标准编制原则和主要内容</w:t>
      </w:r>
    </w:p>
    <w:p w14:paraId="517CCD8C">
      <w:pPr>
        <w:spacing w:line="240" w:lineRule="auto"/>
        <w:ind w:left="360" w:firstLine="480"/>
        <w:rPr>
          <w:rFonts w:ascii="仿宋" w:hAnsi="仿宋" w:eastAsia="仿宋" w:cs="仿宋"/>
          <w:iCs/>
          <w:color w:val="000000" w:themeColor="text1"/>
          <w:sz w:val="24"/>
          <w:szCs w:val="24"/>
          <w14:textFill>
            <w14:solidFill>
              <w14:schemeClr w14:val="tx1"/>
            </w14:solidFill>
          </w14:textFill>
        </w:rPr>
      </w:pPr>
      <w:r>
        <w:rPr>
          <w:rFonts w:hint="eastAsia" w:ascii="仿宋" w:hAnsi="仿宋" w:eastAsia="仿宋" w:cs="仿宋"/>
          <w:iCs/>
          <w:color w:val="000000" w:themeColor="text1"/>
          <w:sz w:val="24"/>
          <w:szCs w:val="24"/>
          <w14:textFill>
            <w14:solidFill>
              <w14:schemeClr w14:val="tx1"/>
            </w14:solidFill>
          </w14:textFill>
        </w:rPr>
        <w:t>本标准编制依据科学性原则，标准中使用的术语、定义、符号和单位等都必须准确无误；先进性原则，目前国际上还没有对车用甲醇燃料增程控制器技术条件及试验方法进行应用及规定的先例，此标准填补国际空白；本标准主要涉及以下内容：本标准规定了车用甲醇燃料增程控制器技术条件及试验方法的术语和定义、技术要求、试验方法、检验规则、标志、包装 、运输和储存。</w:t>
      </w:r>
    </w:p>
    <w:p w14:paraId="2CCE334A">
      <w:pPr>
        <w:ind w:firstLine="480" w:firstLineChars="200"/>
        <w:rPr>
          <w:rFonts w:ascii="黑体" w:hAnsi="黑体" w:eastAsia="黑体" w:cs="黑体"/>
          <w:color w:val="000000" w:themeColor="text1"/>
          <w:sz w:val="24"/>
          <w:szCs w:val="24"/>
          <w14:textFill>
            <w14:solidFill>
              <w14:schemeClr w14:val="tx1"/>
            </w14:solidFill>
          </w14:textFill>
        </w:rPr>
      </w:pPr>
      <w:r>
        <w:rPr>
          <w:rFonts w:hint="eastAsia" w:ascii="黑体" w:hAnsi="黑体" w:eastAsia="黑体" w:cs="黑体"/>
          <w:color w:val="000000" w:themeColor="text1"/>
          <w:sz w:val="24"/>
          <w:szCs w:val="24"/>
          <w14:textFill>
            <w14:solidFill>
              <w14:schemeClr w14:val="tx1"/>
            </w14:solidFill>
          </w14:textFill>
        </w:rPr>
        <w:t xml:space="preserve">三、采用国际标准和国外先进标准情况   </w:t>
      </w:r>
    </w:p>
    <w:p w14:paraId="4A0FBB50">
      <w:pPr>
        <w:spacing w:line="240" w:lineRule="auto"/>
        <w:ind w:left="360" w:firstLine="480"/>
        <w:rPr>
          <w:rFonts w:ascii="仿宋" w:hAnsi="仿宋" w:eastAsia="仿宋" w:cs="仿宋"/>
          <w:color w:val="000000" w:themeColor="text1"/>
          <w:sz w:val="24"/>
          <w:szCs w:val="24"/>
          <w14:textFill>
            <w14:solidFill>
              <w14:schemeClr w14:val="tx1"/>
            </w14:solidFill>
          </w14:textFill>
        </w:rPr>
      </w:pPr>
      <w:r>
        <w:rPr>
          <w:rFonts w:hint="eastAsia" w:ascii="仿宋" w:hAnsi="仿宋" w:eastAsia="仿宋" w:cs="仿宋"/>
          <w:iCs/>
          <w:color w:val="000000" w:themeColor="text1"/>
          <w:sz w:val="24"/>
          <w:szCs w:val="24"/>
          <w14:textFill>
            <w14:solidFill>
              <w14:schemeClr w14:val="tx1"/>
            </w14:solidFill>
          </w14:textFill>
        </w:rPr>
        <w:t>本标准未采用国际和国外标准，不涉及国际国外标准采标情况。</w:t>
      </w:r>
    </w:p>
    <w:p w14:paraId="592EC1D5">
      <w:pPr>
        <w:ind w:firstLine="480" w:firstLineChars="200"/>
        <w:rPr>
          <w:rFonts w:ascii="黑体" w:hAnsi="黑体" w:eastAsia="黑体" w:cs="黑体"/>
          <w:color w:val="000000" w:themeColor="text1"/>
          <w:sz w:val="24"/>
          <w:szCs w:val="24"/>
          <w14:textFill>
            <w14:solidFill>
              <w14:schemeClr w14:val="tx1"/>
            </w14:solidFill>
          </w14:textFill>
        </w:rPr>
      </w:pPr>
      <w:r>
        <w:rPr>
          <w:rFonts w:hint="eastAsia" w:ascii="黑体" w:hAnsi="黑体" w:eastAsia="黑体" w:cs="黑体"/>
          <w:color w:val="000000" w:themeColor="text1"/>
          <w:sz w:val="24"/>
          <w:szCs w:val="24"/>
          <w14:textFill>
            <w14:solidFill>
              <w14:schemeClr w14:val="tx1"/>
            </w14:solidFill>
          </w14:textFill>
        </w:rPr>
        <w:t>四、主要关键指标及试验验证情况</w:t>
      </w:r>
    </w:p>
    <w:p w14:paraId="33F0C518">
      <w:pPr>
        <w:spacing w:line="240" w:lineRule="auto"/>
        <w:ind w:left="360" w:firstLine="480"/>
        <w:rPr>
          <w:rFonts w:ascii="仿宋" w:hAnsi="仿宋" w:eastAsia="仿宋" w:cs="仿宋"/>
          <w:color w:val="000000" w:themeColor="text1"/>
          <w:sz w:val="24"/>
          <w:szCs w:val="24"/>
          <w14:textFill>
            <w14:solidFill>
              <w14:schemeClr w14:val="tx1"/>
            </w14:solidFill>
          </w14:textFill>
        </w:rPr>
      </w:pPr>
      <w:r>
        <w:rPr>
          <w:rFonts w:hint="eastAsia" w:ascii="仿宋" w:hAnsi="仿宋" w:eastAsia="仿宋" w:cs="仿宋"/>
          <w:iCs/>
          <w:color w:val="000000" w:themeColor="text1"/>
          <w:sz w:val="24"/>
          <w:szCs w:val="24"/>
          <w14:textFill>
            <w14:solidFill>
              <w14:schemeClr w14:val="tx1"/>
            </w14:solidFill>
          </w14:textFill>
        </w:rPr>
        <w:t>标准主要涉及：甲醇燃料增程控制器的电气负荷、机械负荷、气候负荷、布置要求、电磁兼容EMC、电气连接的技术条件及试验方法。</w:t>
      </w:r>
    </w:p>
    <w:p w14:paraId="52044D29">
      <w:pPr>
        <w:ind w:firstLine="480" w:firstLineChars="200"/>
        <w:rPr>
          <w:rFonts w:ascii="黑体" w:hAnsi="黑体" w:eastAsia="黑体" w:cs="黑体"/>
          <w:color w:val="000000" w:themeColor="text1"/>
          <w:sz w:val="24"/>
          <w:szCs w:val="24"/>
          <w14:textFill>
            <w14:solidFill>
              <w14:schemeClr w14:val="tx1"/>
            </w14:solidFill>
          </w14:textFill>
        </w:rPr>
      </w:pPr>
      <w:r>
        <w:rPr>
          <w:rFonts w:hint="eastAsia" w:ascii="黑体" w:hAnsi="黑体" w:eastAsia="黑体" w:cs="黑体"/>
          <w:color w:val="000000" w:themeColor="text1"/>
          <w:sz w:val="24"/>
          <w:szCs w:val="24"/>
          <w14:textFill>
            <w14:solidFill>
              <w14:schemeClr w14:val="tx1"/>
            </w14:solidFill>
          </w14:textFill>
        </w:rPr>
        <w:t>五、与现行法律、法规和政策及相关标准的协调性</w:t>
      </w:r>
    </w:p>
    <w:p w14:paraId="31D5CF48">
      <w:pPr>
        <w:spacing w:line="240" w:lineRule="auto"/>
        <w:ind w:left="360" w:firstLine="480"/>
        <w:rPr>
          <w:rFonts w:ascii="仿宋" w:hAnsi="仿宋" w:eastAsia="仿宋" w:cs="仿宋"/>
          <w:color w:val="000000" w:themeColor="text1"/>
          <w:sz w:val="24"/>
          <w:szCs w:val="24"/>
          <w14:textFill>
            <w14:solidFill>
              <w14:schemeClr w14:val="tx1"/>
            </w14:solidFill>
          </w14:textFill>
        </w:rPr>
      </w:pPr>
      <w:r>
        <w:rPr>
          <w:rFonts w:hint="eastAsia" w:ascii="仿宋" w:hAnsi="仿宋" w:eastAsia="仿宋" w:cs="仿宋"/>
          <w:iCs/>
          <w:color w:val="000000" w:themeColor="text1"/>
          <w:sz w:val="24"/>
          <w:szCs w:val="24"/>
          <w14:textFill>
            <w14:solidFill>
              <w14:schemeClr w14:val="tx1"/>
            </w14:solidFill>
          </w14:textFill>
        </w:rPr>
        <w:t>本标准符合现行法律、法规、政策及相关强制性标准要求。</w:t>
      </w:r>
    </w:p>
    <w:p w14:paraId="4C464725">
      <w:pPr>
        <w:ind w:firstLine="480" w:firstLineChars="200"/>
        <w:rPr>
          <w:rFonts w:ascii="黑体" w:hAnsi="黑体" w:eastAsia="黑体" w:cs="黑体"/>
          <w:color w:val="000000" w:themeColor="text1"/>
          <w:sz w:val="24"/>
          <w:szCs w:val="24"/>
          <w14:textFill>
            <w14:solidFill>
              <w14:schemeClr w14:val="tx1"/>
            </w14:solidFill>
          </w14:textFill>
        </w:rPr>
      </w:pPr>
      <w:r>
        <w:rPr>
          <w:rFonts w:hint="eastAsia" w:ascii="黑体" w:hAnsi="黑体" w:eastAsia="黑体" w:cs="黑体"/>
          <w:color w:val="000000" w:themeColor="text1"/>
          <w:sz w:val="24"/>
          <w:szCs w:val="24"/>
          <w14:textFill>
            <w14:solidFill>
              <w14:schemeClr w14:val="tx1"/>
            </w14:solidFill>
          </w14:textFill>
        </w:rPr>
        <w:t>六、贯彻标准的要求和措施建议</w:t>
      </w:r>
    </w:p>
    <w:p w14:paraId="42810C17">
      <w:pPr>
        <w:spacing w:line="240" w:lineRule="auto"/>
        <w:ind w:left="360" w:firstLine="480"/>
        <w:rPr>
          <w:rFonts w:ascii="仿宋" w:hAnsi="仿宋" w:eastAsia="仿宋" w:cs="仿宋"/>
          <w:color w:val="000000" w:themeColor="text1"/>
          <w:sz w:val="24"/>
          <w:szCs w:val="24"/>
          <w14:textFill>
            <w14:solidFill>
              <w14:schemeClr w14:val="tx1"/>
            </w14:solidFill>
          </w14:textFill>
        </w:rPr>
      </w:pPr>
      <w:r>
        <w:rPr>
          <w:rFonts w:hint="eastAsia" w:ascii="仿宋" w:hAnsi="仿宋" w:eastAsia="仿宋" w:cs="仿宋"/>
          <w:iCs/>
          <w:color w:val="000000" w:themeColor="text1"/>
          <w:sz w:val="24"/>
          <w:szCs w:val="24"/>
          <w14:textFill>
            <w14:solidFill>
              <w14:schemeClr w14:val="tx1"/>
            </w14:solidFill>
          </w14:textFill>
        </w:rPr>
        <w:t>本标准适用于车用甲醇燃料增程控制器的生产、测试、验收及应用；标准发布后通过多媒体、网络、集中学习、讲座等方式进行宣传。</w:t>
      </w:r>
    </w:p>
    <w:p w14:paraId="0C54D6A3">
      <w:pPr>
        <w:numPr>
          <w:ilvl w:val="0"/>
          <w:numId w:val="3"/>
        </w:numPr>
        <w:ind w:firstLine="480" w:firstLineChars="200"/>
        <w:rPr>
          <w:rFonts w:ascii="黑体" w:hAnsi="黑体" w:eastAsia="黑体" w:cs="黑体"/>
          <w:color w:val="000000" w:themeColor="text1"/>
          <w:sz w:val="24"/>
          <w:szCs w:val="24"/>
          <w14:textFill>
            <w14:solidFill>
              <w14:schemeClr w14:val="tx1"/>
            </w14:solidFill>
          </w14:textFill>
        </w:rPr>
      </w:pPr>
      <w:r>
        <w:rPr>
          <w:rFonts w:hint="eastAsia" w:ascii="黑体" w:hAnsi="黑体" w:eastAsia="黑体" w:cs="黑体"/>
          <w:color w:val="000000" w:themeColor="text1"/>
          <w:sz w:val="24"/>
          <w:szCs w:val="24"/>
          <w14:textFill>
            <w14:solidFill>
              <w14:schemeClr w14:val="tx1"/>
            </w14:solidFill>
          </w14:textFill>
        </w:rPr>
        <w:t>其他需要说明的事项</w:t>
      </w:r>
    </w:p>
    <w:p w14:paraId="2CA4AC85">
      <w:pPr>
        <w:spacing w:line="240" w:lineRule="auto"/>
        <w:ind w:left="360" w:firstLine="480"/>
        <w:rPr>
          <w:rFonts w:hint="eastAsia" w:ascii="仿宋" w:hAnsi="仿宋" w:eastAsia="仿宋" w:cs="仿宋"/>
          <w:iCs/>
          <w:color w:val="000000" w:themeColor="text1"/>
          <w:sz w:val="24"/>
          <w:szCs w:val="24"/>
          <w14:textFill>
            <w14:solidFill>
              <w14:schemeClr w14:val="tx1"/>
            </w14:solidFill>
          </w14:textFill>
        </w:rPr>
      </w:pPr>
      <w:r>
        <w:rPr>
          <w:rFonts w:hint="eastAsia" w:ascii="仿宋" w:hAnsi="仿宋" w:eastAsia="仿宋" w:cs="仿宋"/>
          <w:iCs/>
          <w:color w:val="000000" w:themeColor="text1"/>
          <w:sz w:val="24"/>
          <w:szCs w:val="24"/>
          <w14:textFill>
            <w14:solidFill>
              <w14:schemeClr w14:val="tx1"/>
            </w14:solidFill>
          </w14:textFill>
        </w:rPr>
        <w:t>通过科技成果转化，将该技术应用车用甲醇燃料增程控制器器的生产、测试、验收及应用，能够显著提升甲醇燃料增程控制器的可靠性及竞争力，推动车用甲醇燃料行业的发展，同时也为企业带来经济收益，促进车用甲醇燃料</w:t>
      </w:r>
      <w:bookmarkStart w:id="0" w:name="_GoBack"/>
      <w:bookmarkEnd w:id="0"/>
      <w:r>
        <w:rPr>
          <w:rFonts w:hint="eastAsia" w:ascii="仿宋" w:hAnsi="仿宋" w:eastAsia="仿宋" w:cs="仿宋"/>
          <w:iCs/>
          <w:color w:val="000000" w:themeColor="text1"/>
          <w:sz w:val="24"/>
          <w:szCs w:val="24"/>
          <w14:textFill>
            <w14:solidFill>
              <w14:schemeClr w14:val="tx1"/>
            </w14:solidFill>
          </w14:textFill>
        </w:rPr>
        <w:t>增程控制器的持续发展。</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Nimbus Roman No9 L">
    <w:panose1 w:val="00000000000000000000"/>
    <w:charset w:val="00"/>
    <w:family w:val="auto"/>
    <w:pitch w:val="default"/>
    <w:sig w:usb0="00000000" w:usb1="00000000" w:usb2="00000000" w:usb3="00000000" w:csb0="00000000" w:csb1="00000000"/>
  </w:font>
  <w:font w:name="Calibri">
    <w:altName w:val="Nimbus Roman No9 L"/>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仿宋">
    <w:altName w:val="方正仿宋_GBK"/>
    <w:panose1 w:val="02010609060101010101"/>
    <w:charset w:val="86"/>
    <w:family w:val="modern"/>
    <w:pitch w:val="default"/>
    <w:sig w:usb0="00000000" w:usb1="00000000" w:usb2="00000016" w:usb3="00000000" w:csb0="00040001" w:csb1="00000000"/>
  </w:font>
  <w:font w:name="方正仿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760A38F"/>
    <w:multiLevelType w:val="singleLevel"/>
    <w:tmpl w:val="C760A38F"/>
    <w:lvl w:ilvl="0" w:tentative="0">
      <w:start w:val="1"/>
      <w:numFmt w:val="chineseCounting"/>
      <w:suff w:val="nothing"/>
      <w:lvlText w:val="%1、"/>
      <w:lvlJc w:val="left"/>
      <w:rPr>
        <w:rFonts w:hint="eastAsia"/>
      </w:rPr>
    </w:lvl>
  </w:abstractNum>
  <w:abstractNum w:abstractNumId="1">
    <w:nsid w:val="E319F839"/>
    <w:multiLevelType w:val="singleLevel"/>
    <w:tmpl w:val="E319F839"/>
    <w:lvl w:ilvl="0" w:tentative="0">
      <w:start w:val="1"/>
      <w:numFmt w:val="chineseCounting"/>
      <w:suff w:val="nothing"/>
      <w:lvlText w:val="（%1）"/>
      <w:lvlJc w:val="left"/>
      <w:pPr>
        <w:ind w:left="360" w:firstLine="0"/>
      </w:pPr>
      <w:rPr>
        <w:rFonts w:hint="eastAsia"/>
      </w:rPr>
    </w:lvl>
  </w:abstractNum>
  <w:abstractNum w:abstractNumId="2">
    <w:nsid w:val="E3C56D80"/>
    <w:multiLevelType w:val="singleLevel"/>
    <w:tmpl w:val="E3C56D80"/>
    <w:lvl w:ilvl="0" w:tentative="0">
      <w:start w:val="7"/>
      <w:numFmt w:val="chineseCounting"/>
      <w:suff w:val="nothing"/>
      <w:lvlText w:val="%1、"/>
      <w:lvlJc w:val="left"/>
      <w:rPr>
        <w:rFonts w:hint="eastAsia"/>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25DC"/>
    <w:rsid w:val="0002690C"/>
    <w:rsid w:val="00075CB5"/>
    <w:rsid w:val="000A0D09"/>
    <w:rsid w:val="00143416"/>
    <w:rsid w:val="00190754"/>
    <w:rsid w:val="001E73B4"/>
    <w:rsid w:val="00253B91"/>
    <w:rsid w:val="00277F1A"/>
    <w:rsid w:val="00280AED"/>
    <w:rsid w:val="002D2F07"/>
    <w:rsid w:val="00330394"/>
    <w:rsid w:val="00347D85"/>
    <w:rsid w:val="00382EFC"/>
    <w:rsid w:val="0041008E"/>
    <w:rsid w:val="004A308F"/>
    <w:rsid w:val="004F545E"/>
    <w:rsid w:val="00545A07"/>
    <w:rsid w:val="005724E1"/>
    <w:rsid w:val="005E7BED"/>
    <w:rsid w:val="005F0F7F"/>
    <w:rsid w:val="00627784"/>
    <w:rsid w:val="00632B91"/>
    <w:rsid w:val="00743811"/>
    <w:rsid w:val="007533A7"/>
    <w:rsid w:val="0078079E"/>
    <w:rsid w:val="00803E0E"/>
    <w:rsid w:val="008311B2"/>
    <w:rsid w:val="0090574A"/>
    <w:rsid w:val="009079C9"/>
    <w:rsid w:val="009154FC"/>
    <w:rsid w:val="0097365D"/>
    <w:rsid w:val="009F50B6"/>
    <w:rsid w:val="00A11767"/>
    <w:rsid w:val="00AC2869"/>
    <w:rsid w:val="00B066D6"/>
    <w:rsid w:val="00B4182F"/>
    <w:rsid w:val="00B54F00"/>
    <w:rsid w:val="00BA653F"/>
    <w:rsid w:val="00BF136B"/>
    <w:rsid w:val="00BF2221"/>
    <w:rsid w:val="00C32A0D"/>
    <w:rsid w:val="00C76DB1"/>
    <w:rsid w:val="00CA41A7"/>
    <w:rsid w:val="00CD25DC"/>
    <w:rsid w:val="00D125A5"/>
    <w:rsid w:val="00D2049C"/>
    <w:rsid w:val="00D55FCC"/>
    <w:rsid w:val="00D87670"/>
    <w:rsid w:val="00DD0CDE"/>
    <w:rsid w:val="00E2278E"/>
    <w:rsid w:val="00EA7E8A"/>
    <w:rsid w:val="00EC7FE7"/>
    <w:rsid w:val="00F01D7C"/>
    <w:rsid w:val="00F41FC8"/>
    <w:rsid w:val="00FB3602"/>
    <w:rsid w:val="00FB473A"/>
    <w:rsid w:val="00FE73A2"/>
    <w:rsid w:val="08070CB2"/>
    <w:rsid w:val="17FE211F"/>
    <w:rsid w:val="42EE42CC"/>
    <w:rsid w:val="5E937D3B"/>
    <w:rsid w:val="6A2627B9"/>
    <w:rsid w:val="F5FB13A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qFormat/>
    <w:uiPriority w:val="0"/>
    <w:pPr>
      <w:tabs>
        <w:tab w:val="center" w:pos="4153"/>
        <w:tab w:val="right" w:pos="8306"/>
      </w:tabs>
      <w:snapToGrid w:val="0"/>
      <w:jc w:val="left"/>
    </w:pPr>
    <w:rPr>
      <w:sz w:val="18"/>
      <w:szCs w:val="18"/>
    </w:rPr>
  </w:style>
  <w:style w:type="paragraph" w:styleId="3">
    <w:name w:val="header"/>
    <w:basedOn w:val="1"/>
    <w:link w:val="6"/>
    <w:qFormat/>
    <w:uiPriority w:val="0"/>
    <w:pPr>
      <w:pBdr>
        <w:bottom w:val="single" w:color="auto" w:sz="6" w:space="1"/>
      </w:pBdr>
      <w:tabs>
        <w:tab w:val="center" w:pos="4153"/>
        <w:tab w:val="right" w:pos="8306"/>
      </w:tabs>
      <w:snapToGrid w:val="0"/>
      <w:jc w:val="center"/>
    </w:pPr>
    <w:rPr>
      <w:sz w:val="18"/>
      <w:szCs w:val="18"/>
    </w:rPr>
  </w:style>
  <w:style w:type="character" w:customStyle="1" w:styleId="6">
    <w:name w:val="页眉 字符"/>
    <w:basedOn w:val="5"/>
    <w:link w:val="3"/>
    <w:qFormat/>
    <w:uiPriority w:val="0"/>
    <w:rPr>
      <w:kern w:val="2"/>
      <w:sz w:val="18"/>
      <w:szCs w:val="18"/>
    </w:rPr>
  </w:style>
  <w:style w:type="character" w:customStyle="1" w:styleId="7">
    <w:name w:val="页脚 字符"/>
    <w:basedOn w:val="5"/>
    <w:link w:val="2"/>
    <w:qFormat/>
    <w:uiPriority w:val="0"/>
    <w:rPr>
      <w:kern w:val="2"/>
      <w:sz w:val="18"/>
      <w:szCs w:val="18"/>
    </w:rPr>
  </w:style>
  <w:style w:type="paragraph" w:customStyle="1" w:styleId="8">
    <w:name w:val="封面标准英文名称"/>
    <w:basedOn w:val="1"/>
    <w:qFormat/>
    <w:uiPriority w:val="0"/>
    <w:pPr>
      <w:framePr w:w="9638" w:h="6917" w:hRule="exact" w:wrap="around" w:vAnchor="margin" w:hAnchor="margin" w:xAlign="center" w:y="5955" w:anchorLock="1"/>
      <w:spacing w:before="370" w:line="400" w:lineRule="exact"/>
      <w:jc w:val="center"/>
      <w:textAlignment w:val="center"/>
    </w:pPr>
    <w:rPr>
      <w:rFonts w:ascii="黑体" w:eastAsia="黑体"/>
      <w:kern w:val="0"/>
      <w:sz w:val="28"/>
      <w:szCs w:val="20"/>
    </w:rPr>
  </w:style>
  <w:style w:type="paragraph" w:styleId="9">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999</Words>
  <Characters>1014</Characters>
  <Lines>7</Lines>
  <Paragraphs>2</Paragraphs>
  <TotalTime>108</TotalTime>
  <ScaleCrop>false</ScaleCrop>
  <LinksUpToDate>false</LinksUpToDate>
  <CharactersWithSpaces>1018</CharactersWithSpaces>
  <Application>WPS Office_12.8.2.1119_F1E327BC-269C-435d-A152-05C5408002CA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2026-06-24T14:18:00Z</dcterms:created>
  <dc:creator>ZHQ</dc:creator>
  <cp:lastModifiedBy>陈浩</cp:lastModifiedBy>
  <dcterms:modified xsi:type="dcterms:W3CDTF">2026-07-23T10:12:35Z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2052-12.8.2.1119</vt:lpwstr>
  </property>
  <property fmtid="{D5CDD505-2E9C-101B-9397-08002B2CF9AE}" pid="3" name="KSOTemplateDocerSaveRecord">
    <vt:lpwstr>eyJoZGlkIjoiYmUyMTYwYWIxMmJkNWRjMTlhMWEyMWFiMTdkZWViZDMiLCJ1c2VySWQiOiIxNDk4NjM2Nzc4In0=</vt:lpwstr>
  </property>
  <property fmtid="{D5CDD505-2E9C-101B-9397-08002B2CF9AE}" pid="4" name="ICV">
    <vt:lpwstr>5706FAA301ED46F68B894F5F998A4B11_12</vt:lpwstr>
  </property>
  <property fmtid="{D5CDD505-2E9C-101B-9397-08002B2CF9AE}" pid="5" name="EagleCloud">
    <vt:lpwstr>61676334b4e8422151e43967553014381f5e06876ebe2bbce66cedec39aecaac7d38f4a188ee032ed1e8ff2b0bf1df31907f94ecccf77031bdf4ba09863f69ff39364240fb3cb2ed3f5b47b5a74b7b515e65cc2f30b197fea376242bc9e4afd4a323fa655093afe78925a010099ebf8b5ab7568f75e0200b1444861e523a173</vt:lpwstr>
  </property>
  <property fmtid="{D5CDD505-2E9C-101B-9397-08002B2CF9AE}" pid="6" name="EagleCloud1">
    <vt:lpwstr>5bdc8e0e016a31042cb2ddf3c3caeda685992afb02382e45ea9b939ad9e87e9b94e8b852de0cc76529a2d040aa3e3a1b7b4e578b60421d5efe180ff6e671130d6152e89c7e88247b9f96ae235b0d0fe4ad6d0c6504fbf436ed2a150575271ed05de19b3533669949cf0d1bcb8078e31b63a3d038dd3ee6b9922373af22ca604</vt:lpwstr>
  </property>
  <property fmtid="{D5CDD505-2E9C-101B-9397-08002B2CF9AE}" pid="7" name="EagleCloud2">
    <vt:lpwstr>a18977f5536fce1fde59fc3b1643184e283f6c4878431f93f91116b2ddba8b712248824964d7e7d6e48b7e1d01b13bf4515b52c31ebfac1eca87b86ce38a0fbb42946e404b2905ac9e384b6d1b4a65068cc42b13e05f2e31074a97b3bb5f08787a90fcfb5ceb605458c992f29fbee1dbd903f236158ca4d2ba4912045683947</vt:lpwstr>
  </property>
  <property fmtid="{D5CDD505-2E9C-101B-9397-08002B2CF9AE}" pid="8" name="EagleCloud3">
    <vt:lpwstr>59262623cf2664bf419b61c0fb7da8a2645b5ad71639792554cfe7866b47f6042bde10a10b51f9c41a8e96e255b9e7a700073c696582f9b842510979fe4ebc8a81ec5745576c0e094eef37dd4f57c90c99e4a78ee93ee4d40e83218dc33db8c7eeb2ca044583d70e67bc27394008a7dc5d19dc91909127bad42cbab4cea9c84</vt:lpwstr>
  </property>
  <property fmtid="{D5CDD505-2E9C-101B-9397-08002B2CF9AE}" pid="9" name="EagleCloud4">
    <vt:lpwstr>278d403105a93623fc0dac6b4a1dd6e0977ca2e1bf71a4225967194df1c77008d58f9f316dfebd8acb7c0b05834b154849580e359db8c2bc7b769b6f7983a12771fd4f77a4782e22e88139af37a9762a311521e643eb80a304736d28f0bf059c3199f6ccb6ef2f40b1fe1f457a81971aae191f6ae500ba5118d484b6f96c632</vt:lpwstr>
  </property>
  <property fmtid="{D5CDD505-2E9C-101B-9397-08002B2CF9AE}" pid="10" name="EagleCloud5">
    <vt:lpwstr>61c761be7a1effaa9a393155f60ac25054ce505167dae43b4ccfcd6affd215c2072ff0da41e32e84418dd185fe96fbcde1d22e5a378b8e609f87e28453ecb8f41f93cd9c927237bcb39820a6e1500e6b21204e8a2b094b69340ac43a977ea2cf2ef8f980364a983a15427aeb17b51b1e103cfb21d73cd708fa25cf2930a85fd</vt:lpwstr>
  </property>
  <property fmtid="{D5CDD505-2E9C-101B-9397-08002B2CF9AE}" pid="11" name="EagleCloud6">
    <vt:lpwstr>d4d7ec7e788d3215422090ef6a00b0a3ba7419043083d1ddb1d271687d63985e61ba97c0a07def67e1de070d3089f17dffeaefc77daba57c203c19568718139d55739b05f147d7b3461a7995704f61742f3e0a5217f697c77f8c9b66ead23a3637aa528ea10d89e2a456756693685eb90d89da91934b9cdc9d8bbcaa704fd51</vt:lpwstr>
  </property>
  <property fmtid="{D5CDD505-2E9C-101B-9397-08002B2CF9AE}" pid="12" name="EagleCloud7">
    <vt:lpwstr>3c9353d7a23f9cbf8c265a1e80ba42c031a29feaa18fd214d633ed6c5e8d9027c289cfc65f633723af0e5d1dd4952dca361bf1674321569fc87fb295dc505bdb27adbd00d47c12b4cba32ad0bbf84660197b94ff57b9f216b924033bcc65b3ce0fc73b11c638c56586f0b65dae39f2ca2c7401773fc3def4e749b2ef46970e0</vt:lpwstr>
  </property>
  <property fmtid="{D5CDD505-2E9C-101B-9397-08002B2CF9AE}" pid="13" name="EagleCloud8">
    <vt:lpwstr>11e31bce62656fa58bccce771b071dc7adf150bec1405bcb4d371b4cd0017e64c1bcbc716e0c9d80c4cd96a157f462e06e6f1092198004cf3b8d4e1e834e6b92584111a33effa8317b09b5a08e1e4cd69f27f72f6686a32c3404cc2b1b7b9ccd871245b25d550fc1610f4755d965ac2ba717d0c56bf15a71caac93c6c4f1c79</vt:lpwstr>
  </property>
  <property fmtid="{D5CDD505-2E9C-101B-9397-08002B2CF9AE}" pid="14" name="EagleCloud9">
    <vt:lpwstr>8d2ed15914fa082b1b3037dff3c9e10156545ace6ee56a39827e33f47ca498160dfeb4aa5a77c021ab70803b19bfb1a1bb77d746c86489f240ff432a65bedcd59e1c303a4aca267002ac88c20bf41ce092c44b0082be9e122b634ed7767855f62d3ed6b0edeb592ec6d5c7d4b3121f904c2fc84f16405060dd354436f8ce807</vt:lpwstr>
  </property>
  <property fmtid="{D5CDD505-2E9C-101B-9397-08002B2CF9AE}" pid="15" name="EagleCloud10">
    <vt:lpwstr>5c1b0ba6314cb6e5322c2d6cdeaac37b130f85e11fa4df0e9098bede25f9b606f7b31ec495d940f6d3318448d2cf299876376a2bc1211d7fabd03c7cd83b8b040b34bfea86fc34451cdd34462d0bebdb8c0d2cf22fb6193b99a32ff079b4c5505bc357e568df5ee2283f2975ffd8d56b0f95ca3a768750308851fd277422005</vt:lpwstr>
  </property>
  <property fmtid="{D5CDD505-2E9C-101B-9397-08002B2CF9AE}" pid="16" name="EagleCloud11">
    <vt:lpwstr>20d8f20b55534b83872164ebe977ab8ba30e721007b490ddc2d3d6360856a5c4667d51a977f42cf9dfa3023d23d34a1610190064f689e6ead5e102c25a5081aab5f840b9a18192e8b3a86331c3d4f785efa43f99f5ae0b265ff5a56b1b02602022252a7c66dd9c00ada88a91e9f193ff3f5e6122033f6c0e48e5c1108d20f38</vt:lpwstr>
  </property>
  <property fmtid="{D5CDD505-2E9C-101B-9397-08002B2CF9AE}" pid="17" name="EagleCloud12">
    <vt:lpwstr>31ae8d002bff5ed871d6ebb8c47b765d58d5d1847a6f27bb42e9df4fd5f23b8a53fe63c9dc9013fa15894a11c4d4f50fb507e104aa1ede30fc20d0b10152d78ec8434d155585dd1a4188c1c9d346276b9cef0c81af928c24bf62bce621aaf8404dd1531ce50fe21fdbaa56d065b32262c66f97c9ea3a7ce1c4d4847f016aed3</vt:lpwstr>
  </property>
  <property fmtid="{D5CDD505-2E9C-101B-9397-08002B2CF9AE}" pid="18" name="EagleCloud13">
    <vt:lpwstr>2d2abd0bf40aa0a9748efec6350f2560eabe2a341943ff17dab18a281d9fd4703dcf23acf6b134d88a0bf67f6ca999b168b040d35b4ad92a18a15c8675e2adbb0f62477908b5671e77e346e9e4a23db0195a7e64b95baeba85c807d233d08bb0b170c7284e0d9ec8145a419fd1b8732b150000f44af99847f62293015cf28d6</vt:lpwstr>
  </property>
  <property fmtid="{D5CDD505-2E9C-101B-9397-08002B2CF9AE}" pid="19" name="EagleCloud14">
    <vt:lpwstr>a94f3a4d7426efebac03efac3e8e092bfb19623a5137ab714059514dd41cb86c8f2c9887f74cae69580e5b50fd41386c0b1f1c71bc8eeb41608cc1a27c649c3b8d4d54a09b6c36174b26cd42b8dd57d9505acc0a3c1240c79e4fa31452f3b9459e5ea8c7e4ec4386e324cfef513387f1b051eb7b008c1f46a25bad6aff1861d</vt:lpwstr>
  </property>
  <property fmtid="{D5CDD505-2E9C-101B-9397-08002B2CF9AE}" pid="20" name="EagleCloud15">
    <vt:lpwstr>cbdb724f590f44a120b1eda4fc24db2743e5391f420f59d</vt:lpwstr>
  </property>
</Properties>
</file>