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06401">
      <w:pPr>
        <w:ind w:firstLine="0" w:firstLineChars="0"/>
        <w:jc w:val="center"/>
        <w:rPr>
          <w:rFonts w:hint="eastAsia" w:ascii="黑体" w:hAnsi="黑体" w:eastAsia="黑体"/>
          <w:b/>
          <w:sz w:val="32"/>
          <w:szCs w:val="32"/>
          <w:lang w:val="en-US" w:eastAsia="zh-CN"/>
        </w:rPr>
      </w:pPr>
      <w:r>
        <w:rPr>
          <w:rFonts w:ascii="黑体" w:hAnsi="黑体" w:eastAsia="黑体"/>
          <w:b/>
          <w:sz w:val="32"/>
          <w:szCs w:val="32"/>
        </w:rPr>
        <w:fldChar w:fldCharType="begin"/>
      </w:r>
      <w:r>
        <w:rPr>
          <w:rFonts w:ascii="黑体" w:hAnsi="黑体" w:eastAsia="黑体"/>
          <w:b/>
          <w:sz w:val="32"/>
          <w:szCs w:val="32"/>
        </w:rPr>
        <w:instrText xml:space="preserve"> MACROBUTTON MTEditEquationSection2 </w:instrText>
      </w:r>
      <w:r>
        <w:rPr>
          <w:rFonts w:hint="eastAsia" w:ascii="黑体" w:hAnsi="黑体" w:eastAsia="黑体"/>
          <w:b/>
          <w:vanish/>
          <w:sz w:val="32"/>
          <w:szCs w:val="32"/>
        </w:rPr>
        <w:instrText xml:space="preserve">公式章</w:instrText>
      </w:r>
      <w:r>
        <w:rPr>
          <w:rFonts w:ascii="黑体" w:hAnsi="黑体" w:eastAsia="黑体"/>
          <w:b/>
          <w:vanish/>
          <w:sz w:val="32"/>
          <w:szCs w:val="32"/>
        </w:rPr>
        <w:instrText xml:space="preserve"> 1 节 1</w:instrText>
      </w:r>
      <w:r>
        <w:rPr>
          <w:rFonts w:ascii="黑体" w:hAnsi="黑体" w:eastAsia="黑体"/>
          <w:b/>
          <w:sz w:val="32"/>
          <w:szCs w:val="32"/>
        </w:rPr>
        <w:fldChar w:fldCharType="begin"/>
      </w:r>
      <w:r>
        <w:rPr>
          <w:rFonts w:ascii="黑体" w:hAnsi="黑体" w:eastAsia="黑体"/>
          <w:b/>
          <w:sz w:val="32"/>
          <w:szCs w:val="32"/>
        </w:rPr>
        <w:instrText xml:space="preserve"> SEQ MTEqn \r \h \* MERGEFORMAT </w:instrText>
      </w:r>
      <w:r>
        <w:rPr>
          <w:rFonts w:ascii="黑体" w:hAnsi="黑体" w:eastAsia="黑体"/>
          <w:b/>
          <w:sz w:val="32"/>
          <w:szCs w:val="32"/>
        </w:rPr>
        <w:fldChar w:fldCharType="end"/>
      </w:r>
      <w:r>
        <w:rPr>
          <w:rFonts w:ascii="黑体" w:hAnsi="黑体" w:eastAsia="黑体"/>
          <w:b/>
          <w:sz w:val="32"/>
          <w:szCs w:val="32"/>
        </w:rPr>
        <w:fldChar w:fldCharType="begin"/>
      </w:r>
      <w:r>
        <w:rPr>
          <w:rFonts w:ascii="黑体" w:hAnsi="黑体" w:eastAsia="黑体"/>
          <w:b/>
          <w:sz w:val="32"/>
          <w:szCs w:val="32"/>
        </w:rPr>
        <w:instrText xml:space="preserve"> SEQ MTSec \r 1 \h \* MERGEFORMAT </w:instrText>
      </w:r>
      <w:r>
        <w:rPr>
          <w:rFonts w:ascii="黑体" w:hAnsi="黑体" w:eastAsia="黑体"/>
          <w:b/>
          <w:sz w:val="32"/>
          <w:szCs w:val="32"/>
        </w:rPr>
        <w:fldChar w:fldCharType="end"/>
      </w:r>
      <w:r>
        <w:rPr>
          <w:rFonts w:ascii="黑体" w:hAnsi="黑体" w:eastAsia="黑体"/>
          <w:b/>
          <w:sz w:val="32"/>
          <w:szCs w:val="32"/>
        </w:rPr>
        <w:fldChar w:fldCharType="begin"/>
      </w:r>
      <w:r>
        <w:rPr>
          <w:rFonts w:ascii="黑体" w:hAnsi="黑体" w:eastAsia="黑体"/>
          <w:b/>
          <w:sz w:val="32"/>
          <w:szCs w:val="32"/>
        </w:rPr>
        <w:instrText xml:space="preserve"> SEQ MTChap \r 1 \h \* MERGEFORMAT </w:instrText>
      </w:r>
      <w:r>
        <w:rPr>
          <w:rFonts w:ascii="黑体" w:hAnsi="黑体" w:eastAsia="黑体"/>
          <w:b/>
          <w:sz w:val="32"/>
          <w:szCs w:val="32"/>
        </w:rPr>
        <w:fldChar w:fldCharType="end"/>
      </w:r>
      <w:r>
        <w:rPr>
          <w:rFonts w:ascii="黑体" w:hAnsi="黑体" w:eastAsia="黑体"/>
          <w:b/>
          <w:sz w:val="32"/>
          <w:szCs w:val="32"/>
        </w:rPr>
        <w:fldChar w:fldCharType="end"/>
      </w:r>
      <w:r>
        <w:rPr>
          <w:rFonts w:hint="eastAsia" w:ascii="黑体" w:hAnsi="黑体" w:eastAsia="黑体"/>
          <w:b/>
          <w:sz w:val="32"/>
          <w:szCs w:val="32"/>
        </w:rPr>
        <w:t>《</w:t>
      </w:r>
      <w:r>
        <w:rPr>
          <w:rFonts w:hint="eastAsia" w:ascii="黑体" w:hAnsi="黑体" w:eastAsia="黑体"/>
          <w:b/>
          <w:sz w:val="32"/>
          <w:szCs w:val="32"/>
          <w:lang w:val="en-US" w:eastAsia="zh-CN"/>
        </w:rPr>
        <w:t>汽车测试场地划分与评定</w:t>
      </w:r>
      <w:r>
        <w:rPr>
          <w:rFonts w:hint="eastAsia" w:ascii="黑体" w:hAnsi="黑体" w:eastAsia="黑体"/>
          <w:b/>
          <w:sz w:val="32"/>
          <w:szCs w:val="32"/>
        </w:rPr>
        <w:t>》</w:t>
      </w:r>
      <w:r>
        <w:rPr>
          <w:rFonts w:hint="eastAsia" w:ascii="黑体" w:hAnsi="黑体" w:eastAsia="黑体"/>
          <w:b/>
          <w:sz w:val="32"/>
          <w:szCs w:val="32"/>
          <w:lang w:val="en-US" w:eastAsia="zh-CN"/>
        </w:rPr>
        <w:t>征求意见稿</w:t>
      </w:r>
    </w:p>
    <w:p w14:paraId="2AD4F597">
      <w:pPr>
        <w:ind w:firstLine="0" w:firstLineChars="0"/>
        <w:jc w:val="center"/>
        <w:rPr>
          <w:rFonts w:hint="default" w:ascii="黑体" w:hAnsi="黑体" w:eastAsia="黑体"/>
          <w:b/>
          <w:sz w:val="32"/>
          <w:szCs w:val="32"/>
          <w:lang w:val="en-US" w:eastAsia="zh-CN"/>
        </w:rPr>
      </w:pPr>
      <w:r>
        <w:rPr>
          <w:rFonts w:hint="eastAsia" w:ascii="黑体" w:hAnsi="黑体" w:eastAsia="黑体"/>
          <w:b/>
          <w:sz w:val="32"/>
          <w:szCs w:val="32"/>
          <w:lang w:val="en-US" w:eastAsia="zh-CN"/>
        </w:rPr>
        <w:t>编制说明文件</w:t>
      </w:r>
    </w:p>
    <w:p w14:paraId="1D6BE1E3">
      <w:pPr>
        <w:pStyle w:val="2"/>
        <w:numPr>
          <w:ilvl w:val="0"/>
          <w:numId w:val="0"/>
        </w:numPr>
        <w:rPr>
          <w:rFonts w:hint="eastAsia" w:eastAsia="黑体"/>
          <w:sz w:val="24"/>
          <w:szCs w:val="24"/>
          <w:lang w:val="en-US" w:eastAsia="zh-CN"/>
        </w:rPr>
      </w:pPr>
      <w:bookmarkStart w:id="0" w:name="_Toc137199042"/>
      <w:r>
        <w:rPr>
          <w:rFonts w:hint="eastAsia"/>
          <w:sz w:val="24"/>
          <w:szCs w:val="24"/>
        </w:rPr>
        <w:t>一、工作</w:t>
      </w:r>
      <w:bookmarkEnd w:id="0"/>
      <w:r>
        <w:rPr>
          <w:rFonts w:hint="eastAsia"/>
          <w:sz w:val="24"/>
          <w:szCs w:val="24"/>
          <w:lang w:val="en-US" w:eastAsia="zh-CN"/>
        </w:rPr>
        <w:t>简况</w:t>
      </w:r>
    </w:p>
    <w:p w14:paraId="77BB5A6A">
      <w:pPr>
        <w:tabs>
          <w:tab w:val="center" w:pos="4153"/>
        </w:tabs>
        <w:ind w:firstLine="0" w:firstLineChars="0"/>
        <w:rPr>
          <w:rFonts w:hint="eastAsia" w:ascii="仿宋" w:hAnsi="仿宋"/>
          <w:b/>
          <w:lang w:val="en-US" w:eastAsia="zh-CN"/>
        </w:rPr>
      </w:pPr>
      <w:r>
        <w:rPr>
          <w:rFonts w:hint="eastAsia" w:ascii="仿宋" w:hAnsi="仿宋"/>
          <w:b/>
          <w:lang w:val="en-US" w:eastAsia="zh-CN"/>
        </w:rPr>
        <w:t>1、任务来源</w:t>
      </w:r>
    </w:p>
    <w:p w14:paraId="3755163C">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2025年6月，同济大学建筑设计研究院（集团）有限公司向中国汽车工业协会试验场分会提报了《汽车测试场地划分与评定》标准预研备案表，经中汽协会试验场分会标准委员会研判分析，肯定了该项标准的研究价值和意义，同意继续深入研究并筹备制定《</w:t>
      </w:r>
      <w:bookmarkStart w:id="9" w:name="_GoBack"/>
      <w:bookmarkEnd w:id="9"/>
      <w:r>
        <w:rPr>
          <w:rFonts w:hint="eastAsia" w:ascii="宋体" w:hAnsi="宋体" w:eastAsia="宋体"/>
          <w:sz w:val="21"/>
          <w:szCs w:val="21"/>
          <w:lang w:val="en-US" w:eastAsia="zh-CN"/>
        </w:rPr>
        <w:t>汽车测试场地划分与评定》团体标准工作；根据前期专家的反馈，中国汽车工业协会试验场分会按照《中汽协会团体标准制修订管理办法》的规定，于2025年7月30日组织专家召开了《汽车测试场地划分与评定》团体标准立项论证评审会，经7位专家论证讨论，一致表决同意该团体标准立项通过；中国汽车工业协会于2025年10月15日发布立项公示，并于2025年10月31日正式下达了立项批复函（中汽协函字【2025】514号），由同济大学建筑设计研究院（集团）有限公司作为牵头起草单位，组成标准编制工作组完成《汽车测试场地划分与评定》团体标准的研究及制定，工作项目计划号2025-68。</w:t>
      </w:r>
    </w:p>
    <w:p w14:paraId="3DEECDA6">
      <w:pPr>
        <w:tabs>
          <w:tab w:val="center" w:pos="4153"/>
        </w:tabs>
        <w:ind w:firstLine="0" w:firstLineChars="0"/>
        <w:rPr>
          <w:rFonts w:hint="eastAsia" w:ascii="仿宋" w:hAnsi="仿宋"/>
          <w:b/>
          <w:lang w:val="en-US" w:eastAsia="zh-CN"/>
        </w:rPr>
      </w:pPr>
      <w:r>
        <w:rPr>
          <w:rFonts w:hint="eastAsia" w:ascii="仿宋" w:hAnsi="仿宋"/>
          <w:b/>
          <w:lang w:val="en-US" w:eastAsia="zh-CN"/>
        </w:rPr>
        <w:t>2、编制的背景与意义</w:t>
      </w:r>
    </w:p>
    <w:p w14:paraId="06AB426F">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汽车测试场地是以汽车研发、实验、试验、检测等为目的，为给汽车试验、测试和检测提供安全稳定的实验条件，重现或强化汽车在使用过程中遇到的各种道路条件、交通条件、环境条件和极端工况而集中修建或改造的封闭场地或规定区域。汽车测试场内一般包括各种试验道路、试验场地、试验设施和相关实验室等。</w:t>
      </w:r>
    </w:p>
    <w:p w14:paraId="2892660A">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随着我国汽车行业的高速发展，新能源汽车、智能网联汽车的研发加快推进，企业对汽车测试的需求也呈阶梯式地增加，测试项目和技术需求迭代快速。面向未来的汽车测试场测试形式多样化，测试需求多元化。汽车测试场地主要分为汽车试验场、智能网联（自动驾驶）汽车测试场、自由驾驶测试场、厂区测试场、多功能融合汽车测试场等五大类汽车测试场地。</w:t>
      </w:r>
    </w:p>
    <w:p w14:paraId="6A2D44BB">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汽车试验场：主要用于汽车性能综合测试，具备动力性、经济性、制动性、操作稳定性、平顺性和通过性能测试等多种项目的综合测试能力。</w:t>
      </w:r>
    </w:p>
    <w:p w14:paraId="7F02AE2B">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智能网联（自动驾驶）汽车测试场：为智能网联汽车提供研发测试、技术验证、能力评估等服务的场地，具有封闭物理界限及智能网联汽车功能测试所需的道路、网联等设施及环境条件。</w:t>
      </w:r>
    </w:p>
    <w:p w14:paraId="13E8174D">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自由驾驶测试场：主要用于汽车运动性能测试、极限驾驶测试、极端工况测试和部分研发、试验的封闭道路或封闭区域，场地根据极限状态下的行车轨迹和速度设有大量安全设施和足够缓冲区，以保障测试安全。</w:t>
      </w:r>
    </w:p>
    <w:p w14:paraId="311DAD28">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厂区测试场：主要用于汽车整车或零部件企业进行产品研发、实验、试验、检测的小型汽车测试场，是厂商的专有场地，一般修建在厂区内部。</w:t>
      </w:r>
    </w:p>
    <w:p w14:paraId="49EFF270">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多功能融合汽车测试场：至少包含上述场地类型中的三类，并将其中的部分测试、试验、运动等功能进行融合集成的综合性汽车测试场。</w:t>
      </w:r>
    </w:p>
    <w:p w14:paraId="6DBFFF3B">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目前各类汽车测试场地层出不穷，形态各异，虽然能够满足多样化的测试需求，但由于缺乏规范统一的评定标准，无法从测试能力、安全等级、服务保障等方面精确区分各个汽车测试场地的功能特征，难以满足建设方、用户和行业对汽车测试场地的分级需求。明确测试能力，保障测试安全，规范行业发展，形成科学合理的汽车测试场地等级评定流程，具有重要意义。</w:t>
      </w:r>
    </w:p>
    <w:p w14:paraId="776E6A44">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（1）面向建设方，明确场地定位，避免同质竞争 </w:t>
      </w:r>
    </w:p>
    <w:p w14:paraId="2C387BA3">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汽车测试场地建设方需要科学的分级标准作为建设依据，以精准定位场地的测试功能和必备的设施配备，建设符合功能定位和使用预期的汽车测试场地。建设方能够依据分级标准，准确把握建设重点，明晰各个等级的新建或改建汽车测试场地在规模配置、设施装备、安全保障、服务质量及管理规章等方面的具体要求，并以此标准为指导，确保建设决策科学，资源配置合理，同时避免与已有场地的同质化竞争和资源浪费，推进场地建设工作。</w:t>
      </w:r>
    </w:p>
    <w:p w14:paraId="577621D9">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（2）面向用户，精准匹配功能，提升测试效率 </w:t>
      </w:r>
    </w:p>
    <w:p w14:paraId="4EA06E3A">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汽车制造商和零部件供应商在产品研发与试验过程中，对测试场地的功能性、安全性等方面有明确的要求。考虑汽车与零部件企业对特定等级测试场地的选择需求，划分汽车测试场地等级，能够帮助用户根据自身产品的测试需要，快速定位并选择适用的测试场地，有助于缩短场地筛选和评估环节，提高用户的研发决策效率，确保汽车产品测试的精准性和高效性。</w:t>
      </w:r>
    </w:p>
    <w:p w14:paraId="09719CEF">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（3）面向行业，规范评定流程，推动健康发展</w:t>
      </w:r>
    </w:p>
    <w:p w14:paraId="5D56B082">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汽车测试行业的健康发展，离不开规范化和透明化的场地管理机制。协会作为第三方评定机构，通过制定和实施规范化的等级评定流程，对各类测试场地进行客观公正的评价，能够为测试场地的服务质量、安全保障和测试结果的权威性提供有力保障。不仅增强了汽车测试场地内部的自我监督和自我完善能力，也为行业的健康可持续发展奠定了坚实基础，推动整个汽车测试行业向更高水平迈进。</w:t>
      </w:r>
    </w:p>
    <w:p w14:paraId="19F95B09">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标准提出旨在形成各类汽车测试场地的等级划分与评定规范，通过制定方法科学合理、规则清晰明确、流程规范可行的汽车测试场地划分与评定规则，形成全面、系统的汽车测试场地等级体系，推动汽车测试场地规范化、标准化发展，为我国汽车产业的持续健康发展提供有力支撑。</w:t>
      </w:r>
    </w:p>
    <w:p w14:paraId="302C20A8">
      <w:pPr>
        <w:tabs>
          <w:tab w:val="center" w:pos="4153"/>
        </w:tabs>
        <w:ind w:firstLine="0" w:firstLineChars="0"/>
        <w:rPr>
          <w:rFonts w:hint="default" w:ascii="仿宋" w:hAnsi="仿宋"/>
          <w:b/>
          <w:lang w:val="en-US" w:eastAsia="zh-CN"/>
        </w:rPr>
      </w:pPr>
      <w:r>
        <w:rPr>
          <w:rFonts w:hint="eastAsia" w:ascii="仿宋" w:hAnsi="仿宋"/>
          <w:b/>
          <w:lang w:val="en-US" w:eastAsia="zh-CN"/>
        </w:rPr>
        <w:t>3、主要工作过程</w:t>
      </w:r>
    </w:p>
    <w:p w14:paraId="2F772053">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left="0" w:leftChars="0"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2025年4月-2025年6月，完成标准预研。同济大学建筑设计研究院（集团）有限公司相关技术人员，成立标准研究工作小组，就国内的具有影响力和成规模的试验场地进行调研和考察走访，结合国内各类试验场地建设的现状和未来的发展战略方向，共同编制完成了标准立项材料并提交中国汽车工业协会申请立项。</w:t>
      </w:r>
    </w:p>
    <w:p w14:paraId="5F216F3F">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2025年7月，完成标准立项论证评审。2025年7月30日，由中国汽车工业协会试验场分会组织7位专家和牵头单位召开线上《汽车测试场地划分与评定》团体标准立项审查会，专家组一致同意标准立项，建议中国汽车工业协会将该项目列入标准制定计划。</w:t>
      </w:r>
    </w:p>
    <w:p w14:paraId="30AE8999">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left="0" w:leftChars="0"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2025年10月，完成标准的立项公示及正式立项通知。2025年10月15日中国汽车工业协会经过立项公示正式，并于2025年10月31日正式发布标准立项通知函（中汽协函字 【2025】514号）。</w:t>
      </w:r>
    </w:p>
    <w:p w14:paraId="611B4F8B">
      <w:pPr>
        <w:keepNext w:val="0"/>
        <w:keepLines w:val="0"/>
        <w:pageBreakBefore w:val="0"/>
        <w:widowControl w:val="0"/>
        <w:kinsoku/>
        <w:wordWrap/>
        <w:overflowPunct/>
        <w:topLinePunct w:val="0"/>
        <w:autoSpaceDE/>
        <w:autoSpaceDN/>
        <w:bidi w:val="0"/>
        <w:adjustRightInd/>
        <w:snapToGrid/>
        <w:ind w:firstLine="420"/>
        <w:textAlignment w:val="auto"/>
        <w:rPr>
          <w:rFonts w:ascii="宋体" w:hAnsi="宋体" w:eastAsia="宋体"/>
          <w:sz w:val="21"/>
          <w:szCs w:val="21"/>
        </w:rPr>
      </w:pPr>
      <w:r>
        <w:rPr>
          <w:rFonts w:hint="eastAsia" w:ascii="宋体" w:hAnsi="宋体" w:eastAsia="宋体"/>
          <w:sz w:val="21"/>
          <w:szCs w:val="21"/>
          <w:lang w:val="en-US" w:eastAsia="zh-CN"/>
        </w:rPr>
        <w:t>2025年11月-2026年2月，完成草稿框架和初稿。牵头起草单位</w:t>
      </w:r>
      <w:r>
        <w:rPr>
          <w:rFonts w:ascii="宋体" w:hAnsi="宋体" w:eastAsia="宋体"/>
          <w:sz w:val="21"/>
          <w:szCs w:val="21"/>
        </w:rPr>
        <w:t>结合标准论证会专家意见及前期标准预研结果，工作组开始起草标准文件，并在标准文件起草的过程中继续不断征询各方专家意见，起草工作组形成标准草案及初稿框架。</w:t>
      </w:r>
    </w:p>
    <w:p w14:paraId="7027438B">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2026年3月-2026年5月，完成征求意见稿。中国汽车工业协会试验场分会和起草单位协同工作组参编技术专家，于2026年3月31日在北京召开线下标准研讨会，征求参编单位的意见，上海机动车检测认证技术研究中心有限公司、中路慧能检测认证科技有限公司等企业共提出20条修改建议和意见，全部采纳。起草单位根据工作组专家提出的修改意见，对标准文件进行论证修正，最终形成征求意见稿。</w:t>
      </w:r>
    </w:p>
    <w:p w14:paraId="290C35B4">
      <w:pPr>
        <w:numPr>
          <w:ilvl w:val="0"/>
          <w:numId w:val="0"/>
        </w:numPr>
        <w:tabs>
          <w:tab w:val="center" w:pos="4153"/>
        </w:tabs>
        <w:rPr>
          <w:rFonts w:hint="eastAsia" w:ascii="仿宋" w:hAnsi="仿宋"/>
          <w:b/>
          <w:lang w:val="en-US" w:eastAsia="zh-CN"/>
        </w:rPr>
      </w:pPr>
      <w:r>
        <w:rPr>
          <w:rFonts w:hint="eastAsia" w:ascii="仿宋" w:hAnsi="仿宋"/>
          <w:b/>
          <w:lang w:val="en-US" w:eastAsia="zh-CN"/>
        </w:rPr>
        <w:t>4、主要起草单位及任务分工</w:t>
      </w:r>
    </w:p>
    <w:p w14:paraId="233D3FEC">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文件由同济大学建筑设计研究院（集团）有限公司作为牵头起草单位，负责推荐标准专家，组成标准工作组，标准编制执笔工作；中公高远（北京）汽车检测技术有限公司、广东汽车检测中心有限公司、中路慧能检测认证科技有限公司、重庆探险者汽车试验技术服务有限公司、华东（东营）智能网联汽车试验场有限公司、黑龙江红河谷汽车测试股份有限公司、上海机动车检测认证技术研究中心有限公司、重庆同乘工程咨询设计有限责任公司、中汽院（重庆）汽车检测有限公司、黑龙江海东青汽车测试技术研究院作为共同发起参编单位，负责标准编制资料的提供、技术支持，结合相关技术和市场需求提出合理意见和建议；中国汽工业协会试验场分会在标准起草过程中负责监管执行与协调。</w:t>
      </w:r>
    </w:p>
    <w:tbl>
      <w:tblPr>
        <w:tblStyle w:val="3"/>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4500"/>
        <w:gridCol w:w="3165"/>
      </w:tblGrid>
      <w:tr w14:paraId="6E23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A250">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序号</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A042">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起草参编企业</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4BD9">
            <w:pPr>
              <w:keepNext w:val="0"/>
              <w:keepLines w:val="0"/>
              <w:widowControl/>
              <w:suppressLineNumbers w:val="0"/>
              <w:jc w:val="left"/>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工作分工</w:t>
            </w:r>
          </w:p>
        </w:tc>
      </w:tr>
      <w:tr w14:paraId="4EC1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1AC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22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sz w:val="21"/>
                <w:szCs w:val="21"/>
                <w:lang w:val="en-US" w:eastAsia="zh-CN"/>
              </w:rPr>
              <w:t>同济大学建筑设计研究院（集团）有限公司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84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标准内容主执笔</w:t>
            </w:r>
          </w:p>
        </w:tc>
      </w:tr>
      <w:tr w14:paraId="3270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0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E3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sz w:val="21"/>
                <w:szCs w:val="21"/>
                <w:lang w:val="en-US" w:eastAsia="zh-CN"/>
              </w:rPr>
              <w:t>中公高远（北京）汽车检测技术有限公司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AB3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编制资料提供</w:t>
            </w:r>
          </w:p>
        </w:tc>
      </w:tr>
      <w:tr w14:paraId="4FA0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60B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2DD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中路慧能检测认证科技有限公司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B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编制资料提供</w:t>
            </w:r>
          </w:p>
        </w:tc>
      </w:tr>
      <w:tr w14:paraId="6957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A37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E4D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sz w:val="21"/>
                <w:szCs w:val="21"/>
                <w:lang w:val="en-US" w:eastAsia="zh-CN"/>
              </w:rPr>
              <w:t>重庆探险者汽车试验技术服务有限公司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68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编制资料提供</w:t>
            </w:r>
          </w:p>
        </w:tc>
      </w:tr>
      <w:tr w14:paraId="4A18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30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D37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sz w:val="21"/>
                <w:szCs w:val="21"/>
                <w:lang w:val="en-US" w:eastAsia="zh-CN"/>
              </w:rPr>
              <w:t>华东（东营）智能网联汽车试验场有限公司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515B">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编制资料提供</w:t>
            </w:r>
          </w:p>
        </w:tc>
      </w:tr>
      <w:tr w14:paraId="1A6E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5EF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0E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sz w:val="21"/>
                <w:szCs w:val="21"/>
                <w:lang w:val="en-US" w:eastAsia="zh-CN"/>
              </w:rPr>
              <w:t>黑龙江红河谷汽车测试股份有限公司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B3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编制资料提供</w:t>
            </w:r>
          </w:p>
        </w:tc>
      </w:tr>
      <w:tr w14:paraId="110B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0C5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959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sz w:val="21"/>
                <w:szCs w:val="21"/>
                <w:lang w:val="en-US" w:eastAsia="zh-CN"/>
              </w:rPr>
              <w:t>上海机动车检测认证技术研究中心有限公司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12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技术支持</w:t>
            </w:r>
          </w:p>
        </w:tc>
      </w:tr>
      <w:tr w14:paraId="5385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507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A695">
            <w:pPr>
              <w:keepNext w:val="0"/>
              <w:keepLines w:val="0"/>
              <w:widowControl/>
              <w:suppressLineNumbers w:val="0"/>
              <w:ind w:left="0" w:leftChars="0" w:firstLine="0" w:firstLineChars="0"/>
              <w:jc w:val="both"/>
              <w:textAlignment w:val="center"/>
              <w:rPr>
                <w:rFonts w:hint="eastAsia" w:ascii="宋体" w:hAnsi="宋体" w:eastAsia="宋体"/>
                <w:sz w:val="21"/>
                <w:szCs w:val="21"/>
                <w:lang w:val="en-US" w:eastAsia="zh-CN"/>
              </w:rPr>
            </w:pPr>
            <w:r>
              <w:rPr>
                <w:rFonts w:hint="eastAsia" w:ascii="宋体" w:hAnsi="宋体" w:eastAsia="宋体"/>
                <w:sz w:val="21"/>
                <w:szCs w:val="21"/>
                <w:lang w:val="en-US" w:eastAsia="zh-CN"/>
              </w:rPr>
              <w:t>重庆同乘工程咨询设计有限责任公司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63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技术支持</w:t>
            </w:r>
          </w:p>
        </w:tc>
      </w:tr>
      <w:tr w14:paraId="4D29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4BB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36A0">
            <w:pPr>
              <w:keepNext w:val="0"/>
              <w:keepLines w:val="0"/>
              <w:widowControl/>
              <w:suppressLineNumbers w:val="0"/>
              <w:ind w:left="0" w:leftChars="0" w:firstLine="0" w:firstLineChars="0"/>
              <w:jc w:val="both"/>
              <w:textAlignment w:val="center"/>
              <w:rPr>
                <w:rFonts w:hint="eastAsia" w:ascii="宋体" w:hAnsi="宋体" w:eastAsia="宋体"/>
                <w:sz w:val="21"/>
                <w:szCs w:val="21"/>
                <w:lang w:val="en-US" w:eastAsia="zh-CN"/>
              </w:rPr>
            </w:pPr>
            <w:r>
              <w:rPr>
                <w:rFonts w:hint="eastAsia" w:ascii="宋体" w:hAnsi="宋体" w:eastAsia="宋体"/>
                <w:sz w:val="21"/>
                <w:szCs w:val="21"/>
                <w:lang w:val="en-US" w:eastAsia="zh-CN"/>
              </w:rPr>
              <w:t>中汽院（重庆）汽车检测有限公司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BF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技术支持</w:t>
            </w:r>
          </w:p>
        </w:tc>
      </w:tr>
      <w:tr w14:paraId="4C5B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BD7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CC27">
            <w:pPr>
              <w:keepNext w:val="0"/>
              <w:keepLines w:val="0"/>
              <w:widowControl/>
              <w:suppressLineNumbers w:val="0"/>
              <w:ind w:left="0" w:leftChars="0" w:firstLine="0" w:firstLineChars="0"/>
              <w:jc w:val="both"/>
              <w:textAlignment w:val="center"/>
              <w:rPr>
                <w:rFonts w:hint="eastAsia" w:ascii="宋体" w:hAnsi="宋体" w:eastAsia="宋体"/>
                <w:sz w:val="21"/>
                <w:szCs w:val="21"/>
                <w:lang w:val="en-US" w:eastAsia="zh-CN"/>
              </w:rPr>
            </w:pPr>
            <w:r>
              <w:rPr>
                <w:rFonts w:hint="eastAsia" w:ascii="宋体" w:hAnsi="宋体" w:eastAsia="宋体"/>
                <w:sz w:val="21"/>
                <w:szCs w:val="21"/>
                <w:lang w:val="en-US" w:eastAsia="zh-CN"/>
              </w:rPr>
              <w:t>黑龙江海东青汽车测试技术研究院</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2B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技术支持</w:t>
            </w:r>
          </w:p>
        </w:tc>
      </w:tr>
    </w:tbl>
    <w:p w14:paraId="32D491B8">
      <w:pPr>
        <w:pStyle w:val="2"/>
        <w:numPr>
          <w:ilvl w:val="0"/>
          <w:numId w:val="0"/>
        </w:numPr>
        <w:rPr>
          <w:rFonts w:hint="eastAsia" w:ascii="仿宋" w:hAnsi="仿宋"/>
          <w:b/>
          <w:lang w:val="en-US" w:eastAsia="zh-CN"/>
        </w:rPr>
      </w:pPr>
      <w:r>
        <w:rPr>
          <w:sz w:val="24"/>
          <w:szCs w:val="24"/>
        </w:rPr>
        <w:t>二</w:t>
      </w:r>
      <w:r>
        <w:rPr>
          <w:rFonts w:hint="eastAsia"/>
          <w:sz w:val="24"/>
          <w:szCs w:val="24"/>
        </w:rPr>
        <w:t>、标准编制</w:t>
      </w:r>
      <w:r>
        <w:rPr>
          <w:rFonts w:hint="eastAsia"/>
          <w:sz w:val="24"/>
          <w:szCs w:val="24"/>
          <w:lang w:val="en-US" w:eastAsia="zh-CN"/>
        </w:rPr>
        <w:t>主要原则和</w:t>
      </w:r>
      <w:r>
        <w:rPr>
          <w:rFonts w:hint="eastAsia"/>
          <w:sz w:val="24"/>
          <w:szCs w:val="24"/>
        </w:rPr>
        <w:t>主要内容</w:t>
      </w:r>
    </w:p>
    <w:p w14:paraId="6AF2C4E6">
      <w:pPr>
        <w:ind w:firstLine="0" w:firstLineChars="0"/>
        <w:rPr>
          <w:rFonts w:ascii="仿宋" w:hAnsi="仿宋"/>
          <w:b/>
        </w:rPr>
      </w:pPr>
      <w:r>
        <w:rPr>
          <w:rFonts w:hint="eastAsia" w:ascii="仿宋" w:hAnsi="仿宋"/>
          <w:b/>
        </w:rPr>
        <w:t>（一）标准编制主要原则</w:t>
      </w:r>
    </w:p>
    <w:p w14:paraId="5AB29C8A">
      <w:pPr>
        <w:rPr>
          <w:rFonts w:hint="eastAsia" w:ascii="宋体" w:hAnsi="宋体" w:eastAsia="宋体"/>
          <w:sz w:val="21"/>
          <w:szCs w:val="21"/>
          <w:lang w:val="en-US" w:eastAsia="zh-CN"/>
        </w:rPr>
      </w:pPr>
      <w:r>
        <w:rPr>
          <w:rFonts w:hint="eastAsia" w:ascii="宋体" w:hAnsi="宋体" w:eastAsia="宋体"/>
          <w:b/>
          <w:bCs/>
          <w:sz w:val="21"/>
          <w:szCs w:val="21"/>
          <w:lang w:val="en-US" w:eastAsia="zh-CN"/>
        </w:rPr>
        <w:t>1、科学严谨：</w:t>
      </w:r>
      <w:r>
        <w:rPr>
          <w:rFonts w:hint="eastAsia" w:ascii="宋体" w:hAnsi="宋体" w:eastAsia="宋体"/>
          <w:sz w:val="21"/>
          <w:szCs w:val="21"/>
          <w:lang w:val="en-US" w:eastAsia="zh-CN"/>
        </w:rPr>
        <w:t>依托现行国标，结合场地设计、建设、运营实际设置分级与评分规则，评定核验有据可依。</w:t>
      </w:r>
    </w:p>
    <w:p w14:paraId="37AB98F6">
      <w:pPr>
        <w:ind w:firstLine="420"/>
        <w:rPr>
          <w:rFonts w:hint="eastAsia" w:ascii="宋体" w:hAnsi="宋体" w:eastAsia="宋体"/>
          <w:sz w:val="21"/>
          <w:szCs w:val="21"/>
          <w:lang w:val="en-US" w:eastAsia="zh-CN"/>
        </w:rPr>
      </w:pPr>
      <w:r>
        <w:rPr>
          <w:rFonts w:hint="eastAsia" w:ascii="宋体" w:hAnsi="宋体" w:eastAsia="宋体"/>
          <w:b/>
          <w:bCs/>
          <w:sz w:val="21"/>
          <w:szCs w:val="21"/>
          <w:lang w:val="en-US" w:eastAsia="zh-CN"/>
        </w:rPr>
        <w:t>2、规范统一：</w:t>
      </w:r>
      <w:r>
        <w:rPr>
          <w:rFonts w:hint="eastAsia" w:ascii="宋体" w:hAnsi="宋体" w:eastAsia="宋体"/>
          <w:sz w:val="21"/>
          <w:szCs w:val="21"/>
          <w:lang w:val="en-US" w:eastAsia="zh-CN"/>
        </w:rPr>
        <w:t>统一双等级（专业、综合 ABC 三级）框架、评定程序与计分规则。</w:t>
      </w:r>
    </w:p>
    <w:p w14:paraId="157E2470">
      <w:pPr>
        <w:ind w:firstLine="420"/>
        <w:rPr>
          <w:rFonts w:hint="eastAsia" w:ascii="宋体" w:hAnsi="宋体" w:eastAsia="宋体"/>
          <w:sz w:val="21"/>
          <w:szCs w:val="21"/>
          <w:lang w:val="en-US" w:eastAsia="zh-CN"/>
        </w:rPr>
      </w:pPr>
      <w:r>
        <w:rPr>
          <w:rFonts w:hint="eastAsia" w:ascii="宋体" w:hAnsi="宋体" w:eastAsia="宋体"/>
          <w:b/>
          <w:bCs/>
          <w:sz w:val="21"/>
          <w:szCs w:val="21"/>
          <w:lang w:val="en-US" w:eastAsia="zh-CN"/>
        </w:rPr>
        <w:t>3、分类适配：</w:t>
      </w:r>
      <w:r>
        <w:rPr>
          <w:rFonts w:hint="eastAsia" w:ascii="宋体" w:hAnsi="宋体" w:eastAsia="宋体"/>
          <w:sz w:val="21"/>
          <w:szCs w:val="21"/>
          <w:lang w:val="en-US" w:eastAsia="zh-CN"/>
        </w:rPr>
        <w:t>按 5 类测试场差异化设置评价指标，贴合各类场地功能特点。</w:t>
      </w:r>
    </w:p>
    <w:p w14:paraId="28DB1E8B">
      <w:pPr>
        <w:ind w:firstLine="420"/>
        <w:rPr>
          <w:rFonts w:hint="eastAsia" w:ascii="宋体" w:hAnsi="宋体" w:eastAsia="宋体"/>
          <w:sz w:val="21"/>
          <w:szCs w:val="21"/>
          <w:lang w:val="en-US" w:eastAsia="zh-CN"/>
        </w:rPr>
      </w:pPr>
      <w:r>
        <w:rPr>
          <w:rFonts w:hint="eastAsia" w:ascii="宋体" w:hAnsi="宋体" w:eastAsia="宋体"/>
          <w:b/>
          <w:bCs/>
          <w:sz w:val="21"/>
          <w:szCs w:val="21"/>
          <w:lang w:val="en-US" w:eastAsia="zh-CN"/>
        </w:rPr>
        <w:t>4、适用通用：</w:t>
      </w:r>
      <w:r>
        <w:rPr>
          <w:rFonts w:hint="eastAsia" w:ascii="宋体" w:hAnsi="宋体" w:eastAsia="宋体"/>
          <w:sz w:val="21"/>
          <w:szCs w:val="21"/>
          <w:lang w:val="en-US" w:eastAsia="zh-CN"/>
        </w:rPr>
        <w:t>兼顾新建、存量场地，覆盖预审、定级、复审全生命周期。</w:t>
      </w:r>
    </w:p>
    <w:p w14:paraId="175807FB">
      <w:pP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5、安全优先：</w:t>
      </w:r>
      <w:r>
        <w:rPr>
          <w:rFonts w:hint="eastAsia" w:ascii="宋体" w:hAnsi="宋体" w:eastAsia="宋体"/>
          <w:sz w:val="21"/>
          <w:szCs w:val="21"/>
          <w:lang w:val="en-US" w:eastAsia="zh-CN"/>
        </w:rPr>
        <w:t>各评分项均纳入安全保障考核，突出场地安全管控要求。</w:t>
      </w:r>
    </w:p>
    <w:p w14:paraId="1200CFC3">
      <w:pPr>
        <w:ind w:firstLine="0" w:firstLineChars="0"/>
        <w:rPr>
          <w:rFonts w:hint="default" w:ascii="仿宋" w:hAnsi="仿宋"/>
          <w:b/>
          <w:lang w:val="en-US" w:eastAsia="zh-CN"/>
        </w:rPr>
      </w:pPr>
      <w:r>
        <w:rPr>
          <w:rFonts w:hint="eastAsia" w:ascii="仿宋" w:hAnsi="仿宋"/>
          <w:b/>
          <w:lang w:val="en-US" w:eastAsia="zh-CN"/>
        </w:rPr>
        <w:t>（二）标准主要内容</w:t>
      </w:r>
    </w:p>
    <w:p w14:paraId="38F007E9">
      <w:pPr>
        <w:ind w:firstLine="420"/>
        <w:rPr>
          <w:rFonts w:hint="eastAsia" w:ascii="宋体" w:hAnsi="宋体" w:eastAsia="宋体"/>
          <w:b/>
          <w:bCs/>
          <w:sz w:val="21"/>
          <w:szCs w:val="21"/>
          <w:lang w:val="en-US" w:eastAsia="zh-CN"/>
        </w:rPr>
      </w:pPr>
      <w:bookmarkStart w:id="1" w:name="heading_0"/>
      <w:r>
        <w:rPr>
          <w:rFonts w:hint="eastAsia" w:ascii="宋体" w:hAnsi="宋体" w:eastAsia="宋体"/>
          <w:b/>
          <w:bCs/>
          <w:sz w:val="21"/>
          <w:szCs w:val="21"/>
          <w:lang w:val="en-US" w:eastAsia="zh-CN"/>
        </w:rPr>
        <w:t>1 范围</w:t>
      </w:r>
      <w:bookmarkEnd w:id="1"/>
    </w:p>
    <w:p w14:paraId="71BEC0E1">
      <w:pPr>
        <w:pStyle w:val="7"/>
        <w:ind w:firstLine="420"/>
      </w:pPr>
      <w:bookmarkStart w:id="2" w:name="heading_1"/>
      <w:r>
        <w:rPr>
          <w:rFonts w:hint="eastAsia"/>
        </w:rPr>
        <w:t>本文件规定了汽车测试场地的等级划分与评定，包括场地各类等级划分要求与评定流程。</w:t>
      </w:r>
    </w:p>
    <w:p w14:paraId="214F5C17">
      <w:pPr>
        <w:pStyle w:val="7"/>
        <w:ind w:firstLine="420"/>
      </w:pPr>
      <w:r>
        <w:rPr>
          <w:rFonts w:hint="eastAsia"/>
        </w:rPr>
        <w:t>本文件适用于新建与已建的汽车测试场地。</w:t>
      </w:r>
    </w:p>
    <w:p w14:paraId="6B6661BA">
      <w:pPr>
        <w:ind w:firstLine="42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2 规范性引用文件</w:t>
      </w:r>
      <w:bookmarkEnd w:id="2"/>
    </w:p>
    <w:p w14:paraId="1E13F44D">
      <w:pPr>
        <w:ind w:firstLine="420"/>
        <w:rPr>
          <w:rFonts w:hint="eastAsia" w:ascii="宋体" w:hAnsi="宋体" w:eastAsia="宋体"/>
          <w:sz w:val="21"/>
          <w:szCs w:val="21"/>
          <w:lang w:val="en-US" w:eastAsia="zh-CN"/>
        </w:rPr>
      </w:pPr>
      <w:bookmarkStart w:id="3" w:name="heading_2"/>
      <w:r>
        <w:rPr>
          <w:rFonts w:hint="eastAsia" w:ascii="宋体" w:hAnsi="宋体" w:eastAsia="宋体"/>
          <w:sz w:val="21"/>
          <w:szCs w:val="21"/>
          <w:lang w:val="en-US" w:eastAsia="zh-CN"/>
        </w:rPr>
        <w:t>本章列明本标准编制所引用的现行国家及团体标准，引用文件内容构成本标准必要技术依据。所注年代号标准采用对应版本，未标注年代号的执行现行最新有效版本。 引用文件涵盖汽车性能、可靠性、操纵稳定性、通过性、智能网联自动驾驶场地试验及建设类国家标准，配套引用 T/CAAMTB 270《汽车测试场地建设要求与开放条件》团体标准，为场地分级指标、技术参数、建设条件划定提供合规依据，保障标准条款与现行行业技术规范协调统一。</w:t>
      </w:r>
    </w:p>
    <w:p w14:paraId="3ADC2F3D">
      <w:pPr>
        <w:ind w:firstLine="42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3 术语和定义</w:t>
      </w:r>
      <w:bookmarkEnd w:id="3"/>
    </w:p>
    <w:p w14:paraId="1DC52FAB">
      <w:pPr>
        <w:ind w:firstLine="420"/>
        <w:rPr>
          <w:rFonts w:hint="eastAsia" w:ascii="宋体" w:hAnsi="宋体" w:eastAsia="宋体"/>
          <w:sz w:val="21"/>
          <w:szCs w:val="21"/>
          <w:lang w:val="en-US" w:eastAsia="zh-CN"/>
        </w:rPr>
      </w:pPr>
      <w:bookmarkStart w:id="4" w:name="heading_3"/>
      <w:r>
        <w:rPr>
          <w:rFonts w:hint="eastAsia" w:ascii="宋体" w:hAnsi="宋体" w:eastAsia="宋体"/>
          <w:sz w:val="21"/>
          <w:szCs w:val="21"/>
          <w:lang w:val="en-US" w:eastAsia="zh-CN"/>
        </w:rPr>
        <w:t>本标准共界定 7 项术语，围绕场地分级、评定实施相关内容划分：从评级概念明确场地等级分为专业等级、综合等级两类，分别对应场地专业测试实力与整体综合保障能力；从硬件组成定义测试模块为独立测试区域、安全设施为各类防护配套装置；从证书管理层面说明等级证书是定级官方证明，有效期为证书载明的评定效力时限。</w:t>
      </w:r>
    </w:p>
    <w:p w14:paraId="253CD3B8">
      <w:pPr>
        <w:ind w:firstLine="420"/>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 xml:space="preserve">4 </w:t>
      </w:r>
      <w:bookmarkEnd w:id="4"/>
      <w:r>
        <w:rPr>
          <w:rFonts w:hint="eastAsia" w:ascii="宋体" w:hAnsi="宋体" w:eastAsia="宋体"/>
          <w:b/>
          <w:bCs/>
          <w:sz w:val="21"/>
          <w:szCs w:val="21"/>
          <w:lang w:val="en-US" w:eastAsia="zh-CN"/>
        </w:rPr>
        <w:t>场地等级划分</w:t>
      </w:r>
    </w:p>
    <w:p w14:paraId="22DD1E78">
      <w:pPr>
        <w:ind w:firstLine="420"/>
        <w:rPr>
          <w:rFonts w:hint="eastAsia" w:ascii="宋体" w:hAnsi="宋体" w:eastAsia="宋体"/>
          <w:sz w:val="21"/>
          <w:szCs w:val="21"/>
          <w:lang w:val="en-US" w:eastAsia="zh-CN"/>
        </w:rPr>
      </w:pPr>
      <w:bookmarkStart w:id="5" w:name="heading_4"/>
      <w:r>
        <w:rPr>
          <w:rFonts w:hint="eastAsia" w:ascii="宋体" w:hAnsi="宋体" w:eastAsia="宋体"/>
          <w:sz w:val="21"/>
          <w:szCs w:val="21"/>
          <w:lang w:val="en-US" w:eastAsia="zh-CN"/>
        </w:rPr>
        <w:t>本章将汽车测试场地划分为汽车试验场、智能网联（自动驾驶）汽车测试场、自由驾驶测试场、厂区测试场、多功能融合汽车测试场五大类别，各类场地均设置专业等级、综合等级两套分级体系，分级均划分为 A、B、C 三级。</w:t>
      </w:r>
    </w:p>
    <w:p w14:paraId="3CE5D4BC">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（1）专业等级：以各类场地配套测试模块为核心评价依据，引用现行汽车试验相关国标及 T/CAAMTB 270 要求，按五类场地功能差异化设置考评指标。汽车试验场与厂区测试场考评高速环道、耐久路面、噪声路、越野路等传统试验设施参数；智能网联测试场划分物理场景、逻辑场景两大考核内容；自由驾驶测试场聚焦直道、弯道、柔性试验区；多功能融合场依据传统整车、自动驾驶、自由驾驶三大板块及模块融合度开展评定，各分项均设置安全保障考核权重。</w:t>
      </w:r>
    </w:p>
    <w:p w14:paraId="059E2731">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2）综合等级：统一从场地规模、基础设施、配套设施、专业程度、安全保障、运营管理、卫生环境、社会责任八个维度开展评价，结合五类场地业态差异微调各指标分值占比，兼顾场地硬件配套、运营管理与社会责任建设水平。</w:t>
      </w:r>
    </w:p>
    <w:p w14:paraId="583F7BBA">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专业、综合等级详细计分细则在附录 A、附录 B 规范性表格中列明。</w:t>
      </w:r>
    </w:p>
    <w:bookmarkEnd w:id="5"/>
    <w:p w14:paraId="035C0283">
      <w:pPr>
        <w:ind w:firstLine="420"/>
        <w:rPr>
          <w:rFonts w:hint="default" w:ascii="宋体" w:hAnsi="宋体" w:eastAsia="宋体"/>
          <w:b/>
          <w:bCs/>
          <w:sz w:val="21"/>
          <w:szCs w:val="21"/>
          <w:lang w:val="en-US" w:eastAsia="zh-CN"/>
        </w:rPr>
      </w:pPr>
      <w:bookmarkStart w:id="6" w:name="heading_7"/>
      <w:r>
        <w:rPr>
          <w:rFonts w:hint="eastAsia" w:ascii="宋体" w:hAnsi="宋体" w:eastAsia="宋体"/>
          <w:b/>
          <w:bCs/>
          <w:sz w:val="21"/>
          <w:szCs w:val="21"/>
          <w:lang w:val="en-US" w:eastAsia="zh-CN"/>
        </w:rPr>
        <w:t>5、</w:t>
      </w:r>
      <w:bookmarkEnd w:id="6"/>
      <w:r>
        <w:rPr>
          <w:rFonts w:hint="eastAsia" w:ascii="宋体" w:hAnsi="宋体" w:eastAsia="宋体"/>
          <w:b/>
          <w:bCs/>
          <w:sz w:val="21"/>
          <w:szCs w:val="21"/>
          <w:lang w:val="en-US" w:eastAsia="zh-CN"/>
        </w:rPr>
        <w:t>场地等级评定</w:t>
      </w:r>
    </w:p>
    <w:p w14:paraId="071EFB00">
      <w:pPr>
        <w:ind w:firstLine="420"/>
        <w:rPr>
          <w:rFonts w:hint="eastAsia" w:ascii="宋体" w:hAnsi="宋体" w:eastAsia="宋体"/>
          <w:sz w:val="21"/>
          <w:szCs w:val="21"/>
          <w:lang w:val="en-US" w:eastAsia="zh-CN"/>
        </w:rPr>
      </w:pPr>
      <w:bookmarkStart w:id="7" w:name="heading_8"/>
      <w:r>
        <w:rPr>
          <w:rFonts w:hint="eastAsia" w:ascii="宋体" w:hAnsi="宋体" w:eastAsia="宋体"/>
          <w:sz w:val="21"/>
          <w:szCs w:val="21"/>
          <w:lang w:val="en-US" w:eastAsia="zh-CN"/>
        </w:rPr>
        <w:t>本章明确汽车测试场地等级评定适用对象、评定原则、实施流程与后续等级管理要求，新建、已建合规运营场地均可申报评定。</w:t>
      </w:r>
    </w:p>
    <w:p w14:paraId="4D2CC3C3">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（1）参评前置条件：参评场地用地合规、正常对外开放经营，近三年无场地责任重大安全事故、近一年无场地责任一般及以上安全事故。</w:t>
      </w:r>
    </w:p>
    <w:p w14:paraId="1FF8E266">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（2）评定三大原则：遵循科学严谨、规范统一、分类适配原则，通过资料审核 + 现场核查方式，结合场地类型匹配对应评定标准。</w:t>
      </w:r>
    </w:p>
    <w:p w14:paraId="2B6C8320">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3）评定实施流程：分为申请、方案审批、现场检查、等级认定四环节。新建场地可建设前申请预评定，完工竣工验收备案后方可现场核查；已建场地试运营后申报正式评定，需先完成技术方案专家评审整改；现场检查需提前 45 个工作日申报，依托智能评估系统配合专家核验；评审通过核发有效期 3 年的等级证书，未通过需限期整改复检。</w:t>
      </w:r>
    </w:p>
    <w:p w14:paraId="633975B8">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（4）等级动态管理：证书到期前 3 个月可申请复审，逾期未复审视作自动作废；场地测试设施、经营范围、主体等关键内容发生变动须申报等级变更，出现重大质量、安全问题须按期报备，违规改造或责任安全事故可做降级、撤证处理。</w:t>
      </w:r>
    </w:p>
    <w:bookmarkEnd w:id="7"/>
    <w:p w14:paraId="151BC7C3">
      <w:pPr>
        <w:pStyle w:val="2"/>
        <w:numPr>
          <w:ilvl w:val="0"/>
          <w:numId w:val="4"/>
        </w:numPr>
        <w:rPr>
          <w:rFonts w:hint="eastAsia"/>
          <w:sz w:val="24"/>
          <w:szCs w:val="24"/>
        </w:rPr>
      </w:pPr>
      <w:r>
        <w:rPr>
          <w:rFonts w:hint="eastAsia"/>
          <w:sz w:val="24"/>
          <w:szCs w:val="24"/>
        </w:rPr>
        <w:t>采用国际标准和国外先进标准情况</w:t>
      </w:r>
    </w:p>
    <w:p w14:paraId="6CC4CE5D">
      <w:pPr>
        <w:pStyle w:val="7"/>
        <w:ind w:firstLine="420"/>
      </w:pPr>
      <w:r>
        <w:rPr>
          <w:rFonts w:hint="eastAsia"/>
        </w:rPr>
        <w:t>GB/T 12541 汽车通过性试验方法</w:t>
      </w:r>
    </w:p>
    <w:p w14:paraId="7BC85372">
      <w:pPr>
        <w:pStyle w:val="7"/>
        <w:ind w:firstLine="420"/>
      </w:pPr>
      <w:r>
        <w:rPr>
          <w:rFonts w:hint="eastAsia"/>
        </w:rPr>
        <w:t>GB/T 12678 汽车可靠性行驶试验方法</w:t>
      </w:r>
    </w:p>
    <w:p w14:paraId="13416D8F">
      <w:pPr>
        <w:pStyle w:val="7"/>
        <w:ind w:firstLine="420"/>
      </w:pPr>
      <w:r>
        <w:rPr>
          <w:rFonts w:hint="eastAsia"/>
        </w:rPr>
        <w:t>GB/T 12679 汽车耐久性行驶试验方法</w:t>
      </w:r>
    </w:p>
    <w:p w14:paraId="19878E86">
      <w:pPr>
        <w:pStyle w:val="7"/>
        <w:ind w:firstLine="420"/>
      </w:pPr>
      <w:r>
        <w:rPr>
          <w:rFonts w:hint="eastAsia"/>
        </w:rPr>
        <w:t>GB/T 41798 智能网联汽车自动驾驶功能场地试验方法及要求</w:t>
      </w:r>
    </w:p>
    <w:p w14:paraId="03053D0A">
      <w:pPr>
        <w:pStyle w:val="7"/>
        <w:ind w:firstLine="420"/>
      </w:pPr>
      <w:r>
        <w:rPr>
          <w:rFonts w:hint="eastAsia"/>
        </w:rPr>
        <w:t>GB/T 43119 自动驾驶封闭测试场建设技术</w:t>
      </w:r>
    </w:p>
    <w:p w14:paraId="397408EB">
      <w:pPr>
        <w:pStyle w:val="7"/>
        <w:ind w:firstLine="420"/>
      </w:pPr>
      <w:r>
        <w:rPr>
          <w:rFonts w:hint="eastAsia"/>
        </w:rPr>
        <w:t xml:space="preserve">GB/T 44850 </w:t>
      </w:r>
      <w:r>
        <w:t>智能网联汽车运行安全测试项目和方法</w:t>
      </w:r>
    </w:p>
    <w:p w14:paraId="7B148F46">
      <w:pPr>
        <w:pStyle w:val="7"/>
        <w:ind w:firstLine="420"/>
      </w:pPr>
      <w:r>
        <w:rPr>
          <w:rFonts w:hint="eastAsia"/>
        </w:rPr>
        <w:t>GB/T 6323 汽车操纵稳定性试验方法</w:t>
      </w:r>
    </w:p>
    <w:p w14:paraId="05B8C650">
      <w:pPr>
        <w:pStyle w:val="7"/>
        <w:ind w:firstLine="420"/>
      </w:pPr>
      <w:r>
        <w:rPr>
          <w:rFonts w:hint="eastAsia"/>
        </w:rPr>
        <w:t>T/CAAMTB</w:t>
      </w:r>
      <w:r>
        <w:t xml:space="preserve"> </w:t>
      </w:r>
      <w:bookmarkStart w:id="8" w:name="OLE_LINK1"/>
      <w:r>
        <w:rPr>
          <w:rFonts w:hint="eastAsia"/>
        </w:rPr>
        <w:t xml:space="preserve">270 </w:t>
      </w:r>
      <w:bookmarkEnd w:id="8"/>
      <w:r>
        <w:rPr>
          <w:rFonts w:hint="eastAsia"/>
        </w:rPr>
        <w:t>汽车测试场地建设要求与开放条件</w:t>
      </w:r>
    </w:p>
    <w:p w14:paraId="1ED09596">
      <w:pPr>
        <w:pStyle w:val="2"/>
        <w:numPr>
          <w:ilvl w:val="0"/>
          <w:numId w:val="0"/>
        </w:numPr>
        <w:ind w:leftChars="0"/>
        <w:rPr>
          <w:rFonts w:hint="eastAsia"/>
          <w:sz w:val="24"/>
          <w:szCs w:val="24"/>
          <w:lang w:val="en-US" w:eastAsia="zh-CN"/>
        </w:rPr>
      </w:pPr>
      <w:r>
        <w:rPr>
          <w:rFonts w:hint="eastAsia"/>
          <w:sz w:val="24"/>
          <w:szCs w:val="24"/>
          <w:lang w:val="en-US" w:eastAsia="zh-CN"/>
        </w:rPr>
        <w:t>四、与现行相关法律、法规、规章及相关标准，特别是强制性标准的协调性</w:t>
      </w:r>
    </w:p>
    <w:p w14:paraId="49BCEBC0">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本文件的制定，贯彻了国家标准化法、产品质量法、强制性安全认证等法律法规和相关标准要求；与现行法律、法规和相关标准无抵触不矛盾。</w:t>
      </w:r>
    </w:p>
    <w:p w14:paraId="5A93E304">
      <w:pPr>
        <w:pStyle w:val="2"/>
        <w:numPr>
          <w:ilvl w:val="0"/>
          <w:numId w:val="0"/>
        </w:numPr>
        <w:ind w:leftChars="0"/>
        <w:rPr>
          <w:rFonts w:hint="eastAsia"/>
          <w:sz w:val="24"/>
          <w:szCs w:val="24"/>
          <w:lang w:val="en-US" w:eastAsia="zh-CN"/>
        </w:rPr>
      </w:pPr>
      <w:r>
        <w:rPr>
          <w:rFonts w:hint="eastAsia"/>
          <w:sz w:val="24"/>
          <w:szCs w:val="24"/>
          <w:lang w:val="en-US" w:eastAsia="zh-CN"/>
        </w:rPr>
        <w:t>五、重大分歧意见的处理经过和依据</w:t>
      </w:r>
    </w:p>
    <w:p w14:paraId="3DA0A2C4">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本文件编制过程中出现的分歧已组织组内沟通征集意见并完善，对于研讨无法解决的问题，将意见征集范围扩大到相关的企业、科研院校等相关方，共同研讨解决。</w:t>
      </w:r>
    </w:p>
    <w:p w14:paraId="35C7F803">
      <w:pPr>
        <w:pStyle w:val="2"/>
        <w:numPr>
          <w:ilvl w:val="0"/>
          <w:numId w:val="0"/>
        </w:numPr>
        <w:ind w:leftChars="0"/>
        <w:rPr>
          <w:rFonts w:hint="eastAsia"/>
          <w:sz w:val="24"/>
          <w:szCs w:val="24"/>
          <w:lang w:val="en-US" w:eastAsia="zh-CN"/>
        </w:rPr>
      </w:pPr>
      <w:r>
        <w:rPr>
          <w:rFonts w:hint="eastAsia"/>
          <w:sz w:val="24"/>
          <w:szCs w:val="24"/>
          <w:lang w:val="en-US" w:eastAsia="zh-CN"/>
        </w:rPr>
        <w:t>六、标准性质的建议说明</w:t>
      </w:r>
    </w:p>
    <w:p w14:paraId="1E50DD10">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建议在行业内作为推荐性标准进行推广。</w:t>
      </w:r>
    </w:p>
    <w:p w14:paraId="2DE09766">
      <w:pPr>
        <w:pStyle w:val="2"/>
        <w:numPr>
          <w:ilvl w:val="0"/>
          <w:numId w:val="5"/>
        </w:numPr>
        <w:ind w:leftChars="0"/>
        <w:rPr>
          <w:rFonts w:hint="eastAsia"/>
          <w:sz w:val="24"/>
          <w:szCs w:val="24"/>
          <w:lang w:val="en-US" w:eastAsia="zh-CN"/>
        </w:rPr>
      </w:pPr>
      <w:r>
        <w:rPr>
          <w:rFonts w:hint="eastAsia"/>
          <w:sz w:val="24"/>
          <w:szCs w:val="24"/>
          <w:lang w:val="en-US" w:eastAsia="zh-CN"/>
        </w:rPr>
        <w:t>贯彻标准的要求和措施建议</w:t>
      </w:r>
    </w:p>
    <w:p w14:paraId="7B195364">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1、宣传推广：在行业协会指导下，充分结合起草单位的行业地位以及其他起草单位的优势资源，通过媒体、展览、论坛等渠道广泛宣传标准的作用、意义和内容，增强社会各界对标准的认识和使用。</w:t>
      </w:r>
    </w:p>
    <w:p w14:paraId="60C8F691">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2、培训交流：针对行业实际需要，组织专门的培训和交流活动，邀请行业专家和标准起草单位代表，向相关人员解读标准的知识和运用方法，提高标准化思维和实际使用水平。</w:t>
      </w:r>
    </w:p>
    <w:p w14:paraId="7E4DF012">
      <w:pPr>
        <w:keepNext w:val="0"/>
        <w:keepLines w:val="0"/>
        <w:pageBreakBefore w:val="0"/>
        <w:widowControl w:val="0"/>
        <w:kinsoku/>
        <w:wordWrap/>
        <w:overflowPunct/>
        <w:topLinePunct w:val="0"/>
        <w:autoSpaceDE/>
        <w:autoSpaceDN/>
        <w:bidi w:val="0"/>
        <w:adjustRightInd/>
        <w:snapToGrid/>
        <w:ind w:firstLine="420"/>
        <w:textAlignment w:val="auto"/>
        <w:rPr>
          <w:rFonts w:hint="eastAsia"/>
          <w:lang w:val="en-US" w:eastAsia="zh-CN"/>
        </w:rPr>
      </w:pPr>
      <w:r>
        <w:rPr>
          <w:rFonts w:hint="eastAsia" w:ascii="宋体" w:hAnsi="宋体" w:eastAsia="宋体"/>
          <w:sz w:val="21"/>
          <w:szCs w:val="21"/>
          <w:lang w:val="en-US" w:eastAsia="zh-CN"/>
        </w:rPr>
        <w:t>3、应用计划：在本标准指导单位、起草单位、各参编单位等推荐、承接或运营的各类汽车测试场地项目中率先开展标准的应用推广工作，遴选并实施示范性项目。</w:t>
      </w:r>
    </w:p>
    <w:p w14:paraId="2390FFCF">
      <w:pPr>
        <w:pStyle w:val="2"/>
        <w:numPr>
          <w:ilvl w:val="0"/>
          <w:numId w:val="0"/>
        </w:numPr>
        <w:ind w:leftChars="0"/>
        <w:rPr>
          <w:rFonts w:hint="eastAsia"/>
          <w:sz w:val="24"/>
          <w:szCs w:val="24"/>
          <w:lang w:val="en-US" w:eastAsia="zh-CN"/>
        </w:rPr>
      </w:pPr>
      <w:r>
        <w:rPr>
          <w:rFonts w:hint="eastAsia"/>
          <w:sz w:val="24"/>
          <w:szCs w:val="24"/>
          <w:lang w:val="en-US" w:eastAsia="zh-CN"/>
        </w:rPr>
        <w:t>八、标准中涉及的专利</w:t>
      </w:r>
    </w:p>
    <w:p w14:paraId="4ED6285D">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本文件无涉及专利</w:t>
      </w:r>
    </w:p>
    <w:p w14:paraId="12114BDA">
      <w:pPr>
        <w:pStyle w:val="2"/>
        <w:numPr>
          <w:ilvl w:val="0"/>
          <w:numId w:val="0"/>
        </w:numPr>
        <w:ind w:leftChars="0"/>
        <w:rPr>
          <w:rFonts w:hint="eastAsia"/>
          <w:sz w:val="24"/>
          <w:szCs w:val="24"/>
          <w:lang w:val="en-US" w:eastAsia="zh-CN"/>
        </w:rPr>
      </w:pPr>
      <w:r>
        <w:rPr>
          <w:rFonts w:hint="eastAsia"/>
          <w:sz w:val="24"/>
          <w:szCs w:val="24"/>
          <w:lang w:val="en-US" w:eastAsia="zh-CN"/>
        </w:rPr>
        <w:t>九、无废止现行相关标准的建议</w:t>
      </w:r>
    </w:p>
    <w:p w14:paraId="3E065BE5">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暂无</w:t>
      </w:r>
    </w:p>
    <w:p w14:paraId="030A6E08">
      <w:pPr>
        <w:pStyle w:val="2"/>
        <w:numPr>
          <w:ilvl w:val="0"/>
          <w:numId w:val="0"/>
        </w:numPr>
        <w:ind w:leftChars="0"/>
        <w:rPr>
          <w:rFonts w:hint="eastAsia"/>
          <w:sz w:val="24"/>
          <w:szCs w:val="24"/>
          <w:lang w:val="en-US" w:eastAsia="zh-CN"/>
        </w:rPr>
      </w:pPr>
      <w:r>
        <w:rPr>
          <w:rFonts w:hint="eastAsia"/>
          <w:sz w:val="24"/>
          <w:szCs w:val="24"/>
          <w:lang w:val="en-US" w:eastAsia="zh-CN"/>
        </w:rPr>
        <w:t>十、其它应予说明的事项</w:t>
      </w:r>
    </w:p>
    <w:p w14:paraId="4C2CBC19">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暂无</w:t>
      </w:r>
    </w:p>
    <w:p w14:paraId="3CEFC06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sz w:val="21"/>
          <w:szCs w:val="21"/>
          <w:lang w:val="en-US" w:eastAsia="zh-CN"/>
        </w:rPr>
      </w:pPr>
    </w:p>
    <w:p w14:paraId="38A8DA9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4161A"/>
    <w:multiLevelType w:val="singleLevel"/>
    <w:tmpl w:val="8604161A"/>
    <w:lvl w:ilvl="0" w:tentative="0">
      <w:start w:val="3"/>
      <w:numFmt w:val="chineseCounting"/>
      <w:suff w:val="nothing"/>
      <w:lvlText w:val="%1、"/>
      <w:lvlJc w:val="left"/>
      <w:rPr>
        <w:rFonts w:hint="eastAsia"/>
      </w:rPr>
    </w:lvl>
  </w:abstractNum>
  <w:abstractNum w:abstractNumId="1">
    <w:nsid w:val="9B408A5A"/>
    <w:multiLevelType w:val="singleLevel"/>
    <w:tmpl w:val="9B408A5A"/>
    <w:lvl w:ilvl="0" w:tentative="0">
      <w:start w:val="7"/>
      <w:numFmt w:val="chineseCounting"/>
      <w:suff w:val="nothing"/>
      <w:lvlText w:val="%1、"/>
      <w:lvlJc w:val="left"/>
      <w:rPr>
        <w:rFonts w:hint="eastAsia"/>
      </w:rPr>
    </w:lvl>
  </w:abstractNum>
  <w:abstractNum w:abstractNumId="2">
    <w:nsid w:val="2C5917C3"/>
    <w:multiLevelType w:val="multilevel"/>
    <w:tmpl w:val="2C5917C3"/>
    <w:lvl w:ilvl="0" w:tentative="0">
      <w:start w:val="1"/>
      <w:numFmt w:val="none"/>
      <w:pStyle w:val="14"/>
      <w:lvlText w:val="%1——"/>
      <w:lvlJc w:val="left"/>
      <w:pPr>
        <w:tabs>
          <w:tab w:val="left" w:pos="852"/>
        </w:tabs>
        <w:ind w:left="852"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350001C4"/>
    <w:multiLevelType w:val="multilevel"/>
    <w:tmpl w:val="350001C4"/>
    <w:lvl w:ilvl="0" w:tentative="0">
      <w:start w:val="1"/>
      <w:numFmt w:val="decimal"/>
      <w:pStyle w:val="2"/>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
      <w:suff w:val="nothing"/>
      <w:lvlText w:val="%1%2.%3.%4　"/>
      <w:lvlJc w:val="left"/>
      <w:pPr>
        <w:ind w:left="0" w:firstLine="0"/>
      </w:pPr>
      <w:rPr>
        <w:rFonts w:hint="eastAsia" w:ascii="黑体" w:eastAsia="黑体"/>
        <w:b w:val="0"/>
        <w:i w:val="0"/>
        <w:sz w:val="21"/>
      </w:rPr>
    </w:lvl>
    <w:lvl w:ilvl="4" w:tentative="0">
      <w:start w:val="1"/>
      <w:numFmt w:val="decimal"/>
      <w:pStyle w:val="11"/>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2268" w:firstLine="0"/>
      </w:pPr>
      <w:rPr>
        <w:rFonts w:hint="eastAsia" w:ascii="黑体" w:eastAsia="黑体"/>
        <w:b w:val="0"/>
        <w:i w:val="0"/>
        <w:sz w:val="21"/>
      </w:rPr>
    </w:lvl>
    <w:lvl w:ilvl="6" w:tentative="0">
      <w:start w:val="1"/>
      <w:numFmt w:val="decimal"/>
      <w:suff w:val="nothing"/>
      <w:lvlText w:val="%1%2.%3.%4.%5.%6.%7　"/>
      <w:lvlJc w:val="left"/>
      <w:pPr>
        <w:ind w:left="1135"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jU4M2EzNTgxY2FhMGZjZTFmNTE4NDNiZDdjNDQifQ=="/>
  </w:docVars>
  <w:rsids>
    <w:rsidRoot w:val="00000000"/>
    <w:rsid w:val="02665A8E"/>
    <w:rsid w:val="07361A47"/>
    <w:rsid w:val="0CFD62BF"/>
    <w:rsid w:val="0D4E48F3"/>
    <w:rsid w:val="1166541D"/>
    <w:rsid w:val="1BB83309"/>
    <w:rsid w:val="1F314C36"/>
    <w:rsid w:val="2A10673B"/>
    <w:rsid w:val="2E076B58"/>
    <w:rsid w:val="2F23685D"/>
    <w:rsid w:val="3853164A"/>
    <w:rsid w:val="44021434"/>
    <w:rsid w:val="46603AD2"/>
    <w:rsid w:val="511D70DA"/>
    <w:rsid w:val="56955A19"/>
    <w:rsid w:val="58517EBB"/>
    <w:rsid w:val="5AE850EA"/>
    <w:rsid w:val="5B2555BE"/>
    <w:rsid w:val="657607C4"/>
    <w:rsid w:val="6D1E3C1B"/>
    <w:rsid w:val="70FC24C5"/>
    <w:rsid w:val="7D1A0FB9"/>
    <w:rsid w:val="7DAE2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rFonts w:eastAsia="黑体"/>
      <w:b/>
      <w:bCs/>
      <w:kern w:val="44"/>
      <w:sz w:val="32"/>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文件_二级无标题"/>
    <w:basedOn w:val="9"/>
    <w:qFormat/>
    <w:uiPriority w:val="0"/>
    <w:pPr>
      <w:spacing w:before="0" w:beforeLines="0" w:after="0" w:afterLines="0"/>
      <w:outlineLvl w:val="9"/>
    </w:pPr>
    <w:rPr>
      <w:rFonts w:ascii="宋体" w:eastAsia="宋体"/>
    </w:rPr>
  </w:style>
  <w:style w:type="paragraph" w:customStyle="1" w:styleId="9">
    <w:name w:val="标准文件_二级条标题"/>
    <w:next w:val="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
    <w:name w:val="标准文件_三级无标题"/>
    <w:basedOn w:val="11"/>
    <w:qFormat/>
    <w:uiPriority w:val="0"/>
    <w:pPr>
      <w:spacing w:before="0" w:beforeLines="0" w:after="0" w:afterLines="0"/>
      <w:outlineLvl w:val="9"/>
    </w:pPr>
    <w:rPr>
      <w:rFonts w:ascii="宋体" w:eastAsia="宋体"/>
    </w:rPr>
  </w:style>
  <w:style w:type="paragraph" w:customStyle="1" w:styleId="11">
    <w:name w:val="标准文件_三级条标题"/>
    <w:basedOn w:val="9"/>
    <w:next w:val="7"/>
    <w:qFormat/>
    <w:uiPriority w:val="0"/>
    <w:pPr>
      <w:widowControl/>
      <w:numPr>
        <w:ilvl w:val="4"/>
      </w:numPr>
      <w:outlineLvl w:val="3"/>
    </w:pPr>
  </w:style>
  <w:style w:type="paragraph" w:customStyle="1" w:styleId="12">
    <w:name w:val="Body text|1"/>
    <w:basedOn w:val="1"/>
    <w:autoRedefine/>
    <w:qFormat/>
    <w:uiPriority w:val="0"/>
    <w:pPr>
      <w:spacing w:line="449" w:lineRule="auto"/>
    </w:pPr>
    <w:rPr>
      <w:rFonts w:ascii="宋体" w:hAnsi="宋体" w:cs="宋体" w:eastAsiaTheme="minorEastAsia"/>
      <w:kern w:val="2"/>
      <w:sz w:val="22"/>
      <w:szCs w:val="22"/>
      <w:lang w:val="zh-TW" w:eastAsia="zh-TW" w:bidi="zh-TW"/>
    </w:rPr>
  </w:style>
  <w:style w:type="character" w:customStyle="1" w:styleId="13">
    <w:name w:val="child-addr-poptip"/>
    <w:basedOn w:val="5"/>
    <w:qFormat/>
    <w:uiPriority w:val="0"/>
  </w:style>
  <w:style w:type="paragraph" w:customStyle="1" w:styleId="14">
    <w:name w:val="标准文件_一级项"/>
    <w:qFormat/>
    <w:uiPriority w:val="0"/>
    <w:pPr>
      <w:numPr>
        <w:ilvl w:val="0"/>
        <w:numId w:val="3"/>
      </w:numPr>
    </w:pPr>
    <w:rPr>
      <w:rFonts w:ascii="宋体" w:hAnsi="Times New Roman" w:eastAsia="宋体" w:cs="Times New Roman"/>
      <w:sz w:val="21"/>
      <w:lang w:val="en-US" w:eastAsia="zh-CN" w:bidi="ar-SA"/>
    </w:r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5273</Words>
  <Characters>5433</Characters>
  <Lines>0</Lines>
  <Paragraphs>0</Paragraphs>
  <TotalTime>1</TotalTime>
  <ScaleCrop>false</ScaleCrop>
  <LinksUpToDate>false</LinksUpToDate>
  <CharactersWithSpaces>5481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2024-10-25T02:29:00Z</dcterms:created>
  <dc:creator>Administrator</dc:creator>
  <cp:lastModifiedBy>潇阳-sun</cp:lastModifiedBy>
  <dcterms:modified xsi:type="dcterms:W3CDTF">2026-06-05T09:34:38Z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6585C00E3AB94FF384A3B48EF02648E0_12</vt:lpwstr>
  </property>
  <property fmtid="{D5CDD505-2E9C-101B-9397-08002B2CF9AE}" pid="4" name="KSOTemplateDocerSaveRecord">
    <vt:lpwstr>eyJoZGlkIjoiMGYxYjU4M2EzNTgxY2FhMGZjZTFmNTE4NDNiZDdjNDQiLCJ1c2VySWQiOiIzNjQ0MTgyMzIifQ==</vt:lpwstr>
  </property>
</Properties>
</file>