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D37E6">
      <w:pPr>
        <w:spacing w:after="120"/>
        <w:jc w:val="left"/>
      </w:pPr>
      <w:r>
        <w:rPr>
          <w:rFonts w:ascii="仿宋" w:hAnsi="仿宋" w:eastAsia="仿宋" w:cs="仿宋"/>
          <w:sz w:val="30"/>
          <w:szCs w:val="30"/>
        </w:rPr>
        <w:t>附件2</w:t>
      </w:r>
    </w:p>
    <w:p w14:paraId="7EC0EC6D">
      <w:pPr>
        <w:spacing w:after="240" w:line="480" w:lineRule="auto"/>
        <w:jc w:val="center"/>
      </w:pPr>
      <w:r>
        <w:rPr>
          <w:rFonts w:ascii="黑体" w:hAnsi="黑体" w:eastAsia="黑体" w:cs="黑体"/>
          <w:b/>
          <w:bCs/>
          <w:sz w:val="40"/>
          <w:szCs w:val="40"/>
        </w:rPr>
        <w:t>征集内容说明</w:t>
      </w:r>
    </w:p>
    <w:p w14:paraId="16015410">
      <w:pPr>
        <w:spacing w:after="120" w:line="360" w:lineRule="auto"/>
        <w:ind w:firstLine="480"/>
        <w:jc w:val="both"/>
      </w:pPr>
      <w:r>
        <w:rPr>
          <w:rFonts w:ascii="仿宋" w:hAnsi="仿宋" w:eastAsia="仿宋" w:cs="仿宋"/>
          <w:sz w:val="30"/>
          <w:szCs w:val="30"/>
        </w:rPr>
        <w:t>为便于各单位准确把握征集方向，现对通知所列征集内容作如下说明。各单位申报应坚持宏观、经验、脱敏的原则，重点反映管理理念、工作机制和经验做法，不涉及国家秘密、工作秘密和企业核心商业秘密，不涉及具体技术架构、数据类型清单、数据跨境的具体流向与路径，以及安全检测、监管互动的具体细节。</w:t>
      </w:r>
    </w:p>
    <w:p w14:paraId="77585C96">
      <w:pPr>
        <w:spacing w:after="120" w:line="360" w:lineRule="auto"/>
        <w:ind w:firstLine="480"/>
        <w:jc w:val="both"/>
      </w:pPr>
      <w:r>
        <w:rPr>
          <w:rFonts w:ascii="仿宋" w:hAnsi="仿宋" w:eastAsia="仿宋" w:cs="仿宋"/>
          <w:b/>
          <w:bCs/>
          <w:sz w:val="30"/>
          <w:szCs w:val="30"/>
        </w:rPr>
        <w:t>（一）企业海外数据安全与合规管理体系、组织机制建设的总体思路与做法。</w:t>
      </w:r>
      <w:r>
        <w:rPr>
          <w:rFonts w:ascii="仿宋" w:hAnsi="仿宋" w:eastAsia="仿宋" w:cs="仿宋"/>
          <w:sz w:val="30"/>
          <w:szCs w:val="30"/>
        </w:rPr>
        <w:t>主要包括企业结合海外经营实际，建立数据安全与合规管理体系，完善组织架构、明确责任分工、健全管理制度、推动持续改进等方面的总体思路、机制安排和经验做法。</w:t>
      </w:r>
    </w:p>
    <w:p w14:paraId="4C58FA5D">
      <w:pPr>
        <w:spacing w:after="120" w:line="360" w:lineRule="auto"/>
        <w:ind w:firstLine="480"/>
        <w:jc w:val="both"/>
      </w:pPr>
      <w:r>
        <w:rPr>
          <w:rFonts w:ascii="仿宋" w:hAnsi="仿宋" w:eastAsia="仿宋" w:cs="仿宋"/>
          <w:b/>
          <w:bCs/>
          <w:sz w:val="30"/>
          <w:szCs w:val="30"/>
        </w:rPr>
        <w:t>（二）适应海外市场数据合规要求的内部管理流程、制度建设、人员培训和能力建设经验。</w:t>
      </w:r>
      <w:r>
        <w:rPr>
          <w:rFonts w:ascii="仿宋" w:hAnsi="仿宋" w:eastAsia="仿宋" w:cs="仿宋"/>
          <w:sz w:val="30"/>
          <w:szCs w:val="30"/>
        </w:rPr>
        <w:t>主要包括企业为适应海外市场数据合规要求，在内部管理流程优化、合规制度建设、员工培训、合规队伍与能力建设等方面的实践经验。</w:t>
      </w:r>
    </w:p>
    <w:p w14:paraId="161D52D9">
      <w:pPr>
        <w:spacing w:after="120" w:line="360" w:lineRule="auto"/>
        <w:ind w:firstLine="480"/>
        <w:jc w:val="both"/>
      </w:pPr>
      <w:r>
        <w:rPr>
          <w:rFonts w:ascii="仿宋" w:hAnsi="仿宋" w:eastAsia="仿宋" w:cs="仿宋"/>
          <w:b/>
          <w:bCs/>
          <w:sz w:val="30"/>
          <w:szCs w:val="30"/>
        </w:rPr>
        <w:t>（三）在海外业务开展过程中加强数据规范管理、提升用户透明度和合规管理水平的一般性做法与体会。</w:t>
      </w:r>
      <w:r>
        <w:rPr>
          <w:rFonts w:ascii="仿宋" w:hAnsi="仿宋" w:eastAsia="仿宋" w:cs="仿宋"/>
          <w:sz w:val="30"/>
          <w:szCs w:val="30"/>
        </w:rPr>
        <w:t>主要包括企业在海外业务中落实数据分类分级、最小必要、合规存储与使用等数据规范管理要求，开展隐私政策告知、用户授权与权利响应、数据处理透明化等用户权益保障工作，以及在正常业务协同中通过合同管理、第三方服务管理、内部合规审查等方式加强数据合规管理的一般性做法与体会。</w:t>
      </w:r>
      <w:bookmarkStart w:id="0" w:name="_GoBack"/>
      <w:bookmarkEnd w:id="0"/>
    </w:p>
    <w:p w14:paraId="414A4023">
      <w:pPr>
        <w:spacing w:after="120" w:line="360" w:lineRule="auto"/>
        <w:ind w:firstLine="480"/>
        <w:jc w:val="both"/>
      </w:pPr>
      <w:r>
        <w:rPr>
          <w:rFonts w:ascii="仿宋" w:hAnsi="仿宋" w:eastAsia="仿宋" w:cs="仿宋"/>
          <w:b/>
          <w:bCs/>
          <w:sz w:val="30"/>
          <w:szCs w:val="30"/>
        </w:rPr>
        <w:t>（四）参与相关标准研究、检测认证、合规评估和行业交流等方面的实践与思考。</w:t>
      </w:r>
      <w:r>
        <w:rPr>
          <w:rFonts w:ascii="仿宋" w:hAnsi="仿宋" w:eastAsia="仿宋" w:cs="仿宋"/>
          <w:sz w:val="30"/>
          <w:szCs w:val="30"/>
        </w:rPr>
        <w:t>主要包括企业参与境内外数据安全、网络安全、隐私保护等相关标准研究与对接、检测认证、第三方合规评估、行业交流合作等方面的实践与思考，以及具有行业参考价值的经验做法。</w:t>
      </w:r>
    </w:p>
    <w:p w14:paraId="13759D18">
      <w:pPr>
        <w:spacing w:after="120" w:line="360" w:lineRule="auto"/>
        <w:ind w:firstLine="480"/>
        <w:jc w:val="both"/>
      </w:pPr>
      <w:r>
        <w:rPr>
          <w:rFonts w:ascii="仿宋" w:hAnsi="仿宋" w:eastAsia="仿宋" w:cs="仿宋"/>
          <w:b/>
          <w:bCs/>
          <w:sz w:val="30"/>
          <w:szCs w:val="30"/>
        </w:rPr>
        <w:t>（五）其他有助于行业借鉴的数据安全与合规管理经验。</w:t>
      </w:r>
      <w:r>
        <w:rPr>
          <w:rFonts w:ascii="仿宋" w:hAnsi="仿宋" w:eastAsia="仿宋" w:cs="仿宋"/>
          <w:sz w:val="30"/>
          <w:szCs w:val="30"/>
        </w:rPr>
        <w:t>其他有助于提升汽车企业海外数据合规管理能力、保障用户合法权益、促进企业稳健经营的经验做法。</w:t>
      </w: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doNotDisplayPageBoundaries w:val="1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78155B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" w:cs="仿宋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qFormat="1" w:uiPriority="99" w:name="endnote reference"/>
    <w:lsdException w:qFormat="1" w:uiPriority="99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" w:cs="仿宋"/>
      <w:sz w:val="30"/>
      <w:szCs w:val="30"/>
    </w:rPr>
  </w:style>
  <w:style w:type="paragraph" w:styleId="2">
    <w:name w:val="heading 1"/>
    <w:next w:val="1"/>
    <w:qFormat/>
    <w:uiPriority w:val="0"/>
    <w:rPr>
      <w:rFonts w:ascii="仿宋" w:hAnsi="仿宋" w:eastAsia="仿宋" w:cs="仿宋"/>
      <w:color w:val="2E74B5"/>
      <w:sz w:val="32"/>
      <w:szCs w:val="32"/>
    </w:rPr>
  </w:style>
  <w:style w:type="paragraph" w:styleId="3">
    <w:name w:val="heading 2"/>
    <w:next w:val="1"/>
    <w:qFormat/>
    <w:uiPriority w:val="0"/>
    <w:rPr>
      <w:rFonts w:ascii="仿宋" w:hAnsi="仿宋" w:eastAsia="仿宋" w:cs="仿宋"/>
      <w:color w:val="2E74B5"/>
      <w:sz w:val="26"/>
      <w:szCs w:val="26"/>
    </w:rPr>
  </w:style>
  <w:style w:type="paragraph" w:styleId="4">
    <w:name w:val="heading 3"/>
    <w:next w:val="1"/>
    <w:qFormat/>
    <w:uiPriority w:val="0"/>
    <w:rPr>
      <w:rFonts w:ascii="仿宋" w:hAnsi="仿宋" w:eastAsia="仿宋" w:cs="仿宋"/>
      <w:color w:val="1F4D78"/>
      <w:sz w:val="24"/>
      <w:szCs w:val="24"/>
    </w:rPr>
  </w:style>
  <w:style w:type="paragraph" w:styleId="5">
    <w:name w:val="heading 4"/>
    <w:next w:val="1"/>
    <w:qFormat/>
    <w:uiPriority w:val="0"/>
    <w:rPr>
      <w:rFonts w:ascii="仿宋" w:hAnsi="仿宋" w:eastAsia="仿宋" w:cs="仿宋"/>
      <w:i/>
      <w:iCs/>
      <w:color w:val="2E74B5"/>
      <w:sz w:val="30"/>
      <w:szCs w:val="30"/>
    </w:rPr>
  </w:style>
  <w:style w:type="paragraph" w:styleId="6">
    <w:name w:val="heading 5"/>
    <w:next w:val="1"/>
    <w:qFormat/>
    <w:uiPriority w:val="0"/>
    <w:rPr>
      <w:rFonts w:ascii="仿宋" w:hAnsi="仿宋" w:eastAsia="仿宋" w:cs="仿宋"/>
      <w:color w:val="2E74B5"/>
      <w:sz w:val="30"/>
      <w:szCs w:val="30"/>
    </w:rPr>
  </w:style>
  <w:style w:type="paragraph" w:styleId="7">
    <w:name w:val="heading 6"/>
    <w:next w:val="1"/>
    <w:qFormat/>
    <w:uiPriority w:val="0"/>
    <w:rPr>
      <w:rFonts w:ascii="仿宋" w:hAnsi="仿宋" w:eastAsia="仿宋" w:cs="仿宋"/>
      <w:color w:val="1F4D78"/>
      <w:sz w:val="30"/>
      <w:szCs w:val="30"/>
    </w:rPr>
  </w:style>
  <w:style w:type="character" w:default="1" w:styleId="12">
    <w:name w:val="Default Paragraph Font"/>
    <w:semiHidden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endnote text"/>
    <w:link w:val="18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9">
    <w:name w:val="footnote text"/>
    <w:link w:val="17"/>
    <w:semiHidden/>
    <w:unhideWhenUsed/>
    <w:qFormat/>
    <w:uiPriority w:val="99"/>
    <w:pPr>
      <w:spacing w:after="0" w:line="240" w:lineRule="auto"/>
    </w:pPr>
    <w:rPr>
      <w:rFonts w:ascii="仿宋" w:hAnsi="仿宋" w:eastAsia="仿宋" w:cs="仿宋"/>
      <w:sz w:val="20"/>
      <w:szCs w:val="20"/>
    </w:rPr>
  </w:style>
  <w:style w:type="paragraph" w:styleId="10">
    <w:name w:val="Title"/>
    <w:qFormat/>
    <w:uiPriority w:val="0"/>
    <w:rPr>
      <w:rFonts w:ascii="仿宋" w:hAnsi="仿宋" w:eastAsia="仿宋" w:cs="仿宋"/>
      <w:sz w:val="56"/>
      <w:szCs w:val="56"/>
    </w:rPr>
  </w:style>
  <w:style w:type="character" w:styleId="13">
    <w:name w:val="endnote reference"/>
    <w:semiHidden/>
    <w:unhideWhenUsed/>
    <w:qFormat/>
    <w:uiPriority w:val="99"/>
    <w:rPr>
      <w:vertAlign w:val="superscript"/>
    </w:rPr>
  </w:style>
  <w:style w:type="character" w:styleId="14">
    <w:name w:val="Hyperlink"/>
    <w:unhideWhenUsed/>
    <w:qFormat/>
    <w:uiPriority w:val="99"/>
    <w:rPr>
      <w:color w:val="0563C1"/>
      <w:u w:val="single"/>
    </w:rPr>
  </w:style>
  <w:style w:type="character" w:styleId="15">
    <w:name w:val="footnote reference"/>
    <w:semiHidden/>
    <w:unhideWhenUsed/>
    <w:qFormat/>
    <w:uiPriority w:val="99"/>
    <w:rPr>
      <w:vertAlign w:val="superscript"/>
    </w:rPr>
  </w:style>
  <w:style w:type="paragraph" w:styleId="16">
    <w:name w:val="List Paragraph"/>
    <w:qFormat/>
    <w:uiPriority w:val="0"/>
    <w:rPr>
      <w:rFonts w:ascii="仿宋" w:hAnsi="仿宋" w:eastAsia="仿宋" w:cs="仿宋"/>
      <w:sz w:val="30"/>
      <w:szCs w:val="30"/>
    </w:rPr>
  </w:style>
  <w:style w:type="character" w:customStyle="1" w:styleId="17">
    <w:name w:val="Footnote Text Char"/>
    <w:link w:val="9"/>
    <w:semiHidden/>
    <w:unhideWhenUsed/>
    <w:qFormat/>
    <w:uiPriority w:val="99"/>
    <w:rPr>
      <w:sz w:val="20"/>
      <w:szCs w:val="20"/>
    </w:rPr>
  </w:style>
  <w:style w:type="character" w:customStyle="1" w:styleId="18">
    <w:name w:val="Endnote Text Char"/>
    <w:link w:val="8"/>
    <w:semiHidden/>
    <w:unhideWhenUsed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1999</Words>
  <Characters>2047</Characters>
  <TotalTime>0</TotalTime>
  <ScaleCrop>false</ScaleCrop>
  <LinksUpToDate>false</LinksUpToDate>
  <CharactersWithSpaces>2050</CharactersWithSpaces>
  <Application>WPS Office_12.1.0.26375_F1E327BC-269C-435d-A152-05C5408002CA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2026-06-30T02:48:00Z</dcterms:created>
  <dc:creator>Un-named</dc:creator>
  <cp:lastModifiedBy>燕七静儿</cp:lastModifiedBy>
  <dcterms:modified xsi:type="dcterms:W3CDTF">2026-06-30T09:15:11Z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eyJoZGlkIjoiOTdiNjg0YmU1MjFhYjQwOGRlYjUzNDM1NWNkNjMwMTMiLCJ1c2VySWQiOiI0OTE2MTEyNTEifQ==</vt:lpwstr>
  </property>
  <property fmtid="{D5CDD505-2E9C-101B-9397-08002B2CF9AE}" pid="3" name="KSOProductBuildVer">
    <vt:lpwstr>2052-12.1.0.26375</vt:lpwstr>
  </property>
  <property fmtid="{D5CDD505-2E9C-101B-9397-08002B2CF9AE}" pid="4" name="ICV">
    <vt:lpwstr>2B39E7721C0C460A8EDDC3893B7B0931_12</vt:lpwstr>
  </property>
</Properties>
</file>