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06401">
      <w:pPr>
        <w:ind w:firstLine="0" w:firstLineChars="0"/>
        <w:jc w:val="center"/>
        <w:rPr>
          <w:rFonts w:hint="eastAsia" w:ascii="黑体" w:hAnsi="黑体" w:eastAsia="黑体"/>
          <w:b/>
          <w:sz w:val="32"/>
          <w:szCs w:val="32"/>
          <w:lang w:val="en-US" w:eastAsia="zh-CN"/>
        </w:rPr>
      </w:pPr>
      <w:r>
        <w:rPr>
          <w:rFonts w:ascii="黑体" w:hAnsi="黑体" w:eastAsia="黑体"/>
          <w:b/>
          <w:sz w:val="32"/>
          <w:szCs w:val="32"/>
        </w:rPr>
        <w:fldChar w:fldCharType="begin"/>
      </w:r>
      <w:r>
        <w:rPr>
          <w:rFonts w:ascii="黑体" w:hAnsi="黑体" w:eastAsia="黑体"/>
          <w:b/>
          <w:sz w:val="32"/>
          <w:szCs w:val="32"/>
        </w:rPr>
        <w:instrText xml:space="preserve"> MACROBUTTON MTEditEquationSection2 </w:instrText>
      </w:r>
      <w:r>
        <w:rPr>
          <w:rFonts w:hint="eastAsia" w:ascii="黑体" w:hAnsi="黑体" w:eastAsia="黑体"/>
          <w:b/>
          <w:vanish/>
          <w:sz w:val="32"/>
          <w:szCs w:val="32"/>
        </w:rPr>
        <w:instrText xml:space="preserve">公式章</w:instrText>
      </w:r>
      <w:r>
        <w:rPr>
          <w:rFonts w:ascii="黑体" w:hAnsi="黑体" w:eastAsia="黑体"/>
          <w:b/>
          <w:vanish/>
          <w:sz w:val="32"/>
          <w:szCs w:val="32"/>
        </w:rPr>
        <w:instrText xml:space="preserve"> 1 节 1</w:instrText>
      </w:r>
      <w:r>
        <w:rPr>
          <w:rFonts w:ascii="黑体" w:hAnsi="黑体" w:eastAsia="黑体"/>
          <w:b/>
          <w:sz w:val="32"/>
          <w:szCs w:val="32"/>
        </w:rPr>
        <w:fldChar w:fldCharType="begin"/>
      </w:r>
      <w:r>
        <w:rPr>
          <w:rFonts w:ascii="黑体" w:hAnsi="黑体" w:eastAsia="黑体"/>
          <w:b/>
          <w:sz w:val="32"/>
          <w:szCs w:val="32"/>
        </w:rPr>
        <w:instrText xml:space="preserve"> SEQ MTEqn \r \h \* MERGEFORMAT </w:instrText>
      </w:r>
      <w:r>
        <w:rPr>
          <w:rFonts w:ascii="黑体" w:hAnsi="黑体" w:eastAsia="黑体"/>
          <w:b/>
          <w:sz w:val="32"/>
          <w:szCs w:val="32"/>
        </w:rPr>
        <w:fldChar w:fldCharType="end"/>
      </w:r>
      <w:r>
        <w:rPr>
          <w:rFonts w:ascii="黑体" w:hAnsi="黑体" w:eastAsia="黑体"/>
          <w:b/>
          <w:sz w:val="32"/>
          <w:szCs w:val="32"/>
        </w:rPr>
        <w:fldChar w:fldCharType="begin"/>
      </w:r>
      <w:r>
        <w:rPr>
          <w:rFonts w:ascii="黑体" w:hAnsi="黑体" w:eastAsia="黑体"/>
          <w:b/>
          <w:sz w:val="32"/>
          <w:szCs w:val="32"/>
        </w:rPr>
        <w:instrText xml:space="preserve"> SEQ MTSec \r 1 \h \* MERGEFORMAT </w:instrText>
      </w:r>
      <w:r>
        <w:rPr>
          <w:rFonts w:ascii="黑体" w:hAnsi="黑体" w:eastAsia="黑体"/>
          <w:b/>
          <w:sz w:val="32"/>
          <w:szCs w:val="32"/>
        </w:rPr>
        <w:fldChar w:fldCharType="end"/>
      </w:r>
      <w:r>
        <w:rPr>
          <w:rFonts w:ascii="黑体" w:hAnsi="黑体" w:eastAsia="黑体"/>
          <w:b/>
          <w:sz w:val="32"/>
          <w:szCs w:val="32"/>
        </w:rPr>
        <w:fldChar w:fldCharType="begin"/>
      </w:r>
      <w:r>
        <w:rPr>
          <w:rFonts w:ascii="黑体" w:hAnsi="黑体" w:eastAsia="黑体"/>
          <w:b/>
          <w:sz w:val="32"/>
          <w:szCs w:val="32"/>
        </w:rPr>
        <w:instrText xml:space="preserve"> SEQ MTChap \r 1 \h \* MERGEFORMAT </w:instrText>
      </w:r>
      <w:r>
        <w:rPr>
          <w:rFonts w:ascii="黑体" w:hAnsi="黑体" w:eastAsia="黑体"/>
          <w:b/>
          <w:sz w:val="32"/>
          <w:szCs w:val="32"/>
        </w:rPr>
        <w:fldChar w:fldCharType="end"/>
      </w:r>
      <w:r>
        <w:rPr>
          <w:rFonts w:ascii="黑体" w:hAnsi="黑体" w:eastAsia="黑体"/>
          <w:b/>
          <w:sz w:val="32"/>
          <w:szCs w:val="32"/>
        </w:rPr>
        <w:fldChar w:fldCharType="end"/>
      </w:r>
      <w:r>
        <w:rPr>
          <w:rFonts w:hint="eastAsia" w:ascii="黑体" w:hAnsi="黑体" w:eastAsia="黑体"/>
          <w:b/>
          <w:sz w:val="32"/>
          <w:szCs w:val="32"/>
        </w:rPr>
        <w:t>《</w:t>
      </w:r>
      <w:bookmarkStart w:id="6" w:name="_GoBack"/>
      <w:r>
        <w:rPr>
          <w:rFonts w:hint="eastAsia" w:ascii="黑体" w:hAnsi="黑体" w:eastAsia="黑体"/>
          <w:b/>
          <w:sz w:val="32"/>
          <w:szCs w:val="32"/>
          <w:lang w:val="en-US" w:eastAsia="zh-CN"/>
        </w:rPr>
        <w:t>汽车驾驶体验赛道建设要求与开放条件</w:t>
      </w:r>
      <w:bookmarkEnd w:id="6"/>
      <w:r>
        <w:rPr>
          <w:rFonts w:hint="eastAsia" w:ascii="黑体" w:hAnsi="黑体" w:eastAsia="黑体"/>
          <w:b/>
          <w:sz w:val="32"/>
          <w:szCs w:val="32"/>
        </w:rPr>
        <w:t>》</w:t>
      </w:r>
      <w:r>
        <w:rPr>
          <w:rFonts w:hint="eastAsia" w:ascii="黑体" w:hAnsi="黑体" w:eastAsia="黑体"/>
          <w:b/>
          <w:sz w:val="32"/>
          <w:szCs w:val="32"/>
          <w:lang w:val="en-US" w:eastAsia="zh-CN"/>
        </w:rPr>
        <w:t>征求意见稿</w:t>
      </w:r>
    </w:p>
    <w:p w14:paraId="2AD4F597">
      <w:pPr>
        <w:ind w:firstLine="0" w:firstLineChars="0"/>
        <w:jc w:val="center"/>
        <w:rPr>
          <w:rFonts w:hint="default" w:ascii="黑体" w:hAnsi="黑体" w:eastAsia="黑体"/>
          <w:b/>
          <w:sz w:val="32"/>
          <w:szCs w:val="32"/>
          <w:lang w:val="en-US" w:eastAsia="zh-CN"/>
        </w:rPr>
      </w:pPr>
      <w:r>
        <w:rPr>
          <w:rFonts w:hint="eastAsia" w:ascii="黑体" w:hAnsi="黑体" w:eastAsia="黑体"/>
          <w:b/>
          <w:sz w:val="32"/>
          <w:szCs w:val="32"/>
          <w:lang w:val="en-US" w:eastAsia="zh-CN"/>
        </w:rPr>
        <w:t>编制说明文件</w:t>
      </w:r>
    </w:p>
    <w:p w14:paraId="1D6BE1E3">
      <w:pPr>
        <w:pStyle w:val="2"/>
        <w:numPr>
          <w:ilvl w:val="0"/>
          <w:numId w:val="0"/>
        </w:numPr>
        <w:rPr>
          <w:rFonts w:hint="eastAsia" w:eastAsia="黑体"/>
          <w:sz w:val="24"/>
          <w:szCs w:val="24"/>
          <w:lang w:val="en-US" w:eastAsia="zh-CN"/>
        </w:rPr>
      </w:pPr>
      <w:bookmarkStart w:id="0" w:name="_Toc137199042"/>
      <w:r>
        <w:rPr>
          <w:rFonts w:hint="eastAsia"/>
          <w:sz w:val="24"/>
          <w:szCs w:val="24"/>
        </w:rPr>
        <w:t>一、工作</w:t>
      </w:r>
      <w:bookmarkEnd w:id="0"/>
      <w:r>
        <w:rPr>
          <w:rFonts w:hint="eastAsia"/>
          <w:sz w:val="24"/>
          <w:szCs w:val="24"/>
          <w:lang w:val="en-US" w:eastAsia="zh-CN"/>
        </w:rPr>
        <w:t>简况</w:t>
      </w:r>
    </w:p>
    <w:p w14:paraId="77BB5A6A">
      <w:pPr>
        <w:tabs>
          <w:tab w:val="center" w:pos="4153"/>
        </w:tabs>
        <w:ind w:firstLine="0" w:firstLineChars="0"/>
        <w:rPr>
          <w:rFonts w:hint="eastAsia" w:ascii="仿宋" w:hAnsi="仿宋"/>
          <w:b/>
          <w:lang w:val="en-US" w:eastAsia="zh-CN"/>
        </w:rPr>
      </w:pPr>
      <w:r>
        <w:rPr>
          <w:rFonts w:hint="eastAsia" w:ascii="仿宋" w:hAnsi="仿宋"/>
          <w:b/>
          <w:lang w:val="en-US" w:eastAsia="zh-CN"/>
        </w:rPr>
        <w:t>1、任务来源</w:t>
      </w:r>
    </w:p>
    <w:p w14:paraId="3755163C">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2025年6月，同济大学建筑设计研究院（集团）有限公司向中国汽车工业协会试验场分会提报了《汽车驾驶体验赛道建设要求与开放条件》标准预研备案表，经中汽协会越野车分会标准委员会研判分析，肯定了该项标准的研究价值和意义，同意继续深入研究并筹备制定《汽车驾驶体验赛道建设要求与开放条件》团体标准工作；根据前期专家的反馈，中国汽车工业协会越野车分会按照《中汽协会团体标准制修订管理办法》的规定，于2025年7月30日组织专家召开了《汽车驾驶体验赛道建设要求与开放条件》团体标准立项论证评审会，经7位专家论证讨论，一致表决同意该团体标准立项通过；中国汽车工业协会于2025年8月13日发布立项公示，并于2025年8月28日正式下达了立项批复函（中汽协函字【2025】364号），由同济大学建筑设计研究院（集团）有限公司作为牵头起草单位，组成标准编制工作组完成《汽车驾驶体验赛道建设要求与开放条件》团体标准的研究及制定，工作项目计划号2025-58。</w:t>
      </w:r>
    </w:p>
    <w:p w14:paraId="3DEECDA6">
      <w:pPr>
        <w:tabs>
          <w:tab w:val="center" w:pos="4153"/>
        </w:tabs>
        <w:ind w:firstLine="0" w:firstLineChars="0"/>
        <w:rPr>
          <w:rFonts w:hint="eastAsia" w:ascii="仿宋" w:hAnsi="仿宋"/>
          <w:b/>
          <w:lang w:val="en-US" w:eastAsia="zh-CN"/>
        </w:rPr>
      </w:pPr>
      <w:r>
        <w:rPr>
          <w:rFonts w:hint="eastAsia" w:ascii="仿宋" w:hAnsi="仿宋"/>
          <w:b/>
          <w:lang w:val="en-US" w:eastAsia="zh-CN"/>
        </w:rPr>
        <w:t>2、编制的背景与意义</w:t>
      </w:r>
    </w:p>
    <w:p w14:paraId="63985010">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汽车驾驶体验赛道是指专为评估或体验车辆动态性能、展示或提升驾驶操控技能而设计的封闭式道路系统，通常具备特定的路面条件、几何布局及安全设施。在满足特定安全要求下允许自由驾驶。</w:t>
      </w:r>
    </w:p>
    <w:p w14:paraId="25180324">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随着全球汽车产业竞争日趋白热化，传统主机厂、新势力纷纷致力于如何快速、全面、高效地展示车辆全方位性能优势、科技水平和品质价值。汽车驾驶体验赛道助推体验式销售成为点燃未来汽车销售增长的“新引擎”，越来越多头部车企选择在自己的品牌驾驶体验中心、旗舰店、工厂体验区等规划建设体验赛道等开展试乘试驾、小型比赛、性能测试等品牌活动，让消费者更真实、直观地感受驾驶车辆的乐趣，并能快速匹配需求，获得情绪价值。高水准的品牌活动有助于长久提升潜在客户对品牌的认同度和满意度。</w:t>
      </w:r>
    </w:p>
    <w:p w14:paraId="7A48E4FC">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在国内，汽车驾驶体验活动主要利用赛车场、驾驶体验赛道、大型广场等进行，其中，赛车场的等级划分和建设要求一般按照国际汽车联合会（FIA）和中国汽车摩托车运动联合会（CAMF）的有关标准和规则执行，而驾驶体验赛道的建设目前国内外尚无明确标准，随着这类场地的不断兴建，参与体验的人数日益增多，无证场地存在的安全隐患或将引发严重事故危害生命财产安全，影响产业健康发展，建立体验赛道的安全标准刻不容缓。</w:t>
      </w:r>
    </w:p>
    <w:p w14:paraId="7DC80D37">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本标准的立项实施，将是国内外首次系统性构建汽车驾驶体验赛道的标准化体系，填补这一领域空白，使汽车驾驶体验赛道的建设与开放规范化、合理化、系统化、标准化。</w:t>
      </w:r>
    </w:p>
    <w:p w14:paraId="302C20A8">
      <w:pPr>
        <w:tabs>
          <w:tab w:val="center" w:pos="4153"/>
        </w:tabs>
        <w:ind w:firstLine="0" w:firstLineChars="0"/>
        <w:rPr>
          <w:rFonts w:hint="default" w:ascii="仿宋" w:hAnsi="仿宋"/>
          <w:b/>
          <w:lang w:val="en-US" w:eastAsia="zh-CN"/>
        </w:rPr>
      </w:pPr>
      <w:r>
        <w:rPr>
          <w:rFonts w:hint="eastAsia" w:ascii="仿宋" w:hAnsi="仿宋"/>
          <w:b/>
          <w:lang w:val="en-US" w:eastAsia="zh-CN"/>
        </w:rPr>
        <w:t>3、主要工作过程</w:t>
      </w:r>
    </w:p>
    <w:p w14:paraId="48630B94">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left="0" w:leftChars="0" w:firstLine="420" w:firstLineChars="200"/>
        <w:jc w:val="both"/>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2025年4月-2025年6月，完成标准预研。同济大学建筑设计研究院（集团）有限公司相关技术人员，成立标准研究工作小组，就国内的现有的汽车驾驶体验赛道进行调研和考察，</w:t>
      </w:r>
    </w:p>
    <w:p w14:paraId="2F772053">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left="0" w:leftChars="0" w:firstLine="0" w:firstLineChars="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结合国内汽车驾驶体验赛道建设的现状和未来的发展战略方向，共同编制完成了标准立项材料并提交中国汽车工业协会申请立项。</w:t>
      </w:r>
    </w:p>
    <w:p w14:paraId="5F216F3F">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2025年7月，完成标准立项论证评审。2025年7月30日，由中国汽车工业协会越野车分会组织7位专家和牵头单位召开线上《汽车驾驶体验赛道建设要求与开放条件》团体标准立项审查会，专家组一致同意标准立项，建议中国汽车工业协会将该项目列入标准制定计划。</w:t>
      </w:r>
    </w:p>
    <w:p w14:paraId="30AE8999">
      <w:pPr>
        <w:keepNext w:val="0"/>
        <w:keepLines w:val="0"/>
        <w:pageBreakBefore w:val="0"/>
        <w:widowControl w:val="0"/>
        <w:kinsoku/>
        <w:wordWrap/>
        <w:overflowPunct/>
        <w:topLinePunct w:val="0"/>
        <w:autoSpaceDE/>
        <w:autoSpaceDN/>
        <w:bidi w:val="0"/>
        <w:adjustRightInd/>
        <w:snapToGrid/>
        <w:spacing w:before="0" w:beforeLines="-2147483648" w:afterAutospacing="0" w:line="360" w:lineRule="auto"/>
        <w:ind w:left="0" w:leftChars="0"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2025年8月，完成标准的立项公示及正式立项通知。2025年8月13日中国汽车工业协会经过立项公示正式，并于2025年8月31日正式发布标准立项通知函（中汽协函字 【2025】364号）。</w:t>
      </w:r>
    </w:p>
    <w:p w14:paraId="611B4F8B">
      <w:pPr>
        <w:keepNext w:val="0"/>
        <w:keepLines w:val="0"/>
        <w:pageBreakBefore w:val="0"/>
        <w:widowControl w:val="0"/>
        <w:kinsoku/>
        <w:wordWrap/>
        <w:overflowPunct/>
        <w:topLinePunct w:val="0"/>
        <w:autoSpaceDE/>
        <w:autoSpaceDN/>
        <w:bidi w:val="0"/>
        <w:adjustRightInd/>
        <w:snapToGrid/>
        <w:ind w:firstLine="420"/>
        <w:textAlignment w:val="auto"/>
        <w:rPr>
          <w:rFonts w:ascii="宋体" w:hAnsi="宋体" w:eastAsia="宋体"/>
          <w:sz w:val="21"/>
          <w:szCs w:val="21"/>
        </w:rPr>
      </w:pPr>
      <w:r>
        <w:rPr>
          <w:rFonts w:hint="eastAsia" w:ascii="宋体" w:hAnsi="宋体" w:eastAsia="宋体"/>
          <w:sz w:val="21"/>
          <w:szCs w:val="21"/>
          <w:lang w:val="en-US" w:eastAsia="zh-CN"/>
        </w:rPr>
        <w:t>2025年9月-2026年2月，完成草稿框架和初稿。牵头起草单位</w:t>
      </w:r>
      <w:r>
        <w:rPr>
          <w:rFonts w:ascii="宋体" w:hAnsi="宋体" w:eastAsia="宋体"/>
          <w:sz w:val="21"/>
          <w:szCs w:val="21"/>
        </w:rPr>
        <w:t>结合标准论证会专家意见及前期标准预研结果，工作组开始起草标准文件，并在标准文件起草的过程中继续不断征询各方专家意见，起草工作组形成标准草案及初稿框架。</w:t>
      </w:r>
    </w:p>
    <w:p w14:paraId="7027438B">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2026年3月-2026年5月，完成征求意见稿。中国汽车工业协会越野车分会和起草单位协同工作组参编技术专家，于2026年3月31日在北京召开线下标准研讨会，征求参编单位的意见，厦门红珊国际赛车场有限公司等企业共提出3条修改建议和意见，全部采纳。起草单位根据工作组专家提出的修改意见，对标准文件进行论证修正，最终形成征求意见稿。</w:t>
      </w:r>
    </w:p>
    <w:p w14:paraId="290C35B4">
      <w:pPr>
        <w:numPr>
          <w:ilvl w:val="0"/>
          <w:numId w:val="0"/>
        </w:numPr>
        <w:tabs>
          <w:tab w:val="center" w:pos="4153"/>
        </w:tabs>
        <w:rPr>
          <w:rFonts w:hint="eastAsia" w:ascii="仿宋" w:hAnsi="仿宋"/>
          <w:b/>
          <w:lang w:val="en-US" w:eastAsia="zh-CN"/>
        </w:rPr>
      </w:pPr>
      <w:r>
        <w:rPr>
          <w:rFonts w:hint="eastAsia" w:ascii="仿宋" w:hAnsi="仿宋"/>
          <w:b/>
          <w:lang w:val="en-US" w:eastAsia="zh-CN"/>
        </w:rPr>
        <w:t>4、主要起草单位及任务分工</w:t>
      </w:r>
    </w:p>
    <w:p w14:paraId="233D3FEC">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本文件由同济大学建筑设计研究院（集团）有限公司作为牵头起草单位，负责推荐标准专家，组成标准工作组，标准编制执笔工作；厦门红珊国际赛车场有限公司、秦皇岛首钢赛车谷发展有限责任公司、悦野文化传播（北京）有限公司作为共同发起参编单位，负责标准编制资料的提供、技术支持，结合相关技术和市场需求提出合理意见和建议；中国汽工业协会越野车分会在标准起草过程中负责监管执行与协调。</w:t>
      </w:r>
    </w:p>
    <w:p w14:paraId="417B3811">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p>
    <w:tbl>
      <w:tblPr>
        <w:tblStyle w:val="4"/>
        <w:tblW w:w="84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4500"/>
        <w:gridCol w:w="3165"/>
      </w:tblGrid>
      <w:tr w14:paraId="6E23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A250">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序号</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A042">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起草参编企业</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4BD9">
            <w:pPr>
              <w:keepNext w:val="0"/>
              <w:keepLines w:val="0"/>
              <w:widowControl/>
              <w:suppressLineNumbers w:val="0"/>
              <w:jc w:val="left"/>
              <w:textAlignment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工作分工</w:t>
            </w:r>
          </w:p>
        </w:tc>
      </w:tr>
      <w:tr w14:paraId="4EC1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1AC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224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sz w:val="21"/>
                <w:szCs w:val="21"/>
                <w:lang w:val="en-US" w:eastAsia="zh-CN"/>
              </w:rPr>
              <w:t>同济大学建筑设计研究院（集团）有限公司</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A846">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标准内容主执笔</w:t>
            </w:r>
          </w:p>
        </w:tc>
      </w:tr>
      <w:tr w14:paraId="32709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B0E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E3C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sz w:val="21"/>
                <w:szCs w:val="21"/>
                <w:lang w:val="en-US" w:eastAsia="zh-CN"/>
              </w:rPr>
              <w:t>厦门红珊国际赛车场有限公司</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AB38">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编制资料提供</w:t>
            </w:r>
          </w:p>
        </w:tc>
      </w:tr>
      <w:tr w14:paraId="4FA0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60B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2DD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秦皇岛首钢赛车谷发展有限责任公司</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CB4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编制资料提供</w:t>
            </w:r>
          </w:p>
        </w:tc>
      </w:tr>
      <w:tr w14:paraId="6957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A37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E4D9">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悦野文化传播（北京）有限公司</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68FC">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技术支持</w:t>
            </w:r>
          </w:p>
        </w:tc>
      </w:tr>
    </w:tbl>
    <w:p w14:paraId="32D491B8">
      <w:pPr>
        <w:pStyle w:val="2"/>
        <w:numPr>
          <w:ilvl w:val="0"/>
          <w:numId w:val="0"/>
        </w:numPr>
        <w:rPr>
          <w:rFonts w:hint="eastAsia" w:ascii="仿宋" w:hAnsi="仿宋"/>
          <w:b/>
          <w:lang w:val="en-US" w:eastAsia="zh-CN"/>
        </w:rPr>
      </w:pPr>
      <w:r>
        <w:rPr>
          <w:sz w:val="24"/>
          <w:szCs w:val="24"/>
        </w:rPr>
        <w:t>二</w:t>
      </w:r>
      <w:r>
        <w:rPr>
          <w:rFonts w:hint="eastAsia"/>
          <w:sz w:val="24"/>
          <w:szCs w:val="24"/>
        </w:rPr>
        <w:t>、标准编制</w:t>
      </w:r>
      <w:r>
        <w:rPr>
          <w:rFonts w:hint="eastAsia"/>
          <w:sz w:val="24"/>
          <w:szCs w:val="24"/>
          <w:lang w:val="en-US" w:eastAsia="zh-CN"/>
        </w:rPr>
        <w:t>主要原则和</w:t>
      </w:r>
      <w:r>
        <w:rPr>
          <w:rFonts w:hint="eastAsia"/>
          <w:sz w:val="24"/>
          <w:szCs w:val="24"/>
        </w:rPr>
        <w:t>主要内容</w:t>
      </w:r>
    </w:p>
    <w:p w14:paraId="6AF2C4E6">
      <w:pPr>
        <w:ind w:firstLine="0" w:firstLineChars="0"/>
        <w:rPr>
          <w:rFonts w:ascii="仿宋" w:hAnsi="仿宋"/>
          <w:b/>
        </w:rPr>
      </w:pPr>
      <w:r>
        <w:rPr>
          <w:rFonts w:hint="eastAsia" w:ascii="仿宋" w:hAnsi="仿宋"/>
          <w:b/>
        </w:rPr>
        <w:t>（一）标准编制主要原则</w:t>
      </w:r>
    </w:p>
    <w:p w14:paraId="6E840F88">
      <w:pPr>
        <w:rPr>
          <w:rFonts w:hint="eastAsia" w:ascii="宋体" w:hAnsi="宋体" w:eastAsia="宋体"/>
          <w:b w:val="0"/>
          <w:bCs w:val="0"/>
          <w:sz w:val="21"/>
          <w:szCs w:val="21"/>
          <w:lang w:val="en-US" w:eastAsia="zh-CN"/>
        </w:rPr>
      </w:pPr>
      <w:r>
        <w:rPr>
          <w:rFonts w:hint="eastAsia" w:ascii="宋体" w:hAnsi="宋体" w:eastAsia="宋体"/>
          <w:b/>
          <w:bCs/>
          <w:sz w:val="21"/>
          <w:szCs w:val="21"/>
          <w:lang w:val="en-US" w:eastAsia="zh-CN"/>
        </w:rPr>
        <w:t>1、安全第一：</w:t>
      </w:r>
      <w:r>
        <w:rPr>
          <w:rFonts w:hint="eastAsia" w:ascii="宋体" w:hAnsi="宋体" w:eastAsia="宋体"/>
          <w:b w:val="0"/>
          <w:bCs w:val="0"/>
          <w:sz w:val="21"/>
          <w:szCs w:val="21"/>
          <w:lang w:val="en-US" w:eastAsia="zh-CN"/>
        </w:rPr>
        <w:t>全环节依托安全仿真设计防护，从建设到运营严守安全管控。</w:t>
      </w:r>
    </w:p>
    <w:p w14:paraId="630CD8B0">
      <w:pPr>
        <w:rPr>
          <w:rFonts w:hint="eastAsia" w:ascii="宋体" w:hAnsi="宋体" w:eastAsia="宋体"/>
          <w:b w:val="0"/>
          <w:bCs w:val="0"/>
          <w:sz w:val="21"/>
          <w:szCs w:val="21"/>
          <w:lang w:val="en-US" w:eastAsia="zh-CN"/>
        </w:rPr>
      </w:pPr>
      <w:r>
        <w:rPr>
          <w:rFonts w:hint="eastAsia" w:ascii="宋体" w:hAnsi="宋体" w:eastAsia="宋体"/>
          <w:b/>
          <w:bCs/>
          <w:sz w:val="21"/>
          <w:szCs w:val="21"/>
          <w:lang w:val="en-US" w:eastAsia="zh-CN"/>
        </w:rPr>
        <w:t>2、分类分级：</w:t>
      </w:r>
      <w:r>
        <w:rPr>
          <w:rFonts w:hint="eastAsia" w:ascii="宋体" w:hAnsi="宋体" w:eastAsia="宋体"/>
          <w:b w:val="0"/>
          <w:bCs w:val="0"/>
          <w:sz w:val="21"/>
          <w:szCs w:val="21"/>
          <w:lang w:val="en-US" w:eastAsia="zh-CN"/>
        </w:rPr>
        <w:t>按用途、区位分类，按使用难度分 D0/D1/D2 三级，按需灵活布设。</w:t>
      </w:r>
    </w:p>
    <w:p w14:paraId="7C046856">
      <w:pPr>
        <w:rPr>
          <w:rFonts w:hint="eastAsia" w:ascii="宋体" w:hAnsi="宋体" w:eastAsia="宋体"/>
          <w:b w:val="0"/>
          <w:bCs w:val="0"/>
          <w:sz w:val="21"/>
          <w:szCs w:val="21"/>
          <w:lang w:val="en-US" w:eastAsia="zh-CN"/>
        </w:rPr>
      </w:pPr>
      <w:r>
        <w:rPr>
          <w:rFonts w:hint="eastAsia" w:ascii="宋体" w:hAnsi="宋体" w:eastAsia="宋体"/>
          <w:b/>
          <w:bCs/>
          <w:sz w:val="21"/>
          <w:szCs w:val="21"/>
          <w:lang w:val="en-US" w:eastAsia="zh-CN"/>
        </w:rPr>
        <w:t>3、合规依规：</w:t>
      </w:r>
      <w:r>
        <w:rPr>
          <w:rFonts w:hint="eastAsia" w:ascii="宋体" w:hAnsi="宋体" w:eastAsia="宋体"/>
          <w:b w:val="0"/>
          <w:bCs w:val="0"/>
          <w:sz w:val="21"/>
          <w:szCs w:val="21"/>
          <w:lang w:val="en-US" w:eastAsia="zh-CN"/>
        </w:rPr>
        <w:t>紧扣国土、消防、环保等国标法规，建设运营证照手续齐全。</w:t>
      </w:r>
    </w:p>
    <w:p w14:paraId="7F6D3C3B">
      <w:pPr>
        <w:rPr>
          <w:rFonts w:hint="eastAsia" w:ascii="宋体" w:hAnsi="宋体" w:eastAsia="宋体"/>
          <w:b w:val="0"/>
          <w:bCs w:val="0"/>
          <w:sz w:val="21"/>
          <w:szCs w:val="21"/>
          <w:lang w:val="en-US" w:eastAsia="zh-CN"/>
        </w:rPr>
      </w:pPr>
      <w:r>
        <w:rPr>
          <w:rFonts w:hint="eastAsia" w:ascii="宋体" w:hAnsi="宋体" w:eastAsia="宋体"/>
          <w:b/>
          <w:bCs/>
          <w:sz w:val="21"/>
          <w:szCs w:val="21"/>
          <w:lang w:val="en-US" w:eastAsia="zh-CN"/>
        </w:rPr>
        <w:t>4、功能统筹：</w:t>
      </w:r>
      <w:r>
        <w:rPr>
          <w:rFonts w:hint="eastAsia" w:ascii="宋体" w:hAnsi="宋体" w:eastAsia="宋体"/>
          <w:b w:val="0"/>
          <w:bCs w:val="0"/>
          <w:sz w:val="21"/>
          <w:szCs w:val="21"/>
          <w:lang w:val="en-US" w:eastAsia="zh-CN"/>
        </w:rPr>
        <w:t>场地动静分区，配齐通行、维保、救援、配套等各类设施。</w:t>
      </w:r>
    </w:p>
    <w:p w14:paraId="127F9253">
      <w:pPr>
        <w:rPr>
          <w:rFonts w:hint="eastAsia" w:ascii="宋体" w:hAnsi="宋体" w:eastAsia="宋体"/>
          <w:b w:val="0"/>
          <w:bCs w:val="0"/>
          <w:sz w:val="21"/>
          <w:szCs w:val="21"/>
          <w:lang w:val="en-US" w:eastAsia="zh-CN"/>
        </w:rPr>
      </w:pPr>
      <w:r>
        <w:rPr>
          <w:rFonts w:hint="eastAsia" w:ascii="宋体" w:hAnsi="宋体" w:eastAsia="宋体"/>
          <w:b/>
          <w:bCs/>
          <w:sz w:val="21"/>
          <w:szCs w:val="21"/>
          <w:lang w:val="en-US" w:eastAsia="zh-CN"/>
        </w:rPr>
        <w:t>5、生态环保：</w:t>
      </w:r>
      <w:r>
        <w:rPr>
          <w:rFonts w:hint="eastAsia" w:ascii="宋体" w:hAnsi="宋体" w:eastAsia="宋体"/>
          <w:b w:val="0"/>
          <w:bCs w:val="0"/>
          <w:sz w:val="21"/>
          <w:szCs w:val="21"/>
          <w:lang w:val="en-US" w:eastAsia="zh-CN"/>
        </w:rPr>
        <w:t>选址避让敏感区域，落实降噪、防尘、空气及环境卫生管控。</w:t>
      </w:r>
    </w:p>
    <w:p w14:paraId="62FE5C98">
      <w:pPr>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6、全周期管控：</w:t>
      </w:r>
      <w:r>
        <w:rPr>
          <w:rFonts w:hint="eastAsia" w:ascii="宋体" w:hAnsi="宋体" w:eastAsia="宋体"/>
          <w:b w:val="0"/>
          <w:bCs w:val="0"/>
          <w:sz w:val="21"/>
          <w:szCs w:val="21"/>
          <w:lang w:val="en-US" w:eastAsia="zh-CN"/>
        </w:rPr>
        <w:t>建设验收、日常运维、应急处置形成闭环管理制度。</w:t>
      </w:r>
    </w:p>
    <w:p w14:paraId="1200CFC3">
      <w:pPr>
        <w:ind w:firstLine="0" w:firstLineChars="0"/>
        <w:rPr>
          <w:rFonts w:hint="default" w:ascii="仿宋" w:hAnsi="仿宋"/>
          <w:b/>
          <w:lang w:val="en-US" w:eastAsia="zh-CN"/>
        </w:rPr>
      </w:pPr>
      <w:r>
        <w:rPr>
          <w:rFonts w:hint="eastAsia" w:ascii="仿宋" w:hAnsi="仿宋"/>
          <w:b/>
          <w:lang w:val="en-US" w:eastAsia="zh-CN"/>
        </w:rPr>
        <w:t>（二）标准主要内容</w:t>
      </w:r>
    </w:p>
    <w:p w14:paraId="38F007E9">
      <w:pPr>
        <w:ind w:firstLine="420"/>
        <w:rPr>
          <w:rFonts w:hint="eastAsia" w:ascii="宋体" w:hAnsi="宋体" w:eastAsia="宋体"/>
          <w:b/>
          <w:bCs/>
          <w:sz w:val="21"/>
          <w:szCs w:val="21"/>
          <w:lang w:val="en-US" w:eastAsia="zh-CN"/>
        </w:rPr>
      </w:pPr>
      <w:bookmarkStart w:id="1" w:name="heading_0"/>
      <w:r>
        <w:rPr>
          <w:rFonts w:hint="eastAsia" w:ascii="宋体" w:hAnsi="宋体" w:eastAsia="宋体"/>
          <w:b/>
          <w:bCs/>
          <w:sz w:val="21"/>
          <w:szCs w:val="21"/>
          <w:lang w:val="en-US" w:eastAsia="zh-CN"/>
        </w:rPr>
        <w:t>1 范围</w:t>
      </w:r>
      <w:bookmarkEnd w:id="1"/>
    </w:p>
    <w:p w14:paraId="7E619F79">
      <w:pPr>
        <w:pStyle w:val="8"/>
        <w:ind w:firstLine="420"/>
      </w:pPr>
      <w:bookmarkStart w:id="2" w:name="heading_1"/>
      <w:r>
        <w:rPr>
          <w:rFonts w:hint="eastAsia"/>
        </w:rPr>
        <w:t>本文件规定了汽车驾驶体验赛道的分类分级、建设要求与开放条件。</w:t>
      </w:r>
    </w:p>
    <w:p w14:paraId="59FC9D90">
      <w:pPr>
        <w:pStyle w:val="8"/>
        <w:ind w:firstLine="420"/>
      </w:pPr>
      <w:r>
        <w:rPr>
          <w:rFonts w:hint="eastAsia"/>
        </w:rPr>
        <w:t>本文件适用于国内具有合法经营主体、面向公众开放的汽车驾驶体验赛道。</w:t>
      </w:r>
    </w:p>
    <w:p w14:paraId="6B6661BA">
      <w:pPr>
        <w:ind w:firstLine="420"/>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2 规范性引用文件</w:t>
      </w:r>
      <w:bookmarkEnd w:id="2"/>
    </w:p>
    <w:p w14:paraId="3674FF85">
      <w:pPr>
        <w:ind w:firstLine="420"/>
        <w:rPr>
          <w:rFonts w:hint="eastAsia" w:ascii="宋体" w:hAnsi="宋体" w:eastAsia="宋体"/>
          <w:sz w:val="21"/>
          <w:szCs w:val="21"/>
          <w:lang w:val="en-US" w:eastAsia="zh-CN"/>
        </w:rPr>
      </w:pPr>
      <w:bookmarkStart w:id="3" w:name="heading_2"/>
      <w:r>
        <w:rPr>
          <w:rFonts w:hint="eastAsia" w:ascii="宋体" w:hAnsi="宋体" w:eastAsia="宋体"/>
          <w:sz w:val="21"/>
          <w:szCs w:val="21"/>
          <w:lang w:val="en-US" w:eastAsia="zh-CN"/>
        </w:rPr>
        <w:t>本标准第二章规范性引用文件共引用 5 项现行国家标准，文件选取紧扣赛道建设、消防安全、场地环境卫生等编制内容，所有引用文件均为国内现行有效国标，条款按需引入标准正文，适用规则约定：标注年号的采用对应版本，未标注年号执行最新有效版本（含修改单），具体清单及选用目的如下：</w:t>
      </w:r>
    </w:p>
    <w:p w14:paraId="05077AF1">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GB 3095-2012《环境空气质量标准》：用于规范赛道场地大气环境管控、扬尘治理相关环保要求。</w:t>
      </w:r>
    </w:p>
    <w:p w14:paraId="4580B8BD">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GB 13495.1-2015《消防安全标志 第 1 部分：标志》、GB 15630-1995《消防安全标志设置要求》：两项配套使用，约束场内防火警示标识的样式、布设规范。</w:t>
      </w:r>
    </w:p>
    <w:p w14:paraId="53BD1B56">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GB 37487-2019《公共场所卫生管理规范》：管控赛道配套接待、休憩等公共区域环境卫生条件。</w:t>
      </w:r>
    </w:p>
    <w:p w14:paraId="608B3AF2">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GB 55036-2022《消防设施通用规范》：作为赛道消防设施配置、施工及验收的强制性依据。</w:t>
      </w:r>
    </w:p>
    <w:p w14:paraId="3ADC2F3D">
      <w:pPr>
        <w:ind w:firstLine="420"/>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3 术语和定义</w:t>
      </w:r>
      <w:bookmarkEnd w:id="3"/>
    </w:p>
    <w:p w14:paraId="36304EB1">
      <w:pPr>
        <w:ind w:firstLine="420"/>
        <w:rPr>
          <w:rFonts w:hint="eastAsia" w:ascii="宋体" w:hAnsi="宋体" w:eastAsia="宋体"/>
          <w:sz w:val="21"/>
          <w:szCs w:val="21"/>
          <w:lang w:val="en-US" w:eastAsia="zh-CN"/>
        </w:rPr>
      </w:pPr>
      <w:bookmarkStart w:id="4" w:name="heading_3"/>
      <w:r>
        <w:rPr>
          <w:rFonts w:hint="eastAsia" w:ascii="宋体" w:hAnsi="宋体" w:eastAsia="宋体"/>
          <w:sz w:val="21"/>
          <w:szCs w:val="21"/>
          <w:lang w:val="en-US" w:eastAsia="zh-CN"/>
        </w:rPr>
        <w:t>本章结合赛道行业实际应用场景，围绕标准核心对象划定 6 项专用术语，定义紧扣本标准赛道建设、安全防护、运营管控内容，统一用词释义，消除理解分歧，为标准条文落地提供释义依据：</w:t>
      </w:r>
    </w:p>
    <w:p w14:paraId="684137E7">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（1）汽车驾驶体验赛道：界定场地属性为封闭式专用行驶场地，明确建设目的与使用条件；</w:t>
      </w:r>
    </w:p>
    <w:p w14:paraId="79276727">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（2）驾驶体验车辆：限定参与体验车辆准入基本条件；</w:t>
      </w:r>
    </w:p>
    <w:p w14:paraId="047ECAF3">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（3）驾驶体验路线：定义场内各模块串联行驶路径；</w:t>
      </w:r>
    </w:p>
    <w:p w14:paraId="77CF9A56">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（4）路缘缓冲带与缓冲区：明确赛道侧向安全缓冲区域功能与常用构造形式；</w:t>
      </w:r>
    </w:p>
    <w:p w14:paraId="4217ED83">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（5）安全设施：划定防撞、吸能、警示等防护装置范围与设置目的。</w:t>
      </w:r>
    </w:p>
    <w:p w14:paraId="253CD3B8">
      <w:pPr>
        <w:ind w:firstLine="420"/>
        <w:rPr>
          <w:rFonts w:hint="default" w:ascii="宋体" w:hAnsi="宋体" w:eastAsia="宋体"/>
          <w:b/>
          <w:bCs/>
          <w:sz w:val="21"/>
          <w:szCs w:val="21"/>
          <w:lang w:val="en-US" w:eastAsia="zh-CN"/>
        </w:rPr>
      </w:pPr>
      <w:r>
        <w:rPr>
          <w:rFonts w:hint="eastAsia" w:ascii="宋体" w:hAnsi="宋体" w:eastAsia="宋体"/>
          <w:b/>
          <w:bCs/>
          <w:sz w:val="21"/>
          <w:szCs w:val="21"/>
          <w:lang w:val="en-US" w:eastAsia="zh-CN"/>
        </w:rPr>
        <w:t xml:space="preserve">4 </w:t>
      </w:r>
      <w:bookmarkEnd w:id="4"/>
      <w:r>
        <w:rPr>
          <w:rFonts w:hint="eastAsia" w:ascii="宋体" w:hAnsi="宋体" w:eastAsia="宋体"/>
          <w:b/>
          <w:bCs/>
          <w:sz w:val="21"/>
          <w:szCs w:val="21"/>
          <w:lang w:val="en-US" w:eastAsia="zh-CN"/>
        </w:rPr>
        <w:t>总体要求</w:t>
      </w:r>
    </w:p>
    <w:p w14:paraId="7B5C15EB">
      <w:pPr>
        <w:ind w:firstLine="420"/>
        <w:rPr>
          <w:rFonts w:hint="eastAsia" w:ascii="宋体" w:hAnsi="宋体" w:eastAsia="宋体"/>
          <w:sz w:val="21"/>
          <w:szCs w:val="21"/>
          <w:lang w:val="en-US" w:eastAsia="zh-CN"/>
        </w:rPr>
      </w:pPr>
      <w:bookmarkStart w:id="5" w:name="heading_7"/>
      <w:r>
        <w:rPr>
          <w:rFonts w:hint="eastAsia" w:ascii="宋体" w:hAnsi="宋体" w:eastAsia="宋体"/>
          <w:sz w:val="21"/>
          <w:szCs w:val="21"/>
          <w:lang w:val="en-US" w:eastAsia="zh-CN"/>
        </w:rPr>
        <w:t>（1）汽车驾驶体验赛道应科学规划、因地制宜，体现安全性、功能性和规范性。</w:t>
      </w:r>
    </w:p>
    <w:p w14:paraId="234E2BCB">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（2）汽车驾驶体验赛道应具备明确的功能分区，实现动静分区，通过物理分隔确保运营秩序和安全。</w:t>
      </w:r>
    </w:p>
    <w:p w14:paraId="0B324CBF">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（3）汽车驾驶体验赛道应具备完善的培训、监控、通讯、广播、救援和应急指挥系统。</w:t>
      </w:r>
    </w:p>
    <w:p w14:paraId="035C0283">
      <w:pPr>
        <w:ind w:firstLine="420"/>
        <w:rPr>
          <w:rFonts w:hint="default" w:ascii="宋体" w:hAnsi="宋体" w:eastAsia="宋体"/>
          <w:b/>
          <w:bCs/>
          <w:sz w:val="21"/>
          <w:szCs w:val="21"/>
          <w:lang w:val="en-US" w:eastAsia="zh-CN"/>
        </w:rPr>
      </w:pPr>
      <w:r>
        <w:rPr>
          <w:rFonts w:hint="eastAsia" w:ascii="宋体" w:hAnsi="宋体" w:eastAsia="宋体"/>
          <w:b/>
          <w:bCs/>
          <w:sz w:val="21"/>
          <w:szCs w:val="21"/>
          <w:lang w:val="en-US" w:eastAsia="zh-CN"/>
        </w:rPr>
        <w:t>5、</w:t>
      </w:r>
      <w:bookmarkEnd w:id="5"/>
      <w:r>
        <w:rPr>
          <w:rFonts w:hint="eastAsia" w:ascii="宋体" w:hAnsi="宋体" w:eastAsia="宋体"/>
          <w:b/>
          <w:bCs/>
          <w:sz w:val="21"/>
          <w:szCs w:val="21"/>
          <w:lang w:val="en-US" w:eastAsia="zh-CN"/>
        </w:rPr>
        <w:t>赛道分类</w:t>
      </w:r>
    </w:p>
    <w:p w14:paraId="601342D0">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本章分为赛道分类、赛道分级两部分，结合行业运营场景划分，为场地建设、准入开放提供划分依据。</w:t>
      </w:r>
    </w:p>
    <w:p w14:paraId="6DF788DC">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（1）、赛道分类</w:t>
      </w:r>
    </w:p>
    <w:p w14:paraId="4E872EF9">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按功能划 10 类：依据路面结构、路况特点、体验目的，设置场地、越野、拉力、跨界拉力、直线、漂移、冰雪、爬山、自动驾驶、安全驾驶培训赛道，适配车辆性能测试、驾驶实训、品牌体验等需求，同场地可复合布设多种赛道。</w:t>
      </w:r>
    </w:p>
    <w:p w14:paraId="39D277F8">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按场地区位划 3 类：分为城市、厂区、野外赛道，分别适配城区商业体验、车企原厂试驾、原生态长距离越野等场景。</w:t>
      </w:r>
    </w:p>
    <w:p w14:paraId="7F115699">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（2）、赛道分级</w:t>
      </w:r>
    </w:p>
    <w:p w14:paraId="64F83F65">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按建设标准、防护配置、适用场景由低到高设D0 基础、D1 进阶、D2 专业三级：</w:t>
      </w:r>
    </w:p>
    <w:p w14:paraId="2EBC05E3">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D0（基础级）：满足基础驾训与入门体验，配置基础安全防护；</w:t>
      </w:r>
    </w:p>
    <w:p w14:paraId="717A540A">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D1（进阶级）：配套完备防护与专业运营体系，适用整车综合性能测试、爱好者进阶体验；</w:t>
      </w:r>
    </w:p>
    <w:p w14:paraId="476BE589">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D2（专业级）：采用赛事级安全防护与应急救援配置，用于高性能车极限试驾、专业驾驶训练。</w:t>
      </w:r>
    </w:p>
    <w:p w14:paraId="7E0ABD2E">
      <w:pPr>
        <w:ind w:firstLine="420"/>
        <w:rPr>
          <w:rFonts w:hint="eastAsia" w:ascii="宋体" w:hAnsi="宋体" w:eastAsia="宋体"/>
          <w:sz w:val="21"/>
          <w:szCs w:val="21"/>
          <w:lang w:val="en-US" w:eastAsia="zh-CN"/>
        </w:rPr>
      </w:pPr>
      <w:r>
        <w:rPr>
          <w:rFonts w:hint="eastAsia" w:ascii="宋体" w:hAnsi="宋体" w:eastAsia="宋体"/>
          <w:sz w:val="21"/>
          <w:szCs w:val="21"/>
          <w:lang w:val="en-US" w:eastAsia="zh-CN"/>
        </w:rPr>
        <w:t>分类分级贴合产业实际，便于项目规划建设、运营准入与日常监管。</w:t>
      </w:r>
    </w:p>
    <w:p w14:paraId="74C5D911">
      <w:pPr>
        <w:ind w:firstLine="420"/>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6、建设</w:t>
      </w:r>
      <w:r>
        <w:rPr>
          <w:rFonts w:hint="eastAsia" w:ascii="宋体" w:hAnsi="宋体" w:eastAsia="宋体"/>
          <w:b/>
          <w:bCs/>
          <w:sz w:val="21"/>
          <w:szCs w:val="21"/>
          <w:lang w:val="en-US" w:eastAsia="zh-CN"/>
        </w:rPr>
        <w:t>要求</w:t>
      </w:r>
    </w:p>
    <w:p w14:paraId="63EB840D">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本章分为通用、场地、专项建设三部分，围绕合规落地、安全建设、配套完善编制条文： </w:t>
      </w:r>
    </w:p>
    <w:p w14:paraId="7F3326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（1）通用要求：明确用地、建设须符合法规，设计依托安全仿真，配齐路线、标识、救援通道。 </w:t>
      </w:r>
    </w:p>
    <w:p w14:paraId="66F40C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（2）场地要求</w:t>
      </w:r>
    </w:p>
    <w:p w14:paraId="2EF279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赛道：分区隔离、布设监控消防与逃生口，观摩区物理硬隔离；</w:t>
      </w:r>
    </w:p>
    <w:p w14:paraId="7945946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公共动线：合理规划通行、临时停车及避让区域；</w:t>
      </w:r>
    </w:p>
    <w:p w14:paraId="49CEF9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标识：分级限速、危险地段设警示，关键点位配置导览标牌；</w:t>
      </w:r>
    </w:p>
    <w:p w14:paraId="174284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安全设施：分层设置防撞、吸能、缓冲区域，临水临崖等危险点位强化防护；</w:t>
      </w:r>
    </w:p>
    <w:p w14:paraId="484E193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功能配套：统一设置接待、监控、维保、停车等必备设施，按需增设补能、食宿等配套。 </w:t>
      </w:r>
    </w:p>
    <w:p w14:paraId="76FBC0CA">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（3）建设全流程 选址规避噪声敏感区、严控地质风险；由资质单位勘察设计并开展安全评估；施工依规实施、严控质量；完工竣工验收备案，可申请场地认证。</w:t>
      </w:r>
    </w:p>
    <w:p w14:paraId="33C5BD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整体以安全为底线，兼顾用地集约、环保合规、功能实用，指导赛道规范化施工落地。</w:t>
      </w:r>
    </w:p>
    <w:p w14:paraId="5D246B43">
      <w:pPr>
        <w:ind w:firstLine="420"/>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7、开放条件</w:t>
      </w:r>
    </w:p>
    <w:p w14:paraId="64AA19C0">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本章围绕合法运营、安全管控、环保卫生划定开放准入条件，从五大维度设置管控要求，作为赛道对外开放的执行依据：</w:t>
      </w:r>
    </w:p>
    <w:p w14:paraId="3951921F">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主体资质：运营方为境内法人主体，具备营业执照及相关体系认证，健全内部管理制度。</w:t>
      </w:r>
    </w:p>
    <w:p w14:paraId="039EB2EC">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运营管理：配齐安全员、救援、教练员等岗位，建立预约、检车、体验、离场全流程规范，核验驾证、签订风险告知并公示经营信息。</w:t>
      </w:r>
    </w:p>
    <w:p w14:paraId="1A581111">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应急救援：建立快速救援机制，编制专项应急预案并定期演练，配齐人员与救援器材、保障救援通道畅通。</w:t>
      </w:r>
    </w:p>
    <w:p w14:paraId="0603CC4A">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车辆管控：制定车辆准入标准，赛前检查车况，高危项目车辆加装防滚架，限定车辆行驶路线。</w:t>
      </w:r>
    </w:p>
    <w:p w14:paraId="661B10DB">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安全管控：常态化巡检养护赛道设施，恶劣天气临时关停；规范驾乘人员防护要求，落实活动投保、岗前安全交底；配套完善消防系统并依规开展消防演练。</w:t>
      </w:r>
    </w:p>
    <w:p w14:paraId="325E5CDB">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环境与卫生：场地噪声、空气质量、环境卫生、夜间照明执行现行国标，配套防尘降噪设施。</w:t>
      </w:r>
    </w:p>
    <w:p w14:paraId="414A03F1">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条款立足运营全流程风险防控，兼顾环保合规，保障赛道开放安全有序。</w:t>
      </w:r>
    </w:p>
    <w:p w14:paraId="151BC7C3">
      <w:pPr>
        <w:pStyle w:val="2"/>
        <w:numPr>
          <w:ilvl w:val="0"/>
          <w:numId w:val="4"/>
        </w:numPr>
        <w:rPr>
          <w:rFonts w:hint="eastAsia"/>
          <w:sz w:val="24"/>
          <w:szCs w:val="24"/>
        </w:rPr>
      </w:pPr>
      <w:r>
        <w:rPr>
          <w:rFonts w:hint="eastAsia"/>
          <w:sz w:val="24"/>
          <w:szCs w:val="24"/>
        </w:rPr>
        <w:t>采用国际标准和国外先进标准情况</w:t>
      </w:r>
    </w:p>
    <w:p w14:paraId="58D567B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GB 3095-2012 环境空气质量标准</w:t>
      </w:r>
    </w:p>
    <w:p w14:paraId="5C1D2F2D">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GB 13495.1-2015 消防安全标志 第1部分：标志</w:t>
      </w:r>
    </w:p>
    <w:p w14:paraId="48C1B416">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GB 15630-1995 消防安全标志设置要求</w:t>
      </w:r>
    </w:p>
    <w:p w14:paraId="4D703AE1">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GB 37487-2019 公共场所卫生管理规范</w:t>
      </w:r>
    </w:p>
    <w:p w14:paraId="416FBBB0">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GB 55036-2022 消防设施通用规范</w:t>
      </w:r>
    </w:p>
    <w:p w14:paraId="1ED09596">
      <w:pPr>
        <w:pStyle w:val="2"/>
        <w:numPr>
          <w:ilvl w:val="0"/>
          <w:numId w:val="0"/>
        </w:numPr>
        <w:ind w:leftChars="0"/>
        <w:rPr>
          <w:rFonts w:hint="eastAsia"/>
          <w:sz w:val="24"/>
          <w:szCs w:val="24"/>
          <w:lang w:val="en-US" w:eastAsia="zh-CN"/>
        </w:rPr>
      </w:pPr>
      <w:r>
        <w:rPr>
          <w:rFonts w:hint="eastAsia"/>
          <w:sz w:val="24"/>
          <w:szCs w:val="24"/>
          <w:lang w:val="en-US" w:eastAsia="zh-CN"/>
        </w:rPr>
        <w:t>四、与现行相关法律、法规、规章及相关标准，特别是强制性标准的协调性</w:t>
      </w:r>
    </w:p>
    <w:p w14:paraId="49BCEBC0">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本文件的制定，贯彻了国家标准化法、产品质量法、强制性安全认证等法律法规和相关标准要求；与现行法律、法规和相关标准无抵触不矛盾。</w:t>
      </w:r>
    </w:p>
    <w:p w14:paraId="5A93E304">
      <w:pPr>
        <w:pStyle w:val="2"/>
        <w:numPr>
          <w:ilvl w:val="0"/>
          <w:numId w:val="0"/>
        </w:numPr>
        <w:ind w:leftChars="0"/>
        <w:rPr>
          <w:rFonts w:hint="eastAsia"/>
          <w:sz w:val="24"/>
          <w:szCs w:val="24"/>
          <w:lang w:val="en-US" w:eastAsia="zh-CN"/>
        </w:rPr>
      </w:pPr>
      <w:r>
        <w:rPr>
          <w:rFonts w:hint="eastAsia"/>
          <w:sz w:val="24"/>
          <w:szCs w:val="24"/>
          <w:lang w:val="en-US" w:eastAsia="zh-CN"/>
        </w:rPr>
        <w:t>五、重大分歧意见的处理经过和依据</w:t>
      </w:r>
    </w:p>
    <w:p w14:paraId="3DA0A2C4">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本文件编制过程中出现的分歧已组织组内沟通征集意见并完善，对于研讨无法解决的问题，将意见征集范围扩大到相关的企业、科研院校等相关方，共同研讨解决。</w:t>
      </w:r>
    </w:p>
    <w:p w14:paraId="35C7F803">
      <w:pPr>
        <w:pStyle w:val="2"/>
        <w:numPr>
          <w:ilvl w:val="0"/>
          <w:numId w:val="0"/>
        </w:numPr>
        <w:ind w:leftChars="0"/>
        <w:rPr>
          <w:rFonts w:hint="eastAsia"/>
          <w:sz w:val="24"/>
          <w:szCs w:val="24"/>
          <w:lang w:val="en-US" w:eastAsia="zh-CN"/>
        </w:rPr>
      </w:pPr>
      <w:r>
        <w:rPr>
          <w:rFonts w:hint="eastAsia"/>
          <w:sz w:val="24"/>
          <w:szCs w:val="24"/>
          <w:lang w:val="en-US" w:eastAsia="zh-CN"/>
        </w:rPr>
        <w:t>六、标准性质的建议说明</w:t>
      </w:r>
    </w:p>
    <w:p w14:paraId="1E50DD10">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建议在行业内作为推荐性标准进行推广。</w:t>
      </w:r>
    </w:p>
    <w:p w14:paraId="2DE09766">
      <w:pPr>
        <w:pStyle w:val="2"/>
        <w:numPr>
          <w:ilvl w:val="0"/>
          <w:numId w:val="5"/>
        </w:numPr>
        <w:ind w:leftChars="0"/>
        <w:rPr>
          <w:rFonts w:hint="eastAsia"/>
          <w:sz w:val="24"/>
          <w:szCs w:val="24"/>
          <w:lang w:val="en-US" w:eastAsia="zh-CN"/>
        </w:rPr>
      </w:pPr>
      <w:r>
        <w:rPr>
          <w:rFonts w:hint="eastAsia"/>
          <w:sz w:val="24"/>
          <w:szCs w:val="24"/>
          <w:lang w:val="en-US" w:eastAsia="zh-CN"/>
        </w:rPr>
        <w:t>贯彻标准的要求和措施建议</w:t>
      </w:r>
    </w:p>
    <w:p w14:paraId="59CF2708">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1、宣传推广</w:t>
      </w:r>
    </w:p>
    <w:p w14:paraId="735372AB">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在行业协会指导下，充分结合起草单位的行业地位以及其他起草单位的优势资源，通过媒体、展览、论坛等渠道广泛宣传标准的作用、意义和内容，增强社会各界对标准的认识和使用。</w:t>
      </w:r>
    </w:p>
    <w:p w14:paraId="15A11C57">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2、培训交流</w:t>
      </w:r>
    </w:p>
    <w:p w14:paraId="0EE480B8">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针对行业实际需要，组织专门的培训和交流活动，邀请行业专家和标准起草单位代表，向相关人员解读标准的知识和运用方法，提高标准化思维和实际使用水平。</w:t>
      </w:r>
    </w:p>
    <w:p w14:paraId="18A80506">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3、应用计划</w:t>
      </w:r>
    </w:p>
    <w:p w14:paraId="1A299583">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在本标准指导单位、起草单位、各参编单位等推荐、承接、新建或运营的各类汽车驾驶体验场地中率先开展标准的应用推广工作，遴选并实施示范性项目。</w:t>
      </w:r>
    </w:p>
    <w:p w14:paraId="2390FFCF">
      <w:pPr>
        <w:pStyle w:val="2"/>
        <w:numPr>
          <w:ilvl w:val="0"/>
          <w:numId w:val="0"/>
        </w:numPr>
        <w:ind w:leftChars="0"/>
        <w:rPr>
          <w:rFonts w:hint="eastAsia"/>
          <w:sz w:val="24"/>
          <w:szCs w:val="24"/>
          <w:lang w:val="en-US" w:eastAsia="zh-CN"/>
        </w:rPr>
      </w:pPr>
      <w:r>
        <w:rPr>
          <w:rFonts w:hint="eastAsia"/>
          <w:sz w:val="24"/>
          <w:szCs w:val="24"/>
          <w:lang w:val="en-US" w:eastAsia="zh-CN"/>
        </w:rPr>
        <w:t>八、标准中涉及的专利</w:t>
      </w:r>
    </w:p>
    <w:p w14:paraId="4ED6285D">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本文件无涉及专利</w:t>
      </w:r>
    </w:p>
    <w:p w14:paraId="12114BDA">
      <w:pPr>
        <w:pStyle w:val="2"/>
        <w:numPr>
          <w:ilvl w:val="0"/>
          <w:numId w:val="0"/>
        </w:numPr>
        <w:ind w:leftChars="0"/>
        <w:rPr>
          <w:rFonts w:hint="eastAsia"/>
          <w:sz w:val="24"/>
          <w:szCs w:val="24"/>
          <w:lang w:val="en-US" w:eastAsia="zh-CN"/>
        </w:rPr>
      </w:pPr>
      <w:r>
        <w:rPr>
          <w:rFonts w:hint="eastAsia"/>
          <w:sz w:val="24"/>
          <w:szCs w:val="24"/>
          <w:lang w:val="en-US" w:eastAsia="zh-CN"/>
        </w:rPr>
        <w:t>九、无废止现行相关标准的建议</w:t>
      </w:r>
    </w:p>
    <w:p w14:paraId="3E065BE5">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暂无</w:t>
      </w:r>
    </w:p>
    <w:p w14:paraId="030A6E08">
      <w:pPr>
        <w:pStyle w:val="2"/>
        <w:numPr>
          <w:ilvl w:val="0"/>
          <w:numId w:val="0"/>
        </w:numPr>
        <w:ind w:leftChars="0"/>
        <w:rPr>
          <w:rFonts w:hint="eastAsia"/>
          <w:sz w:val="24"/>
          <w:szCs w:val="24"/>
          <w:lang w:val="en-US" w:eastAsia="zh-CN"/>
        </w:rPr>
      </w:pPr>
      <w:r>
        <w:rPr>
          <w:rFonts w:hint="eastAsia"/>
          <w:sz w:val="24"/>
          <w:szCs w:val="24"/>
          <w:lang w:val="en-US" w:eastAsia="zh-CN"/>
        </w:rPr>
        <w:t>十、其它应予说明的事项</w:t>
      </w:r>
    </w:p>
    <w:p w14:paraId="4C2CBC19">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暂无</w:t>
      </w:r>
    </w:p>
    <w:p w14:paraId="3CEFC06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sz w:val="21"/>
          <w:szCs w:val="21"/>
          <w:lang w:val="en-US" w:eastAsia="zh-CN"/>
        </w:rPr>
      </w:pPr>
    </w:p>
    <w:p w14:paraId="38A8DA91">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宋体" w:hAnsi="宋体" w:eastAsia="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4161A"/>
    <w:multiLevelType w:val="singleLevel"/>
    <w:tmpl w:val="8604161A"/>
    <w:lvl w:ilvl="0" w:tentative="0">
      <w:start w:val="3"/>
      <w:numFmt w:val="chineseCounting"/>
      <w:suff w:val="nothing"/>
      <w:lvlText w:val="%1、"/>
      <w:lvlJc w:val="left"/>
      <w:rPr>
        <w:rFonts w:hint="eastAsia"/>
      </w:rPr>
    </w:lvl>
  </w:abstractNum>
  <w:abstractNum w:abstractNumId="1">
    <w:nsid w:val="9B408A5A"/>
    <w:multiLevelType w:val="singleLevel"/>
    <w:tmpl w:val="9B408A5A"/>
    <w:lvl w:ilvl="0" w:tentative="0">
      <w:start w:val="7"/>
      <w:numFmt w:val="chineseCounting"/>
      <w:suff w:val="nothing"/>
      <w:lvlText w:val="%1、"/>
      <w:lvlJc w:val="left"/>
      <w:rPr>
        <w:rFonts w:hint="eastAsia"/>
      </w:rPr>
    </w:lvl>
  </w:abstractNum>
  <w:abstractNum w:abstractNumId="2">
    <w:nsid w:val="2C5917C3"/>
    <w:multiLevelType w:val="multilevel"/>
    <w:tmpl w:val="2C5917C3"/>
    <w:lvl w:ilvl="0" w:tentative="0">
      <w:start w:val="1"/>
      <w:numFmt w:val="none"/>
      <w:pStyle w:val="15"/>
      <w:lvlText w:val="%1——"/>
      <w:lvlJc w:val="left"/>
      <w:pPr>
        <w:tabs>
          <w:tab w:val="left" w:pos="852"/>
        </w:tabs>
        <w:ind w:left="852"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350001C4"/>
    <w:multiLevelType w:val="multilevel"/>
    <w:tmpl w:val="350001C4"/>
    <w:lvl w:ilvl="0" w:tentative="0">
      <w:start w:val="1"/>
      <w:numFmt w:val="decimal"/>
      <w:pStyle w:val="2"/>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9"/>
      <w:suff w:val="nothing"/>
      <w:lvlText w:val="%1%2　"/>
      <w:lvlJc w:val="left"/>
      <w:pPr>
        <w:ind w:left="0" w:firstLine="0"/>
      </w:pPr>
      <w:rPr>
        <w:rFonts w:hint="eastAsia" w:ascii="黑体" w:eastAsia="黑体"/>
        <w:b w:val="0"/>
        <w:i w:val="0"/>
        <w:sz w:val="21"/>
      </w:rPr>
    </w:lvl>
    <w:lvl w:ilvl="2" w:tentative="0">
      <w:start w:val="1"/>
      <w:numFmt w:val="decimal"/>
      <w:pStyle w:val="1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10"/>
      <w:suff w:val="nothing"/>
      <w:lvlText w:val="%1%2.%3.%4　"/>
      <w:lvlJc w:val="left"/>
      <w:pPr>
        <w:ind w:left="0" w:firstLine="0"/>
      </w:pPr>
      <w:rPr>
        <w:rFonts w:hint="eastAsia" w:ascii="黑体" w:eastAsia="黑体"/>
        <w:b w:val="0"/>
        <w:i w:val="0"/>
        <w:sz w:val="21"/>
      </w:rPr>
    </w:lvl>
    <w:lvl w:ilvl="4" w:tentative="0">
      <w:start w:val="1"/>
      <w:numFmt w:val="decimal"/>
      <w:pStyle w:val="12"/>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2268" w:firstLine="0"/>
      </w:pPr>
      <w:rPr>
        <w:rFonts w:hint="eastAsia" w:ascii="黑体" w:eastAsia="黑体"/>
        <w:b w:val="0"/>
        <w:i w:val="0"/>
        <w:sz w:val="21"/>
      </w:rPr>
    </w:lvl>
    <w:lvl w:ilvl="6" w:tentative="0">
      <w:start w:val="1"/>
      <w:numFmt w:val="decimal"/>
      <w:suff w:val="nothing"/>
      <w:lvlText w:val="%1%2.%3.%4.%5.%6.%7　"/>
      <w:lvlJc w:val="left"/>
      <w:pPr>
        <w:ind w:left="1135"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YjU4M2EzNTgxY2FhMGZjZTFmNTE4NDNiZDdjNDQifQ=="/>
  </w:docVars>
  <w:rsids>
    <w:rsidRoot w:val="00000000"/>
    <w:rsid w:val="02665A8E"/>
    <w:rsid w:val="07361A47"/>
    <w:rsid w:val="0CFD62BF"/>
    <w:rsid w:val="0D4E48F3"/>
    <w:rsid w:val="1166541D"/>
    <w:rsid w:val="1BB83309"/>
    <w:rsid w:val="1F314C36"/>
    <w:rsid w:val="2A10673B"/>
    <w:rsid w:val="2E076B58"/>
    <w:rsid w:val="2F23685D"/>
    <w:rsid w:val="3853164A"/>
    <w:rsid w:val="44021434"/>
    <w:rsid w:val="46603AD2"/>
    <w:rsid w:val="511D70DA"/>
    <w:rsid w:val="56955A19"/>
    <w:rsid w:val="5B2555BE"/>
    <w:rsid w:val="657607C4"/>
    <w:rsid w:val="6B9D4018"/>
    <w:rsid w:val="6D1E3C1B"/>
    <w:rsid w:val="70FC24C5"/>
    <w:rsid w:val="7D1A0FB9"/>
    <w:rsid w:val="7DAE2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rFonts w:eastAsia="黑体"/>
      <w:b/>
      <w:bCs/>
      <w:kern w:val="44"/>
      <w:sz w:val="32"/>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paragraph" w:customStyle="1" w:styleId="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
    <w:name w:val="标准文件_二级无标题"/>
    <w:basedOn w:val="10"/>
    <w:qFormat/>
    <w:uiPriority w:val="0"/>
    <w:pPr>
      <w:spacing w:before="0" w:beforeLines="0" w:after="0" w:afterLines="0"/>
      <w:outlineLvl w:val="9"/>
    </w:pPr>
    <w:rPr>
      <w:rFonts w:ascii="宋体" w:eastAsia="宋体"/>
    </w:rPr>
  </w:style>
  <w:style w:type="paragraph" w:customStyle="1" w:styleId="10">
    <w:name w:val="标准文件_二级条标题"/>
    <w:next w:val="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1">
    <w:name w:val="标准文件_三级无标题"/>
    <w:basedOn w:val="12"/>
    <w:qFormat/>
    <w:uiPriority w:val="0"/>
    <w:pPr>
      <w:spacing w:before="0" w:beforeLines="0" w:after="0" w:afterLines="0"/>
      <w:outlineLvl w:val="9"/>
    </w:pPr>
    <w:rPr>
      <w:rFonts w:ascii="宋体" w:eastAsia="宋体"/>
    </w:rPr>
  </w:style>
  <w:style w:type="paragraph" w:customStyle="1" w:styleId="12">
    <w:name w:val="标准文件_三级条标题"/>
    <w:basedOn w:val="10"/>
    <w:next w:val="8"/>
    <w:qFormat/>
    <w:uiPriority w:val="0"/>
    <w:pPr>
      <w:widowControl/>
      <w:numPr>
        <w:ilvl w:val="4"/>
      </w:numPr>
      <w:outlineLvl w:val="3"/>
    </w:pPr>
  </w:style>
  <w:style w:type="paragraph" w:customStyle="1" w:styleId="13">
    <w:name w:val="Body text|1"/>
    <w:basedOn w:val="1"/>
    <w:autoRedefine/>
    <w:qFormat/>
    <w:uiPriority w:val="0"/>
    <w:pPr>
      <w:spacing w:line="449" w:lineRule="auto"/>
    </w:pPr>
    <w:rPr>
      <w:rFonts w:ascii="宋体" w:hAnsi="宋体" w:cs="宋体" w:eastAsiaTheme="minorEastAsia"/>
      <w:kern w:val="2"/>
      <w:sz w:val="22"/>
      <w:szCs w:val="22"/>
      <w:lang w:val="zh-TW" w:eastAsia="zh-TW" w:bidi="zh-TW"/>
    </w:rPr>
  </w:style>
  <w:style w:type="character" w:customStyle="1" w:styleId="14">
    <w:name w:val="child-addr-poptip"/>
    <w:basedOn w:val="6"/>
    <w:qFormat/>
    <w:uiPriority w:val="0"/>
  </w:style>
  <w:style w:type="paragraph" w:customStyle="1" w:styleId="15">
    <w:name w:val="标准文件_一级项"/>
    <w:qFormat/>
    <w:uiPriority w:val="0"/>
    <w:pPr>
      <w:numPr>
        <w:ilvl w:val="0"/>
        <w:numId w:val="3"/>
      </w:numPr>
    </w:pPr>
    <w:rPr>
      <w:rFonts w:ascii="宋体" w:hAnsi="Times New Roman" w:eastAsia="宋体" w:cs="Times New Roman"/>
      <w:sz w:val="21"/>
      <w:lang w:val="en-US" w:eastAsia="zh-CN" w:bidi="ar-SA"/>
    </w:rPr>
  </w:style>
  <w:style w:type="paragraph" w:styleId="16">
    <w:name w:val="List Paragraph"/>
    <w:basedOn w:val="1"/>
    <w:qFormat/>
    <w:uiPriority w:val="99"/>
    <w:pPr>
      <w:ind w:firstLine="420"/>
    </w:pPr>
  </w:style>
  <w:style w:type="paragraph" w:customStyle="1" w:styleId="17">
    <w:name w:val="标准文件_一级无标题"/>
    <w:basedOn w:val="18"/>
    <w:qFormat/>
    <w:uiPriority w:val="0"/>
    <w:pPr>
      <w:spacing w:before="0" w:beforeLines="0" w:after="0" w:afterLines="0"/>
      <w:outlineLvl w:val="9"/>
    </w:pPr>
    <w:rPr>
      <w:rFonts w:ascii="宋体" w:eastAsia="宋体"/>
    </w:rPr>
  </w:style>
  <w:style w:type="paragraph" w:customStyle="1" w:styleId="18">
    <w:name w:val="标准文件_一级条标题"/>
    <w:basedOn w:val="19"/>
    <w:next w:val="8"/>
    <w:qFormat/>
    <w:uiPriority w:val="0"/>
    <w:pPr>
      <w:numPr>
        <w:ilvl w:val="2"/>
      </w:numPr>
      <w:spacing w:before="50" w:beforeLines="50" w:after="50" w:afterLines="50"/>
      <w:outlineLvl w:val="1"/>
    </w:pPr>
  </w:style>
  <w:style w:type="paragraph" w:customStyle="1" w:styleId="19">
    <w:name w:val="标准文件_章标题"/>
    <w:next w:val="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2379</Words>
  <Characters>2448</Characters>
  <Lines>0</Lines>
  <Paragraphs>0</Paragraphs>
  <TotalTime>0</TotalTime>
  <ScaleCrop>false</ScaleCrop>
  <LinksUpToDate>false</LinksUpToDate>
  <CharactersWithSpaces>2451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2024-10-25T02:29:00Z</dcterms:created>
  <dc:creator>Administrator</dc:creator>
  <cp:lastModifiedBy>潇阳-sun</cp:lastModifiedBy>
  <dcterms:modified xsi:type="dcterms:W3CDTF">2026-06-04T09:24:20Z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6585C00E3AB94FF384A3B48EF02648E0_12</vt:lpwstr>
  </property>
  <property fmtid="{D5CDD505-2E9C-101B-9397-08002B2CF9AE}" pid="4" name="KSOTemplateDocerSaveRecord">
    <vt:lpwstr>eyJoZGlkIjoiMGYxYjU4M2EzNTgxY2FhMGZjZTFmNTE4NDNiZDdjNDQiLCJ1c2VySWQiOiIzNjQ0MTgyMzIifQ==</vt:lpwstr>
  </property>
</Properties>
</file>