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7249" w14:textId="77777777" w:rsidR="00E57688" w:rsidRDefault="00000000">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附件4：</w:t>
      </w:r>
    </w:p>
    <w:p w14:paraId="2D8921DA" w14:textId="77777777" w:rsidR="00E57688" w:rsidRDefault="00000000">
      <w:pPr>
        <w:widowControl/>
        <w:jc w:val="center"/>
        <w:rPr>
          <w:rFonts w:eastAsia="黑体"/>
          <w:sz w:val="28"/>
          <w:szCs w:val="28"/>
        </w:rPr>
      </w:pPr>
      <w:r>
        <w:rPr>
          <w:rFonts w:eastAsia="黑体" w:hint="eastAsia"/>
          <w:sz w:val="28"/>
          <w:szCs w:val="28"/>
        </w:rPr>
        <w:t>中汽协会《电动汽车充放电碳减排核算方法》团体标准</w:t>
      </w:r>
    </w:p>
    <w:p w14:paraId="00E47F0B" w14:textId="77777777" w:rsidR="00E57688" w:rsidRDefault="00000000">
      <w:pPr>
        <w:widowControl/>
        <w:jc w:val="center"/>
        <w:rPr>
          <w:rFonts w:eastAsia="黑体"/>
          <w:sz w:val="28"/>
          <w:szCs w:val="28"/>
        </w:rPr>
      </w:pPr>
      <w:r>
        <w:rPr>
          <w:rFonts w:eastAsia="黑体" w:hint="eastAsia"/>
          <w:sz w:val="28"/>
          <w:szCs w:val="28"/>
        </w:rPr>
        <w:t>编制说明</w:t>
      </w:r>
    </w:p>
    <w:p w14:paraId="58EA6A1D" w14:textId="77777777" w:rsidR="00E57688" w:rsidRDefault="00E57688">
      <w:pPr>
        <w:rPr>
          <w:rFonts w:ascii="黑体" w:eastAsia="黑体" w:hAnsi="黑体" w:cs="黑体" w:hint="eastAsia"/>
          <w:color w:val="000000" w:themeColor="text1"/>
          <w:sz w:val="30"/>
          <w:szCs w:val="30"/>
        </w:rPr>
      </w:pPr>
    </w:p>
    <w:p w14:paraId="33F5BF51" w14:textId="77777777" w:rsidR="00E57688" w:rsidRDefault="00000000">
      <w:pPr>
        <w:numPr>
          <w:ilvl w:val="0"/>
          <w:numId w:val="1"/>
        </w:num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工作简要过程</w:t>
      </w:r>
    </w:p>
    <w:p w14:paraId="75B95120" w14:textId="77777777" w:rsidR="00E57688" w:rsidRDefault="00000000">
      <w:pPr>
        <w:numPr>
          <w:ilvl w:val="0"/>
          <w:numId w:val="2"/>
        </w:numPr>
        <w:spacing w:beforeLines="50" w:before="156" w:afterLines="50" w:after="156" w:line="360" w:lineRule="auto"/>
        <w:ind w:left="357"/>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任务来源</w:t>
      </w:r>
    </w:p>
    <w:p w14:paraId="616A3C7F" w14:textId="77777777" w:rsidR="00E57688" w:rsidRDefault="00000000">
      <w:pPr>
        <w:pStyle w:val="ab"/>
        <w:spacing w:line="360" w:lineRule="auto"/>
        <w:ind w:firstLine="422"/>
        <w:rPr>
          <w:rFonts w:ascii="Times New Roman" w:hAnsi="Times New Roman"/>
          <w:b/>
          <w:szCs w:val="21"/>
        </w:rPr>
      </w:pPr>
      <w:r>
        <w:rPr>
          <w:rFonts w:ascii="Times New Roman" w:hAnsi="Times New Roman" w:hint="eastAsia"/>
          <w:b/>
          <w:szCs w:val="21"/>
        </w:rPr>
        <w:t>1</w:t>
      </w:r>
      <w:r>
        <w:rPr>
          <w:rFonts w:ascii="Times New Roman" w:hAnsi="Times New Roman" w:hint="eastAsia"/>
          <w:b/>
          <w:szCs w:val="21"/>
        </w:rPr>
        <w:t>、</w:t>
      </w:r>
      <w:r>
        <w:rPr>
          <w:rFonts w:ascii="Times New Roman" w:hAnsi="Times New Roman"/>
          <w:b/>
          <w:szCs w:val="21"/>
        </w:rPr>
        <w:t>任务来源</w:t>
      </w:r>
    </w:p>
    <w:p w14:paraId="439FC85A" w14:textId="77777777" w:rsidR="00E57688" w:rsidRDefault="00000000">
      <w:pPr>
        <w:pStyle w:val="ab"/>
        <w:spacing w:line="360" w:lineRule="auto"/>
      </w:pPr>
      <w:r>
        <w:rPr>
          <w:rFonts w:ascii="Times New Roman" w:hAnsi="Times New Roman" w:hint="eastAsia"/>
          <w:szCs w:val="21"/>
        </w:rPr>
        <w:t>《电动汽车充放电碳减排核算方法》团体标准由中国汽车工业协会批准立项，</w:t>
      </w:r>
      <w:r>
        <w:rPr>
          <w:rFonts w:ascii="Times New Roman" w:hAnsi="Times New Roman" w:hint="eastAsia"/>
        </w:rPr>
        <w:t>文件号中汽协函字【</w:t>
      </w:r>
      <w:r>
        <w:rPr>
          <w:rFonts w:ascii="Times New Roman" w:hAnsi="Times New Roman"/>
        </w:rPr>
        <w:t>2025</w:t>
      </w:r>
      <w:r>
        <w:rPr>
          <w:rFonts w:ascii="Times New Roman" w:hAnsi="Times New Roman" w:hint="eastAsia"/>
        </w:rPr>
        <w:t>】</w:t>
      </w:r>
      <w:r>
        <w:rPr>
          <w:rFonts w:ascii="Times New Roman" w:hAnsi="Times New Roman" w:hint="eastAsia"/>
        </w:rPr>
        <w:t>315</w:t>
      </w:r>
      <w:r>
        <w:rPr>
          <w:rFonts w:ascii="Times New Roman" w:hAnsi="Times New Roman" w:hint="eastAsia"/>
        </w:rPr>
        <w:t>号，项目计划号</w:t>
      </w:r>
      <w:r>
        <w:rPr>
          <w:rFonts w:ascii="Times New Roman" w:hAnsi="Times New Roman" w:hint="eastAsia"/>
        </w:rPr>
        <w:t>2025-45</w:t>
      </w:r>
      <w:r>
        <w:rPr>
          <w:rFonts w:hint="eastAsia"/>
        </w:rPr>
        <w:t>。</w:t>
      </w:r>
    </w:p>
    <w:p w14:paraId="63D5F3F8" w14:textId="77777777" w:rsidR="00E57688" w:rsidRDefault="00000000">
      <w:pPr>
        <w:pStyle w:val="ab"/>
        <w:spacing w:line="360" w:lineRule="auto"/>
        <w:ind w:firstLine="422"/>
        <w:rPr>
          <w:b/>
        </w:rPr>
      </w:pPr>
      <w:r>
        <w:rPr>
          <w:rFonts w:hint="eastAsia"/>
          <w:b/>
        </w:rPr>
        <w:t>2</w:t>
      </w:r>
      <w:r>
        <w:rPr>
          <w:rFonts w:hint="eastAsia"/>
          <w:b/>
        </w:rPr>
        <w:t>、编制背景与目标</w:t>
      </w:r>
    </w:p>
    <w:p w14:paraId="21FD51AE" w14:textId="77777777" w:rsidR="00E57688" w:rsidRDefault="00000000">
      <w:pPr>
        <w:pStyle w:val="ab"/>
        <w:spacing w:line="360" w:lineRule="auto"/>
        <w:rPr>
          <w:rFonts w:ascii="Times New Roman" w:hAnsi="Times New Roman"/>
          <w:szCs w:val="21"/>
        </w:rPr>
      </w:pPr>
      <w:r>
        <w:rPr>
          <w:rFonts w:ascii="Times New Roman" w:hAnsi="Times New Roman" w:hint="eastAsia"/>
          <w:szCs w:val="21"/>
        </w:rPr>
        <w:t>在“双碳”战略持续推进和新能源汽车产业加快发展的背景下，电动汽车已成为交通领域绿色低碳转型的重要载体。围绕电动汽车充电、绿色电力消纳以及车网互动（</w:t>
      </w:r>
      <w:r>
        <w:rPr>
          <w:rFonts w:ascii="Times New Roman" w:hAnsi="Times New Roman" w:hint="eastAsia"/>
          <w:szCs w:val="21"/>
        </w:rPr>
        <w:t>V2G</w:t>
      </w:r>
      <w:r>
        <w:rPr>
          <w:rFonts w:ascii="Times New Roman" w:hAnsi="Times New Roman" w:hint="eastAsia"/>
          <w:szCs w:val="21"/>
        </w:rPr>
        <w:t>）等新型用能方式的应用场景不断拓展，充放电基础设施正由单一补能设施逐步向能源交互节点演进。特别是在公共充放电站、专用场站及具备集中计量和实时监控条件的运营场景中，电动汽车不仅能够通过使用绿色电力降低充电环节碳排放，还可通过</w:t>
      </w:r>
      <w:r>
        <w:rPr>
          <w:rFonts w:ascii="Times New Roman" w:hAnsi="Times New Roman" w:hint="eastAsia"/>
          <w:szCs w:val="21"/>
        </w:rPr>
        <w:t>V2G</w:t>
      </w:r>
      <w:r>
        <w:rPr>
          <w:rFonts w:ascii="Times New Roman" w:hAnsi="Times New Roman" w:hint="eastAsia"/>
          <w:szCs w:val="21"/>
        </w:rPr>
        <w:t>参与电网调节、提升可再生能源消纳水平，形成多元化减排价值。</w:t>
      </w:r>
    </w:p>
    <w:p w14:paraId="0E3338DC" w14:textId="77777777" w:rsidR="00E57688" w:rsidRDefault="00000000">
      <w:pPr>
        <w:pStyle w:val="ab"/>
        <w:spacing w:line="360" w:lineRule="auto"/>
        <w:rPr>
          <w:rFonts w:ascii="Times New Roman" w:hAnsi="Times New Roman"/>
          <w:szCs w:val="21"/>
        </w:rPr>
      </w:pPr>
      <w:r>
        <w:rPr>
          <w:rFonts w:ascii="Times New Roman" w:hAnsi="Times New Roman" w:hint="eastAsia"/>
          <w:szCs w:val="21"/>
        </w:rPr>
        <w:t>然而，电动汽车充放电碳减排核算仍面临一系列关键问题，这些安全挑战主要包括：</w:t>
      </w:r>
    </w:p>
    <w:p w14:paraId="58BF6BC7" w14:textId="4296953F" w:rsidR="00906E75" w:rsidRDefault="00906E75">
      <w:pPr>
        <w:pStyle w:val="ab"/>
        <w:spacing w:line="360" w:lineRule="auto"/>
        <w:ind w:firstLineChars="0" w:firstLine="0"/>
        <w:rPr>
          <w:rFonts w:ascii="Times New Roman" w:hAnsi="Times New Roman"/>
          <w:szCs w:val="21"/>
        </w:rPr>
      </w:pPr>
      <w:r>
        <w:rPr>
          <w:rFonts w:ascii="Times New Roman" w:hAnsi="Times New Roman"/>
          <w:szCs w:val="21"/>
        </w:rPr>
        <w:tab/>
      </w:r>
      <w:r w:rsidR="00000000">
        <w:rPr>
          <w:rFonts w:ascii="Times New Roman" w:hAnsi="Times New Roman" w:hint="eastAsia"/>
          <w:szCs w:val="21"/>
        </w:rPr>
        <w:t>（</w:t>
      </w:r>
      <w:r w:rsidR="00000000">
        <w:rPr>
          <w:rFonts w:ascii="Times New Roman" w:hAnsi="Times New Roman" w:hint="eastAsia"/>
          <w:szCs w:val="21"/>
        </w:rPr>
        <w:t>1</w:t>
      </w:r>
      <w:r w:rsidR="00000000">
        <w:rPr>
          <w:rFonts w:ascii="Times New Roman" w:hAnsi="Times New Roman" w:hint="eastAsia"/>
          <w:szCs w:val="21"/>
        </w:rPr>
        <w:t>）项目边界不清，不同车辆类型、场站类型、充放电设施及绿电来源的纳入范围不统一，导致核算结果可比性不足。</w:t>
      </w:r>
    </w:p>
    <w:p w14:paraId="4214CEA3" w14:textId="77777777" w:rsidR="00906E75" w:rsidRDefault="00906E75">
      <w:pPr>
        <w:pStyle w:val="ab"/>
        <w:spacing w:line="360" w:lineRule="auto"/>
        <w:ind w:firstLineChars="0" w:firstLine="0"/>
        <w:rPr>
          <w:rFonts w:ascii="Times New Roman" w:hAnsi="Times New Roman"/>
          <w:szCs w:val="21"/>
        </w:rPr>
      </w:pPr>
      <w:r>
        <w:rPr>
          <w:rFonts w:ascii="Times New Roman" w:hAnsi="Times New Roman"/>
          <w:szCs w:val="21"/>
        </w:rPr>
        <w:tab/>
      </w:r>
      <w:r w:rsidR="00000000">
        <w:rPr>
          <w:rFonts w:ascii="Times New Roman" w:hAnsi="Times New Roman" w:hint="eastAsia"/>
          <w:szCs w:val="21"/>
        </w:rPr>
        <w:t>（</w:t>
      </w:r>
      <w:r w:rsidR="00000000">
        <w:rPr>
          <w:rFonts w:ascii="Times New Roman" w:hAnsi="Times New Roman" w:hint="eastAsia"/>
          <w:szCs w:val="21"/>
        </w:rPr>
        <w:t>2</w:t>
      </w:r>
      <w:r w:rsidR="00000000">
        <w:rPr>
          <w:rFonts w:ascii="Times New Roman" w:hAnsi="Times New Roman" w:hint="eastAsia"/>
          <w:szCs w:val="21"/>
        </w:rPr>
        <w:t>）基准线情景设置不一致，对于常规充电、充放电改造以及现有</w:t>
      </w:r>
      <w:r w:rsidR="00000000">
        <w:rPr>
          <w:rFonts w:ascii="Times New Roman" w:hAnsi="Times New Roman" w:hint="eastAsia"/>
          <w:szCs w:val="21"/>
        </w:rPr>
        <w:t>V2G</w:t>
      </w:r>
      <w:r w:rsidR="00000000">
        <w:rPr>
          <w:rFonts w:ascii="Times New Roman" w:hAnsi="Times New Roman" w:hint="eastAsia"/>
          <w:szCs w:val="21"/>
        </w:rPr>
        <w:t>项目消纳绿电等不同情形，缺乏统一的情景划分和适用原则。</w:t>
      </w:r>
    </w:p>
    <w:p w14:paraId="462D936B" w14:textId="77777777" w:rsidR="00906E75" w:rsidRDefault="00906E75">
      <w:pPr>
        <w:pStyle w:val="ab"/>
        <w:spacing w:line="360" w:lineRule="auto"/>
        <w:ind w:firstLineChars="0" w:firstLine="0"/>
        <w:rPr>
          <w:rFonts w:ascii="Times New Roman" w:hAnsi="Times New Roman"/>
          <w:szCs w:val="21"/>
        </w:rPr>
      </w:pPr>
      <w:r>
        <w:rPr>
          <w:rFonts w:ascii="Times New Roman" w:hAnsi="Times New Roman"/>
          <w:szCs w:val="21"/>
        </w:rPr>
        <w:tab/>
      </w:r>
      <w:r w:rsidR="00000000">
        <w:rPr>
          <w:rFonts w:ascii="Times New Roman" w:hAnsi="Times New Roman" w:hint="eastAsia"/>
          <w:szCs w:val="21"/>
        </w:rPr>
        <w:t>（</w:t>
      </w:r>
      <w:r w:rsidR="00000000">
        <w:rPr>
          <w:rFonts w:ascii="Times New Roman" w:hAnsi="Times New Roman" w:hint="eastAsia"/>
          <w:szCs w:val="21"/>
        </w:rPr>
        <w:t>3</w:t>
      </w:r>
      <w:r w:rsidR="00000000">
        <w:rPr>
          <w:rFonts w:ascii="Times New Roman" w:hAnsi="Times New Roman" w:hint="eastAsia"/>
          <w:szCs w:val="21"/>
        </w:rPr>
        <w:t>）项目排放与基准线排放计算方法尚未规范，对常规网电、外购绿电、本地自发绿电以及</w:t>
      </w:r>
      <w:r w:rsidR="00000000">
        <w:rPr>
          <w:rFonts w:ascii="Times New Roman" w:hAnsi="Times New Roman" w:hint="eastAsia"/>
          <w:szCs w:val="21"/>
        </w:rPr>
        <w:t>V2G</w:t>
      </w:r>
      <w:r w:rsidR="00000000">
        <w:rPr>
          <w:rFonts w:ascii="Times New Roman" w:hAnsi="Times New Roman" w:hint="eastAsia"/>
          <w:szCs w:val="21"/>
        </w:rPr>
        <w:t>反向放电替代效应的核算口径存在差异。</w:t>
      </w:r>
    </w:p>
    <w:p w14:paraId="631B4875" w14:textId="77777777" w:rsidR="00906E75" w:rsidRDefault="00906E75">
      <w:pPr>
        <w:pStyle w:val="ab"/>
        <w:spacing w:line="360" w:lineRule="auto"/>
        <w:ind w:firstLineChars="0" w:firstLine="0"/>
        <w:rPr>
          <w:rFonts w:ascii="Times New Roman" w:hAnsi="Times New Roman"/>
          <w:szCs w:val="21"/>
        </w:rPr>
      </w:pPr>
      <w:r>
        <w:rPr>
          <w:rFonts w:ascii="Times New Roman" w:hAnsi="Times New Roman"/>
          <w:szCs w:val="21"/>
        </w:rPr>
        <w:tab/>
      </w:r>
      <w:r w:rsidR="00000000">
        <w:rPr>
          <w:rFonts w:ascii="Times New Roman" w:hAnsi="Times New Roman" w:hint="eastAsia"/>
          <w:szCs w:val="21"/>
        </w:rPr>
        <w:t>（</w:t>
      </w:r>
      <w:r w:rsidR="00000000">
        <w:rPr>
          <w:rFonts w:ascii="Times New Roman" w:hAnsi="Times New Roman" w:hint="eastAsia"/>
          <w:szCs w:val="21"/>
        </w:rPr>
        <w:t>4</w:t>
      </w:r>
      <w:r w:rsidR="00000000">
        <w:rPr>
          <w:rFonts w:ascii="Times New Roman" w:hAnsi="Times New Roman" w:hint="eastAsia"/>
          <w:szCs w:val="21"/>
        </w:rPr>
        <w:t>）监测数据来源多样，充放电运营平台、电能计量装置、购电凭证及车主上传信息之间的数据质量控制和追溯机制尚需加强。</w:t>
      </w:r>
    </w:p>
    <w:p w14:paraId="5E190FAF" w14:textId="28B7919D" w:rsidR="00E57688" w:rsidRDefault="00906E75">
      <w:pPr>
        <w:pStyle w:val="ab"/>
        <w:spacing w:line="360" w:lineRule="auto"/>
        <w:ind w:firstLineChars="0" w:firstLine="0"/>
        <w:rPr>
          <w:rFonts w:ascii="Times New Roman" w:hAnsi="Times New Roman"/>
          <w:szCs w:val="21"/>
        </w:rPr>
      </w:pPr>
      <w:r>
        <w:rPr>
          <w:rFonts w:ascii="Times New Roman" w:hAnsi="Times New Roman"/>
          <w:szCs w:val="21"/>
        </w:rPr>
        <w:tab/>
      </w:r>
      <w:r w:rsidR="00000000">
        <w:rPr>
          <w:rFonts w:ascii="Times New Roman" w:hAnsi="Times New Roman" w:hint="eastAsia"/>
          <w:szCs w:val="21"/>
        </w:rPr>
        <w:t>（</w:t>
      </w:r>
      <w:r w:rsidR="00000000">
        <w:rPr>
          <w:rFonts w:ascii="Times New Roman" w:hAnsi="Times New Roman" w:hint="eastAsia"/>
          <w:szCs w:val="21"/>
        </w:rPr>
        <w:t>5</w:t>
      </w:r>
      <w:r w:rsidR="00000000">
        <w:rPr>
          <w:rFonts w:ascii="Times New Roman" w:hAnsi="Times New Roman" w:hint="eastAsia"/>
          <w:szCs w:val="21"/>
        </w:rPr>
        <w:t>）在项目披露和减排归属方面，仍存在重复计算、责任主体不清等现实问题，影响</w:t>
      </w:r>
      <w:r w:rsidR="00000000">
        <w:rPr>
          <w:rFonts w:ascii="Times New Roman" w:hAnsi="Times New Roman" w:hint="eastAsia"/>
          <w:szCs w:val="21"/>
        </w:rPr>
        <w:lastRenderedPageBreak/>
        <w:t>核算结果的公信力和推广应用效果。</w:t>
      </w:r>
    </w:p>
    <w:p w14:paraId="027B9C85" w14:textId="77777777" w:rsidR="00E57688" w:rsidRDefault="00000000">
      <w:pPr>
        <w:pStyle w:val="ab"/>
        <w:spacing w:line="360" w:lineRule="auto"/>
        <w:rPr>
          <w:rFonts w:ascii="Times New Roman" w:hAnsi="Times New Roman"/>
          <w:szCs w:val="21"/>
        </w:rPr>
      </w:pPr>
      <w:r>
        <w:rPr>
          <w:rFonts w:ascii="Times New Roman" w:hAnsi="Times New Roman" w:hint="eastAsia"/>
          <w:szCs w:val="21"/>
        </w:rPr>
        <w:t>针对上述问题，本标准拟建立一套</w:t>
      </w:r>
      <w:r>
        <w:rPr>
          <w:rFonts w:ascii="Times New Roman" w:hAnsi="Times New Roman" w:hint="eastAsia"/>
          <w:b/>
          <w:bCs/>
          <w:szCs w:val="21"/>
        </w:rPr>
        <w:t>适用于电动汽车充放电场景的碳减排核算方法体系</w:t>
      </w:r>
      <w:r>
        <w:rPr>
          <w:rFonts w:ascii="Times New Roman" w:hAnsi="Times New Roman" w:hint="eastAsia"/>
          <w:szCs w:val="21"/>
        </w:rPr>
        <w:t>，明确术语定义、核算边界、基准线情景选取原则、项目排放与基准线排放计算方法，以及数据监测与质量控制要求。标准重点围绕纯电动汽车在公共充放电站及专用场站中开展绿色电力消纳和车网互动时形成的碳减排效益，</w:t>
      </w:r>
      <w:r>
        <w:rPr>
          <w:rFonts w:ascii="Times New Roman" w:hAnsi="Times New Roman" w:hint="eastAsia"/>
          <w:b/>
          <w:bCs/>
          <w:szCs w:val="21"/>
        </w:rPr>
        <w:t>系统规范常规充电项目、充放电改造项目和现有</w:t>
      </w:r>
      <w:r>
        <w:rPr>
          <w:rFonts w:ascii="Times New Roman" w:hAnsi="Times New Roman" w:hint="eastAsia"/>
          <w:b/>
          <w:bCs/>
          <w:szCs w:val="21"/>
        </w:rPr>
        <w:t>V2G</w:t>
      </w:r>
      <w:r>
        <w:rPr>
          <w:rFonts w:ascii="Times New Roman" w:hAnsi="Times New Roman" w:hint="eastAsia"/>
          <w:b/>
          <w:bCs/>
          <w:szCs w:val="21"/>
        </w:rPr>
        <w:t>项目消纳绿电三类典型情形的核算逻辑</w:t>
      </w:r>
      <w:r>
        <w:rPr>
          <w:rFonts w:ascii="Times New Roman" w:hAnsi="Times New Roman" w:hint="eastAsia"/>
          <w:szCs w:val="21"/>
        </w:rPr>
        <w:t>，推动实现“边界可识别、数据可获取、过程可追溯、结果可核查、减排可披露”的标准化目标。通过统一核算规则有效提</w:t>
      </w:r>
      <w:r>
        <w:rPr>
          <w:rFonts w:ascii="Times New Roman" w:hAnsi="Times New Roman" w:hint="eastAsia"/>
          <w:b/>
          <w:bCs/>
          <w:szCs w:val="21"/>
        </w:rPr>
        <w:t>升不同项目之间的可比性和一致性</w:t>
      </w:r>
      <w:r>
        <w:rPr>
          <w:rFonts w:ascii="Times New Roman" w:hAnsi="Times New Roman" w:hint="eastAsia"/>
          <w:szCs w:val="21"/>
        </w:rPr>
        <w:t>，为充放电运营企业、车企、车主及相关第三方机构开展碳减排核算、自我声明和结果应用提供方法依据。</w:t>
      </w:r>
    </w:p>
    <w:p w14:paraId="5B305C07" w14:textId="77777777" w:rsidR="00E57688" w:rsidRDefault="00000000">
      <w:pPr>
        <w:pStyle w:val="ab"/>
        <w:spacing w:line="360" w:lineRule="auto"/>
        <w:rPr>
          <w:rFonts w:ascii="Times New Roman" w:hAnsi="Times New Roman"/>
          <w:szCs w:val="21"/>
        </w:rPr>
      </w:pPr>
      <w:r>
        <w:rPr>
          <w:rFonts w:ascii="Times New Roman" w:hAnsi="Times New Roman" w:hint="eastAsia"/>
          <w:szCs w:val="21"/>
        </w:rPr>
        <w:t>本标准的制定与实施，有助于准确识别电动汽车在绿色电力替代和车网互动中的实际减排贡献，支撑行业形成规范化、透明化的减排核算机制；有助于引导充放电设施建设运营主体提升绿色用能水平和精细化管理能力，推动电动汽车从单纯交通工具向“交通—能源”协同载体转型；也有助于为交通领域碳减排管理、项目评价、绿色电力应用推广及相关机制建设提供统一技术支撑，促进行业资源优化配置和低碳发展能力提升。</w:t>
      </w:r>
    </w:p>
    <w:p w14:paraId="69475DD9" w14:textId="77777777" w:rsidR="00E57688" w:rsidRDefault="00000000">
      <w:pPr>
        <w:pStyle w:val="ab"/>
        <w:spacing w:line="360" w:lineRule="auto"/>
        <w:rPr>
          <w:rFonts w:ascii="Times New Roman" w:hAnsi="Times New Roman"/>
          <w:szCs w:val="21"/>
        </w:rPr>
      </w:pPr>
      <w:r>
        <w:rPr>
          <w:rFonts w:ascii="Times New Roman" w:hAnsi="Times New Roman" w:hint="eastAsia"/>
          <w:szCs w:val="21"/>
        </w:rPr>
        <w:t>本标准发布后，可在公共充电站、专用场站、城市公交、出租网约、物流配送及专用作业车辆等典型场景中逐步推广应用，并结合行业实践、数据积累和政策需求持续迭代完善。后续可进一步与绿色电力消费认证、车网互动示范应用、交通领域温室气体减排评价等工作衔接，为相关团体标准、行业标准乃至国家标准的研究制定提供方法基础和实践参考。</w:t>
      </w:r>
    </w:p>
    <w:p w14:paraId="71E82E7D" w14:textId="77777777" w:rsidR="00E57688" w:rsidRDefault="00000000">
      <w:pPr>
        <w:numPr>
          <w:ilvl w:val="0"/>
          <w:numId w:val="2"/>
        </w:numPr>
        <w:spacing w:beforeLines="50" w:before="156" w:afterLines="50" w:after="156" w:line="360" w:lineRule="auto"/>
        <w:ind w:left="357"/>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主要起草单位及任务分工</w:t>
      </w:r>
    </w:p>
    <w:p w14:paraId="734C5762" w14:textId="77777777" w:rsidR="00E57688" w:rsidRDefault="00000000">
      <w:pPr>
        <w:spacing w:after="0" w:line="360" w:lineRule="auto"/>
        <w:ind w:firstLineChars="200" w:firstLine="420"/>
        <w:rPr>
          <w:szCs w:val="21"/>
        </w:rPr>
      </w:pPr>
      <w:r>
        <w:rPr>
          <w:rFonts w:hint="eastAsia"/>
          <w:szCs w:val="21"/>
        </w:rPr>
        <w:t>标准起草组主要由：科研院所、产品研发单位、检测单位、运营单位以及高校组成，由中国电力科学研究院有限公司牵头，包含：中国电动汽车充电基础设施促进联盟、国网上海电力公司、长沙理工大学、首都电力交易中心、华北电力大学、中国建筑第八工程局有限公司、国网智慧车联网技术有限公司等单位组成，各企业主要分工情况如下：</w:t>
      </w:r>
    </w:p>
    <w:tbl>
      <w:tblPr>
        <w:tblStyle w:val="a9"/>
        <w:tblW w:w="0" w:type="auto"/>
        <w:jc w:val="center"/>
        <w:tblLook w:val="04A0" w:firstRow="1" w:lastRow="0" w:firstColumn="1" w:lastColumn="0" w:noHBand="0" w:noVBand="1"/>
      </w:tblPr>
      <w:tblGrid>
        <w:gridCol w:w="5824"/>
        <w:gridCol w:w="2222"/>
      </w:tblGrid>
      <w:tr w:rsidR="00E57688" w14:paraId="3BC8BE76" w14:textId="77777777">
        <w:trPr>
          <w:jc w:val="center"/>
        </w:trPr>
        <w:tc>
          <w:tcPr>
            <w:tcW w:w="5824" w:type="dxa"/>
          </w:tcPr>
          <w:p w14:paraId="52C1530C" w14:textId="77777777" w:rsidR="00E57688" w:rsidRDefault="00000000">
            <w:pPr>
              <w:spacing w:after="0" w:line="360" w:lineRule="auto"/>
              <w:jc w:val="center"/>
              <w:rPr>
                <w:b/>
                <w:bCs/>
                <w:szCs w:val="21"/>
              </w:rPr>
            </w:pPr>
            <w:r>
              <w:rPr>
                <w:rFonts w:hint="eastAsia"/>
                <w:b/>
                <w:bCs/>
                <w:szCs w:val="21"/>
              </w:rPr>
              <w:t>单位</w:t>
            </w:r>
          </w:p>
        </w:tc>
        <w:tc>
          <w:tcPr>
            <w:tcW w:w="2222" w:type="dxa"/>
          </w:tcPr>
          <w:p w14:paraId="5D9BC45B" w14:textId="77777777" w:rsidR="00E57688" w:rsidRDefault="00000000">
            <w:pPr>
              <w:spacing w:after="0" w:line="360" w:lineRule="auto"/>
              <w:jc w:val="center"/>
              <w:rPr>
                <w:b/>
                <w:bCs/>
                <w:szCs w:val="21"/>
              </w:rPr>
            </w:pPr>
            <w:r>
              <w:rPr>
                <w:rFonts w:hint="eastAsia"/>
                <w:b/>
                <w:bCs/>
                <w:szCs w:val="21"/>
              </w:rPr>
              <w:t>主要分工</w:t>
            </w:r>
          </w:p>
        </w:tc>
      </w:tr>
      <w:tr w:rsidR="00E57688" w14:paraId="35D314CB" w14:textId="77777777">
        <w:trPr>
          <w:jc w:val="center"/>
        </w:trPr>
        <w:tc>
          <w:tcPr>
            <w:tcW w:w="5824" w:type="dxa"/>
            <w:vAlign w:val="center"/>
          </w:tcPr>
          <w:p w14:paraId="1F3F81D2" w14:textId="77777777" w:rsidR="00E57688" w:rsidRDefault="00000000">
            <w:pPr>
              <w:spacing w:after="0" w:line="360" w:lineRule="auto"/>
              <w:jc w:val="center"/>
              <w:rPr>
                <w:szCs w:val="21"/>
              </w:rPr>
            </w:pPr>
            <w:r>
              <w:rPr>
                <w:rFonts w:hint="eastAsia"/>
                <w:szCs w:val="21"/>
              </w:rPr>
              <w:t>中国电力科学研究院有限公司</w:t>
            </w:r>
          </w:p>
        </w:tc>
        <w:tc>
          <w:tcPr>
            <w:tcW w:w="2222" w:type="dxa"/>
            <w:vAlign w:val="center"/>
          </w:tcPr>
          <w:p w14:paraId="62641DAB" w14:textId="77777777" w:rsidR="00E57688" w:rsidRDefault="00000000">
            <w:pPr>
              <w:spacing w:after="0" w:line="360" w:lineRule="auto"/>
              <w:jc w:val="center"/>
              <w:rPr>
                <w:szCs w:val="21"/>
              </w:rPr>
            </w:pPr>
            <w:r>
              <w:rPr>
                <w:rFonts w:hint="eastAsia"/>
                <w:szCs w:val="21"/>
              </w:rPr>
              <w:t>工作统筹、会议组织、行业调研、测试验证</w:t>
            </w:r>
          </w:p>
        </w:tc>
      </w:tr>
      <w:tr w:rsidR="00E57688" w14:paraId="47510ABD" w14:textId="77777777">
        <w:trPr>
          <w:jc w:val="center"/>
        </w:trPr>
        <w:tc>
          <w:tcPr>
            <w:tcW w:w="5824" w:type="dxa"/>
            <w:vAlign w:val="center"/>
          </w:tcPr>
          <w:p w14:paraId="7DD18A42" w14:textId="77777777" w:rsidR="00E57688" w:rsidRDefault="00000000">
            <w:pPr>
              <w:spacing w:after="0" w:line="360" w:lineRule="auto"/>
              <w:jc w:val="center"/>
              <w:rPr>
                <w:szCs w:val="21"/>
              </w:rPr>
            </w:pPr>
            <w:r>
              <w:rPr>
                <w:rFonts w:hint="eastAsia"/>
                <w:szCs w:val="21"/>
              </w:rPr>
              <w:t>长沙理工大学、华北电力大学</w:t>
            </w:r>
          </w:p>
        </w:tc>
        <w:tc>
          <w:tcPr>
            <w:tcW w:w="2222" w:type="dxa"/>
            <w:vAlign w:val="center"/>
          </w:tcPr>
          <w:p w14:paraId="6AB1EFFF" w14:textId="77777777" w:rsidR="00E57688" w:rsidRDefault="00000000">
            <w:pPr>
              <w:spacing w:after="0" w:line="360" w:lineRule="auto"/>
              <w:jc w:val="center"/>
              <w:rPr>
                <w:szCs w:val="21"/>
              </w:rPr>
            </w:pPr>
            <w:r>
              <w:rPr>
                <w:rFonts w:hint="eastAsia"/>
                <w:szCs w:val="21"/>
              </w:rPr>
              <w:t>技术支撑、测试验证</w:t>
            </w:r>
          </w:p>
        </w:tc>
      </w:tr>
      <w:tr w:rsidR="00E57688" w14:paraId="623B273B" w14:textId="77777777">
        <w:trPr>
          <w:jc w:val="center"/>
        </w:trPr>
        <w:tc>
          <w:tcPr>
            <w:tcW w:w="5824" w:type="dxa"/>
            <w:vAlign w:val="center"/>
          </w:tcPr>
          <w:p w14:paraId="0B15CD3B" w14:textId="77777777" w:rsidR="00E57688" w:rsidRDefault="00000000">
            <w:pPr>
              <w:spacing w:after="0" w:line="360" w:lineRule="auto"/>
              <w:jc w:val="center"/>
              <w:rPr>
                <w:szCs w:val="21"/>
              </w:rPr>
            </w:pPr>
            <w:r>
              <w:rPr>
                <w:rFonts w:hint="eastAsia"/>
                <w:szCs w:val="21"/>
              </w:rPr>
              <w:t>首都电力交易中心、中国建筑第八工程局有限公司</w:t>
            </w:r>
          </w:p>
        </w:tc>
        <w:tc>
          <w:tcPr>
            <w:tcW w:w="2222" w:type="dxa"/>
            <w:vAlign w:val="center"/>
          </w:tcPr>
          <w:p w14:paraId="5E6EF85E" w14:textId="77777777" w:rsidR="00E57688" w:rsidRDefault="00000000">
            <w:pPr>
              <w:spacing w:after="0" w:line="360" w:lineRule="auto"/>
              <w:jc w:val="center"/>
              <w:rPr>
                <w:szCs w:val="21"/>
              </w:rPr>
            </w:pPr>
            <w:r>
              <w:rPr>
                <w:rFonts w:hint="eastAsia"/>
                <w:szCs w:val="21"/>
              </w:rPr>
              <w:t>技术支撑、预警应用</w:t>
            </w:r>
          </w:p>
        </w:tc>
      </w:tr>
      <w:tr w:rsidR="00E57688" w14:paraId="3067B019" w14:textId="77777777">
        <w:trPr>
          <w:jc w:val="center"/>
        </w:trPr>
        <w:tc>
          <w:tcPr>
            <w:tcW w:w="5824" w:type="dxa"/>
            <w:vAlign w:val="center"/>
          </w:tcPr>
          <w:p w14:paraId="125CF0A8" w14:textId="77777777" w:rsidR="00E57688" w:rsidRDefault="00000000">
            <w:pPr>
              <w:spacing w:after="0" w:line="360" w:lineRule="auto"/>
              <w:jc w:val="center"/>
              <w:rPr>
                <w:szCs w:val="21"/>
              </w:rPr>
            </w:pPr>
            <w:r>
              <w:rPr>
                <w:rFonts w:hint="eastAsia"/>
                <w:szCs w:val="21"/>
              </w:rPr>
              <w:lastRenderedPageBreak/>
              <w:t>国网智慧车联网技术有限公司</w:t>
            </w:r>
          </w:p>
        </w:tc>
        <w:tc>
          <w:tcPr>
            <w:tcW w:w="2222" w:type="dxa"/>
            <w:vAlign w:val="center"/>
          </w:tcPr>
          <w:p w14:paraId="128917EE" w14:textId="77777777" w:rsidR="00E57688" w:rsidRDefault="00000000">
            <w:pPr>
              <w:spacing w:after="0" w:line="360" w:lineRule="auto"/>
              <w:jc w:val="center"/>
              <w:rPr>
                <w:szCs w:val="21"/>
              </w:rPr>
            </w:pPr>
            <w:r>
              <w:rPr>
                <w:rFonts w:hint="eastAsia"/>
                <w:szCs w:val="21"/>
              </w:rPr>
              <w:t>运营端数据支撑</w:t>
            </w:r>
          </w:p>
        </w:tc>
      </w:tr>
      <w:tr w:rsidR="00E57688" w14:paraId="7952605C" w14:textId="77777777">
        <w:trPr>
          <w:jc w:val="center"/>
        </w:trPr>
        <w:tc>
          <w:tcPr>
            <w:tcW w:w="5824" w:type="dxa"/>
            <w:vAlign w:val="center"/>
          </w:tcPr>
          <w:p w14:paraId="14DB701F" w14:textId="77777777" w:rsidR="00E57688" w:rsidRDefault="00000000">
            <w:pPr>
              <w:spacing w:after="0" w:line="360" w:lineRule="auto"/>
              <w:jc w:val="center"/>
              <w:rPr>
                <w:szCs w:val="21"/>
              </w:rPr>
            </w:pPr>
            <w:r>
              <w:rPr>
                <w:rFonts w:hint="eastAsia"/>
                <w:szCs w:val="21"/>
              </w:rPr>
              <w:t>中国电动汽车充电基础设施促进联盟，中国电力科学研究院有限公司</w:t>
            </w:r>
          </w:p>
        </w:tc>
        <w:tc>
          <w:tcPr>
            <w:tcW w:w="2222" w:type="dxa"/>
            <w:vAlign w:val="center"/>
          </w:tcPr>
          <w:p w14:paraId="41692237" w14:textId="77777777" w:rsidR="00E57688" w:rsidRDefault="00000000">
            <w:pPr>
              <w:spacing w:after="0" w:line="360" w:lineRule="auto"/>
              <w:jc w:val="center"/>
              <w:rPr>
                <w:szCs w:val="21"/>
              </w:rPr>
            </w:pPr>
            <w:r>
              <w:rPr>
                <w:rFonts w:hint="eastAsia"/>
                <w:szCs w:val="21"/>
              </w:rPr>
              <w:t>标准规范性、结构合理性编制支持</w:t>
            </w:r>
          </w:p>
        </w:tc>
      </w:tr>
    </w:tbl>
    <w:p w14:paraId="68479517" w14:textId="77777777" w:rsidR="00E57688" w:rsidRDefault="00000000">
      <w:pPr>
        <w:numPr>
          <w:ilvl w:val="0"/>
          <w:numId w:val="2"/>
        </w:numPr>
        <w:spacing w:beforeLines="50" w:before="156" w:afterLines="50" w:after="156" w:line="360" w:lineRule="auto"/>
        <w:ind w:left="357"/>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标准研讨情况</w:t>
      </w:r>
    </w:p>
    <w:p w14:paraId="1D2F944F" w14:textId="77777777" w:rsidR="00E57688" w:rsidRDefault="00000000">
      <w:pPr>
        <w:spacing w:line="360" w:lineRule="auto"/>
        <w:ind w:left="357" w:firstLineChars="200" w:firstLine="420"/>
        <w:rPr>
          <w:szCs w:val="21"/>
        </w:rPr>
      </w:pPr>
      <w:r>
        <w:rPr>
          <w:rFonts w:hint="eastAsia"/>
          <w:szCs w:val="21"/>
        </w:rPr>
        <w:t>本标准研制主要过程如下：</w:t>
      </w:r>
    </w:p>
    <w:p w14:paraId="45596554" w14:textId="77777777" w:rsidR="00E57688" w:rsidRDefault="00000000">
      <w:pPr>
        <w:pStyle w:val="a3"/>
        <w:numPr>
          <w:ilvl w:val="0"/>
          <w:numId w:val="3"/>
        </w:numPr>
        <w:spacing w:before="0" w:line="360" w:lineRule="auto"/>
        <w:ind w:left="0" w:firstLine="425"/>
        <w:rPr>
          <w:rFonts w:ascii="Times New Roman" w:hAnsi="Times New Roman"/>
          <w:szCs w:val="21"/>
        </w:rPr>
      </w:pPr>
      <w:r>
        <w:rPr>
          <w:rFonts w:ascii="Times New Roman" w:hAnsi="Times New Roman" w:hint="eastAsia"/>
          <w:szCs w:val="21"/>
        </w:rPr>
        <w:t>2</w:t>
      </w:r>
      <w:r>
        <w:rPr>
          <w:rFonts w:ascii="Times New Roman" w:hAnsi="Times New Roman"/>
          <w:szCs w:val="21"/>
        </w:rPr>
        <w:t>02</w:t>
      </w:r>
      <w:r>
        <w:rPr>
          <w:rFonts w:ascii="Times New Roman" w:hAnsi="Times New Roman" w:hint="eastAsia"/>
          <w:szCs w:val="21"/>
        </w:rPr>
        <w:t>5</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月，中国电科院承接围绕电动汽车充放电碳减排核算需求开展预研，对电动汽车充放电碳减排核算方法进行研究。</w:t>
      </w:r>
    </w:p>
    <w:p w14:paraId="11911E10" w14:textId="77777777" w:rsidR="00E57688" w:rsidRDefault="00000000">
      <w:pPr>
        <w:pStyle w:val="a3"/>
        <w:numPr>
          <w:ilvl w:val="0"/>
          <w:numId w:val="3"/>
        </w:numPr>
        <w:spacing w:before="0" w:line="360" w:lineRule="auto"/>
        <w:ind w:left="0" w:firstLine="425"/>
        <w:rPr>
          <w:rFonts w:ascii="Times New Roman" w:hAnsi="Times New Roman"/>
          <w:szCs w:val="21"/>
        </w:rPr>
      </w:pPr>
      <w:r>
        <w:rPr>
          <w:rFonts w:ascii="Times New Roman" w:hAnsi="Times New Roman" w:hint="eastAsia"/>
          <w:szCs w:val="21"/>
        </w:rPr>
        <w:t>2</w:t>
      </w:r>
      <w:r>
        <w:rPr>
          <w:rFonts w:ascii="Times New Roman" w:hAnsi="Times New Roman"/>
          <w:szCs w:val="21"/>
        </w:rPr>
        <w:t>02</w:t>
      </w:r>
      <w:r>
        <w:rPr>
          <w:rFonts w:ascii="Times New Roman" w:hAnsi="Times New Roman" w:hint="eastAsia"/>
          <w:szCs w:val="21"/>
        </w:rPr>
        <w:t>5</w:t>
      </w:r>
      <w:r>
        <w:rPr>
          <w:rFonts w:ascii="Times New Roman" w:hAnsi="Times New Roman" w:hint="eastAsia"/>
          <w:szCs w:val="21"/>
        </w:rPr>
        <w:t>年</w:t>
      </w:r>
      <w:r>
        <w:rPr>
          <w:rFonts w:ascii="Times New Roman" w:hAnsi="Times New Roman" w:hint="eastAsia"/>
          <w:szCs w:val="21"/>
        </w:rPr>
        <w:t>4</w:t>
      </w:r>
      <w:r>
        <w:rPr>
          <w:rFonts w:ascii="Times New Roman" w:hAnsi="Times New Roman" w:hint="eastAsia"/>
          <w:szCs w:val="21"/>
        </w:rPr>
        <w:t>月，编写组走访产业链相关单位，并对电动汽车充放电及车网互动应用场景开展调研，确定电动汽车充放电碳减排核算技术方向和方法框架，结合企业实际需求和痛点问题，形成《电动汽车充放电碳减排核算方法》</w:t>
      </w:r>
      <w:r>
        <w:rPr>
          <w:rFonts w:ascii="Times New Roman" w:hAnsi="Times New Roman" w:hint="eastAsia"/>
          <w:b/>
          <w:bCs/>
          <w:szCs w:val="21"/>
        </w:rPr>
        <w:t>预研草案</w:t>
      </w:r>
      <w:r>
        <w:rPr>
          <w:rFonts w:ascii="Times New Roman" w:hAnsi="Times New Roman" w:hint="eastAsia"/>
          <w:szCs w:val="21"/>
        </w:rPr>
        <w:t>。</w:t>
      </w:r>
    </w:p>
    <w:p w14:paraId="073AF76D" w14:textId="77777777" w:rsidR="00E57688" w:rsidRDefault="00000000">
      <w:pPr>
        <w:pStyle w:val="a3"/>
        <w:numPr>
          <w:ilvl w:val="0"/>
          <w:numId w:val="3"/>
        </w:numPr>
        <w:spacing w:before="0" w:line="360" w:lineRule="auto"/>
        <w:ind w:left="0" w:firstLine="425"/>
        <w:rPr>
          <w:rFonts w:ascii="Times New Roman" w:hAnsi="Times New Roman"/>
          <w:szCs w:val="21"/>
        </w:rPr>
      </w:pPr>
      <w:r>
        <w:rPr>
          <w:rFonts w:ascii="Times New Roman" w:hAnsi="Times New Roman" w:hint="eastAsia"/>
          <w:szCs w:val="21"/>
        </w:rPr>
        <w:t>2</w:t>
      </w:r>
      <w:r>
        <w:rPr>
          <w:rFonts w:ascii="Times New Roman" w:hAnsi="Times New Roman"/>
          <w:szCs w:val="21"/>
        </w:rPr>
        <w:t>02</w:t>
      </w:r>
      <w:r>
        <w:rPr>
          <w:rFonts w:ascii="Times New Roman" w:hAnsi="Times New Roman" w:hint="eastAsia"/>
          <w:szCs w:val="21"/>
        </w:rPr>
        <w:t>5</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月，中汽协标准法规工作委员会新能源汽车充换电设施专业委员会组织专家在线上完成了《电动汽车充放电碳减排核算方法》团体标准立项评审会，会议表决</w:t>
      </w:r>
      <w:r>
        <w:rPr>
          <w:rFonts w:ascii="Times New Roman" w:hAnsi="Times New Roman" w:hint="eastAsia"/>
          <w:b/>
          <w:bCs/>
          <w:szCs w:val="21"/>
        </w:rPr>
        <w:t>通过立项评审</w:t>
      </w:r>
      <w:r>
        <w:rPr>
          <w:rFonts w:ascii="Times New Roman" w:hAnsi="Times New Roman" w:hint="eastAsia"/>
          <w:szCs w:val="21"/>
        </w:rPr>
        <w:t>，同年</w:t>
      </w:r>
      <w:r>
        <w:rPr>
          <w:rFonts w:ascii="Times New Roman" w:hAnsi="Times New Roman" w:hint="eastAsia"/>
          <w:szCs w:val="21"/>
        </w:rPr>
        <w:t>7</w:t>
      </w:r>
      <w:r>
        <w:rPr>
          <w:rFonts w:ascii="Times New Roman" w:hAnsi="Times New Roman" w:hint="eastAsia"/>
          <w:szCs w:val="21"/>
        </w:rPr>
        <w:t>月进行公示。</w:t>
      </w:r>
    </w:p>
    <w:p w14:paraId="7C32B921" w14:textId="77777777" w:rsidR="00E57688" w:rsidRDefault="00000000">
      <w:pPr>
        <w:pStyle w:val="a3"/>
        <w:numPr>
          <w:ilvl w:val="0"/>
          <w:numId w:val="3"/>
        </w:numPr>
        <w:spacing w:before="0" w:line="360" w:lineRule="auto"/>
        <w:ind w:left="0" w:firstLine="425"/>
        <w:rPr>
          <w:rFonts w:ascii="Times New Roman" w:hAnsi="Times New Roman"/>
          <w:szCs w:val="21"/>
        </w:rPr>
      </w:pPr>
      <w:r>
        <w:rPr>
          <w:rFonts w:ascii="Times New Roman" w:hAnsi="Times New Roman" w:hint="eastAsia"/>
          <w:szCs w:val="21"/>
        </w:rPr>
        <w:t>20</w:t>
      </w:r>
      <w:r>
        <w:rPr>
          <w:rFonts w:ascii="Times New Roman" w:hAnsi="Times New Roman"/>
          <w:szCs w:val="21"/>
        </w:rPr>
        <w:t>2</w:t>
      </w:r>
      <w:r>
        <w:rPr>
          <w:rFonts w:ascii="Times New Roman" w:hAnsi="Times New Roman" w:hint="eastAsia"/>
          <w:szCs w:val="21"/>
        </w:rPr>
        <w:t>5</w:t>
      </w:r>
      <w:r>
        <w:rPr>
          <w:rFonts w:ascii="Times New Roman" w:hAnsi="Times New Roman" w:hint="eastAsia"/>
          <w:szCs w:val="21"/>
        </w:rPr>
        <w:t>年</w:t>
      </w:r>
      <w:r>
        <w:rPr>
          <w:rFonts w:ascii="Times New Roman" w:hAnsi="Times New Roman" w:hint="eastAsia"/>
          <w:szCs w:val="21"/>
        </w:rPr>
        <w:t>9</w:t>
      </w:r>
      <w:r>
        <w:rPr>
          <w:rFonts w:ascii="Times New Roman" w:hAnsi="Times New Roman" w:hint="eastAsia"/>
          <w:szCs w:val="21"/>
        </w:rPr>
        <w:t>月，牵头单位中国电科院召开标准制定工作</w:t>
      </w:r>
      <w:r>
        <w:rPr>
          <w:rFonts w:ascii="Times New Roman" w:hAnsi="Times New Roman" w:hint="eastAsia"/>
          <w:b/>
          <w:bCs/>
          <w:szCs w:val="21"/>
        </w:rPr>
        <w:t>启动会</w:t>
      </w:r>
      <w:r>
        <w:rPr>
          <w:rFonts w:ascii="Times New Roman" w:hAnsi="Times New Roman" w:hint="eastAsia"/>
          <w:szCs w:val="21"/>
        </w:rPr>
        <w:t>，简要介绍了制定本标准的前期工作，并开展</w:t>
      </w:r>
      <w:r>
        <w:rPr>
          <w:rFonts w:ascii="Times New Roman" w:hAnsi="Times New Roman" w:hint="eastAsia"/>
          <w:b/>
          <w:bCs/>
          <w:szCs w:val="21"/>
        </w:rPr>
        <w:t>首轮技术研讨</w:t>
      </w:r>
      <w:r>
        <w:rPr>
          <w:rFonts w:ascii="Times New Roman" w:hAnsi="Times New Roman" w:hint="eastAsia"/>
          <w:szCs w:val="21"/>
        </w:rPr>
        <w:t>。相关领导对本标准的</w:t>
      </w:r>
      <w:r>
        <w:rPr>
          <w:rFonts w:ascii="Times New Roman" w:hAnsi="Times New Roman" w:hint="eastAsia"/>
          <w:b/>
          <w:bCs/>
          <w:szCs w:val="21"/>
        </w:rPr>
        <w:t>编制背景、定位和意义</w:t>
      </w:r>
      <w:r>
        <w:rPr>
          <w:rFonts w:ascii="Times New Roman" w:hAnsi="Times New Roman" w:hint="eastAsia"/>
          <w:szCs w:val="21"/>
        </w:rPr>
        <w:t>进行了明确，中国电科院组织各参编单位围绕本标准的</w:t>
      </w:r>
      <w:r>
        <w:rPr>
          <w:rFonts w:ascii="Times New Roman" w:hAnsi="Times New Roman" w:hint="eastAsia"/>
          <w:b/>
          <w:bCs/>
          <w:szCs w:val="21"/>
        </w:rPr>
        <w:t>适用范围、项目边界、基准线情景、碳排放量与碳减排量核算方法、数据监测</w:t>
      </w:r>
      <w:r>
        <w:rPr>
          <w:rFonts w:ascii="Times New Roman" w:hAnsi="Times New Roman" w:hint="eastAsia"/>
          <w:szCs w:val="21"/>
        </w:rPr>
        <w:t>要求等内容进行了研讨，初步确定了标准整体框架和主要技术内容，并对后续分工进行了说明。、</w:t>
      </w:r>
    </w:p>
    <w:p w14:paraId="40F53175" w14:textId="77777777" w:rsidR="00E57688" w:rsidRDefault="00000000">
      <w:pPr>
        <w:pStyle w:val="a3"/>
        <w:numPr>
          <w:ilvl w:val="0"/>
          <w:numId w:val="3"/>
        </w:numPr>
        <w:spacing w:before="0" w:line="360" w:lineRule="auto"/>
        <w:ind w:left="0" w:firstLine="425"/>
        <w:rPr>
          <w:rFonts w:ascii="Times New Roman" w:hAnsi="Times New Roman"/>
          <w:szCs w:val="21"/>
        </w:rPr>
      </w:pP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11</w:t>
      </w:r>
      <w:r>
        <w:rPr>
          <w:rFonts w:ascii="Times New Roman" w:hAnsi="Times New Roman" w:hint="eastAsia"/>
          <w:szCs w:val="21"/>
        </w:rPr>
        <w:t>月，中国电科院牵头对首轮草案稿中提出的项目边界、基准线情景、碳排放量和碳减排量核算方法等内容进行重点企业（包含车企、桩企、运营企业）点对点交流，深入分析</w:t>
      </w:r>
      <w:r>
        <w:rPr>
          <w:rFonts w:ascii="Times New Roman" w:hAnsi="Times New Roman" w:hint="eastAsia"/>
          <w:b/>
          <w:bCs/>
          <w:szCs w:val="21"/>
        </w:rPr>
        <w:t>核算方法实施可行性、参数设置合理性</w:t>
      </w:r>
      <w:r>
        <w:rPr>
          <w:rFonts w:ascii="Times New Roman" w:hAnsi="Times New Roman" w:hint="eastAsia"/>
          <w:szCs w:val="21"/>
        </w:rPr>
        <w:t>，</w:t>
      </w:r>
      <w:r>
        <w:rPr>
          <w:rFonts w:ascii="Times New Roman" w:hAnsi="Times New Roman" w:hint="eastAsia"/>
          <w:b/>
          <w:bCs/>
          <w:szCs w:val="21"/>
        </w:rPr>
        <w:t>并结合典型场景对相关核算方法开展试算验证</w:t>
      </w:r>
      <w:r>
        <w:rPr>
          <w:rFonts w:ascii="Times New Roman" w:hAnsi="Times New Roman" w:hint="eastAsia"/>
          <w:szCs w:val="21"/>
        </w:rPr>
        <w:t>，形成了针对本标准的</w:t>
      </w:r>
      <w:r>
        <w:rPr>
          <w:rFonts w:ascii="Times New Roman" w:hAnsi="Times New Roman" w:hint="eastAsia"/>
          <w:b/>
          <w:bCs/>
          <w:szCs w:val="21"/>
        </w:rPr>
        <w:t>首轮线下编制意见</w:t>
      </w:r>
      <w:r>
        <w:rPr>
          <w:rFonts w:ascii="Times New Roman" w:hAnsi="Times New Roman" w:hint="eastAsia"/>
          <w:szCs w:val="21"/>
        </w:rPr>
        <w:t>。</w:t>
      </w:r>
    </w:p>
    <w:p w14:paraId="197722C2" w14:textId="77777777" w:rsidR="00E57688" w:rsidRDefault="00000000">
      <w:pPr>
        <w:pStyle w:val="a3"/>
        <w:numPr>
          <w:ilvl w:val="0"/>
          <w:numId w:val="3"/>
        </w:numPr>
        <w:spacing w:before="0" w:line="360" w:lineRule="auto"/>
        <w:ind w:left="0" w:firstLine="425"/>
        <w:rPr>
          <w:rFonts w:ascii="Times New Roman" w:hAnsi="Times New Roman"/>
          <w:szCs w:val="21"/>
        </w:rPr>
      </w:pP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12</w:t>
      </w:r>
      <w:r>
        <w:rPr>
          <w:rFonts w:ascii="Times New Roman" w:hAnsi="Times New Roman" w:hint="eastAsia"/>
          <w:szCs w:val="21"/>
        </w:rPr>
        <w:t>月，中国电科院牵头组织参编单位，</w:t>
      </w:r>
      <w:r>
        <w:rPr>
          <w:rFonts w:ascii="Times New Roman" w:hAnsi="Times New Roman" w:hint="eastAsia"/>
          <w:b/>
          <w:bCs/>
          <w:szCs w:val="21"/>
        </w:rPr>
        <w:t>开展第二轮全面研讨</w:t>
      </w:r>
      <w:r>
        <w:rPr>
          <w:rFonts w:ascii="Times New Roman" w:hAnsi="Times New Roman" w:hint="eastAsia"/>
          <w:szCs w:val="21"/>
        </w:rPr>
        <w:t>，根据</w:t>
      </w:r>
      <w:r>
        <w:rPr>
          <w:rFonts w:ascii="Times New Roman" w:hAnsi="Times New Roman" w:hint="eastAsia"/>
          <w:szCs w:val="21"/>
        </w:rPr>
        <w:t>9</w:t>
      </w:r>
      <w:r>
        <w:rPr>
          <w:rFonts w:ascii="Times New Roman" w:hAnsi="Times New Roman" w:hint="eastAsia"/>
          <w:szCs w:val="21"/>
        </w:rPr>
        <w:t>月线下走访调研、核算方法试算验证情况及首轮线下编制意见，进行内部研讨。各企业就基准线情景设置、核算边界、碳排放量与碳减排量计算方法、参数选取及数据监测要求进行深度讨论并达成一致，形成</w:t>
      </w:r>
      <w:r>
        <w:rPr>
          <w:rFonts w:ascii="Times New Roman" w:hAnsi="Times New Roman" w:hint="eastAsia"/>
          <w:b/>
          <w:bCs/>
          <w:szCs w:val="21"/>
        </w:rPr>
        <w:t>可供行业意见征集的标准草案</w:t>
      </w:r>
      <w:r>
        <w:rPr>
          <w:rFonts w:ascii="Times New Roman" w:hAnsi="Times New Roman" w:hint="eastAsia"/>
          <w:szCs w:val="21"/>
        </w:rPr>
        <w:t>。</w:t>
      </w:r>
    </w:p>
    <w:p w14:paraId="0A7D2A5F" w14:textId="77777777" w:rsidR="00E57688" w:rsidRDefault="00000000">
      <w:pPr>
        <w:pStyle w:val="a3"/>
        <w:numPr>
          <w:ilvl w:val="0"/>
          <w:numId w:val="3"/>
        </w:numPr>
        <w:spacing w:before="0" w:line="360" w:lineRule="auto"/>
        <w:ind w:left="0" w:firstLine="425"/>
        <w:rPr>
          <w:rFonts w:ascii="Times New Roman" w:hAnsi="Times New Roman"/>
          <w:szCs w:val="21"/>
        </w:rPr>
      </w:pPr>
      <w:r>
        <w:rPr>
          <w:rFonts w:ascii="Times New Roman" w:hAnsi="Times New Roman"/>
          <w:szCs w:val="21"/>
        </w:rPr>
        <w:t>202</w:t>
      </w:r>
      <w:r>
        <w:rPr>
          <w:rFonts w:ascii="Times New Roman" w:hAnsi="Times New Roman" w:hint="eastAsia"/>
          <w:szCs w:val="21"/>
        </w:rPr>
        <w:t>6</w:t>
      </w:r>
      <w:r>
        <w:rPr>
          <w:rFonts w:ascii="Times New Roman" w:hAnsi="Times New Roman" w:hint="eastAsia"/>
          <w:szCs w:val="21"/>
        </w:rPr>
        <w:t>年</w:t>
      </w:r>
      <w:r>
        <w:rPr>
          <w:rFonts w:ascii="Times New Roman" w:hAnsi="Times New Roman" w:hint="eastAsia"/>
          <w:szCs w:val="21"/>
        </w:rPr>
        <w:t>4</w:t>
      </w:r>
      <w:r>
        <w:rPr>
          <w:rFonts w:ascii="Times New Roman" w:hAnsi="Times New Roman" w:hint="eastAsia"/>
          <w:szCs w:val="21"/>
        </w:rPr>
        <w:t>月，由中汽协会统一组织进行全行业</w:t>
      </w:r>
      <w:r>
        <w:rPr>
          <w:rFonts w:ascii="Times New Roman" w:hAnsi="Times New Roman" w:hint="eastAsia"/>
          <w:b/>
          <w:bCs/>
          <w:szCs w:val="21"/>
        </w:rPr>
        <w:t>意见征集</w:t>
      </w:r>
      <w:r>
        <w:rPr>
          <w:rFonts w:ascii="Times New Roman" w:hAnsi="Times New Roman" w:hint="eastAsia"/>
          <w:szCs w:val="21"/>
        </w:rPr>
        <w:t>。</w:t>
      </w:r>
    </w:p>
    <w:p w14:paraId="7ECF3355" w14:textId="77777777" w:rsidR="00E57688" w:rsidRDefault="00000000">
      <w:pPr>
        <w:pStyle w:val="a3"/>
        <w:spacing w:before="0" w:line="360" w:lineRule="auto"/>
        <w:ind w:firstLineChars="200" w:firstLine="420"/>
        <w:rPr>
          <w:rFonts w:ascii="Times New Roman" w:hAnsi="Times New Roman"/>
          <w:szCs w:val="21"/>
        </w:rPr>
      </w:pPr>
      <w:r>
        <w:rPr>
          <w:rFonts w:ascii="Times New Roman" w:hAnsi="Times New Roman" w:hint="eastAsia"/>
          <w:szCs w:val="21"/>
        </w:rPr>
        <w:t>除以上重要工作过程时间节点外，在标准制定过程中，项目组还多次召开内部技术讨论</w:t>
      </w:r>
      <w:r>
        <w:rPr>
          <w:rFonts w:ascii="Times New Roman" w:hAnsi="Times New Roman" w:hint="eastAsia"/>
          <w:szCs w:val="21"/>
        </w:rPr>
        <w:lastRenderedPageBreak/>
        <w:t>会对标准内容进行研讨和完善。</w:t>
      </w:r>
    </w:p>
    <w:p w14:paraId="6DF14640" w14:textId="77777777" w:rsidR="00E57688" w:rsidRDefault="00000000">
      <w:pPr>
        <w:numPr>
          <w:ilvl w:val="0"/>
          <w:numId w:val="1"/>
        </w:num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标准编制原则和主要内容</w:t>
      </w:r>
    </w:p>
    <w:p w14:paraId="5C21078D" w14:textId="77777777" w:rsidR="00E57688" w:rsidRDefault="00000000">
      <w:pPr>
        <w:spacing w:line="360" w:lineRule="auto"/>
        <w:ind w:firstLineChars="200" w:firstLine="422"/>
        <w:rPr>
          <w:b/>
          <w:bCs/>
          <w:szCs w:val="21"/>
        </w:rPr>
      </w:pPr>
      <w:r>
        <w:rPr>
          <w:rFonts w:hint="eastAsia"/>
          <w:b/>
          <w:bCs/>
          <w:szCs w:val="21"/>
        </w:rPr>
        <w:t>1.</w:t>
      </w:r>
      <w:r>
        <w:rPr>
          <w:rFonts w:hint="eastAsia"/>
          <w:b/>
          <w:bCs/>
          <w:szCs w:val="21"/>
        </w:rPr>
        <w:t>编制原则</w:t>
      </w:r>
    </w:p>
    <w:p w14:paraId="7A2B8143" w14:textId="77777777" w:rsidR="00E57688" w:rsidRDefault="00000000">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rFonts w:hint="eastAsia"/>
          <w:b/>
          <w:bCs/>
          <w:szCs w:val="21"/>
        </w:rPr>
        <w:t>总体原则：</w:t>
      </w:r>
      <w:r>
        <w:rPr>
          <w:rFonts w:hint="eastAsia"/>
          <w:szCs w:val="21"/>
        </w:rPr>
        <w:t>本标准按照</w:t>
      </w:r>
      <w:r>
        <w:rPr>
          <w:rFonts w:hint="eastAsia"/>
          <w:szCs w:val="21"/>
        </w:rPr>
        <w:t>GB/T 1.1</w:t>
      </w:r>
      <w:r>
        <w:rPr>
          <w:rFonts w:hint="eastAsia"/>
          <w:szCs w:val="21"/>
        </w:rPr>
        <w:t>―</w:t>
      </w:r>
      <w:r>
        <w:rPr>
          <w:rFonts w:hint="eastAsia"/>
          <w:szCs w:val="21"/>
        </w:rPr>
        <w:t>2020</w:t>
      </w:r>
      <w:r>
        <w:rPr>
          <w:rFonts w:hint="eastAsia"/>
          <w:szCs w:val="21"/>
        </w:rPr>
        <w:t>《标准化工作导则第</w:t>
      </w:r>
      <w:r>
        <w:rPr>
          <w:rFonts w:hint="eastAsia"/>
          <w:szCs w:val="21"/>
        </w:rPr>
        <w:t>1</w:t>
      </w:r>
      <w:r>
        <w:rPr>
          <w:rFonts w:hint="eastAsia"/>
          <w:szCs w:val="21"/>
        </w:rPr>
        <w:t>部分：标准化文件的结构和起草规则》给出的规则起草；</w:t>
      </w:r>
    </w:p>
    <w:p w14:paraId="720AEDC2" w14:textId="77777777" w:rsidR="00E57688" w:rsidRDefault="00000000">
      <w:pPr>
        <w:spacing w:line="360" w:lineRule="auto"/>
        <w:ind w:firstLineChars="200" w:firstLine="420"/>
        <w:rPr>
          <w:szCs w:val="21"/>
        </w:rPr>
      </w:pPr>
      <w:r>
        <w:rPr>
          <w:rFonts w:hint="eastAsia"/>
          <w:szCs w:val="21"/>
        </w:rPr>
        <w:t>（</w:t>
      </w:r>
      <w:r>
        <w:rPr>
          <w:rFonts w:hint="eastAsia"/>
          <w:szCs w:val="21"/>
        </w:rPr>
        <w:t>2</w:t>
      </w:r>
      <w:r>
        <w:rPr>
          <w:rFonts w:hint="eastAsia"/>
          <w:szCs w:val="21"/>
        </w:rPr>
        <w:t>）</w:t>
      </w:r>
      <w:r>
        <w:rPr>
          <w:rFonts w:hint="eastAsia"/>
          <w:b/>
          <w:bCs/>
          <w:szCs w:val="21"/>
        </w:rPr>
        <w:t>标准协调：</w:t>
      </w:r>
      <w:r>
        <w:rPr>
          <w:rFonts w:hint="eastAsia"/>
          <w:szCs w:val="21"/>
        </w:rPr>
        <w:t>本标准制定过程中，充分考虑并衔接现行相关国家标准和方法学文件要求，重点与</w:t>
      </w:r>
      <w:r>
        <w:rPr>
          <w:rFonts w:hint="eastAsia"/>
          <w:szCs w:val="21"/>
        </w:rPr>
        <w:t>GB/T 18487.1</w:t>
      </w:r>
      <w:r>
        <w:rPr>
          <w:rFonts w:hint="eastAsia"/>
          <w:szCs w:val="21"/>
        </w:rPr>
        <w:t>、</w:t>
      </w:r>
      <w:r>
        <w:rPr>
          <w:rFonts w:hint="eastAsia"/>
          <w:szCs w:val="21"/>
        </w:rPr>
        <w:t>GB/T 29317</w:t>
      </w:r>
      <w:r>
        <w:rPr>
          <w:rFonts w:hint="eastAsia"/>
          <w:szCs w:val="21"/>
        </w:rPr>
        <w:t>、</w:t>
      </w:r>
      <w:r>
        <w:rPr>
          <w:rFonts w:hint="eastAsia"/>
          <w:szCs w:val="21"/>
        </w:rPr>
        <w:t>GB/T 32150</w:t>
      </w:r>
      <w:r>
        <w:rPr>
          <w:rFonts w:hint="eastAsia"/>
          <w:szCs w:val="21"/>
        </w:rPr>
        <w:t>、</w:t>
      </w:r>
      <w:r>
        <w:rPr>
          <w:rFonts w:hint="eastAsia"/>
          <w:szCs w:val="21"/>
        </w:rPr>
        <w:t>GB/T 33760</w:t>
      </w:r>
      <w:r>
        <w:rPr>
          <w:rFonts w:hint="eastAsia"/>
          <w:szCs w:val="21"/>
        </w:rPr>
        <w:t>、</w:t>
      </w:r>
      <w:r>
        <w:rPr>
          <w:rFonts w:hint="eastAsia"/>
          <w:szCs w:val="21"/>
        </w:rPr>
        <w:t>GB/T 46925</w:t>
      </w:r>
      <w:r>
        <w:rPr>
          <w:rFonts w:hint="eastAsia"/>
          <w:szCs w:val="21"/>
        </w:rPr>
        <w:t>、</w:t>
      </w:r>
      <w:r>
        <w:rPr>
          <w:rFonts w:hint="eastAsia"/>
          <w:szCs w:val="21"/>
        </w:rPr>
        <w:t>GB/T 45527</w:t>
      </w:r>
      <w:r>
        <w:rPr>
          <w:rFonts w:hint="eastAsia"/>
          <w:szCs w:val="21"/>
        </w:rPr>
        <w:t>等保持协调一致，在术语定义、项目边界划分、碳排放因子选取、基于项目的减排量评估原则等方面充分吸收现有标准成果，避免与现行标准重复、冲突或口径不一致，增强本标准的衔接性、适用性和可实施性。</w:t>
      </w:r>
    </w:p>
    <w:p w14:paraId="28502696" w14:textId="77777777" w:rsidR="00E57688" w:rsidRDefault="00000000">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b/>
          <w:bCs/>
          <w:szCs w:val="21"/>
        </w:rPr>
        <w:t>应用导向、科学合理：</w:t>
      </w:r>
      <w:r>
        <w:rPr>
          <w:rFonts w:hint="eastAsia"/>
          <w:szCs w:val="21"/>
        </w:rPr>
        <w:t>本标准紧密结合公共充放电站、专用场站、绿色电力消纳及车网互动（</w:t>
      </w:r>
      <w:r>
        <w:rPr>
          <w:rFonts w:hint="eastAsia"/>
          <w:szCs w:val="21"/>
        </w:rPr>
        <w:t>V2G</w:t>
      </w:r>
      <w:r>
        <w:rPr>
          <w:rFonts w:hint="eastAsia"/>
          <w:szCs w:val="21"/>
        </w:rPr>
        <w:t>）等典型应用场景，充分考虑不同项目实施条件下碳减排核算的可操作性与可核查性，针对常规充电项目、充放电改造项目和现有</w:t>
      </w:r>
      <w:r>
        <w:rPr>
          <w:rFonts w:hint="eastAsia"/>
          <w:szCs w:val="21"/>
        </w:rPr>
        <w:t>V2G</w:t>
      </w:r>
      <w:r>
        <w:rPr>
          <w:rFonts w:hint="eastAsia"/>
          <w:szCs w:val="21"/>
        </w:rPr>
        <w:t>项目消纳绿电三类情形分别提出核算方法，力求准确反映项目实际减排贡献。在方法设计上，既充分体现绿色电力替代和车网互动带来的减排作用，又注重项目边界清晰、核算逻辑闭环、监测数据可获得，避免核算口径过于复杂而影响推广应用。</w:t>
      </w:r>
    </w:p>
    <w:p w14:paraId="25E50CC1" w14:textId="77777777" w:rsidR="00E57688" w:rsidRDefault="00000000">
      <w:pPr>
        <w:spacing w:line="360" w:lineRule="auto"/>
        <w:ind w:firstLineChars="200" w:firstLine="420"/>
        <w:rPr>
          <w:rFonts w:ascii="仿宋" w:eastAsia="仿宋" w:hAnsi="仿宋" w:hint="eastAsia"/>
          <w:sz w:val="24"/>
        </w:rPr>
      </w:pPr>
      <w:r>
        <w:rPr>
          <w:rFonts w:hint="eastAsia"/>
          <w:szCs w:val="21"/>
        </w:rPr>
        <w:t>（</w:t>
      </w:r>
      <w:r>
        <w:rPr>
          <w:rFonts w:hint="eastAsia"/>
          <w:szCs w:val="21"/>
        </w:rPr>
        <w:t>4</w:t>
      </w:r>
      <w:r>
        <w:rPr>
          <w:rFonts w:hint="eastAsia"/>
          <w:szCs w:val="21"/>
        </w:rPr>
        <w:t>）</w:t>
      </w:r>
      <w:r>
        <w:rPr>
          <w:rFonts w:hint="eastAsia"/>
          <w:b/>
          <w:bCs/>
          <w:szCs w:val="21"/>
        </w:rPr>
        <w:t>广泛征求意见：</w:t>
      </w:r>
      <w:r>
        <w:rPr>
          <w:rFonts w:hint="eastAsia"/>
          <w:szCs w:val="21"/>
        </w:rPr>
        <w:t>本标准在研制过程中，广泛听取整车企业、充放电设施企业、运营服务企业、电力及能源相关单位、检测认证机构、科研院所和行业专家等多方意见，统筹兼顾项目开发、数据监测、减排核算、结果披露和实施应用等各环节需求以提升标准的代表性、协调性和行业认可度。</w:t>
      </w:r>
    </w:p>
    <w:p w14:paraId="5F270DCC" w14:textId="77777777" w:rsidR="00E57688" w:rsidRDefault="00000000">
      <w:pPr>
        <w:ind w:firstLineChars="200" w:firstLine="480"/>
        <w:rPr>
          <w:rFonts w:ascii="黑体" w:eastAsia="黑体" w:hAnsi="黑体" w:cs="黑体" w:hint="eastAsia"/>
          <w:color w:val="000000" w:themeColor="text1"/>
          <w:sz w:val="30"/>
          <w:szCs w:val="30"/>
        </w:rPr>
      </w:pPr>
      <w:r>
        <w:rPr>
          <w:rFonts w:ascii="黑体" w:eastAsia="黑体" w:hAnsi="黑体" w:cs="黑体" w:hint="eastAsia"/>
          <w:color w:val="000000" w:themeColor="text1"/>
          <w:sz w:val="24"/>
        </w:rPr>
        <w:t xml:space="preserve">三、采用国际标准和国外先进标准情况  </w:t>
      </w:r>
      <w:r>
        <w:rPr>
          <w:rFonts w:ascii="黑体" w:eastAsia="黑体" w:hAnsi="黑体" w:cs="黑体" w:hint="eastAsia"/>
          <w:color w:val="000000" w:themeColor="text1"/>
          <w:sz w:val="30"/>
          <w:szCs w:val="30"/>
        </w:rPr>
        <w:t xml:space="preserve"> </w:t>
      </w:r>
    </w:p>
    <w:p w14:paraId="78492219" w14:textId="77777777" w:rsidR="00E57688" w:rsidRDefault="00000000">
      <w:pPr>
        <w:ind w:firstLineChars="200" w:firstLine="420"/>
        <w:rPr>
          <w:szCs w:val="21"/>
        </w:rPr>
      </w:pPr>
      <w:r>
        <w:rPr>
          <w:rFonts w:hint="eastAsia"/>
          <w:szCs w:val="21"/>
        </w:rPr>
        <w:t>国外尚未发布此类标准，在国际上无对比对象。</w:t>
      </w:r>
    </w:p>
    <w:p w14:paraId="28AE14DE" w14:textId="77777777" w:rsidR="00E57688" w:rsidRDefault="00000000">
      <w:p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四、主要关键指标及试验验证情况</w:t>
      </w:r>
    </w:p>
    <w:p w14:paraId="39633ED3" w14:textId="77777777" w:rsidR="00E57688" w:rsidRDefault="00000000">
      <w:pPr>
        <w:spacing w:line="360" w:lineRule="auto"/>
        <w:ind w:firstLineChars="200" w:firstLine="420"/>
        <w:rPr>
          <w:szCs w:val="21"/>
        </w:rPr>
      </w:pPr>
      <w:r>
        <w:rPr>
          <w:rFonts w:hint="eastAsia"/>
          <w:szCs w:val="21"/>
        </w:rPr>
        <w:t>本标准涉及的主要关键指标包括项目边界、基准线情景、项目碳排放量、基准线碳排放量、碳减排量以及数据监测等内容。相关核算方法和参数设置充分结合电动汽车充放电、绿色电力消纳和车网互动（</w:t>
      </w:r>
      <w:r>
        <w:rPr>
          <w:rFonts w:hint="eastAsia"/>
          <w:szCs w:val="21"/>
        </w:rPr>
        <w:t>V2G</w:t>
      </w:r>
      <w:r>
        <w:rPr>
          <w:rFonts w:hint="eastAsia"/>
          <w:szCs w:val="21"/>
        </w:rPr>
        <w:t>）等实际应用场景，并在附录中设置了核算示例，可为标准应用提供参考。</w:t>
      </w:r>
    </w:p>
    <w:p w14:paraId="2F6DE4A4" w14:textId="77777777" w:rsidR="00E57688" w:rsidRDefault="00000000">
      <w:p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lastRenderedPageBreak/>
        <w:t>五、与现行法律、法规和政策及相关标准的协调性</w:t>
      </w:r>
    </w:p>
    <w:p w14:paraId="25E94611" w14:textId="77777777" w:rsidR="00E57688" w:rsidRDefault="00000000">
      <w:pPr>
        <w:spacing w:after="0" w:line="360" w:lineRule="auto"/>
        <w:ind w:firstLineChars="200" w:firstLine="420"/>
        <w:rPr>
          <w:szCs w:val="21"/>
        </w:rPr>
      </w:pPr>
      <w:r>
        <w:rPr>
          <w:rFonts w:hint="eastAsia"/>
          <w:szCs w:val="21"/>
        </w:rPr>
        <w:t>a</w:t>
      </w:r>
      <w:r>
        <w:rPr>
          <w:rFonts w:hint="eastAsia"/>
          <w:szCs w:val="21"/>
        </w:rPr>
        <w:t>）内容的一致性：本标准的内容应与现行法律、法规和政策的规定保持一致，不存在违反相关法律法规和政策。</w:t>
      </w:r>
    </w:p>
    <w:p w14:paraId="0131AF87" w14:textId="77777777" w:rsidR="00E57688" w:rsidRDefault="00000000">
      <w:pPr>
        <w:spacing w:after="0" w:line="360" w:lineRule="auto"/>
        <w:ind w:firstLineChars="200" w:firstLine="420"/>
        <w:rPr>
          <w:szCs w:val="21"/>
        </w:rPr>
      </w:pPr>
      <w:r>
        <w:rPr>
          <w:rFonts w:hint="eastAsia"/>
          <w:szCs w:val="21"/>
        </w:rPr>
        <w:t>b</w:t>
      </w:r>
      <w:r>
        <w:rPr>
          <w:rFonts w:hint="eastAsia"/>
          <w:szCs w:val="21"/>
        </w:rPr>
        <w:t>）标准的更新和维护：随着技术和市场的不断发展，本标准可能需要不断更新和维护。在此过程中，本标准应与现行法律、法规和政策的最新要求保持一致。</w:t>
      </w:r>
    </w:p>
    <w:p w14:paraId="6A278E1B" w14:textId="77777777" w:rsidR="00E57688" w:rsidRDefault="00000000">
      <w:pPr>
        <w:spacing w:after="0" w:line="360" w:lineRule="auto"/>
        <w:ind w:firstLineChars="200" w:firstLine="420"/>
        <w:rPr>
          <w:szCs w:val="21"/>
        </w:rPr>
      </w:pPr>
      <w:r>
        <w:rPr>
          <w:rFonts w:hint="eastAsia"/>
          <w:szCs w:val="21"/>
        </w:rPr>
        <w:t>c</w:t>
      </w:r>
      <w:r>
        <w:rPr>
          <w:rFonts w:hint="eastAsia"/>
          <w:szCs w:val="21"/>
        </w:rPr>
        <w:t>）制定程序的透明度：本标准的制定程序始终保持透明度，充分吸收各方意见，确保标准的公正性和客观性。</w:t>
      </w:r>
    </w:p>
    <w:p w14:paraId="0A838744" w14:textId="77777777" w:rsidR="00E57688" w:rsidRDefault="00000000">
      <w:p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六、贯彻标准的要求和措施建议</w:t>
      </w:r>
    </w:p>
    <w:p w14:paraId="72E8F864" w14:textId="77777777" w:rsidR="00E57688" w:rsidRDefault="00000000">
      <w:pPr>
        <w:ind w:firstLineChars="200" w:firstLine="420"/>
        <w:rPr>
          <w:szCs w:val="21"/>
        </w:rPr>
      </w:pPr>
      <w:r>
        <w:rPr>
          <w:rFonts w:hint="eastAsia"/>
          <w:szCs w:val="21"/>
        </w:rPr>
        <w:t>本标准完成全部制定工作并发布后，拟采用如下策略推进宣传、应用工作：</w:t>
      </w:r>
    </w:p>
    <w:p w14:paraId="6E8E1979" w14:textId="77777777" w:rsidR="00E57688" w:rsidRDefault="00000000">
      <w:pPr>
        <w:pStyle w:val="ab"/>
        <w:numPr>
          <w:ilvl w:val="0"/>
          <w:numId w:val="4"/>
        </w:numPr>
        <w:ind w:firstLineChars="0"/>
        <w:rPr>
          <w:b/>
          <w:bCs/>
          <w:szCs w:val="21"/>
        </w:rPr>
      </w:pPr>
      <w:r>
        <w:rPr>
          <w:rFonts w:hint="eastAsia"/>
          <w:b/>
          <w:bCs/>
          <w:szCs w:val="21"/>
        </w:rPr>
        <w:t>标准宣传与培训工作</w:t>
      </w:r>
    </w:p>
    <w:p w14:paraId="5C742E9E" w14:textId="77777777" w:rsidR="00E57688" w:rsidRDefault="00000000">
      <w:pPr>
        <w:spacing w:after="0" w:line="360" w:lineRule="auto"/>
        <w:ind w:firstLineChars="200" w:firstLine="420"/>
        <w:rPr>
          <w:szCs w:val="21"/>
        </w:rPr>
      </w:pPr>
      <w:r>
        <w:rPr>
          <w:rFonts w:hint="eastAsia"/>
          <w:szCs w:val="21"/>
        </w:rPr>
        <w:t>依托行业协会、标准归口单位及有关平台，组织开展标准宣传、技术培训和应用交流，面向整车企业、充放电运营企业、场站建设单位及有关第三方机构，对标准中的项目边界、基准线情景选取、碳减排量核算方法及数据监测要求等内容进行解读，帮助有关单位准确理解和应用标准。</w:t>
      </w:r>
    </w:p>
    <w:p w14:paraId="702D4062" w14:textId="55EBC779" w:rsidR="00E57688" w:rsidRDefault="00000000">
      <w:pPr>
        <w:pStyle w:val="ab"/>
        <w:numPr>
          <w:ilvl w:val="0"/>
          <w:numId w:val="4"/>
        </w:numPr>
        <w:ind w:firstLineChars="0"/>
        <w:rPr>
          <w:b/>
          <w:bCs/>
          <w:szCs w:val="21"/>
        </w:rPr>
      </w:pPr>
      <w:r>
        <w:rPr>
          <w:rFonts w:hint="eastAsia"/>
          <w:b/>
          <w:bCs/>
          <w:szCs w:val="21"/>
        </w:rPr>
        <w:t>示范应用与推广工作</w:t>
      </w:r>
    </w:p>
    <w:p w14:paraId="130BD967" w14:textId="77777777" w:rsidR="00E57688" w:rsidRDefault="00000000">
      <w:pPr>
        <w:spacing w:after="0" w:line="360" w:lineRule="auto"/>
        <w:ind w:firstLineChars="200" w:firstLine="420"/>
        <w:rPr>
          <w:szCs w:val="21"/>
        </w:rPr>
      </w:pPr>
      <w:r>
        <w:rPr>
          <w:rFonts w:hint="eastAsia"/>
          <w:szCs w:val="21"/>
        </w:rPr>
        <w:t>结合公共充放电站、专用场站、车网互动（</w:t>
      </w:r>
      <w:r>
        <w:rPr>
          <w:rFonts w:hint="eastAsia"/>
          <w:szCs w:val="21"/>
        </w:rPr>
        <w:t>V2G</w:t>
      </w:r>
      <w:r>
        <w:rPr>
          <w:rFonts w:hint="eastAsia"/>
          <w:szCs w:val="21"/>
        </w:rPr>
        <w:t>）等典型应用场景，选择有条件的单位开展标准试点和示范应用，及时总结标准实施过程中的经验做法，形成可复制、可推广的应用模式，逐步推动本标准在行业内落地实施。</w:t>
      </w:r>
    </w:p>
    <w:p w14:paraId="48A00A2D" w14:textId="51504AD7" w:rsidR="00E57688" w:rsidRDefault="00000000">
      <w:pPr>
        <w:pStyle w:val="ab"/>
        <w:numPr>
          <w:ilvl w:val="0"/>
          <w:numId w:val="4"/>
        </w:numPr>
        <w:ind w:firstLineChars="0"/>
        <w:rPr>
          <w:b/>
          <w:bCs/>
          <w:szCs w:val="21"/>
        </w:rPr>
      </w:pPr>
      <w:r>
        <w:rPr>
          <w:rFonts w:hint="eastAsia"/>
          <w:b/>
          <w:bCs/>
          <w:szCs w:val="21"/>
        </w:rPr>
        <w:t>实施保障与持续完善</w:t>
      </w:r>
    </w:p>
    <w:p w14:paraId="3EB33E4F" w14:textId="77777777" w:rsidR="00E57688" w:rsidRDefault="00000000">
      <w:pPr>
        <w:spacing w:after="0" w:line="360" w:lineRule="auto"/>
        <w:ind w:firstLineChars="200" w:firstLine="420"/>
        <w:rPr>
          <w:szCs w:val="21"/>
        </w:rPr>
      </w:pPr>
      <w:r>
        <w:rPr>
          <w:rFonts w:hint="eastAsia"/>
          <w:szCs w:val="21"/>
        </w:rPr>
        <w:t>结合标准实施情况，持续收集行业反馈意见，加强对项目数据监测、核算过程和结果应用等方面的跟踪研究，适时对标准内容进行补充和完善，不断提升标准的适用性、可操作性和协调性，为后续相关标准制修订工作提供支撑。</w:t>
      </w:r>
    </w:p>
    <w:p w14:paraId="7D6A2DFE" w14:textId="77777777" w:rsidR="00E57688" w:rsidRDefault="00000000">
      <w:pPr>
        <w:numPr>
          <w:ilvl w:val="0"/>
          <w:numId w:val="5"/>
        </w:num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其他需要说明的事项</w:t>
      </w:r>
    </w:p>
    <w:p w14:paraId="6D736C8C" w14:textId="77777777" w:rsidR="00E57688" w:rsidRDefault="00000000">
      <w:pPr>
        <w:spacing w:after="0" w:line="360" w:lineRule="auto"/>
        <w:ind w:firstLineChars="200" w:firstLine="420"/>
        <w:rPr>
          <w:szCs w:val="21"/>
        </w:rPr>
      </w:pPr>
      <w:r>
        <w:rPr>
          <w:rFonts w:hint="eastAsia"/>
          <w:szCs w:val="21"/>
        </w:rPr>
        <w:t>无。</w:t>
      </w:r>
    </w:p>
    <w:sectPr w:rsidR="00E5768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1CE8" w14:textId="77777777" w:rsidR="00836196" w:rsidRDefault="00836196">
      <w:pPr>
        <w:spacing w:line="240" w:lineRule="auto"/>
      </w:pPr>
      <w:r>
        <w:separator/>
      </w:r>
    </w:p>
  </w:endnote>
  <w:endnote w:type="continuationSeparator" w:id="0">
    <w:p w14:paraId="798426B2" w14:textId="77777777" w:rsidR="00836196" w:rsidRDefault="00836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134235"/>
    </w:sdtPr>
    <w:sdtContent>
      <w:p w14:paraId="7EB6828B" w14:textId="77777777" w:rsidR="00E57688" w:rsidRDefault="00000000">
        <w:pPr>
          <w:pStyle w:val="a5"/>
          <w:jc w:val="right"/>
        </w:pPr>
        <w:r>
          <w:fldChar w:fldCharType="begin"/>
        </w:r>
        <w:r>
          <w:instrText>PAGE   \* MERGEFORMAT</w:instrText>
        </w:r>
        <w:r>
          <w:fldChar w:fldCharType="separate"/>
        </w:r>
        <w:r>
          <w:rPr>
            <w:lang w:val="zh-CN"/>
          </w:rPr>
          <w:t>2</w:t>
        </w:r>
        <w:r>
          <w:fldChar w:fldCharType="end"/>
        </w:r>
      </w:p>
    </w:sdtContent>
  </w:sdt>
  <w:p w14:paraId="3ABB0C60" w14:textId="77777777" w:rsidR="00E57688" w:rsidRDefault="00E57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59D8" w14:textId="77777777" w:rsidR="00836196" w:rsidRDefault="00836196">
      <w:pPr>
        <w:spacing w:after="0"/>
      </w:pPr>
      <w:r>
        <w:separator/>
      </w:r>
    </w:p>
  </w:footnote>
  <w:footnote w:type="continuationSeparator" w:id="0">
    <w:p w14:paraId="51B5047E" w14:textId="77777777" w:rsidR="00836196" w:rsidRDefault="008361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abstractNum w:abstractNumId="3" w15:restartNumberingAfterBreak="0">
    <w:nsid w:val="6F776B33"/>
    <w:multiLevelType w:val="multilevel"/>
    <w:tmpl w:val="6F776B33"/>
    <w:lvl w:ilvl="0">
      <w:start w:val="1"/>
      <w:numFmt w:val="decimal"/>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15:restartNumberingAfterBreak="0">
    <w:nsid w:val="7B2E621E"/>
    <w:multiLevelType w:val="multilevel"/>
    <w:tmpl w:val="7B2E621E"/>
    <w:lvl w:ilvl="0">
      <w:start w:val="1"/>
      <w:numFmt w:val="decimal"/>
      <w:lvlText w:val="%1)"/>
      <w:lvlJc w:val="left"/>
      <w:pPr>
        <w:ind w:left="785" w:hanging="360"/>
      </w:pPr>
      <w:rPr>
        <w:rFonts w:hint="default"/>
        <w:color w:val="auto"/>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16cid:durableId="534579775">
    <w:abstractNumId w:val="0"/>
  </w:num>
  <w:num w:numId="2" w16cid:durableId="1007712741">
    <w:abstractNumId w:val="1"/>
  </w:num>
  <w:num w:numId="3" w16cid:durableId="588270300">
    <w:abstractNumId w:val="4"/>
  </w:num>
  <w:num w:numId="4" w16cid:durableId="338434016">
    <w:abstractNumId w:val="3"/>
  </w:num>
  <w:num w:numId="5" w16cid:durableId="175881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114"/>
    <w:rsid w:val="00095171"/>
    <w:rsid w:val="000D33AC"/>
    <w:rsid w:val="00121BD3"/>
    <w:rsid w:val="001B72E6"/>
    <w:rsid w:val="001E66E3"/>
    <w:rsid w:val="002E24DD"/>
    <w:rsid w:val="003606FF"/>
    <w:rsid w:val="00365694"/>
    <w:rsid w:val="00376FB0"/>
    <w:rsid w:val="00385910"/>
    <w:rsid w:val="003C7B78"/>
    <w:rsid w:val="00414B7F"/>
    <w:rsid w:val="0044590D"/>
    <w:rsid w:val="00450951"/>
    <w:rsid w:val="005208A5"/>
    <w:rsid w:val="00566C80"/>
    <w:rsid w:val="00581C8F"/>
    <w:rsid w:val="005A027B"/>
    <w:rsid w:val="00603687"/>
    <w:rsid w:val="00605C86"/>
    <w:rsid w:val="00640D40"/>
    <w:rsid w:val="00641586"/>
    <w:rsid w:val="00653CA8"/>
    <w:rsid w:val="00680235"/>
    <w:rsid w:val="006E5C65"/>
    <w:rsid w:val="00792EE4"/>
    <w:rsid w:val="00836196"/>
    <w:rsid w:val="00882047"/>
    <w:rsid w:val="00906E75"/>
    <w:rsid w:val="009112F2"/>
    <w:rsid w:val="00924392"/>
    <w:rsid w:val="0099535D"/>
    <w:rsid w:val="00A43F9A"/>
    <w:rsid w:val="00B92E1E"/>
    <w:rsid w:val="00BE1DFC"/>
    <w:rsid w:val="00C74110"/>
    <w:rsid w:val="00CB41A3"/>
    <w:rsid w:val="00CC584B"/>
    <w:rsid w:val="00CE032B"/>
    <w:rsid w:val="00DB1114"/>
    <w:rsid w:val="00E57688"/>
    <w:rsid w:val="00E754A3"/>
    <w:rsid w:val="00F03324"/>
    <w:rsid w:val="00FD28A2"/>
    <w:rsid w:val="01AD6A0E"/>
    <w:rsid w:val="051F0DD5"/>
    <w:rsid w:val="17FE211F"/>
    <w:rsid w:val="1C3B5000"/>
    <w:rsid w:val="277F12AC"/>
    <w:rsid w:val="2E3D15DF"/>
    <w:rsid w:val="42DD1C84"/>
    <w:rsid w:val="59930F37"/>
    <w:rsid w:val="66882EA5"/>
    <w:rsid w:val="6FFD045F"/>
    <w:rsid w:val="70552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4A2F0"/>
  <w15:docId w15:val="{2B13ECC7-9884-4619-8F6E-B80D655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before="120" w:after="0" w:line="240" w:lineRule="auto"/>
      <w:ind w:firstLine="425"/>
    </w:pPr>
    <w:rPr>
      <w:rFonts w:ascii="Arial" w:hAnsi="Arial"/>
      <w:szCs w:val="20"/>
    </w:rPr>
  </w:style>
  <w:style w:type="paragraph" w:styleId="a5">
    <w:name w:val="footer"/>
    <w:basedOn w:val="a"/>
    <w:link w:val="a6"/>
    <w:uiPriority w:val="99"/>
    <w:qFormat/>
    <w:pPr>
      <w:tabs>
        <w:tab w:val="center" w:pos="4153"/>
        <w:tab w:val="right" w:pos="8306"/>
      </w:tabs>
      <w:snapToGrid w:val="0"/>
      <w:spacing w:line="240" w:lineRule="auto"/>
      <w:jc w:val="left"/>
    </w:pPr>
    <w:rPr>
      <w:sz w:val="18"/>
      <w:szCs w:val="18"/>
    </w:rPr>
  </w:style>
  <w:style w:type="paragraph" w:styleId="a7">
    <w:name w:val="header"/>
    <w:basedOn w:val="a"/>
    <w:link w:val="a8"/>
    <w:qFormat/>
    <w:pPr>
      <w:tabs>
        <w:tab w:val="center" w:pos="4153"/>
        <w:tab w:val="right" w:pos="8306"/>
      </w:tabs>
      <w:snapToGrid w:val="0"/>
      <w:spacing w:line="240" w:lineRule="auto"/>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paragraph" w:styleId="ab">
    <w:name w:val="List Paragraph"/>
    <w:basedOn w:val="a"/>
    <w:uiPriority w:val="34"/>
    <w:qFormat/>
    <w:pPr>
      <w:spacing w:after="0" w:line="240" w:lineRule="auto"/>
      <w:ind w:firstLineChars="200" w:firstLine="420"/>
    </w:pPr>
    <w:rPr>
      <w:rFonts w:ascii="Calibri" w:hAnsi="Calibri"/>
      <w:szCs w:val="22"/>
    </w:rPr>
  </w:style>
  <w:style w:type="character" w:customStyle="1" w:styleId="a4">
    <w:name w:val="正文文本缩进 字符"/>
    <w:basedOn w:val="a0"/>
    <w:link w:val="a3"/>
    <w:qFormat/>
    <w:rPr>
      <w:rFonts w:ascii="Arial" w:hAnsi="Aria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1785</Words>
  <Characters>2126</Characters>
  <Application>Microsoft Office Word</Application>
  <DocSecurity>0</DocSecurity>
  <Lines>151</Lines>
  <Paragraphs>195</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陈浩</cp:lastModifiedBy>
  <cp:revision>20</cp:revision>
  <dcterms:created xsi:type="dcterms:W3CDTF">2022-04-24T14:35:00Z</dcterms:created>
  <dcterms:modified xsi:type="dcterms:W3CDTF">2026-05-12T07:51:00Z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eyJoZGlkIjoiZThmNTA0YjAwNTc4MmI4OGI5YjcyZDY3Nzc2YjU1ZTEiLCJ1c2VySWQiOiIzMjU1ODMyNTIifQ==</vt:lpwstr>
  </property>
  <property fmtid="{D5CDD505-2E9C-101B-9397-08002B2CF9AE}" pid="4" name="ICV">
    <vt:lpwstr>B6E05773F5674504AF62E7B776B0D92E_13</vt:lpwstr>
  </property>
</Properties>
</file>