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EastAsia" w:hAnsiTheme="majorEastAsia" w:eastAsiaTheme="majorEastAsia"/>
          <w:color w:val="000000" w:themeColor="text1"/>
          <w:sz w:val="28"/>
          <w:szCs w:val="28"/>
          <w:shd w:val="clear" w:color="auto" w:fill="FFFFFF" w:themeFill="background1"/>
          <w14:textFill>
            <w14:solidFill>
              <w14:schemeClr w14:val="tx1"/>
            </w14:solidFill>
          </w14:textFill>
        </w:rPr>
      </w:pPr>
      <w:r>
        <w:rPr>
          <w:rFonts w:hint="eastAsia" w:asciiTheme="majorEastAsia" w:hAnsiTheme="majorEastAsia" w:eastAsiaTheme="majorEastAsia"/>
          <w:color w:val="000000" w:themeColor="text1"/>
          <w:sz w:val="28"/>
          <w:szCs w:val="28"/>
          <w:shd w:val="clear" w:color="auto" w:fill="FFFFFF" w:themeFill="background1"/>
          <w14:textFill>
            <w14:solidFill>
              <w14:schemeClr w14:val="tx1"/>
            </w14:solidFill>
          </w14:textFill>
        </w:rPr>
        <w:t>附件4：</w:t>
      </w:r>
    </w:p>
    <w:p>
      <w:pPr>
        <w:widowControl/>
        <w:jc w:val="center"/>
        <w:rPr>
          <w:rFonts w:eastAsia="黑体"/>
          <w:color w:val="000000" w:themeColor="text1"/>
          <w:sz w:val="28"/>
          <w:szCs w:val="28"/>
          <w:shd w:val="clear" w:color="auto" w:fill="FFFFFF" w:themeFill="background1"/>
          <w14:textFill>
            <w14:solidFill>
              <w14:schemeClr w14:val="tx1"/>
            </w14:solidFill>
          </w14:textFill>
        </w:rPr>
      </w:pPr>
      <w:r>
        <w:rPr>
          <w:rFonts w:hint="eastAsia" w:eastAsia="黑体"/>
          <w:color w:val="000000" w:themeColor="text1"/>
          <w:sz w:val="28"/>
          <w:szCs w:val="28"/>
          <w:shd w:val="clear" w:color="auto" w:fill="FFFFFF" w:themeFill="background1"/>
          <w14:textFill>
            <w14:solidFill>
              <w14:schemeClr w14:val="tx1"/>
            </w14:solidFill>
          </w14:textFill>
        </w:rPr>
        <w:t>中汽协会《</w:t>
      </w:r>
      <w:r>
        <w:rPr>
          <w:rFonts w:hint="eastAsia" w:eastAsia="黑体"/>
          <w:color w:val="000000" w:themeColor="text1"/>
          <w:sz w:val="28"/>
          <w:szCs w:val="28"/>
          <w:shd w:val="clear" w:color="auto" w:fill="FFFFFF" w:themeFill="background1"/>
          <w:lang w:eastAsia="zh-CN"/>
          <w14:textFill>
            <w14:solidFill>
              <w14:schemeClr w14:val="tx1"/>
            </w14:solidFill>
          </w14:textFill>
        </w:rPr>
        <w:t>照明</w:t>
      </w:r>
      <w:r>
        <w:rPr>
          <w:rFonts w:hint="eastAsia" w:eastAsia="黑体"/>
          <w:color w:val="000000" w:themeColor="text1"/>
          <w:sz w:val="28"/>
          <w:szCs w:val="28"/>
          <w:shd w:val="clear" w:color="auto" w:fill="FFFFFF" w:themeFill="background1"/>
          <w14:textFill>
            <w14:solidFill>
              <w14:schemeClr w14:val="tx1"/>
            </w14:solidFill>
          </w14:textFill>
        </w:rPr>
        <w:t>车》团体标准编制说明</w:t>
      </w:r>
    </w:p>
    <w:p>
      <w:pPr>
        <w:rPr>
          <w:rFonts w:ascii="黑体" w:hAnsi="黑体" w:eastAsia="黑体" w:cs="黑体"/>
          <w:color w:val="000000" w:themeColor="text1"/>
          <w:sz w:val="30"/>
          <w:szCs w:val="30"/>
          <w:shd w:val="clear" w:color="auto" w:fill="FFFFFF" w:themeFill="background1"/>
          <w14:textFill>
            <w14:solidFill>
              <w14:schemeClr w14:val="tx1"/>
            </w14:solidFill>
          </w14:textFill>
        </w:rPr>
      </w:pPr>
    </w:p>
    <w:p>
      <w:pPr>
        <w:numPr>
          <w:ilvl w:val="0"/>
          <w:numId w:val="2"/>
        </w:numPr>
        <w:ind w:firstLine="480" w:firstLineChars="200"/>
        <w:outlineLvl w:val="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工作简要过程</w:t>
      </w:r>
    </w:p>
    <w:p>
      <w:pPr>
        <w:numPr>
          <w:ilvl w:val="0"/>
          <w:numId w:val="3"/>
        </w:numPr>
        <w:ind w:left="357"/>
        <w:outlineLvl w:val="1"/>
        <w:rPr>
          <w:rFonts w:ascii="仿宋" w:hAnsi="仿宋" w:eastAsia="仿宋" w:cs="仿宋"/>
          <w:b/>
          <w:bCs/>
          <w:color w:val="000000" w:themeColor="text1"/>
          <w:sz w:val="24"/>
          <w:shd w:val="clear" w:color="auto" w:fill="FFFFFF" w:themeFill="background1"/>
          <w14:textFill>
            <w14:solidFill>
              <w14:schemeClr w14:val="tx1"/>
            </w14:solidFill>
          </w14:textFill>
        </w:rPr>
      </w:pPr>
      <w:r>
        <w:rPr>
          <w:rFonts w:hint="eastAsia" w:ascii="仿宋" w:hAnsi="仿宋" w:eastAsia="仿宋" w:cs="仿宋"/>
          <w:b/>
          <w:bCs/>
          <w:color w:val="000000" w:themeColor="text1"/>
          <w:sz w:val="24"/>
          <w:shd w:val="clear" w:color="auto" w:fill="FFFFFF" w:themeFill="background1"/>
          <w14:textFill>
            <w14:solidFill>
              <w14:schemeClr w14:val="tx1"/>
            </w14:solidFill>
          </w14:textFill>
        </w:rPr>
        <w:t>任务来源</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根据中国汽车工业协会</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w:t>
      </w:r>
      <w:r>
        <w:rPr>
          <w:rFonts w:hint="eastAsia" w:ascii="仿宋" w:hAnsi="仿宋" w:eastAsia="仿宋" w:cs="仿宋"/>
          <w:color w:val="000000" w:themeColor="text1"/>
          <w:szCs w:val="21"/>
          <w:shd w:val="clear" w:color="auto" w:fill="FFFFFF" w:themeFill="background1"/>
          <w14:textFill>
            <w14:solidFill>
              <w14:schemeClr w14:val="tx1"/>
            </w14:solidFill>
          </w14:textFill>
        </w:rPr>
        <w:t>中汽协函字[202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325</w:t>
      </w:r>
      <w:r>
        <w:rPr>
          <w:rFonts w:hint="eastAsia" w:ascii="仿宋" w:hAnsi="仿宋" w:eastAsia="仿宋" w:cs="仿宋"/>
          <w:color w:val="000000" w:themeColor="text1"/>
          <w:szCs w:val="21"/>
          <w:shd w:val="clear" w:color="auto" w:fill="FFFFFF" w:themeFill="background1"/>
          <w14:textFill>
            <w14:solidFill>
              <w14:schemeClr w14:val="tx1"/>
            </w14:solidFill>
          </w14:textFill>
        </w:rPr>
        <w:t>号</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w:t>
      </w:r>
      <w:r>
        <w:rPr>
          <w:rFonts w:hint="eastAsia" w:ascii="仿宋" w:hAnsi="仿宋" w:eastAsia="仿宋" w:cs="仿宋"/>
          <w:color w:val="000000" w:themeColor="text1"/>
          <w:szCs w:val="21"/>
          <w:shd w:val="clear" w:color="auto" w:fill="FFFFFF" w:themeFill="background1"/>
          <w14:textFill>
            <w14:solidFill>
              <w14:schemeClr w14:val="tx1"/>
            </w14:solidFill>
          </w14:textFill>
        </w:rPr>
        <w:t>关于《</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卡车可视窗车门玻璃升降器性能要求和试验方法</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等十四项团体标准立项公示的函</w:t>
      </w:r>
      <w:r>
        <w:rPr>
          <w:rFonts w:hint="eastAsia" w:ascii="仿宋" w:hAnsi="仿宋" w:eastAsia="仿宋" w:cs="仿宋"/>
          <w:color w:val="000000" w:themeColor="text1"/>
          <w:szCs w:val="21"/>
          <w:shd w:val="clear" w:color="auto" w:fill="FFFFFF" w:themeFill="background1"/>
          <w14:textFill>
            <w14:solidFill>
              <w14:schemeClr w14:val="tx1"/>
            </w14:solidFill>
          </w14:textFill>
        </w:rPr>
        <w:t>的要求，特编制团体标准《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车》。该产品名称符合GB/T 17350《专用汽车和专用挂车术语代号和编制方法》标准的</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要求</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本标准所规定的</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车属于GB/T 17350中所定义的</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应急保障作业车</w:t>
      </w:r>
      <w:r>
        <w:rPr>
          <w:rFonts w:hint="eastAsia" w:ascii="仿宋" w:hAnsi="仿宋" w:eastAsia="仿宋" w:cs="仿宋"/>
          <w:color w:val="000000" w:themeColor="text1"/>
          <w:szCs w:val="21"/>
          <w:shd w:val="clear" w:color="auto" w:fill="FFFFFF" w:themeFill="background1"/>
          <w14:textFill>
            <w14:solidFill>
              <w14:schemeClr w14:val="tx1"/>
            </w14:solidFill>
          </w14:textFill>
        </w:rPr>
        <w:t>领域中的一种车型。其技术特征表现为</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装备有发电机、升降照明系统、配电系统、输电线路等装置，具有满足其功能需求的工作区域，在设计、制造和技术特性上用于抢险救灾、大型活动等照明的专用汽车</w:t>
      </w:r>
      <w:r>
        <w:rPr>
          <w:rFonts w:hint="eastAsia" w:ascii="仿宋" w:hAnsi="仿宋" w:eastAsia="仿宋" w:cs="仿宋"/>
          <w:color w:val="000000" w:themeColor="text1"/>
          <w:szCs w:val="21"/>
          <w:shd w:val="clear" w:color="auto" w:fill="FFFFFF" w:themeFill="background1"/>
          <w14:textFill>
            <w14:solidFill>
              <w14:schemeClr w14:val="tx1"/>
            </w14:solidFill>
          </w14:textFill>
        </w:rPr>
        <w:t>。是</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在洪涝、地震、台风等灾害频发或电力系统的输配电系统的线路、杆塔、小区配电房、道路改造、交通事故等突发事件或计划检修项目作业</w:t>
      </w:r>
      <w:r>
        <w:rPr>
          <w:rFonts w:hint="eastAsia" w:ascii="仿宋" w:hAnsi="仿宋" w:eastAsia="仿宋" w:cs="仿宋"/>
          <w:color w:val="000000" w:themeColor="text1"/>
          <w:szCs w:val="21"/>
          <w:shd w:val="clear" w:color="auto" w:fill="FFFFFF" w:themeFill="background1"/>
          <w14:textFill>
            <w14:solidFill>
              <w14:schemeClr w14:val="tx1"/>
            </w14:solidFill>
          </w14:textFill>
        </w:rPr>
        <w:t>中发挥着重要作用的专项作业设备。</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本标准的制定从</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型式</w:t>
      </w:r>
      <w:r>
        <w:rPr>
          <w:rFonts w:hint="eastAsia" w:ascii="仿宋" w:hAnsi="仿宋" w:eastAsia="仿宋" w:cs="仿宋"/>
          <w:color w:val="000000" w:themeColor="text1"/>
          <w:szCs w:val="21"/>
          <w:shd w:val="clear" w:color="auto" w:fill="FFFFFF" w:themeFill="background1"/>
          <w14:textFill>
            <w14:solidFill>
              <w14:schemeClr w14:val="tx1"/>
            </w14:solidFill>
          </w14:textFill>
        </w:rPr>
        <w:t>、要求、试验方法、检验规则及标志、使用说明书、运输与贮存等方面为</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车提供依据，使设计参数和主要功能得到系列化和统一化，将促进该产品的推广应用、提高产品制造质量、指导产品设计和制造、确保使用安全、完善标准化工作，有助于该产品的可持续发展。</w:t>
      </w:r>
    </w:p>
    <w:p>
      <w:pPr>
        <w:numPr>
          <w:ilvl w:val="0"/>
          <w:numId w:val="3"/>
        </w:numPr>
        <w:ind w:left="357"/>
        <w:outlineLvl w:val="1"/>
        <w:rPr>
          <w:rFonts w:ascii="仿宋" w:hAnsi="仿宋" w:eastAsia="仿宋" w:cs="仿宋"/>
          <w:b/>
          <w:bCs/>
          <w:color w:val="000000" w:themeColor="text1"/>
          <w:sz w:val="24"/>
          <w:shd w:val="clear" w:color="auto" w:fill="FFFFFF" w:themeFill="background1"/>
          <w14:textFill>
            <w14:solidFill>
              <w14:schemeClr w14:val="tx1"/>
            </w14:solidFill>
          </w14:textFill>
        </w:rPr>
      </w:pPr>
      <w:r>
        <w:rPr>
          <w:rFonts w:hint="eastAsia" w:ascii="仿宋" w:hAnsi="仿宋" w:eastAsia="仿宋" w:cs="仿宋"/>
          <w:b/>
          <w:bCs/>
          <w:color w:val="000000" w:themeColor="text1"/>
          <w:sz w:val="24"/>
          <w:shd w:val="clear" w:color="auto" w:fill="FFFFFF" w:themeFill="background1"/>
          <w14:textFill>
            <w14:solidFill>
              <w14:schemeClr w14:val="tx1"/>
            </w14:solidFill>
          </w14:textFill>
        </w:rPr>
        <w:t>主要起草单位及任务分工</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本标准的主要起草单位有：徐州海伦哲专用车辆股份有限公司、中汽研汽车检验中心（武汉）有限公司、</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龙岩市海德馨汽车有限公司</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本标准主要起草人：。</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徐州海伦哲专用车辆股份有限公司作为第一起草单位，负责组织统筹本标准的制定，包括对起草组内成员工作分工、标准草案的编写等工作；徐州海伦哲专用车辆股份有限公司、中汽研汽车检验中心（武汉）有限公司、</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龙岩市海德馨汽车有限公司</w:t>
      </w:r>
      <w:r>
        <w:rPr>
          <w:rFonts w:hint="eastAsia" w:ascii="仿宋" w:hAnsi="仿宋" w:eastAsia="仿宋" w:cs="仿宋"/>
          <w:color w:val="000000" w:themeColor="text1"/>
          <w:szCs w:val="21"/>
          <w:shd w:val="clear" w:color="auto" w:fill="FFFFFF" w:themeFill="background1"/>
          <w14:textFill>
            <w14:solidFill>
              <w14:schemeClr w14:val="tx1"/>
            </w14:solidFill>
          </w14:textFill>
        </w:rPr>
        <w:t>等</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车生产企业负责对产品进行实施验证；由中汽研汽车检验中心（武汉）有限公司组织联络、内部意见征集以及标准文本内容修改等工作。</w:t>
      </w:r>
    </w:p>
    <w:p>
      <w:pPr>
        <w:numPr>
          <w:ilvl w:val="0"/>
          <w:numId w:val="3"/>
        </w:numPr>
        <w:ind w:left="357"/>
        <w:outlineLvl w:val="1"/>
        <w:rPr>
          <w:rFonts w:ascii="仿宋" w:hAnsi="仿宋" w:eastAsia="仿宋" w:cs="仿宋"/>
          <w:b/>
          <w:bCs/>
          <w:color w:val="000000" w:themeColor="text1"/>
          <w:sz w:val="24"/>
          <w:shd w:val="clear" w:color="auto" w:fill="FFFFFF" w:themeFill="background1"/>
          <w14:textFill>
            <w14:solidFill>
              <w14:schemeClr w14:val="tx1"/>
            </w14:solidFill>
          </w14:textFill>
        </w:rPr>
      </w:pPr>
      <w:r>
        <w:rPr>
          <w:rFonts w:hint="eastAsia" w:ascii="仿宋" w:hAnsi="仿宋" w:eastAsia="仿宋" w:cs="仿宋"/>
          <w:b/>
          <w:bCs/>
          <w:color w:val="000000" w:themeColor="text1"/>
          <w:sz w:val="24"/>
          <w:shd w:val="clear" w:color="auto" w:fill="FFFFFF" w:themeFill="background1"/>
          <w14:textFill>
            <w14:solidFill>
              <w14:schemeClr w14:val="tx1"/>
            </w14:solidFill>
          </w14:textFill>
        </w:rPr>
        <w:t>标准研讨情况</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4</w:t>
      </w:r>
      <w:r>
        <w:rPr>
          <w:rFonts w:hint="eastAsia" w:ascii="仿宋" w:hAnsi="仿宋" w:eastAsia="仿宋" w:cs="仿宋"/>
          <w:color w:val="000000" w:themeColor="text1"/>
          <w:szCs w:val="21"/>
          <w:shd w:val="clear" w:color="auto" w:fill="FFFFFF" w:themeFill="background1"/>
          <w14:textFill>
            <w14:solidFill>
              <w14:schemeClr w14:val="tx1"/>
            </w14:solidFill>
          </w14:textFill>
        </w:rPr>
        <w:t>月，徐州海伦哲专用车辆股份有限公司向中国汽车标准化委员会专标委提交了标准立项申请以及预研的工作情况汇报。</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6</w:t>
      </w:r>
      <w:r>
        <w:rPr>
          <w:rFonts w:hint="eastAsia" w:ascii="仿宋" w:hAnsi="仿宋" w:eastAsia="仿宋" w:cs="仿宋"/>
          <w:color w:val="000000" w:themeColor="text1"/>
          <w:szCs w:val="21"/>
          <w:shd w:val="clear" w:color="auto" w:fill="FFFFFF" w:themeFill="background1"/>
          <w14:textFill>
            <w14:solidFill>
              <w14:schemeClr w14:val="tx1"/>
            </w14:solidFill>
          </w14:textFill>
        </w:rPr>
        <w:t>月，由中国汽车工业协会专用车分会秘书处组织在</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南京</w:t>
      </w:r>
      <w:r>
        <w:rPr>
          <w:rFonts w:hint="eastAsia" w:ascii="仿宋" w:hAnsi="仿宋" w:eastAsia="仿宋" w:cs="仿宋"/>
          <w:color w:val="000000" w:themeColor="text1"/>
          <w:szCs w:val="21"/>
          <w:shd w:val="clear" w:color="auto" w:fill="FFFFFF" w:themeFill="background1"/>
          <w14:textFill>
            <w14:solidFill>
              <w14:schemeClr w14:val="tx1"/>
            </w14:solidFill>
          </w14:textFill>
        </w:rPr>
        <w:t>召开了标准立项审查会，经与会专家讨论评审，202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8</w:t>
      </w:r>
      <w:r>
        <w:rPr>
          <w:rFonts w:hint="eastAsia" w:ascii="仿宋" w:hAnsi="仿宋" w:eastAsia="仿宋" w:cs="仿宋"/>
          <w:color w:val="000000" w:themeColor="text1"/>
          <w:szCs w:val="21"/>
          <w:shd w:val="clear" w:color="auto" w:fill="FFFFFF" w:themeFill="background1"/>
          <w14:textFill>
            <w14:solidFill>
              <w14:schemeClr w14:val="tx1"/>
            </w14:solidFill>
          </w14:textFill>
        </w:rPr>
        <w:t>月标准立项通过。</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4</w:t>
      </w:r>
      <w:r>
        <w:rPr>
          <w:rFonts w:hint="eastAsia" w:ascii="仿宋" w:hAnsi="仿宋" w:eastAsia="仿宋" w:cs="仿宋"/>
          <w:color w:val="000000" w:themeColor="text1"/>
          <w:szCs w:val="21"/>
          <w:shd w:val="clear" w:color="auto" w:fill="FFFFFF" w:themeFill="background1"/>
          <w14:textFill>
            <w14:solidFill>
              <w14:schemeClr w14:val="tx1"/>
            </w14:solidFill>
          </w14:textFill>
        </w:rPr>
        <w:t>月，标准项目工作组成立，以徐州海伦哲专用车辆股份有限公司、中汽研汽车检验中心（武汉）有限公司等为主要起草单位，制定了标准的编制计划。</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6</w:t>
      </w:r>
      <w:r>
        <w:rPr>
          <w:rFonts w:hint="eastAsia" w:ascii="仿宋" w:hAnsi="仿宋" w:eastAsia="仿宋" w:cs="仿宋"/>
          <w:color w:val="000000" w:themeColor="text1"/>
          <w:szCs w:val="21"/>
          <w:shd w:val="clear" w:color="auto" w:fill="FFFFFF" w:themeFill="background1"/>
          <w14:textFill>
            <w14:solidFill>
              <w14:schemeClr w14:val="tx1"/>
            </w14:solidFill>
          </w14:textFill>
        </w:rPr>
        <w:t>月，完成标准草案编写，并完成了初步的验证工作。</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7</w:t>
      </w:r>
      <w:r>
        <w:rPr>
          <w:rFonts w:hint="eastAsia" w:ascii="仿宋" w:hAnsi="仿宋" w:eastAsia="仿宋" w:cs="仿宋"/>
          <w:color w:val="000000" w:themeColor="text1"/>
          <w:szCs w:val="21"/>
          <w:shd w:val="clear" w:color="auto" w:fill="FFFFFF" w:themeFill="background1"/>
          <w14:textFill>
            <w14:solidFill>
              <w14:schemeClr w14:val="tx1"/>
            </w14:solidFill>
          </w14:textFill>
        </w:rPr>
        <w:t>月，在验证基础上对本标准技术条款做了修改，进行了二次验证，达到了验证标准的评价指标参数可行效果。</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202</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w:t>
      </w:r>
      <w:r>
        <w:rPr>
          <w:rFonts w:hint="eastAsia" w:ascii="仿宋" w:hAnsi="仿宋" w:eastAsia="仿宋" w:cs="仿宋"/>
          <w:color w:val="000000" w:themeColor="text1"/>
          <w:szCs w:val="21"/>
          <w:shd w:val="clear" w:color="auto" w:fill="FFFFFF" w:themeFill="background1"/>
          <w14:textFill>
            <w14:solidFill>
              <w14:schemeClr w14:val="tx1"/>
            </w14:solidFill>
          </w14:textFill>
        </w:rPr>
        <w:t>年</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8</w:t>
      </w:r>
      <w:r>
        <w:rPr>
          <w:rFonts w:hint="eastAsia" w:ascii="仿宋" w:hAnsi="仿宋" w:eastAsia="仿宋" w:cs="仿宋"/>
          <w:color w:val="000000" w:themeColor="text1"/>
          <w:szCs w:val="21"/>
          <w:shd w:val="clear" w:color="auto" w:fill="FFFFFF" w:themeFill="background1"/>
          <w14:textFill>
            <w14:solidFill>
              <w14:schemeClr w14:val="tx1"/>
            </w14:solidFill>
          </w14:textFill>
        </w:rPr>
        <w:t>月，在这两次的验证基础上，通过与用户单位，以及同行企业单位多次交流沟通，基本确定了了标准草案的条款内容，对草案内容详细讨论和梳理，在此基础上形成了标准的征求意见稿。</w:t>
      </w:r>
    </w:p>
    <w:p>
      <w:pPr>
        <w:ind w:firstLine="480" w:firstLineChars="200"/>
        <w:outlineLvl w:val="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二、标准编制原则和主要内容</w:t>
      </w:r>
    </w:p>
    <w:p>
      <w:pPr>
        <w:numPr>
          <w:ilvl w:val="0"/>
          <w:numId w:val="4"/>
        </w:numPr>
        <w:outlineLvl w:val="1"/>
        <w:rPr>
          <w:rFonts w:eastAsia="仿宋"/>
          <w:b/>
          <w:bCs/>
          <w:color w:val="000000" w:themeColor="text1"/>
          <w:sz w:val="24"/>
          <w:shd w:val="clear" w:color="auto" w:fill="FFFFFF" w:themeFill="background1"/>
          <w14:textFill>
            <w14:solidFill>
              <w14:schemeClr w14:val="tx1"/>
            </w14:solidFill>
          </w14:textFill>
        </w:rPr>
      </w:pPr>
      <w:bookmarkStart w:id="0" w:name="_Hlk173159131"/>
      <w:r>
        <w:rPr>
          <w:rFonts w:eastAsia="仿宋"/>
          <w:b/>
          <w:bCs/>
          <w:color w:val="000000" w:themeColor="text1"/>
          <w:sz w:val="24"/>
          <w:shd w:val="clear" w:color="auto" w:fill="FFFFFF" w:themeFill="background1"/>
          <w14:textFill>
            <w14:solidFill>
              <w14:schemeClr w14:val="tx1"/>
            </w14:solidFill>
          </w14:textFill>
        </w:rPr>
        <w:t>编制原则</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本标准的制定符合产业发展的原则，本着先进性、科学性、合理性和可操作性的原则以及标准的目标、统一性、协调性、适用性、一致性和规范性原则来进行本标准的制定工作。本标准起草过程中，主要按GB／T 1.1《标准化工作导则 第1部分：标准化文件的结构和起草规则》和GB/T 20001.10《标准编写规则 第10部分：产品标准》进行编写。</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w:t>
      </w:r>
      <w:r>
        <w:rPr>
          <w:rFonts w:ascii="仿宋" w:hAnsi="仿宋" w:eastAsia="仿宋" w:cs="仿宋"/>
          <w:color w:val="000000" w:themeColor="text1"/>
          <w:szCs w:val="21"/>
          <w:shd w:val="clear" w:color="auto" w:fill="FFFFFF" w:themeFill="background1"/>
          <w14:textFill>
            <w14:solidFill>
              <w14:schemeClr w14:val="tx1"/>
            </w14:solidFill>
          </w14:textFill>
        </w:rPr>
        <w:t>是</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洪涝、地震、台风等灾害频发或电力系统的输配电系统的线路、杆塔、小区配电房、道路改造、交通事故等突发事件重要作业设备</w:t>
      </w:r>
      <w:r>
        <w:rPr>
          <w:rFonts w:ascii="仿宋" w:hAnsi="仿宋" w:eastAsia="仿宋" w:cs="仿宋"/>
          <w:color w:val="000000" w:themeColor="text1"/>
          <w:szCs w:val="21"/>
          <w:shd w:val="clear" w:color="auto" w:fill="FFFFFF" w:themeFill="background1"/>
          <w14:textFill>
            <w14:solidFill>
              <w14:schemeClr w14:val="tx1"/>
            </w14:solidFill>
          </w14:textFill>
        </w:rPr>
        <w:t>，</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是为施工现场提供应急照明的专业设备，是抢修、抢险作业的必要条件</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r>
        <w:rPr>
          <w:rFonts w:ascii="仿宋" w:hAnsi="仿宋" w:eastAsia="仿宋" w:cs="仿宋"/>
          <w:color w:val="000000" w:themeColor="text1"/>
          <w:szCs w:val="21"/>
          <w:shd w:val="clear" w:color="auto" w:fill="FFFFFF" w:themeFill="background1"/>
          <w14:textFill>
            <w14:solidFill>
              <w14:schemeClr w14:val="tx1"/>
            </w14:solidFill>
          </w14:textFill>
        </w:rPr>
        <w:t>同时也是一种可实现快速转运的专用车辆。因此，在编制过程中的主要参数指标要符合</w:t>
      </w:r>
      <w:r>
        <w:rPr>
          <w:rFonts w:hint="eastAsia" w:ascii="仿宋" w:hAnsi="仿宋" w:eastAsia="仿宋" w:cs="仿宋"/>
          <w:color w:val="000000" w:themeColor="text1"/>
          <w:szCs w:val="21"/>
          <w:shd w:val="clear" w:color="auto" w:fill="FFFFFF" w:themeFill="background1"/>
          <w14:textFill>
            <w14:solidFill>
              <w14:schemeClr w14:val="tx1"/>
            </w14:solidFill>
          </w14:textFill>
        </w:rPr>
        <w:t>GB 1589《汽车、挂车及汽车列车外廓尺寸、轴荷及质量限值》</w:t>
      </w:r>
      <w:r>
        <w:rPr>
          <w:rFonts w:ascii="仿宋" w:hAnsi="仿宋" w:eastAsia="仿宋" w:cs="仿宋"/>
          <w:color w:val="000000" w:themeColor="text1"/>
          <w:szCs w:val="21"/>
          <w:shd w:val="clear" w:color="auto" w:fill="FFFFFF" w:themeFill="background1"/>
          <w14:textFill>
            <w14:solidFill>
              <w14:schemeClr w14:val="tx1"/>
            </w14:solidFill>
          </w14:textFill>
        </w:rPr>
        <w:t>专用车辆的基本要求。</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w:t>
      </w:r>
      <w:r>
        <w:rPr>
          <w:rFonts w:ascii="仿宋" w:hAnsi="仿宋" w:eastAsia="仿宋" w:cs="仿宋"/>
          <w:color w:val="000000" w:themeColor="text1"/>
          <w:szCs w:val="21"/>
          <w:shd w:val="clear" w:color="auto" w:fill="FFFFFF" w:themeFill="background1"/>
          <w14:textFill>
            <w14:solidFill>
              <w14:schemeClr w14:val="tx1"/>
            </w14:solidFill>
          </w14:textFill>
        </w:rPr>
        <w:t>目前已成功进入国内各级</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应急抢险</w:t>
      </w:r>
      <w:r>
        <w:rPr>
          <w:rFonts w:ascii="仿宋" w:hAnsi="仿宋" w:eastAsia="仿宋" w:cs="仿宋"/>
          <w:color w:val="000000" w:themeColor="text1"/>
          <w:szCs w:val="21"/>
          <w:shd w:val="clear" w:color="auto" w:fill="FFFFFF" w:themeFill="background1"/>
          <w14:textFill>
            <w14:solidFill>
              <w14:schemeClr w14:val="tx1"/>
            </w14:solidFill>
          </w14:textFill>
        </w:rPr>
        <w:t>市场，标准的编写应符合行业惯例。</w:t>
      </w:r>
    </w:p>
    <w:p>
      <w:pPr>
        <w:numPr>
          <w:ilvl w:val="0"/>
          <w:numId w:val="4"/>
        </w:numPr>
        <w:outlineLvl w:val="1"/>
        <w:rPr>
          <w:rFonts w:eastAsia="仿宋"/>
          <w:b/>
          <w:bCs/>
          <w:color w:val="000000" w:themeColor="text1"/>
          <w:sz w:val="24"/>
          <w:shd w:val="clear" w:color="auto" w:fill="FFFFFF" w:themeFill="background1"/>
          <w14:textFill>
            <w14:solidFill>
              <w14:schemeClr w14:val="tx1"/>
            </w14:solidFill>
          </w14:textFill>
        </w:rPr>
      </w:pPr>
      <w:r>
        <w:rPr>
          <w:rFonts w:eastAsia="仿宋"/>
          <w:b/>
          <w:bCs/>
          <w:color w:val="000000" w:themeColor="text1"/>
          <w:sz w:val="24"/>
          <w:shd w:val="clear" w:color="auto" w:fill="FFFFFF" w:themeFill="background1"/>
          <w14:textFill>
            <w14:solidFill>
              <w14:schemeClr w14:val="tx1"/>
            </w14:solidFill>
          </w14:textFill>
        </w:rPr>
        <w:t>主要技术内容</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ascii="仿宋" w:hAnsi="仿宋" w:eastAsia="仿宋" w:cs="仿宋"/>
          <w:color w:val="000000" w:themeColor="text1"/>
          <w:szCs w:val="21"/>
          <w:shd w:val="clear" w:color="auto" w:fill="FFFFFF" w:themeFill="background1"/>
          <w14:textFill>
            <w14:solidFill>
              <w14:schemeClr w14:val="tx1"/>
            </w14:solidFill>
          </w14:textFill>
        </w:rPr>
        <w:t>本标准规定了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照明车的型式</w:t>
      </w:r>
      <w:r>
        <w:rPr>
          <w:rFonts w:hint="eastAsia" w:ascii="仿宋" w:hAnsi="仿宋" w:eastAsia="仿宋" w:cs="仿宋"/>
          <w:color w:val="000000" w:themeColor="text1"/>
          <w:szCs w:val="21"/>
          <w:shd w:val="clear" w:color="auto" w:fill="FFFFFF" w:themeFill="background1"/>
          <w14:textFill>
            <w14:solidFill>
              <w14:schemeClr w14:val="tx1"/>
            </w14:solidFill>
          </w14:textFill>
        </w:rPr>
        <w:t>、要求、试验方法、检验规则及标志、使用说明书、运输与贮存</w:t>
      </w:r>
      <w:r>
        <w:rPr>
          <w:rFonts w:ascii="仿宋" w:hAnsi="仿宋" w:eastAsia="仿宋" w:cs="仿宋"/>
          <w:color w:val="000000" w:themeColor="text1"/>
          <w:szCs w:val="21"/>
          <w:shd w:val="clear" w:color="auto" w:fill="FFFFFF" w:themeFill="background1"/>
          <w14:textFill>
            <w14:solidFill>
              <w14:schemeClr w14:val="tx1"/>
            </w14:solidFill>
          </w14:textFill>
        </w:rPr>
        <w:t>等。以下为本标准主要内容的相关说明。</w:t>
      </w:r>
    </w:p>
    <w:p>
      <w:pPr>
        <w:spacing w:line="360" w:lineRule="auto"/>
        <w:ind w:firstLine="422" w:firstLineChars="200"/>
        <w:outlineLvl w:val="2"/>
        <w:rPr>
          <w:b/>
          <w:color w:val="000000" w:themeColor="text1"/>
          <w:shd w:val="clear" w:color="auto" w:fill="FFFFFF" w:themeFill="background1"/>
          <w14:textFill>
            <w14:solidFill>
              <w14:schemeClr w14:val="tx1"/>
            </w14:solidFill>
          </w14:textFill>
        </w:rPr>
      </w:pPr>
      <w:r>
        <w:rPr>
          <w:b/>
          <w:color w:val="000000" w:themeColor="text1"/>
          <w:shd w:val="clear" w:color="auto" w:fill="FFFFFF" w:themeFill="background1"/>
          <w14:textFill>
            <w14:solidFill>
              <w14:schemeClr w14:val="tx1"/>
            </w14:solidFill>
          </w14:textFill>
        </w:rPr>
        <w:t>2.1 标准范围</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ascii="仿宋" w:hAnsi="仿宋" w:eastAsia="仿宋" w:cs="仿宋"/>
          <w:color w:val="000000" w:themeColor="text1"/>
          <w:szCs w:val="21"/>
          <w:shd w:val="clear" w:color="auto" w:fill="FFFFFF" w:themeFill="background1"/>
          <w14:textFill>
            <w14:solidFill>
              <w14:schemeClr w14:val="tx1"/>
            </w14:solidFill>
          </w14:textFill>
        </w:rPr>
        <w:t>为符合行业管理要求，依据GB/T17350中的名称定义，标准名称定为《</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w:t>
      </w:r>
      <w:r>
        <w:rPr>
          <w:rFonts w:ascii="仿宋" w:hAnsi="仿宋" w:eastAsia="仿宋" w:cs="仿宋"/>
          <w:color w:val="000000" w:themeColor="text1"/>
          <w:szCs w:val="21"/>
          <w:shd w:val="clear" w:color="auto" w:fill="FFFFFF" w:themeFill="background1"/>
          <w14:textFill>
            <w14:solidFill>
              <w14:schemeClr w14:val="tx1"/>
            </w14:solidFill>
          </w14:textFill>
        </w:rPr>
        <w:t>》，本标准适用于</w:t>
      </w:r>
      <w:r>
        <w:rPr>
          <w:rFonts w:hint="eastAsia" w:ascii="仿宋" w:hAnsi="仿宋" w:eastAsia="仿宋" w:cs="仿宋"/>
          <w:color w:val="000000" w:themeColor="text1"/>
          <w:kern w:val="2"/>
          <w:sz w:val="21"/>
          <w:szCs w:val="21"/>
          <w:shd w:val="clear" w:color="auto" w:fill="FFFFFF" w:themeFill="background1"/>
          <w:lang w:val="en-US" w:eastAsia="zh-CN" w:bidi="ar-SA"/>
          <w14:textFill>
            <w14:solidFill>
              <w14:schemeClr w14:val="tx1"/>
            </w14:solidFill>
          </w14:textFill>
        </w:rPr>
        <w:t>采用定型汽车底盘或整车改装的照明车</w:t>
      </w:r>
      <w:r>
        <w:rPr>
          <w:rFonts w:ascii="仿宋" w:hAnsi="仿宋" w:eastAsia="仿宋" w:cs="仿宋"/>
          <w:color w:val="000000" w:themeColor="text1"/>
          <w:szCs w:val="21"/>
          <w:shd w:val="clear" w:color="auto" w:fill="FFFFFF" w:themeFill="background1"/>
          <w14:textFill>
            <w14:solidFill>
              <w14:schemeClr w14:val="tx1"/>
            </w14:solidFill>
          </w14:textFill>
        </w:rPr>
        <w:t>。</w:t>
      </w:r>
    </w:p>
    <w:p>
      <w:pPr>
        <w:spacing w:line="360" w:lineRule="auto"/>
        <w:ind w:firstLine="422" w:firstLineChars="200"/>
        <w:outlineLvl w:val="2"/>
        <w:rPr>
          <w:b/>
          <w:color w:val="000000" w:themeColor="text1"/>
          <w:shd w:val="clear" w:color="auto" w:fill="FFFFFF" w:themeFill="background1"/>
          <w14:textFill>
            <w14:solidFill>
              <w14:schemeClr w14:val="tx1"/>
            </w14:solidFill>
          </w14:textFill>
        </w:rPr>
      </w:pPr>
      <w:r>
        <w:rPr>
          <w:b/>
          <w:color w:val="000000" w:themeColor="text1"/>
          <w:shd w:val="clear" w:color="auto" w:fill="FFFFFF" w:themeFill="background1"/>
          <w14:textFill>
            <w14:solidFill>
              <w14:schemeClr w14:val="tx1"/>
            </w14:solidFill>
          </w14:textFill>
        </w:rPr>
        <w:t>2.2 术语与定义</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ascii="仿宋" w:hAnsi="仿宋" w:eastAsia="仿宋" w:cs="仿宋"/>
          <w:color w:val="000000" w:themeColor="text1"/>
          <w:szCs w:val="21"/>
          <w:shd w:val="clear" w:color="auto" w:fill="FFFFFF" w:themeFill="background1"/>
          <w14:textFill>
            <w14:solidFill>
              <w14:schemeClr w14:val="tx1"/>
            </w14:solidFill>
          </w14:textFill>
        </w:rPr>
        <w:t>车在结构上设有</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发电机、升降照明系统、配电系统、输电线路等装置</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p>
    <w:p>
      <w:pPr>
        <w:spacing w:line="360" w:lineRule="auto"/>
        <w:ind w:firstLine="422" w:firstLineChars="200"/>
        <w:outlineLvl w:val="2"/>
        <w:rPr>
          <w:b/>
          <w:color w:val="000000" w:themeColor="text1"/>
          <w:shd w:val="clear" w:color="auto" w:fill="FFFFFF" w:themeFill="background1"/>
          <w14:textFill>
            <w14:solidFill>
              <w14:schemeClr w14:val="tx1"/>
            </w14:solidFill>
          </w14:textFill>
        </w:rPr>
      </w:pPr>
      <w:r>
        <w:rPr>
          <w:b/>
          <w:color w:val="000000" w:themeColor="text1"/>
          <w:shd w:val="clear" w:color="auto" w:fill="FFFFFF" w:themeFill="background1"/>
          <w14:textFill>
            <w14:solidFill>
              <w14:schemeClr w14:val="tx1"/>
            </w14:solidFill>
          </w14:textFill>
        </w:rPr>
        <w:t>2.3 技术要求</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（1）</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环境。明确了照明车的正常使用环境范围。</w:t>
      </w:r>
    </w:p>
    <w:p>
      <w:pPr>
        <w:ind w:left="360" w:firstLine="630" w:firstLineChars="300"/>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（2）</w:t>
      </w:r>
      <w:r>
        <w:rPr>
          <w:rFonts w:hint="eastAsia" w:ascii="仿宋" w:hAnsi="仿宋" w:eastAsia="仿宋" w:cs="仿宋"/>
          <w:color w:val="000000" w:themeColor="text1"/>
          <w:szCs w:val="21"/>
          <w:shd w:val="clear" w:color="auto" w:fill="FFFFFF" w:themeFill="background1"/>
          <w14:textFill>
            <w14:solidFill>
              <w14:schemeClr w14:val="tx1"/>
            </w14:solidFill>
          </w14:textFill>
        </w:rPr>
        <w:t>整车。通过引用相关国标、行标，规定了车辆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运行安全、</w:t>
      </w:r>
      <w:r>
        <w:rPr>
          <w:rFonts w:hint="eastAsia" w:ascii="仿宋" w:hAnsi="仿宋" w:eastAsia="仿宋" w:cs="仿宋"/>
          <w:color w:val="000000" w:themeColor="text1"/>
          <w:szCs w:val="21"/>
          <w:shd w:val="clear" w:color="auto" w:fill="FFFFFF" w:themeFill="background1"/>
          <w14:textFill>
            <w14:solidFill>
              <w14:schemeClr w14:val="tx1"/>
            </w14:solidFill>
          </w14:textFill>
        </w:rPr>
        <w:t>外廓尺寸、轴荷、质量</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、噪音、号牌板、防锈和防雨密封性等</w:t>
      </w:r>
      <w:r>
        <w:rPr>
          <w:rFonts w:hint="eastAsia" w:ascii="仿宋" w:hAnsi="仿宋" w:eastAsia="仿宋" w:cs="仿宋"/>
          <w:color w:val="000000" w:themeColor="text1"/>
          <w:szCs w:val="21"/>
          <w:shd w:val="clear" w:color="auto" w:fill="FFFFFF" w:themeFill="background1"/>
          <w14:textFill>
            <w14:solidFill>
              <w14:schemeClr w14:val="tx1"/>
            </w14:solidFill>
          </w14:textFill>
        </w:rPr>
        <w:t>的基本要求。</w:t>
      </w:r>
    </w:p>
    <w:p>
      <w:pPr>
        <w:ind w:left="360" w:firstLine="630" w:firstLineChars="300"/>
        <w:rPr>
          <w:rFonts w:hint="eastAsia"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（3）</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照明装置</w:t>
      </w:r>
      <w:r>
        <w:rPr>
          <w:rFonts w:hint="eastAsia" w:ascii="仿宋" w:hAnsi="仿宋" w:eastAsia="仿宋" w:cs="仿宋"/>
          <w:color w:val="000000" w:themeColor="text1"/>
          <w:szCs w:val="21"/>
          <w:shd w:val="clear" w:color="auto" w:fill="FFFFFF" w:themeFill="background1"/>
          <w14:textFill>
            <w14:solidFill>
              <w14:schemeClr w14:val="tx1"/>
            </w14:solidFill>
          </w14:textFill>
        </w:rPr>
        <w:t>。明确了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照度、耐压强度、</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升降装置的限位、抗弯性能、水平回转角、俯仰角及变角速率、光源色温、抗电压波动性能和绝缘电阻</w:t>
      </w:r>
      <w:r>
        <w:rPr>
          <w:rFonts w:hint="eastAsia" w:ascii="仿宋" w:hAnsi="仿宋" w:eastAsia="仿宋" w:cs="仿宋"/>
          <w:color w:val="000000" w:themeColor="text1"/>
          <w:szCs w:val="21"/>
          <w:shd w:val="clear" w:color="auto" w:fill="FFFFFF" w:themeFill="background1"/>
          <w14:textFill>
            <w14:solidFill>
              <w14:schemeClr w14:val="tx1"/>
            </w14:solidFill>
          </w14:textFill>
        </w:rPr>
        <w:t>的具体要求及适用标准。</w:t>
      </w:r>
    </w:p>
    <w:p>
      <w:pPr>
        <w:ind w:left="360" w:firstLine="630" w:firstLineChars="300"/>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提出对照明装置的高度，照度等的专项要求，区别电源车与照明车。</w:t>
      </w:r>
    </w:p>
    <w:p>
      <w:pPr>
        <w:ind w:left="360" w:firstLine="630" w:firstLineChars="300"/>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（4）车厢。明确了车厢的固定、骨架和焊接结构件、踏板车厢门等的</w:t>
      </w:r>
      <w:r>
        <w:rPr>
          <w:rFonts w:hint="eastAsia" w:ascii="仿宋" w:hAnsi="仿宋" w:eastAsia="仿宋" w:cs="仿宋"/>
          <w:color w:val="000000" w:themeColor="text1"/>
          <w:szCs w:val="21"/>
          <w:shd w:val="clear" w:color="auto" w:fill="FFFFFF" w:themeFill="background1"/>
          <w14:textFill>
            <w14:solidFill>
              <w14:schemeClr w14:val="tx1"/>
            </w14:solidFill>
          </w14:textFill>
        </w:rPr>
        <w:t>具体要求及适用标准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w:t>
      </w:r>
    </w:p>
    <w:p>
      <w:pPr>
        <w:ind w:left="360" w:firstLine="630" w:firstLineChars="300"/>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（5）电气系统。明确了电线布置和电气线路连接</w:t>
      </w:r>
      <w:r>
        <w:rPr>
          <w:rFonts w:hint="eastAsia" w:ascii="仿宋" w:hAnsi="仿宋" w:eastAsia="仿宋" w:cs="仿宋"/>
          <w:color w:val="000000" w:themeColor="text1"/>
          <w:szCs w:val="21"/>
          <w:shd w:val="clear" w:color="auto" w:fill="FFFFFF" w:themeFill="background1"/>
          <w14:textFill>
            <w14:solidFill>
              <w14:schemeClr w14:val="tx1"/>
            </w14:solidFill>
          </w14:textFill>
        </w:rPr>
        <w:t>的具体要求及适用标准</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w:t>
      </w:r>
    </w:p>
    <w:p>
      <w:pPr>
        <w:ind w:left="360" w:firstLine="630" w:firstLineChars="300"/>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（6）可靠性。明确了照明车可靠性要求，经100个工作周期可靠性试验后，照明车应能正常工作。</w:t>
      </w:r>
    </w:p>
    <w:p>
      <w:pPr>
        <w:spacing w:line="360" w:lineRule="auto"/>
        <w:ind w:firstLine="422" w:firstLineChars="200"/>
        <w:outlineLvl w:val="2"/>
        <w:rPr>
          <w:b/>
          <w:color w:val="000000" w:themeColor="text1"/>
          <w:shd w:val="clear" w:color="auto" w:fill="FFFFFF" w:themeFill="background1"/>
          <w14:textFill>
            <w14:solidFill>
              <w14:schemeClr w14:val="tx1"/>
            </w14:solidFill>
          </w14:textFill>
        </w:rPr>
      </w:pPr>
      <w:r>
        <w:rPr>
          <w:b/>
          <w:color w:val="000000" w:themeColor="text1"/>
          <w:shd w:val="clear" w:color="auto" w:fill="FFFFFF" w:themeFill="background1"/>
          <w14:textFill>
            <w14:solidFill>
              <w14:schemeClr w14:val="tx1"/>
            </w14:solidFill>
          </w14:textFill>
        </w:rPr>
        <w:t>2.4 试验方法</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车属于</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应急保障作业车</w:t>
      </w:r>
      <w:r>
        <w:rPr>
          <w:rFonts w:hint="eastAsia" w:ascii="仿宋" w:hAnsi="仿宋" w:eastAsia="仿宋" w:cs="仿宋"/>
          <w:color w:val="000000" w:themeColor="text1"/>
          <w:szCs w:val="21"/>
          <w:shd w:val="clear" w:color="auto" w:fill="FFFFFF" w:themeFill="background1"/>
          <w14:textFill>
            <w14:solidFill>
              <w14:schemeClr w14:val="tx1"/>
            </w14:solidFill>
          </w14:textFill>
        </w:rPr>
        <w:t>，国内多家生产厂家在其其设计、制造、安装和使用方面已积累了丰富的经验，各型号规格的</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车均已经过生产实践验证，用户遍布全国各地，反映良好。</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本标准实在结合现有国内</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车设计、生产和使用经验的基础上制定完成的，</w:t>
      </w:r>
      <w:r>
        <w:rPr>
          <w:rFonts w:ascii="仿宋" w:hAnsi="仿宋" w:eastAsia="仿宋" w:cs="仿宋"/>
          <w:color w:val="000000" w:themeColor="text1"/>
          <w:szCs w:val="21"/>
          <w:shd w:val="clear" w:color="auto" w:fill="FFFFFF" w:themeFill="background1"/>
          <w14:textFill>
            <w14:solidFill>
              <w14:schemeClr w14:val="tx1"/>
            </w14:solidFill>
          </w14:textFill>
        </w:rPr>
        <w:t>试验方法重点对专用性能试验进行了要求</w:t>
      </w:r>
      <w:r>
        <w:rPr>
          <w:rFonts w:hint="eastAsia" w:ascii="仿宋" w:hAnsi="仿宋" w:eastAsia="仿宋" w:cs="仿宋"/>
          <w:color w:val="000000" w:themeColor="text1"/>
          <w:szCs w:val="21"/>
          <w:shd w:val="clear" w:color="auto" w:fill="FFFFFF" w:themeFill="background1"/>
          <w14:textFill>
            <w14:solidFill>
              <w14:schemeClr w14:val="tx1"/>
            </w14:solidFill>
          </w14:textFill>
        </w:rPr>
        <w:t>，</w:t>
      </w:r>
      <w:r>
        <w:rPr>
          <w:rFonts w:ascii="仿宋" w:hAnsi="仿宋" w:eastAsia="仿宋" w:cs="仿宋"/>
          <w:color w:val="000000" w:themeColor="text1"/>
          <w:szCs w:val="21"/>
          <w:shd w:val="clear" w:color="auto" w:fill="FFFFFF" w:themeFill="background1"/>
          <w14:textFill>
            <w14:solidFill>
              <w14:schemeClr w14:val="tx1"/>
            </w14:solidFill>
          </w14:textFill>
        </w:rPr>
        <w:t>其中</w:t>
      </w:r>
      <w:r>
        <w:rPr>
          <w:rFonts w:hint="eastAsia" w:ascii="仿宋" w:hAnsi="仿宋" w:eastAsia="仿宋" w:cs="仿宋"/>
          <w:color w:val="000000" w:themeColor="text1"/>
          <w:szCs w:val="21"/>
          <w:shd w:val="clear" w:color="auto" w:fill="FFFFFF" w:themeFill="background1"/>
          <w14:textFill>
            <w14:solidFill>
              <w14:schemeClr w14:val="tx1"/>
            </w14:solidFill>
          </w14:textFill>
        </w:rPr>
        <w:t>包括</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照度、耐压强度、</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升降装置的限位、抗弯性能、水平回转角、俯仰角及变角速率、光源色温、抗电压波动性能和绝缘电阻性能</w:t>
      </w:r>
      <w:r>
        <w:rPr>
          <w:rFonts w:hint="eastAsia" w:ascii="仿宋" w:hAnsi="仿宋" w:eastAsia="仿宋" w:cs="仿宋"/>
          <w:color w:val="000000" w:themeColor="text1"/>
          <w:szCs w:val="21"/>
          <w:shd w:val="clear" w:color="auto" w:fill="FFFFFF" w:themeFill="background1"/>
          <w14:textFill>
            <w14:solidFill>
              <w14:schemeClr w14:val="tx1"/>
            </w14:solidFill>
          </w14:textFill>
        </w:rPr>
        <w:t>试验</w:t>
      </w:r>
      <w:r>
        <w:rPr>
          <w:rFonts w:ascii="仿宋" w:hAnsi="仿宋" w:eastAsia="仿宋" w:cs="仿宋"/>
          <w:color w:val="000000" w:themeColor="text1"/>
          <w:szCs w:val="21"/>
          <w:shd w:val="clear" w:color="auto" w:fill="FFFFFF" w:themeFill="background1"/>
          <w14:textFill>
            <w14:solidFill>
              <w14:schemeClr w14:val="tx1"/>
            </w14:solidFill>
          </w14:textFill>
        </w:rPr>
        <w:t>。</w:t>
      </w:r>
      <w:r>
        <w:rPr>
          <w:rFonts w:hint="eastAsia" w:ascii="仿宋" w:hAnsi="仿宋" w:eastAsia="仿宋" w:cs="仿宋"/>
          <w:color w:val="000000" w:themeColor="text1"/>
          <w:szCs w:val="21"/>
          <w:shd w:val="clear" w:color="auto" w:fill="FFFFFF" w:themeFill="background1"/>
          <w14:textFill>
            <w14:solidFill>
              <w14:schemeClr w14:val="tx1"/>
            </w14:solidFill>
          </w14:textFill>
        </w:rPr>
        <w:t>起草单位通过对</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照明</w:t>
      </w:r>
      <w:r>
        <w:rPr>
          <w:rFonts w:hint="eastAsia" w:ascii="仿宋" w:hAnsi="仿宋" w:eastAsia="仿宋" w:cs="仿宋"/>
          <w:color w:val="000000" w:themeColor="text1"/>
          <w:szCs w:val="21"/>
          <w:shd w:val="clear" w:color="auto" w:fill="FFFFFF" w:themeFill="background1"/>
          <w14:textFill>
            <w14:solidFill>
              <w14:schemeClr w14:val="tx1"/>
            </w14:solidFill>
          </w14:textFill>
        </w:rPr>
        <w:t>车进行出厂检验、现场试验以及用户的现场使用，证明了本标准规定的主要技术指标和技术要求是合理先进，又切实可行的。</w:t>
      </w:r>
    </w:p>
    <w:p>
      <w:pPr>
        <w:spacing w:line="360" w:lineRule="auto"/>
        <w:ind w:firstLine="422" w:firstLineChars="200"/>
        <w:outlineLvl w:val="2"/>
        <w:rPr>
          <w:b/>
          <w:color w:val="000000" w:themeColor="text1"/>
          <w:shd w:val="clear" w:color="auto" w:fill="FFFFFF" w:themeFill="background1"/>
          <w14:textFill>
            <w14:solidFill>
              <w14:schemeClr w14:val="tx1"/>
            </w14:solidFill>
          </w14:textFill>
        </w:rPr>
      </w:pPr>
      <w:r>
        <w:rPr>
          <w:b/>
          <w:color w:val="000000" w:themeColor="text1"/>
          <w:shd w:val="clear" w:color="auto" w:fill="FFFFFF" w:themeFill="background1"/>
          <w14:textFill>
            <w14:solidFill>
              <w14:schemeClr w14:val="tx1"/>
            </w14:solidFill>
          </w14:textFill>
        </w:rPr>
        <w:t>2.5 检验规则</w:t>
      </w:r>
    </w:p>
    <w:p>
      <w:pPr>
        <w:ind w:left="360" w:firstLine="630" w:firstLineChars="300"/>
        <w:rPr>
          <w:rFonts w:ascii="仿宋" w:hAnsi="仿宋" w:eastAsia="仿宋" w:cs="仿宋"/>
          <w:color w:val="000000" w:themeColor="text1"/>
          <w:szCs w:val="21"/>
          <w:shd w:val="clear" w:color="auto" w:fill="FFFFFF" w:themeFill="background1"/>
          <w14:textFill>
            <w14:solidFill>
              <w14:schemeClr w14:val="tx1"/>
            </w14:solidFill>
          </w14:textFill>
        </w:rPr>
      </w:pPr>
      <w:r>
        <w:rPr>
          <w:rFonts w:ascii="仿宋" w:hAnsi="仿宋" w:eastAsia="仿宋" w:cs="仿宋"/>
          <w:color w:val="000000" w:themeColor="text1"/>
          <w:szCs w:val="21"/>
          <w:shd w:val="clear" w:color="auto" w:fill="FFFFFF" w:themeFill="background1"/>
          <w14:textFill>
            <w14:solidFill>
              <w14:schemeClr w14:val="tx1"/>
            </w14:solidFill>
          </w14:textFill>
        </w:rPr>
        <w:t>根据标准中的技术要求和试验方法，给出了本标准型式检验、出厂检验对应的检验项目和检验内容。</w:t>
      </w:r>
      <w:bookmarkEnd w:id="0"/>
    </w:p>
    <w:p>
      <w:pPr>
        <w:ind w:firstLine="480" w:firstLineChars="200"/>
        <w:outlineLvl w:val="0"/>
        <w:rPr>
          <w:rFonts w:ascii="黑体" w:hAnsi="黑体" w:eastAsia="黑体" w:cs="黑体"/>
          <w:color w:val="000000" w:themeColor="text1"/>
          <w:sz w:val="30"/>
          <w:szCs w:val="30"/>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三、采用国际标准和国外先进标准情况</w:t>
      </w:r>
    </w:p>
    <w:p>
      <w:pPr>
        <w:ind w:firstLine="840" w:firstLineChars="400"/>
        <w:rPr>
          <w:rFonts w:ascii="仿宋" w:hAnsi="仿宋" w:eastAsia="仿宋"/>
          <w:color w:val="000000" w:themeColor="text1"/>
          <w:sz w:val="24"/>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本标准制定过程中未采标国际、国外标准。</w:t>
      </w:r>
    </w:p>
    <w:p>
      <w:pPr>
        <w:ind w:firstLine="480" w:firstLineChars="20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四、主要关键指标及试验验证情况</w:t>
      </w:r>
    </w:p>
    <w:p>
      <w:pPr>
        <w:numPr>
          <w:ilvl w:val="0"/>
          <w:numId w:val="5"/>
        </w:numPr>
        <w:outlineLvl w:val="1"/>
        <w:rPr>
          <w:rFonts w:eastAsia="仿宋"/>
          <w:b/>
          <w:bCs/>
          <w:color w:val="000000" w:themeColor="text1"/>
          <w:sz w:val="24"/>
          <w:shd w:val="clear" w:color="auto" w:fill="FFFFFF" w:themeFill="background1"/>
          <w14:textFill>
            <w14:solidFill>
              <w14:schemeClr w14:val="tx1"/>
            </w14:solidFill>
          </w14:textFill>
        </w:rPr>
      </w:pPr>
      <w:r>
        <w:rPr>
          <w:rFonts w:eastAsia="仿宋"/>
          <w:b/>
          <w:bCs/>
          <w:color w:val="000000" w:themeColor="text1"/>
          <w:sz w:val="24"/>
          <w:shd w:val="clear" w:color="auto" w:fill="FFFFFF" w:themeFill="background1"/>
          <w14:textFill>
            <w14:solidFill>
              <w14:schemeClr w14:val="tx1"/>
            </w14:solidFill>
          </w14:textFill>
        </w:rPr>
        <w:t>工作可靠度</w:t>
      </w:r>
      <w:r>
        <w:rPr>
          <w:rFonts w:hint="eastAsia" w:eastAsia="仿宋"/>
          <w:b/>
          <w:bCs/>
          <w:color w:val="000000" w:themeColor="text1"/>
          <w:sz w:val="24"/>
          <w:shd w:val="clear" w:color="auto" w:fill="FFFFFF" w:themeFill="background1"/>
          <w14:textFill>
            <w14:solidFill>
              <w14:schemeClr w14:val="tx1"/>
            </w14:solidFill>
          </w14:textFill>
        </w:rPr>
        <w:t>试验</w:t>
      </w:r>
    </w:p>
    <w:p>
      <w:pPr>
        <w:ind w:firstLine="840" w:firstLineChars="4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车辆停稳，启动发电机组，照明系统的升降装置从行车状态升至最高点，开启照明灯，照明灯头按要求规定的水平回转角度和俯仰角度范围回转和俯仰一周后返回初始位置，关闭照明灯，升降装置再降落至初始状态，完成上述动作作为一个工作周期，连续循环进行100次工作周期</w:t>
      </w:r>
      <w:r>
        <w:rPr>
          <w:rFonts w:hint="eastAsia" w:ascii="仿宋" w:hAnsi="仿宋" w:eastAsia="仿宋" w:cs="仿宋"/>
          <w:color w:val="000000" w:themeColor="text1"/>
          <w:szCs w:val="21"/>
          <w:shd w:val="clear" w:color="auto" w:fill="FFFFFF" w:themeFill="background1"/>
          <w14:textFill>
            <w14:solidFill>
              <w14:schemeClr w14:val="tx1"/>
            </w14:solidFill>
          </w14:textFill>
        </w:rPr>
        <w:t>。按照循环次数统计</w:t>
      </w:r>
      <w:r>
        <w:rPr>
          <w:rFonts w:ascii="仿宋" w:hAnsi="仿宋" w:eastAsia="仿宋" w:cs="仿宋"/>
          <w:color w:val="000000" w:themeColor="text1"/>
          <w:szCs w:val="21"/>
          <w:shd w:val="clear" w:color="auto" w:fill="FFFFFF" w:themeFill="background1"/>
          <w14:textFill>
            <w14:solidFill>
              <w14:schemeClr w14:val="tx1"/>
            </w14:solidFill>
          </w14:textFill>
        </w:rPr>
        <w:t>故障时间和工作时间，得出</w:t>
      </w:r>
      <w:r>
        <w:rPr>
          <w:rFonts w:hint="eastAsia" w:ascii="仿宋" w:hAnsi="仿宋" w:eastAsia="仿宋" w:cs="仿宋"/>
          <w:color w:val="000000" w:themeColor="text1"/>
          <w:szCs w:val="21"/>
          <w:shd w:val="clear" w:color="auto" w:fill="FFFFFF" w:themeFill="background1"/>
          <w14:textFill>
            <w14:solidFill>
              <w14:schemeClr w14:val="tx1"/>
            </w14:solidFill>
          </w14:textFill>
        </w:rPr>
        <w:t>工作</w:t>
      </w:r>
      <w:r>
        <w:rPr>
          <w:rFonts w:ascii="仿宋" w:hAnsi="仿宋" w:eastAsia="仿宋" w:cs="仿宋"/>
          <w:color w:val="000000" w:themeColor="text1"/>
          <w:szCs w:val="21"/>
          <w:shd w:val="clear" w:color="auto" w:fill="FFFFFF" w:themeFill="background1"/>
          <w14:textFill>
            <w14:solidFill>
              <w14:schemeClr w14:val="tx1"/>
            </w14:solidFill>
          </w14:textFill>
        </w:rPr>
        <w:t>可靠度指标</w:t>
      </w:r>
      <w:r>
        <w:rPr>
          <w:rFonts w:hint="eastAsia" w:ascii="仿宋" w:hAnsi="仿宋" w:eastAsia="仿宋" w:cs="仿宋"/>
          <w:color w:val="000000" w:themeColor="text1"/>
          <w:szCs w:val="21"/>
          <w:shd w:val="clear" w:color="auto" w:fill="FFFFFF" w:themeFill="background1"/>
          <w14:textFill>
            <w14:solidFill>
              <w14:schemeClr w14:val="tx1"/>
            </w14:solidFill>
          </w14:textFill>
        </w:rPr>
        <w:t>为</w:t>
      </w:r>
      <w:r>
        <w:rPr>
          <w:rFonts w:hint="eastAsia" w:ascii="仿宋" w:hAnsi="仿宋" w:eastAsia="仿宋" w:cs="仿宋"/>
          <w:color w:val="000000" w:themeColor="text1"/>
          <w:szCs w:val="21"/>
          <w:shd w:val="clear" w:color="auto" w:fill="FFFFFF" w:themeFill="background1"/>
          <w:lang w:val="en-US" w:eastAsia="zh-CN"/>
          <w14:textFill>
            <w14:solidFill>
              <w14:schemeClr w14:val="tx1"/>
            </w14:solidFill>
          </w14:textFill>
        </w:rPr>
        <w:t>95.7</w:t>
      </w:r>
      <w:r>
        <w:rPr>
          <w:rFonts w:ascii="仿宋" w:hAnsi="仿宋" w:eastAsia="仿宋" w:cs="仿宋"/>
          <w:color w:val="000000" w:themeColor="text1"/>
          <w:szCs w:val="21"/>
          <w:shd w:val="clear" w:color="auto" w:fill="FFFFFF" w:themeFill="background1"/>
          <w14:textFill>
            <w14:solidFill>
              <w14:schemeClr w14:val="tx1"/>
            </w14:solidFill>
          </w14:textFill>
        </w:rPr>
        <w:t>%</w:t>
      </w:r>
      <w:r>
        <w:rPr>
          <w:rFonts w:hint="eastAsia" w:ascii="仿宋" w:hAnsi="仿宋" w:eastAsia="仿宋" w:cs="仿宋"/>
          <w:color w:val="000000" w:themeColor="text1"/>
          <w:szCs w:val="21"/>
          <w:shd w:val="clear" w:color="auto" w:fill="FFFFFF" w:themeFill="background1"/>
          <w14:textFill>
            <w14:solidFill>
              <w14:schemeClr w14:val="tx1"/>
            </w14:solidFill>
          </w14:textFill>
        </w:rPr>
        <w:t>，如图1、表1所示。</w:t>
      </w:r>
    </w:p>
    <w:p>
      <w:pPr>
        <w:jc w:val="left"/>
        <w:rPr>
          <w:rFonts w:eastAsia="仿宋"/>
          <w:color w:val="000000" w:themeColor="text1"/>
          <w:sz w:val="18"/>
          <w:szCs w:val="21"/>
          <w:shd w:val="clear" w:color="auto" w:fill="FFFFFF" w:themeFill="background1"/>
          <w14:textFill>
            <w14:solidFill>
              <w14:schemeClr w14:val="tx1"/>
            </w14:solidFill>
          </w14:textFill>
        </w:rPr>
      </w:pPr>
      <w:r>
        <w:drawing>
          <wp:inline distT="0" distB="0" distL="114300" distR="114300">
            <wp:extent cx="2122170" cy="1422400"/>
            <wp:effectExtent l="0" t="0" r="1143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2122170" cy="1422400"/>
                    </a:xfrm>
                    <a:prstGeom prst="rect">
                      <a:avLst/>
                    </a:prstGeom>
                    <a:noFill/>
                    <a:ln>
                      <a:noFill/>
                    </a:ln>
                  </pic:spPr>
                </pic:pic>
              </a:graphicData>
            </a:graphic>
          </wp:inline>
        </w:drawing>
      </w:r>
      <w:r>
        <w:rPr>
          <w:rFonts w:hint="eastAsia" w:eastAsia="仿宋"/>
          <w:color w:val="000000" w:themeColor="text1"/>
          <w:sz w:val="18"/>
          <w:szCs w:val="21"/>
          <w:shd w:val="clear" w:color="auto" w:fill="FFFFFF" w:themeFill="background1"/>
          <w14:textFill>
            <w14:solidFill>
              <w14:schemeClr w14:val="tx1"/>
            </w14:solidFill>
          </w14:textFill>
        </w:rPr>
        <w:t xml:space="preserve"> </w:t>
      </w:r>
      <w:r>
        <w:drawing>
          <wp:inline distT="0" distB="0" distL="114300" distR="114300">
            <wp:extent cx="1121410" cy="1424940"/>
            <wp:effectExtent l="0" t="0" r="254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1121410" cy="1424940"/>
                    </a:xfrm>
                    <a:prstGeom prst="rect">
                      <a:avLst/>
                    </a:prstGeom>
                    <a:noFill/>
                    <a:ln>
                      <a:noFill/>
                    </a:ln>
                  </pic:spPr>
                </pic:pic>
              </a:graphicData>
            </a:graphic>
          </wp:inline>
        </w:drawing>
      </w:r>
      <w:r>
        <w:rPr>
          <w:rFonts w:eastAsia="仿宋"/>
          <w:color w:val="000000" w:themeColor="text1"/>
          <w:sz w:val="18"/>
          <w:szCs w:val="21"/>
          <w:shd w:val="clear" w:color="auto" w:fill="FFFFFF" w:themeFill="background1"/>
          <w14:textFill>
            <w14:solidFill>
              <w14:schemeClr w14:val="tx1"/>
            </w14:solidFill>
          </w14:textFill>
        </w:rPr>
        <w:t xml:space="preserve"> </w:t>
      </w:r>
      <w:r>
        <w:drawing>
          <wp:inline distT="0" distB="0" distL="114300" distR="114300">
            <wp:extent cx="1072515" cy="1417955"/>
            <wp:effectExtent l="0" t="0" r="1333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1072515" cy="1417955"/>
                    </a:xfrm>
                    <a:prstGeom prst="rect">
                      <a:avLst/>
                    </a:prstGeom>
                    <a:noFill/>
                    <a:ln>
                      <a:noFill/>
                    </a:ln>
                  </pic:spPr>
                </pic:pic>
              </a:graphicData>
            </a:graphic>
          </wp:inline>
        </w:drawing>
      </w:r>
    </w:p>
    <w:p>
      <w:pPr>
        <w:jc w:val="center"/>
        <w:rPr>
          <w:rFonts w:eastAsia="仿宋"/>
          <w:color w:val="000000" w:themeColor="text1"/>
          <w:sz w:val="18"/>
          <w:szCs w:val="21"/>
          <w:shd w:val="clear" w:color="auto" w:fill="FFFFFF" w:themeFill="background1"/>
          <w14:textFill>
            <w14:solidFill>
              <w14:schemeClr w14:val="tx1"/>
            </w14:solidFill>
          </w14:textFill>
        </w:rPr>
      </w:pPr>
      <w:r>
        <w:rPr>
          <w:rFonts w:hint="eastAsia" w:eastAsia="仿宋"/>
          <w:color w:val="000000" w:themeColor="text1"/>
          <w:sz w:val="18"/>
          <w:szCs w:val="21"/>
          <w:shd w:val="clear" w:color="auto" w:fill="FFFFFF" w:themeFill="background1"/>
          <w14:textFill>
            <w14:solidFill>
              <w14:schemeClr w14:val="tx1"/>
            </w14:solidFill>
          </w14:textFill>
        </w:rPr>
        <w:t>图1 厂内试验</w:t>
      </w:r>
    </w:p>
    <w:p>
      <w:pPr>
        <w:numPr>
          <w:ilvl w:val="0"/>
          <w:numId w:val="5"/>
        </w:numPr>
        <w:outlineLvl w:val="1"/>
        <w:rPr>
          <w:rFonts w:eastAsia="仿宋"/>
          <w:b/>
          <w:bCs/>
          <w:color w:val="000000" w:themeColor="text1"/>
          <w:sz w:val="24"/>
          <w:shd w:val="clear" w:color="auto" w:fill="FFFFFF" w:themeFill="background1"/>
          <w14:textFill>
            <w14:solidFill>
              <w14:schemeClr w14:val="tx1"/>
            </w14:solidFill>
          </w14:textFill>
        </w:rPr>
      </w:pPr>
      <w:r>
        <w:rPr>
          <w:rFonts w:hint="eastAsia" w:eastAsia="仿宋"/>
          <w:b/>
          <w:bCs/>
          <w:color w:val="000000" w:themeColor="text1"/>
          <w:sz w:val="24"/>
          <w:shd w:val="clear" w:color="auto" w:fill="FFFFFF" w:themeFill="background1"/>
          <w14:textFill>
            <w14:solidFill>
              <w14:schemeClr w14:val="tx1"/>
            </w14:solidFill>
          </w14:textFill>
        </w:rPr>
        <w:t>作业参数验证</w:t>
      </w:r>
    </w:p>
    <w:p>
      <w:pPr>
        <w:ind w:firstLine="840" w:firstLineChars="400"/>
        <w:rPr>
          <w:rFonts w:eastAsia="仿宋"/>
          <w:color w:val="000000" w:themeColor="text1"/>
          <w:sz w:val="18"/>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联合用户进行现场使用，证明本标准规定的主要技术指标切实可行。</w:t>
      </w:r>
      <w:r>
        <w:rPr>
          <w:rFonts w:ascii="仿宋" w:hAnsi="仿宋" w:eastAsia="仿宋" w:cs="仿宋"/>
          <w:color w:val="000000" w:themeColor="text1"/>
          <w:szCs w:val="21"/>
          <w:shd w:val="clear" w:color="auto" w:fill="FFFFFF" w:themeFill="background1"/>
          <w14:textFill>
            <w14:solidFill>
              <w14:schemeClr w14:val="tx1"/>
            </w14:solidFill>
          </w14:textFill>
        </w:rPr>
        <w:t>如图</w:t>
      </w:r>
      <w:r>
        <w:rPr>
          <w:rFonts w:hint="eastAsia" w:ascii="仿宋" w:hAnsi="仿宋" w:eastAsia="仿宋" w:cs="仿宋"/>
          <w:color w:val="000000" w:themeColor="text1"/>
          <w:szCs w:val="21"/>
          <w:shd w:val="clear" w:color="auto" w:fill="FFFFFF" w:themeFill="background1"/>
          <w14:textFill>
            <w14:solidFill>
              <w14:schemeClr w14:val="tx1"/>
            </w14:solidFill>
          </w14:textFill>
        </w:rPr>
        <w:t>2所示</w:t>
      </w:r>
      <w:r>
        <w:rPr>
          <w:rFonts w:ascii="仿宋" w:hAnsi="仿宋" w:eastAsia="仿宋" w:cs="仿宋"/>
          <w:color w:val="000000" w:themeColor="text1"/>
          <w:szCs w:val="21"/>
          <w:shd w:val="clear" w:color="auto" w:fill="FFFFFF" w:themeFill="background1"/>
          <w14:textFill>
            <w14:solidFill>
              <w14:schemeClr w14:val="tx1"/>
            </w14:solidFill>
          </w14:textFill>
        </w:rPr>
        <w:t>。</w:t>
      </w:r>
    </w:p>
    <w:p>
      <w:pPr>
        <w:rPr>
          <w:rFonts w:eastAsia="仿宋"/>
          <w:i/>
          <w:color w:val="000000" w:themeColor="text1"/>
          <w:szCs w:val="21"/>
          <w:shd w:val="clear" w:color="auto" w:fill="FFFFFF" w:themeFill="background1"/>
          <w14:textFill>
            <w14:solidFill>
              <w14:schemeClr w14:val="tx1"/>
            </w14:solidFill>
          </w14:textFill>
        </w:rPr>
      </w:pPr>
      <w:r>
        <w:rPr>
          <w:color w:val="000000" w:themeColor="text1"/>
          <w:shd w:val="clear" w:color="auto" w:fill="FFFFFF" w:themeFill="background1"/>
          <w14:textFill>
            <w14:solidFill>
              <w14:schemeClr w14:val="tx1"/>
            </w14:solidFill>
          </w14:textFill>
        </w:rPr>
        <w:t xml:space="preserve">     </w:t>
      </w:r>
      <w:r>
        <w:drawing>
          <wp:inline distT="0" distB="0" distL="114300" distR="114300">
            <wp:extent cx="1028065" cy="1829435"/>
            <wp:effectExtent l="0" t="0" r="635" b="184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a:off x="0" y="0"/>
                      <a:ext cx="1028065" cy="1829435"/>
                    </a:xfrm>
                    <a:prstGeom prst="rect">
                      <a:avLst/>
                    </a:prstGeom>
                    <a:noFill/>
                    <a:ln>
                      <a:noFill/>
                    </a:ln>
                  </pic:spPr>
                </pic:pic>
              </a:graphicData>
            </a:graphic>
          </wp:inline>
        </w:drawing>
      </w:r>
      <w:r>
        <w:rPr>
          <w:rFonts w:hint="eastAsia"/>
          <w:lang w:val="en-US" w:eastAsia="zh-CN"/>
        </w:rPr>
        <w:t xml:space="preserve"> </w:t>
      </w:r>
      <w:bookmarkStart w:id="4" w:name="_GoBack"/>
      <w:bookmarkEnd w:id="4"/>
      <w:r>
        <w:drawing>
          <wp:inline distT="0" distB="0" distL="114300" distR="114300">
            <wp:extent cx="1722120" cy="1840865"/>
            <wp:effectExtent l="0" t="0" r="1143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1722120" cy="1840865"/>
                    </a:xfrm>
                    <a:prstGeom prst="rect">
                      <a:avLst/>
                    </a:prstGeom>
                    <a:noFill/>
                    <a:ln>
                      <a:noFill/>
                    </a:ln>
                  </pic:spPr>
                </pic:pic>
              </a:graphicData>
            </a:graphic>
          </wp:inline>
        </w:drawing>
      </w:r>
    </w:p>
    <w:p>
      <w:pPr>
        <w:ind w:firstLine="720" w:firstLineChars="400"/>
        <w:jc w:val="center"/>
        <w:rPr>
          <w:rFonts w:eastAsia="仿宋"/>
          <w:color w:val="000000" w:themeColor="text1"/>
          <w:sz w:val="18"/>
          <w:szCs w:val="21"/>
          <w:shd w:val="clear" w:color="auto" w:fill="FFFFFF" w:themeFill="background1"/>
          <w14:textFill>
            <w14:solidFill>
              <w14:schemeClr w14:val="tx1"/>
            </w14:solidFill>
          </w14:textFill>
        </w:rPr>
      </w:pPr>
      <w:r>
        <w:rPr>
          <w:rFonts w:hint="eastAsia" w:eastAsia="仿宋"/>
          <w:color w:val="000000" w:themeColor="text1"/>
          <w:sz w:val="18"/>
          <w:szCs w:val="21"/>
          <w:shd w:val="clear" w:color="auto" w:fill="FFFFFF" w:themeFill="background1"/>
          <w14:textFill>
            <w14:solidFill>
              <w14:schemeClr w14:val="tx1"/>
            </w14:solidFill>
          </w14:textFill>
        </w:rPr>
        <w:t>图</w:t>
      </w:r>
      <w:r>
        <w:rPr>
          <w:rFonts w:eastAsia="仿宋"/>
          <w:color w:val="000000" w:themeColor="text1"/>
          <w:sz w:val="18"/>
          <w:szCs w:val="21"/>
          <w:shd w:val="clear" w:color="auto" w:fill="FFFFFF" w:themeFill="background1"/>
          <w14:textFill>
            <w14:solidFill>
              <w14:schemeClr w14:val="tx1"/>
            </w14:solidFill>
          </w14:textFill>
        </w:rPr>
        <w:t xml:space="preserve">2 </w:t>
      </w:r>
      <w:r>
        <w:rPr>
          <w:rFonts w:hint="eastAsia" w:eastAsia="仿宋"/>
          <w:color w:val="000000" w:themeColor="text1"/>
          <w:sz w:val="18"/>
          <w:szCs w:val="21"/>
          <w:shd w:val="clear" w:color="auto" w:fill="FFFFFF" w:themeFill="background1"/>
          <w14:textFill>
            <w14:solidFill>
              <w14:schemeClr w14:val="tx1"/>
            </w14:solidFill>
          </w14:textFill>
        </w:rPr>
        <w:t>用户使用</w:t>
      </w:r>
    </w:p>
    <w:p>
      <w:pPr>
        <w:ind w:firstLine="720" w:firstLineChars="400"/>
        <w:jc w:val="center"/>
        <w:rPr>
          <w:rFonts w:eastAsia="仿宋"/>
          <w:color w:val="000000" w:themeColor="text1"/>
          <w:sz w:val="18"/>
          <w:szCs w:val="21"/>
          <w:shd w:val="clear" w:color="auto" w:fill="FFFFFF" w:themeFill="background1"/>
          <w14:textFill>
            <w14:solidFill>
              <w14:schemeClr w14:val="tx1"/>
            </w14:solidFill>
          </w14:textFill>
        </w:rPr>
      </w:pPr>
      <w:r>
        <w:rPr>
          <w:rFonts w:hint="eastAsia" w:eastAsia="仿宋"/>
          <w:color w:val="000000" w:themeColor="text1"/>
          <w:sz w:val="18"/>
          <w:szCs w:val="21"/>
          <w:shd w:val="clear" w:color="auto" w:fill="FFFFFF" w:themeFill="background1"/>
          <w14:textFill>
            <w14:solidFill>
              <w14:schemeClr w14:val="tx1"/>
            </w14:solidFill>
          </w14:textFill>
        </w:rPr>
        <w:t>表1</w:t>
      </w:r>
      <w:r>
        <w:rPr>
          <w:rFonts w:eastAsia="仿宋"/>
          <w:color w:val="000000" w:themeColor="text1"/>
          <w:sz w:val="18"/>
          <w:szCs w:val="21"/>
          <w:shd w:val="clear" w:color="auto" w:fill="FFFFFF" w:themeFill="background1"/>
          <w14:textFill>
            <w14:solidFill>
              <w14:schemeClr w14:val="tx1"/>
            </w14:solidFill>
          </w14:textFill>
        </w:rPr>
        <w:t xml:space="preserve"> </w:t>
      </w:r>
      <w:r>
        <w:rPr>
          <w:rFonts w:hint="eastAsia" w:eastAsia="仿宋"/>
          <w:color w:val="000000" w:themeColor="text1"/>
          <w:sz w:val="18"/>
          <w:szCs w:val="21"/>
          <w:shd w:val="clear" w:color="auto" w:fill="FFFFFF" w:themeFill="background1"/>
          <w14:textFill>
            <w14:solidFill>
              <w14:schemeClr w14:val="tx1"/>
            </w14:solidFill>
          </w14:textFill>
        </w:rPr>
        <w:t>试验数据</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9"/>
        <w:gridCol w:w="1616"/>
        <w:gridCol w:w="1171"/>
        <w:gridCol w:w="1244"/>
        <w:gridCol w:w="1207"/>
        <w:gridCol w:w="1185"/>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日期</w:t>
            </w:r>
          </w:p>
        </w:tc>
        <w:tc>
          <w:tcPr>
            <w:tcW w:w="948"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试验工况</w:t>
            </w:r>
          </w:p>
        </w:tc>
        <w:tc>
          <w:tcPr>
            <w:tcW w:w="687"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开始时间—结束时间</w:t>
            </w:r>
          </w:p>
        </w:tc>
        <w:tc>
          <w:tcPr>
            <w:tcW w:w="730"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试验时长</w:t>
            </w:r>
          </w:p>
        </w:tc>
        <w:tc>
          <w:tcPr>
            <w:tcW w:w="708"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完整循环次数</w:t>
            </w:r>
          </w:p>
        </w:tc>
        <w:tc>
          <w:tcPr>
            <w:tcW w:w="695"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故障内容描述</w:t>
            </w:r>
          </w:p>
        </w:tc>
        <w:tc>
          <w:tcPr>
            <w:tcW w:w="657"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修复故障时间h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Merge w:val="restart"/>
            <w:vAlign w:val="center"/>
          </w:tcPr>
          <w:p>
            <w:pPr>
              <w:pStyle w:val="2"/>
              <w:spacing w:line="360" w:lineRule="exact"/>
              <w:jc w:val="center"/>
              <w:rPr>
                <w:rFonts w:hint="default" w:ascii="Times New Roman" w:hAnsi="Times New Roman" w:eastAsia="宋体" w:cs="Times New Roman"/>
                <w:color w:val="000000" w:themeColor="text1"/>
                <w:sz w:val="18"/>
                <w:shd w:val="clear" w:color="auto" w:fill="FFFFFF" w:themeFill="background1"/>
                <w:lang w:val="en-US" w:eastAsia="zh-CN"/>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2</w:t>
            </w:r>
            <w:r>
              <w:rPr>
                <w:rFonts w:ascii="Times New Roman" w:hAnsi="Times New Roman" w:cs="Times New Roman"/>
                <w:color w:val="000000" w:themeColor="text1"/>
                <w:sz w:val="18"/>
                <w:shd w:val="clear" w:color="auto" w:fill="FFFFFF" w:themeFill="background1"/>
                <w14:textFill>
                  <w14:solidFill>
                    <w14:schemeClr w14:val="tx1"/>
                  </w14:solidFill>
                </w14:textFill>
              </w:rPr>
              <w:t>024/</w:t>
            </w: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8</w:t>
            </w:r>
            <w:r>
              <w:rPr>
                <w:rFonts w:ascii="Times New Roman" w:hAnsi="Times New Roman" w:cs="Times New Roman"/>
                <w:color w:val="000000" w:themeColor="text1"/>
                <w:sz w:val="18"/>
                <w:shd w:val="clear" w:color="auto" w:fill="FFFFFF" w:themeFill="background1"/>
                <w14:textFill>
                  <w14:solidFill>
                    <w14:schemeClr w14:val="tx1"/>
                  </w14:solidFill>
                </w14:textFill>
              </w:rPr>
              <w:t>/</w:t>
            </w: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16</w:t>
            </w:r>
          </w:p>
        </w:tc>
        <w:tc>
          <w:tcPr>
            <w:tcW w:w="948" w:type="pct"/>
            <w:vAlign w:val="center"/>
          </w:tcPr>
          <w:p>
            <w:pPr>
              <w:pStyle w:val="2"/>
              <w:spacing w:line="360" w:lineRule="exact"/>
              <w:jc w:val="center"/>
              <w:rPr>
                <w:rFonts w:hint="default" w:ascii="Times New Roman" w:hAnsi="Times New Roman" w:eastAsia="宋体" w:cs="Times New Roman"/>
                <w:color w:val="000000" w:themeColor="text1"/>
                <w:sz w:val="18"/>
                <w:shd w:val="clear" w:color="auto" w:fill="FFFFFF" w:themeFill="background1"/>
                <w:lang w:val="en-US" w:eastAsia="zh-CN"/>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升降装置升降动作</w:t>
            </w:r>
          </w:p>
        </w:tc>
        <w:tc>
          <w:tcPr>
            <w:tcW w:w="687" w:type="pct"/>
            <w:vMerge w:val="restar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8:</w:t>
            </w:r>
            <w:r>
              <w:rPr>
                <w:rFonts w:ascii="Times New Roman" w:hAnsi="Times New Roman" w:cs="Times New Roman"/>
                <w:color w:val="000000" w:themeColor="text1"/>
                <w:sz w:val="18"/>
                <w:shd w:val="clear" w:color="auto" w:fill="FFFFFF" w:themeFill="background1"/>
                <w14:textFill>
                  <w14:solidFill>
                    <w14:schemeClr w14:val="tx1"/>
                  </w14:solidFill>
                </w14:textFill>
              </w:rPr>
              <w:t>00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r>
              <w:rPr>
                <w:rFonts w:ascii="Times New Roman" w:hAnsi="Times New Roman" w:cs="Times New Roman"/>
                <w:color w:val="000000" w:themeColor="text1"/>
                <w:sz w:val="18"/>
                <w:shd w:val="clear" w:color="auto" w:fill="FFFFFF" w:themeFill="background1"/>
                <w14:textFill>
                  <w14:solidFill>
                    <w14:schemeClr w14:val="tx1"/>
                  </w14:solidFill>
                </w14:textFill>
              </w:rPr>
              <w:t>12</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r>
              <w:rPr>
                <w:rFonts w:ascii="Times New Roman" w:hAnsi="Times New Roman" w:cs="Times New Roman"/>
                <w:color w:val="000000" w:themeColor="text1"/>
                <w:sz w:val="18"/>
                <w:shd w:val="clear" w:color="auto" w:fill="FFFFFF" w:themeFill="background1"/>
                <w14:textFill>
                  <w14:solidFill>
                    <w14:schemeClr w14:val="tx1"/>
                  </w14:solidFill>
                </w14:textFill>
              </w:rPr>
              <w:t>00</w:t>
            </w:r>
          </w:p>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ascii="Times New Roman" w:hAnsi="Times New Roman" w:cs="Times New Roman"/>
                <w:color w:val="000000" w:themeColor="text1"/>
                <w:sz w:val="18"/>
                <w:shd w:val="clear" w:color="auto" w:fill="FFFFFF" w:themeFill="background1"/>
                <w14:textFill>
                  <w14:solidFill>
                    <w14:schemeClr w14:val="tx1"/>
                  </w14:solidFill>
                </w14:textFill>
              </w:rPr>
              <w:t>14</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r>
              <w:rPr>
                <w:rFonts w:ascii="Times New Roman" w:hAnsi="Times New Roman" w:cs="Times New Roman"/>
                <w:color w:val="000000" w:themeColor="text1"/>
                <w:sz w:val="18"/>
                <w:shd w:val="clear" w:color="auto" w:fill="FFFFFF" w:themeFill="background1"/>
                <w14:textFill>
                  <w14:solidFill>
                    <w14:schemeClr w14:val="tx1"/>
                  </w14:solidFill>
                </w14:textFill>
              </w:rPr>
              <w:t>00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20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r>
              <w:rPr>
                <w:rFonts w:ascii="Times New Roman" w:hAnsi="Times New Roman" w:cs="Times New Roman"/>
                <w:color w:val="000000" w:themeColor="text1"/>
                <w:sz w:val="18"/>
                <w:shd w:val="clear" w:color="auto" w:fill="FFFFFF" w:themeFill="background1"/>
                <w14:textFill>
                  <w14:solidFill>
                    <w14:schemeClr w14:val="tx1"/>
                  </w14:solidFill>
                </w14:textFill>
              </w:rPr>
              <w:t>00</w:t>
            </w:r>
          </w:p>
        </w:tc>
        <w:tc>
          <w:tcPr>
            <w:tcW w:w="730" w:type="pct"/>
            <w:vMerge w:val="restar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10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h</w:t>
            </w:r>
          </w:p>
        </w:tc>
        <w:tc>
          <w:tcPr>
            <w:tcW w:w="708" w:type="pct"/>
            <w:vMerge w:val="restar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100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次</w:t>
            </w:r>
          </w:p>
        </w:tc>
        <w:tc>
          <w:tcPr>
            <w:tcW w:w="695" w:type="pct"/>
            <w:vMerge w:val="restart"/>
            <w:vAlign w:val="center"/>
          </w:tcPr>
          <w:p>
            <w:pPr>
              <w:pStyle w:val="2"/>
              <w:spacing w:line="360" w:lineRule="exact"/>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无动作</w:t>
            </w:r>
          </w:p>
        </w:tc>
        <w:tc>
          <w:tcPr>
            <w:tcW w:w="657" w:type="pct"/>
            <w:vMerge w:val="restart"/>
            <w:vAlign w:val="center"/>
          </w:tcPr>
          <w:p>
            <w:pPr>
              <w:pStyle w:val="2"/>
              <w:spacing w:line="360" w:lineRule="exact"/>
              <w:jc w:val="center"/>
              <w:rPr>
                <w:rFonts w:hint="default" w:ascii="Times New Roman" w:hAnsi="Times New Roman" w:cs="Times New Roman"/>
                <w:color w:val="000000" w:themeColor="text1"/>
                <w:sz w:val="18"/>
                <w:shd w:val="clear" w:color="auto" w:fill="FFFFFF" w:themeFill="background1"/>
                <w:lang w:val="en-US"/>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948" w:type="pct"/>
            <w:vAlign w:val="center"/>
          </w:tcPr>
          <w:p>
            <w:pPr>
              <w:pStyle w:val="2"/>
              <w:spacing w:line="360" w:lineRule="exact"/>
              <w:jc w:val="center"/>
              <w:rPr>
                <w:rFonts w:hint="default" w:ascii="Times New Roman" w:hAnsi="Times New Roman" w:eastAsia="宋体" w:cs="Times New Roman"/>
                <w:color w:val="000000" w:themeColor="text1"/>
                <w:sz w:val="18"/>
                <w:shd w:val="clear" w:color="auto" w:fill="FFFFFF" w:themeFill="background1"/>
                <w:lang w:val="en-US" w:eastAsia="zh-CN"/>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照明灯亮灭动作</w:t>
            </w:r>
          </w:p>
        </w:tc>
        <w:tc>
          <w:tcPr>
            <w:tcW w:w="687"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30"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08"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95"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57"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948" w:type="pct"/>
            <w:vAlign w:val="center"/>
          </w:tcPr>
          <w:p>
            <w:pPr>
              <w:pStyle w:val="2"/>
              <w:spacing w:line="360" w:lineRule="exact"/>
              <w:jc w:val="center"/>
              <w:rPr>
                <w:rFonts w:hint="default" w:ascii="Times New Roman" w:hAnsi="Times New Roman" w:eastAsia="宋体" w:cs="Times New Roman"/>
                <w:color w:val="000000" w:themeColor="text1"/>
                <w:sz w:val="18"/>
                <w:shd w:val="clear" w:color="auto" w:fill="FFFFFF" w:themeFill="background1"/>
                <w:lang w:val="en-US" w:eastAsia="zh-CN"/>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照明灯头俯仰动作</w:t>
            </w:r>
          </w:p>
        </w:tc>
        <w:tc>
          <w:tcPr>
            <w:tcW w:w="687"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30"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08"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95"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57" w:type="pct"/>
            <w:vMerge w:val="continue"/>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948" w:type="pct"/>
            <w:vAlign w:val="center"/>
          </w:tcPr>
          <w:p>
            <w:pPr>
              <w:pStyle w:val="2"/>
              <w:spacing w:line="360" w:lineRule="exact"/>
              <w:jc w:val="cente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lang w:val="en-US" w:eastAsia="zh-CN"/>
                <w14:textFill>
                  <w14:solidFill>
                    <w14:schemeClr w14:val="tx1"/>
                  </w14:solidFill>
                </w14:textFill>
              </w:rPr>
              <w:t>照明灯头回转动作</w:t>
            </w:r>
          </w:p>
        </w:tc>
        <w:tc>
          <w:tcPr>
            <w:tcW w:w="687"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30"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708"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95"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c>
          <w:tcPr>
            <w:tcW w:w="657"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575" w:type="pct"/>
            <w:vAlign w:val="center"/>
          </w:tcPr>
          <w:p>
            <w:pPr>
              <w:pStyle w:val="2"/>
              <w:spacing w:line="360" w:lineRule="exact"/>
              <w:jc w:val="center"/>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可靠度</w:t>
            </w:r>
          </w:p>
        </w:tc>
        <w:tc>
          <w:tcPr>
            <w:tcW w:w="4425" w:type="pct"/>
            <w:gridSpan w:val="6"/>
            <w:vAlign w:val="center"/>
          </w:tcPr>
          <w:p>
            <w:pPr>
              <w:pStyle w:val="2"/>
              <w:spacing w:line="360" w:lineRule="exact"/>
              <w:jc w:val="left"/>
              <w:rPr>
                <w:rFonts w:ascii="Times New Roman" w:hAnsi="Times New Roman" w:cs="Times New Roman"/>
                <w:color w:val="000000" w:themeColor="text1"/>
                <w:sz w:val="18"/>
                <w:shd w:val="clear" w:color="auto" w:fill="FFFFFF" w:themeFill="background1"/>
                <w14:textFill>
                  <w14:solidFill>
                    <w14:schemeClr w14:val="tx1"/>
                  </w14:solidFill>
                </w14:textFill>
              </w:rPr>
            </w:pP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R</w:t>
            </w:r>
            <w:r>
              <w:rPr>
                <w:rFonts w:ascii="Times New Roman" w:hAnsi="Times New Roman" w:cs="Times New Roman"/>
                <w:color w:val="000000" w:themeColor="text1"/>
                <w:sz w:val="18"/>
                <w:shd w:val="clear" w:color="auto" w:fill="FFFFFF" w:themeFill="background1"/>
                <w14:textFill>
                  <w14:solidFill>
                    <w14:schemeClr w14:val="tx1"/>
                  </w14:solidFill>
                </w14:textFill>
              </w:rPr>
              <w:t>=</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总工作时长/（工作时长+修复时长）×1</w:t>
            </w:r>
            <w:r>
              <w:rPr>
                <w:rFonts w:ascii="Times New Roman" w:hAnsi="Times New Roman" w:cs="Times New Roman"/>
                <w:color w:val="000000" w:themeColor="text1"/>
                <w:sz w:val="18"/>
                <w:shd w:val="clear" w:color="auto" w:fill="FFFFFF" w:themeFill="background1"/>
                <w14:textFill>
                  <w14:solidFill>
                    <w14:schemeClr w14:val="tx1"/>
                  </w14:solidFill>
                </w14:textFill>
              </w:rPr>
              <w:t>00</w:t>
            </w:r>
            <w:r>
              <w:rPr>
                <w:rFonts w:hint="eastAsia" w:ascii="Times New Roman" w:hAnsi="Times New Roman" w:cs="Times New Roman"/>
                <w:color w:val="000000" w:themeColor="text1"/>
                <w:sz w:val="18"/>
                <w:shd w:val="clear" w:color="auto" w:fill="FFFFFF" w:themeFill="background1"/>
                <w14:textFill>
                  <w14:solidFill>
                    <w14:schemeClr w14:val="tx1"/>
                  </w14:solidFill>
                </w14:textFill>
              </w:rPr>
              <w:t>%</w:t>
            </w:r>
          </w:p>
        </w:tc>
      </w:tr>
    </w:tbl>
    <w:p>
      <w:pPr>
        <w:ind w:firstLine="480" w:firstLineChars="200"/>
        <w:outlineLvl w:val="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五、与现行法律、法规和政策及相关标准的协调性</w:t>
      </w:r>
    </w:p>
    <w:p>
      <w:pPr>
        <w:ind w:firstLine="840" w:firstLineChars="4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本标准属于</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专项作业车</w:t>
      </w:r>
      <w:r>
        <w:rPr>
          <w:rFonts w:hint="eastAsia" w:ascii="仿宋" w:hAnsi="仿宋" w:eastAsia="仿宋" w:cs="仿宋"/>
          <w:color w:val="000000" w:themeColor="text1"/>
          <w:szCs w:val="21"/>
          <w:shd w:val="clear" w:color="auto" w:fill="FFFFFF" w:themeFill="background1"/>
          <w14:textFill>
            <w14:solidFill>
              <w14:schemeClr w14:val="tx1"/>
            </w14:solidFill>
          </w14:textFill>
        </w:rPr>
        <w:t>领域标准体系</w:t>
      </w:r>
      <w:bookmarkStart w:id="1" w:name="OLE_LINK46"/>
      <w:bookmarkStart w:id="2" w:name="OLE_LINK47"/>
      <w:bookmarkStart w:id="3" w:name="OLE_LINK48"/>
      <w:r>
        <w:rPr>
          <w:rFonts w:hint="eastAsia" w:ascii="仿宋" w:hAnsi="仿宋" w:eastAsia="仿宋" w:cs="仿宋"/>
          <w:color w:val="000000" w:themeColor="text1"/>
          <w:szCs w:val="21"/>
          <w:shd w:val="clear" w:color="auto" w:fill="FFFFFF" w:themeFill="background1"/>
          <w14:textFill>
            <w14:solidFill>
              <w14:schemeClr w14:val="tx1"/>
            </w14:solidFill>
          </w14:textFill>
        </w:rPr>
        <w:t>中产品标准</w:t>
      </w:r>
      <w:bookmarkEnd w:id="1"/>
      <w:bookmarkEnd w:id="2"/>
      <w:bookmarkEnd w:id="3"/>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，本标准力求与其他现行国家标准的有关要求相协调，兼顾标准的可操作性和对产品要求的全面性。本项目</w:t>
      </w:r>
      <w:r>
        <w:rPr>
          <w:rFonts w:hint="eastAsia" w:ascii="仿宋" w:hAnsi="仿宋" w:eastAsia="仿宋" w:cs="仿宋"/>
          <w:color w:val="000000" w:themeColor="text1"/>
          <w:szCs w:val="21"/>
          <w:shd w:val="clear" w:color="auto" w:fill="FFFFFF" w:themeFill="background1"/>
          <w:lang w:eastAsia="zh-CN"/>
          <w14:textFill>
            <w14:solidFill>
              <w14:schemeClr w14:val="tx1"/>
            </w14:solidFill>
          </w14:textFill>
        </w:rPr>
        <w:t>制定</w:t>
      </w:r>
      <w:r>
        <w:rPr>
          <w:rFonts w:hint="eastAsia" w:ascii="仿宋" w:hAnsi="仿宋" w:eastAsia="仿宋" w:cs="仿宋"/>
          <w:color w:val="000000" w:themeColor="text1"/>
          <w:szCs w:val="21"/>
          <w:shd w:val="clear" w:color="auto" w:fill="FFFFFF" w:themeFill="background1"/>
          <w14:textFill>
            <w14:solidFill>
              <w14:schemeClr w14:val="tx1"/>
            </w14:solidFill>
          </w14:textFill>
        </w:rPr>
        <w:t>过程中，将遵守现有标准和修订中标准的规定。经分析，本标准与现行相关法律、法规、规章及相关标准无不协调之处，且贯彻了我国的有关法律、法规和强制性国家标准，目前未产生冲突。</w:t>
      </w:r>
    </w:p>
    <w:p>
      <w:pPr>
        <w:ind w:firstLine="480" w:firstLineChars="200"/>
        <w:outlineLvl w:val="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六、贯彻标准的要求和措施建议</w:t>
      </w:r>
    </w:p>
    <w:p>
      <w:pPr>
        <w:ind w:firstLine="840" w:firstLineChars="4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本标准是推荐性的团体标准。</w:t>
      </w:r>
    </w:p>
    <w:p>
      <w:pPr>
        <w:ind w:firstLine="480" w:firstLineChars="200"/>
        <w:outlineLvl w:val="0"/>
        <w:rPr>
          <w:rFonts w:ascii="黑体" w:hAnsi="黑体" w:eastAsia="黑体" w:cs="黑体"/>
          <w:color w:val="000000" w:themeColor="text1"/>
          <w:sz w:val="24"/>
          <w:shd w:val="clear" w:color="auto" w:fill="FFFFFF" w:themeFill="background1"/>
          <w14:textFill>
            <w14:solidFill>
              <w14:schemeClr w14:val="tx1"/>
            </w14:solidFill>
          </w14:textFill>
        </w:rPr>
      </w:pPr>
      <w:r>
        <w:rPr>
          <w:rFonts w:hint="eastAsia" w:ascii="黑体" w:hAnsi="黑体" w:eastAsia="黑体" w:cs="黑体"/>
          <w:color w:val="000000" w:themeColor="text1"/>
          <w:sz w:val="24"/>
          <w:shd w:val="clear" w:color="auto" w:fill="FFFFFF" w:themeFill="background1"/>
          <w14:textFill>
            <w14:solidFill>
              <w14:schemeClr w14:val="tx1"/>
            </w14:solidFill>
          </w14:textFill>
        </w:rPr>
        <w:t>七、其他需要说明的事项</w:t>
      </w:r>
    </w:p>
    <w:p>
      <w:pPr>
        <w:ind w:firstLine="840" w:firstLineChars="400"/>
        <w:rPr>
          <w:rFonts w:ascii="仿宋" w:hAnsi="仿宋" w:eastAsia="仿宋" w:cs="仿宋"/>
          <w:color w:val="000000" w:themeColor="text1"/>
          <w:szCs w:val="21"/>
          <w:shd w:val="clear" w:color="auto" w:fill="FFFFFF" w:themeFill="background1"/>
          <w14:textFill>
            <w14:solidFill>
              <w14:schemeClr w14:val="tx1"/>
            </w14:solidFill>
          </w14:textFill>
        </w:rPr>
      </w:pPr>
      <w:r>
        <w:rPr>
          <w:rFonts w:hint="eastAsia" w:ascii="仿宋" w:hAnsi="仿宋" w:eastAsia="仿宋" w:cs="仿宋"/>
          <w:color w:val="000000" w:themeColor="text1"/>
          <w:szCs w:val="21"/>
          <w:shd w:val="clear" w:color="auto" w:fill="FFFFFF" w:themeFill="background1"/>
          <w14:textFill>
            <w14:solidFill>
              <w14:schemeClr w14:val="tx1"/>
            </w14:solidFill>
          </w14:textFill>
        </w:rPr>
        <w:t>无其他重大说明事项。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0A38F"/>
    <w:multiLevelType w:val="singleLevel"/>
    <w:tmpl w:val="C760A38F"/>
    <w:lvl w:ilvl="0" w:tentative="0">
      <w:start w:val="1"/>
      <w:numFmt w:val="chineseCounting"/>
      <w:suff w:val="nothing"/>
      <w:lvlText w:val="%1、"/>
      <w:lvlJc w:val="left"/>
      <w:rPr>
        <w:rFonts w:hint="eastAsia"/>
      </w:rPr>
    </w:lvl>
  </w:abstractNum>
  <w:abstractNum w:abstractNumId="1">
    <w:nsid w:val="E319F839"/>
    <w:multiLevelType w:val="singleLevel"/>
    <w:tmpl w:val="E319F839"/>
    <w:lvl w:ilvl="0" w:tentative="0">
      <w:start w:val="1"/>
      <w:numFmt w:val="chineseCounting"/>
      <w:suff w:val="nothing"/>
      <w:lvlText w:val="（%1）"/>
      <w:lvlJc w:val="left"/>
      <w:pPr>
        <w:ind w:left="360" w:firstLine="0"/>
      </w:pPr>
      <w:rPr>
        <w:rFonts w:hint="eastAsia"/>
      </w:rPr>
    </w:lvl>
  </w:abstractNum>
  <w:abstractNum w:abstractNumId="2">
    <w:nsid w:val="1E474019"/>
    <w:multiLevelType w:val="singleLevel"/>
    <w:tmpl w:val="1E474019"/>
    <w:lvl w:ilvl="0" w:tentative="0">
      <w:start w:val="1"/>
      <w:numFmt w:val="chineseCounting"/>
      <w:suff w:val="nothing"/>
      <w:lvlText w:val="（%1）"/>
      <w:lvlJc w:val="left"/>
      <w:pPr>
        <w:ind w:left="360" w:firstLine="0"/>
      </w:pPr>
      <w:rPr>
        <w:rFonts w:hint="eastAsia"/>
      </w:rPr>
    </w:lvl>
  </w:abstractNum>
  <w:abstractNum w:abstractNumId="3">
    <w:nsid w:val="53233867"/>
    <w:multiLevelType w:val="singleLevel"/>
    <w:tmpl w:val="53233867"/>
    <w:lvl w:ilvl="0" w:tentative="0">
      <w:start w:val="1"/>
      <w:numFmt w:val="chineseCounting"/>
      <w:suff w:val="nothing"/>
      <w:lvlText w:val="（%1）"/>
      <w:lvlJc w:val="left"/>
      <w:pPr>
        <w:ind w:left="360" w:firstLine="0"/>
      </w:pPr>
      <w:rPr>
        <w:rFonts w:hint="eastAsia"/>
      </w:rPr>
    </w:lvl>
  </w:abstractNum>
  <w:abstractNum w:abstractNumId="4">
    <w:nsid w:val="6CEA2025"/>
    <w:multiLevelType w:val="multilevel"/>
    <w:tmpl w:val="6CEA2025"/>
    <w:lvl w:ilvl="0" w:tentative="0">
      <w:start w:val="1"/>
      <w:numFmt w:val="none"/>
      <w:pStyle w:val="15"/>
      <w:suff w:val="nothing"/>
      <w:lvlText w:val="%1"/>
      <w:lvlJc w:val="left"/>
      <w:pPr>
        <w:ind w:left="0" w:firstLine="0"/>
      </w:pPr>
      <w:rPr>
        <w:rFonts w:hint="eastAsia"/>
      </w:rPr>
    </w:lvl>
    <w:lvl w:ilvl="1" w:tentative="0">
      <w:start w:val="1"/>
      <w:numFmt w:val="decimal"/>
      <w:pStyle w:val="13"/>
      <w:suff w:val="nothing"/>
      <w:lvlText w:val="%1%2　"/>
      <w:lvlJc w:val="left"/>
      <w:pPr>
        <w:ind w:left="0" w:firstLine="0"/>
      </w:pPr>
      <w:rPr>
        <w:rFonts w:hint="eastAsia" w:ascii="黑体" w:eastAsia="黑体"/>
        <w:b w:val="0"/>
        <w:i w:val="0"/>
        <w:sz w:val="21"/>
      </w:rPr>
    </w:lvl>
    <w:lvl w:ilvl="2" w:tentative="0">
      <w:start w:val="1"/>
      <w:numFmt w:val="decimal"/>
      <w:pStyle w:val="14"/>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9"/>
      <w:suff w:val="nothing"/>
      <w:lvlText w:val="%1%2.%3.%4　"/>
      <w:lvlJc w:val="left"/>
      <w:pPr>
        <w:ind w:left="0" w:firstLine="0"/>
      </w:pPr>
      <w:rPr>
        <w:rFonts w:hint="eastAsia" w:ascii="黑体" w:eastAsia="黑体"/>
        <w:b w:val="0"/>
        <w:i w:val="0"/>
        <w:sz w:val="21"/>
      </w:rPr>
    </w:lvl>
    <w:lvl w:ilvl="4" w:tentative="0">
      <w:start w:val="1"/>
      <w:numFmt w:val="decimal"/>
      <w:pStyle w:val="10"/>
      <w:suff w:val="nothing"/>
      <w:lvlText w:val="%1%2.%3.%4.%5　"/>
      <w:lvlJc w:val="left"/>
      <w:pPr>
        <w:ind w:left="0" w:firstLine="0"/>
      </w:pPr>
      <w:rPr>
        <w:rFonts w:hint="eastAsia" w:ascii="黑体" w:eastAsia="黑体"/>
        <w:b w:val="0"/>
        <w:i w:val="0"/>
        <w:sz w:val="21"/>
      </w:rPr>
    </w:lvl>
    <w:lvl w:ilvl="5" w:tentative="0">
      <w:start w:val="1"/>
      <w:numFmt w:val="decimal"/>
      <w:pStyle w:val="11"/>
      <w:suff w:val="nothing"/>
      <w:lvlText w:val="%1%2.%3.%4.%5.%6　"/>
      <w:lvlJc w:val="left"/>
      <w:pPr>
        <w:ind w:left="0" w:firstLine="0"/>
      </w:pPr>
      <w:rPr>
        <w:rFonts w:hint="eastAsia" w:ascii="黑体" w:eastAsia="黑体"/>
        <w:b w:val="0"/>
        <w:i w:val="0"/>
        <w:sz w:val="21"/>
      </w:rPr>
    </w:lvl>
    <w:lvl w:ilvl="6" w:tentative="0">
      <w:start w:val="1"/>
      <w:numFmt w:val="decimal"/>
      <w:pStyle w:val="12"/>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hNjU1OWJjZWIwMTc5N2E4N2ZiMzFhZGJhOGY4ODQifQ=="/>
  </w:docVars>
  <w:rsids>
    <w:rsidRoot w:val="00CD6C84"/>
    <w:rsid w:val="000079B7"/>
    <w:rsid w:val="00060176"/>
    <w:rsid w:val="000D6BED"/>
    <w:rsid w:val="000F0DA7"/>
    <w:rsid w:val="00100FE3"/>
    <w:rsid w:val="001B4447"/>
    <w:rsid w:val="001F3BD9"/>
    <w:rsid w:val="001F7F85"/>
    <w:rsid w:val="00291CAF"/>
    <w:rsid w:val="00293306"/>
    <w:rsid w:val="002C3984"/>
    <w:rsid w:val="002E664D"/>
    <w:rsid w:val="002F5437"/>
    <w:rsid w:val="00306D34"/>
    <w:rsid w:val="00405B86"/>
    <w:rsid w:val="00440D46"/>
    <w:rsid w:val="004970C4"/>
    <w:rsid w:val="004F5253"/>
    <w:rsid w:val="0053258F"/>
    <w:rsid w:val="00583D9D"/>
    <w:rsid w:val="00591424"/>
    <w:rsid w:val="006652FF"/>
    <w:rsid w:val="006C6171"/>
    <w:rsid w:val="006C7C6E"/>
    <w:rsid w:val="006F2902"/>
    <w:rsid w:val="00713F1C"/>
    <w:rsid w:val="007C41EC"/>
    <w:rsid w:val="007D63D5"/>
    <w:rsid w:val="008708E6"/>
    <w:rsid w:val="008B6200"/>
    <w:rsid w:val="008E0172"/>
    <w:rsid w:val="008F4C74"/>
    <w:rsid w:val="00901A4C"/>
    <w:rsid w:val="009222DD"/>
    <w:rsid w:val="00922FB2"/>
    <w:rsid w:val="0095546B"/>
    <w:rsid w:val="00A01EC3"/>
    <w:rsid w:val="00A02897"/>
    <w:rsid w:val="00A36CA5"/>
    <w:rsid w:val="00A40F64"/>
    <w:rsid w:val="00A92B38"/>
    <w:rsid w:val="00AE12BA"/>
    <w:rsid w:val="00B24569"/>
    <w:rsid w:val="00B362B2"/>
    <w:rsid w:val="00C236F8"/>
    <w:rsid w:val="00C545FB"/>
    <w:rsid w:val="00C927DF"/>
    <w:rsid w:val="00CD6A4F"/>
    <w:rsid w:val="00CD6C84"/>
    <w:rsid w:val="00D202DC"/>
    <w:rsid w:val="00D20F45"/>
    <w:rsid w:val="00D76F94"/>
    <w:rsid w:val="00DA7E17"/>
    <w:rsid w:val="00DE780E"/>
    <w:rsid w:val="00DF7D6F"/>
    <w:rsid w:val="00E547DB"/>
    <w:rsid w:val="00F572CF"/>
    <w:rsid w:val="00F97640"/>
    <w:rsid w:val="00FE0EB4"/>
    <w:rsid w:val="02454286"/>
    <w:rsid w:val="028607B7"/>
    <w:rsid w:val="17FE211F"/>
    <w:rsid w:val="243E2D57"/>
    <w:rsid w:val="30896A34"/>
    <w:rsid w:val="34C3638D"/>
    <w:rsid w:val="361672DE"/>
    <w:rsid w:val="3B513143"/>
    <w:rsid w:val="3B522764"/>
    <w:rsid w:val="5B265E74"/>
    <w:rsid w:val="5C4C155B"/>
    <w:rsid w:val="630B3C57"/>
    <w:rsid w:val="6844677D"/>
    <w:rsid w:val="6F524050"/>
    <w:rsid w:val="73CF1701"/>
    <w:rsid w:val="75A71C6B"/>
    <w:rsid w:val="76425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
    <w:qFormat/>
    <w:uiPriority w:val="99"/>
    <w:rPr>
      <w:rFonts w:ascii="宋体" w:hAnsi="Courier New" w:cs="Courier New"/>
    </w:rPr>
  </w:style>
  <w:style w:type="paragraph" w:styleId="3">
    <w:name w:val="footer"/>
    <w:basedOn w:val="1"/>
    <w:link w:val="19"/>
    <w:qFormat/>
    <w:uiPriority w:val="0"/>
    <w:pPr>
      <w:tabs>
        <w:tab w:val="center" w:pos="4153"/>
        <w:tab w:val="right" w:pos="8306"/>
      </w:tabs>
      <w:snapToGrid w:val="0"/>
      <w:jc w:val="left"/>
    </w:pPr>
    <w:rPr>
      <w:sz w:val="18"/>
      <w:szCs w:val="18"/>
    </w:rPr>
  </w:style>
  <w:style w:type="paragraph" w:styleId="4">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纯文本 Char"/>
    <w:basedOn w:val="6"/>
    <w:link w:val="2"/>
    <w:qFormat/>
    <w:uiPriority w:val="99"/>
    <w:rPr>
      <w:rFonts w:ascii="宋体" w:hAnsi="Courier New" w:cs="Courier New"/>
      <w:kern w:val="2"/>
      <w:sz w:val="21"/>
      <w:szCs w:val="24"/>
    </w:rPr>
  </w:style>
  <w:style w:type="paragraph" w:customStyle="1" w:styleId="8">
    <w:name w:val="标准文件_二级无标题"/>
    <w:basedOn w:val="1"/>
    <w:qFormat/>
    <w:uiPriority w:val="0"/>
    <w:rPr>
      <w:rFonts w:ascii="宋体"/>
      <w:kern w:val="0"/>
    </w:rPr>
  </w:style>
  <w:style w:type="paragraph" w:customStyle="1" w:styleId="9">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10">
    <w:name w:val="标准文件_三级条标题"/>
    <w:basedOn w:val="9"/>
    <w:next w:val="1"/>
    <w:qFormat/>
    <w:uiPriority w:val="0"/>
    <w:pPr>
      <w:widowControl/>
      <w:numPr>
        <w:ilvl w:val="4"/>
      </w:numPr>
      <w:outlineLvl w:val="3"/>
    </w:pPr>
  </w:style>
  <w:style w:type="paragraph" w:customStyle="1" w:styleId="11">
    <w:name w:val="标准文件_四级条标题"/>
    <w:next w:val="1"/>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12">
    <w:name w:val="标准文件_五级条标题"/>
    <w:next w:val="1"/>
    <w:qFormat/>
    <w:uiPriority w:val="0"/>
    <w:pPr>
      <w:widowControl w:val="0"/>
      <w:numPr>
        <w:ilvl w:val="6"/>
        <w:numId w:val="1"/>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3">
    <w:name w:val="标准文件_章标题"/>
    <w:next w:val="1"/>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4">
    <w:name w:val="标准文件_一级条标题"/>
    <w:basedOn w:val="13"/>
    <w:next w:val="1"/>
    <w:qFormat/>
    <w:uiPriority w:val="0"/>
    <w:pPr>
      <w:numPr>
        <w:ilvl w:val="2"/>
      </w:numPr>
      <w:spacing w:before="50" w:beforeLines="50" w:after="50" w:afterLines="50"/>
      <w:outlineLvl w:val="1"/>
    </w:pPr>
  </w:style>
  <w:style w:type="paragraph" w:customStyle="1" w:styleId="15">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
    <w:name w:val="标准文件_段"/>
    <w:link w:val="1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7">
    <w:name w:val="标准文件_段 Char"/>
    <w:link w:val="16"/>
    <w:qFormat/>
    <w:uiPriority w:val="0"/>
    <w:rPr>
      <w:rFonts w:ascii="宋体"/>
      <w:sz w:val="21"/>
    </w:rPr>
  </w:style>
  <w:style w:type="character" w:customStyle="1" w:styleId="18">
    <w:name w:val="页眉 Char"/>
    <w:basedOn w:val="6"/>
    <w:link w:val="4"/>
    <w:qFormat/>
    <w:uiPriority w:val="0"/>
    <w:rPr>
      <w:kern w:val="2"/>
      <w:sz w:val="18"/>
      <w:szCs w:val="18"/>
    </w:rPr>
  </w:style>
  <w:style w:type="character" w:customStyle="1" w:styleId="19">
    <w:name w:val="页脚 Char"/>
    <w:basedOn w:val="6"/>
    <w:link w:val="3"/>
    <w:qFormat/>
    <w:uiPriority w:val="0"/>
    <w:rPr>
      <w:kern w:val="2"/>
      <w:sz w:val="18"/>
      <w:szCs w:val="18"/>
    </w:rPr>
  </w:style>
  <w:style w:type="paragraph" w:customStyle="1" w:styleId="2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4</Pages>
  <Words>2825</Words>
  <Characters>2953</Characters>
  <Lines>31</Lines>
  <Paragraphs>8</Paragraphs>
  <TotalTime>6</TotalTime>
  <ScaleCrop>false</ScaleCrop>
  <LinksUpToDate>false</LinksUpToDate>
  <CharactersWithSpaces>2975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2022-04-24T14:35:00Z</dcterms:created>
  <dc:creator>ZHQ</dc:creator>
  <cp:lastModifiedBy>wangheng</cp:lastModifiedBy>
  <dcterms:modified xsi:type="dcterms:W3CDTF">2025-08-21T00:49:38Z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776CC235B1D742E7BEEE2D230868674D</vt:lpwstr>
  </property>
</Properties>
</file>