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3693">
      <w:pPr>
        <w:widowControl/>
        <w:jc w:val="center"/>
        <w:rPr>
          <w:rFonts w:eastAsia="黑体"/>
          <w:color w:val="auto"/>
          <w:sz w:val="28"/>
          <w:szCs w:val="28"/>
        </w:rPr>
      </w:pPr>
      <w:r>
        <w:rPr>
          <w:rFonts w:hint="eastAsia" w:eastAsia="黑体"/>
          <w:color w:val="auto"/>
          <w:sz w:val="28"/>
          <w:szCs w:val="28"/>
        </w:rPr>
        <w:t>中汽协会《</w:t>
      </w:r>
      <w:r>
        <w:rPr>
          <w:rFonts w:hint="eastAsia" w:eastAsia="黑体"/>
          <w:color w:val="auto"/>
          <w:sz w:val="28"/>
          <w:szCs w:val="28"/>
          <w:lang w:val="en-US" w:eastAsia="zh-CN"/>
        </w:rPr>
        <w:t>储能式电源车运营技术要求</w:t>
      </w:r>
      <w:r>
        <w:rPr>
          <w:rFonts w:hint="eastAsia" w:eastAsia="黑体"/>
          <w:color w:val="auto"/>
          <w:sz w:val="28"/>
          <w:szCs w:val="28"/>
        </w:rPr>
        <w:t>》</w:t>
      </w:r>
      <w:r>
        <w:rPr>
          <w:rFonts w:hint="eastAsia" w:eastAsia="黑体"/>
          <w:color w:val="auto"/>
          <w:sz w:val="28"/>
          <w:szCs w:val="28"/>
          <w:lang w:val="en-US" w:eastAsia="zh-CN"/>
        </w:rPr>
        <w:t>团体</w:t>
      </w:r>
      <w:r>
        <w:rPr>
          <w:rFonts w:hint="eastAsia" w:eastAsia="黑体"/>
          <w:color w:val="auto"/>
          <w:sz w:val="28"/>
          <w:szCs w:val="28"/>
        </w:rPr>
        <w:t>标准编制说明</w:t>
      </w:r>
    </w:p>
    <w:p w14:paraId="3845893D">
      <w:pPr>
        <w:rPr>
          <w:rFonts w:ascii="黑体" w:hAnsi="黑体" w:eastAsia="黑体" w:cs="黑体"/>
          <w:color w:val="auto"/>
          <w:sz w:val="30"/>
          <w:szCs w:val="30"/>
        </w:rPr>
      </w:pPr>
    </w:p>
    <w:p w14:paraId="5D8884B5">
      <w:pPr>
        <w:numPr>
          <w:ilvl w:val="0"/>
          <w:numId w:val="2"/>
        </w:numPr>
        <w:ind w:firstLine="480" w:firstLineChars="200"/>
        <w:rPr>
          <w:rFonts w:ascii="黑体" w:hAnsi="黑体" w:eastAsia="黑体" w:cs="黑体"/>
          <w:color w:val="auto"/>
          <w:sz w:val="24"/>
        </w:rPr>
      </w:pPr>
      <w:r>
        <w:rPr>
          <w:rFonts w:hint="eastAsia" w:ascii="黑体" w:hAnsi="黑体" w:eastAsia="黑体" w:cs="黑体"/>
          <w:color w:val="auto"/>
          <w:sz w:val="24"/>
        </w:rPr>
        <w:t>工作简要过程</w:t>
      </w:r>
    </w:p>
    <w:p w14:paraId="185A40E8">
      <w:pPr>
        <w:numPr>
          <w:ilvl w:val="0"/>
          <w:numId w:val="3"/>
        </w:numPr>
        <w:rPr>
          <w:rFonts w:ascii="仿宋" w:hAnsi="仿宋" w:eastAsia="仿宋" w:cs="仿宋"/>
          <w:b/>
          <w:bCs/>
          <w:color w:val="auto"/>
          <w:sz w:val="24"/>
        </w:rPr>
      </w:pPr>
      <w:r>
        <w:rPr>
          <w:rFonts w:hint="eastAsia" w:ascii="仿宋" w:hAnsi="仿宋" w:eastAsia="仿宋" w:cs="仿宋"/>
          <w:b/>
          <w:bCs/>
          <w:color w:val="auto"/>
          <w:sz w:val="24"/>
        </w:rPr>
        <w:t>任务来源</w:t>
      </w:r>
    </w:p>
    <w:p w14:paraId="058CD349">
      <w:pPr>
        <w:spacing w:line="400" w:lineRule="exact"/>
        <w:ind w:firstLine="420"/>
        <w:rPr>
          <w:rFonts w:hint="eastAsia"/>
          <w:color w:val="auto"/>
          <w:highlight w:val="none"/>
          <w:lang w:val="en-US" w:eastAsia="zh-CN"/>
        </w:rPr>
      </w:pPr>
      <w:r>
        <w:rPr>
          <w:rFonts w:hint="eastAsia"/>
          <w:color w:val="auto"/>
          <w:highlight w:val="none"/>
          <w:lang w:val="en-US" w:eastAsia="zh-CN"/>
        </w:rPr>
        <w:t>党的二十大报告中指出，我国要加快发展方式绿色转型。发展绿色低碳产业，健全资源环境要素市场化配置体系，加快节能降碳先进技术研发和推广应用，倡导绿色消费，推动形成绿色低碳的生产方式和生活方式。2024年，国家发展改革委、国家能源局下发《关于关于新形势下配电网高质量发展的指导意见》，指出要强化应急保障能力建设，推进本地应急保障电源建设，统筹调配使用移动应急电源，提升极端状态下重点地区、重点部位、重要用户的电力供应保障能力。</w:t>
      </w:r>
    </w:p>
    <w:p w14:paraId="630B2669">
      <w:pPr>
        <w:spacing w:line="400" w:lineRule="exact"/>
        <w:ind w:firstLine="420"/>
        <w:rPr>
          <w:rFonts w:hint="eastAsia"/>
          <w:color w:val="auto"/>
          <w:highlight w:val="none"/>
          <w:lang w:val="en-US" w:eastAsia="zh-CN"/>
        </w:rPr>
      </w:pPr>
      <w:r>
        <w:rPr>
          <w:rFonts w:hint="eastAsia"/>
          <w:color w:val="auto"/>
          <w:highlight w:val="none"/>
          <w:lang w:val="en-US" w:eastAsia="zh-CN"/>
        </w:rPr>
        <w:t>目前，新型储能式电源车市场尚处于快速发展阶段，储能式电源车作为新能源电力系统的关键移动设备，在应急供电、电网调峰、可再生能源消纳等领域广泛应用，但其运维技术标准长期缺失，导致技术碎片化、安全隐患、效率低下。不同厂家的设备接口不一，运维流程差异大，导致效率低下，甚至安全隐患。储能系统涉及电池，一旦管理不善，可能引发火灾等事故。通过团体标准明确储能电源车的日常巡检、故障诊断、寿命评估等操作流程，推动行业从“无序竞争”向“技术协同”转型。通过制定本标准，规范企业的生产和经营行为，避免市场的无序竞争，促进行业的健康有序发展，提升产品性能和安全性；促进产业上下游企业之间的协同发展，提高产业的整体效率和效益。</w:t>
      </w:r>
    </w:p>
    <w:p w14:paraId="514AE666">
      <w:pPr>
        <w:spacing w:line="400" w:lineRule="exact"/>
        <w:ind w:firstLine="420"/>
        <w:rPr>
          <w:rFonts w:hint="eastAsia"/>
          <w:color w:val="auto"/>
          <w:highlight w:val="none"/>
          <w:lang w:val="en-US" w:eastAsia="zh-CN"/>
        </w:rPr>
      </w:pPr>
      <w:r>
        <w:rPr>
          <w:rFonts w:hint="eastAsia"/>
          <w:color w:val="auto"/>
          <w:highlight w:val="none"/>
          <w:lang w:val="en-US" w:eastAsia="zh-CN"/>
        </w:rPr>
        <w:t>2025年6月26日，在江苏省南京市召开中汽研团体标准：储能式电源车运营技术要求立项讨论会，专家组一致同意该标准立项。</w:t>
      </w:r>
    </w:p>
    <w:p w14:paraId="42B0C10E">
      <w:pPr>
        <w:numPr>
          <w:ilvl w:val="0"/>
          <w:numId w:val="3"/>
        </w:numPr>
        <w:rPr>
          <w:rFonts w:ascii="仿宋" w:hAnsi="仿宋" w:eastAsia="仿宋" w:cs="仿宋"/>
          <w:b/>
          <w:bCs/>
          <w:color w:val="auto"/>
          <w:sz w:val="24"/>
        </w:rPr>
      </w:pPr>
      <w:r>
        <w:rPr>
          <w:rFonts w:hint="eastAsia" w:ascii="仿宋" w:hAnsi="仿宋" w:eastAsia="仿宋" w:cs="仿宋"/>
          <w:b/>
          <w:bCs/>
          <w:color w:val="auto"/>
          <w:sz w:val="24"/>
        </w:rPr>
        <w:t>主要起草单位及任务分工</w:t>
      </w:r>
    </w:p>
    <w:p w14:paraId="1D50133E">
      <w:pPr>
        <w:spacing w:line="400" w:lineRule="exact"/>
        <w:ind w:firstLine="420"/>
        <w:rPr>
          <w:rFonts w:ascii="仿宋" w:hAnsi="仿宋" w:eastAsia="仿宋" w:cs="仿宋"/>
          <w:color w:val="auto"/>
          <w:sz w:val="24"/>
          <w:highlight w:val="none"/>
        </w:rPr>
      </w:pPr>
      <w:bookmarkStart w:id="2" w:name="_GoBack"/>
      <w:r>
        <w:rPr>
          <w:rFonts w:hint="eastAsia"/>
          <w:color w:val="auto"/>
          <w:highlight w:val="none"/>
          <w:lang w:val="en-US" w:eastAsia="zh-CN"/>
        </w:rPr>
        <w:t>本标准起草单位：中汽研汽车检验中心（武汉）有限公司、广东电网有限责任公司江门供电局、福建泰豪海德馨汽车有限公司、合肥工业大学等。</w:t>
      </w:r>
    </w:p>
    <w:bookmarkEnd w:id="2"/>
    <w:p w14:paraId="66BB2CD5">
      <w:pPr>
        <w:numPr>
          <w:ilvl w:val="0"/>
          <w:numId w:val="3"/>
        </w:numPr>
        <w:rPr>
          <w:rFonts w:ascii="仿宋" w:hAnsi="仿宋" w:eastAsia="仿宋" w:cs="仿宋"/>
          <w:b/>
          <w:bCs/>
          <w:color w:val="auto"/>
          <w:sz w:val="24"/>
        </w:rPr>
      </w:pPr>
      <w:r>
        <w:rPr>
          <w:rFonts w:hint="eastAsia" w:ascii="仿宋" w:hAnsi="仿宋" w:eastAsia="仿宋" w:cs="仿宋"/>
          <w:b/>
          <w:bCs/>
          <w:color w:val="auto"/>
          <w:sz w:val="24"/>
        </w:rPr>
        <w:t>标准研讨情况</w:t>
      </w:r>
    </w:p>
    <w:p w14:paraId="6FFED92B">
      <w:pPr>
        <w:spacing w:line="400" w:lineRule="exact"/>
        <w:ind w:firstLine="420"/>
        <w:rPr>
          <w:rFonts w:hint="eastAsia"/>
          <w:color w:val="auto"/>
          <w:highlight w:val="none"/>
          <w:lang w:val="en-US" w:eastAsia="zh-CN"/>
        </w:rPr>
      </w:pPr>
      <w:r>
        <w:rPr>
          <w:rFonts w:hint="eastAsia"/>
          <w:color w:val="auto"/>
          <w:highlight w:val="none"/>
          <w:lang w:val="en-US" w:eastAsia="zh-CN"/>
        </w:rPr>
        <w:t>2024年11月底，广东电网有限责任公司江门供电局联合福建泰豪海德馨汽车有限公司、合肥工业大学等成立标准编制组。</w:t>
      </w:r>
    </w:p>
    <w:p w14:paraId="70524082">
      <w:pPr>
        <w:spacing w:line="400" w:lineRule="exact"/>
        <w:ind w:firstLine="420"/>
        <w:rPr>
          <w:rFonts w:hint="eastAsia"/>
          <w:color w:val="auto"/>
          <w:highlight w:val="none"/>
          <w:lang w:val="en-US" w:eastAsia="zh-CN"/>
        </w:rPr>
      </w:pPr>
      <w:r>
        <w:rPr>
          <w:rFonts w:hint="eastAsia"/>
          <w:color w:val="auto"/>
          <w:highlight w:val="none"/>
          <w:lang w:val="en-US" w:eastAsia="zh-CN"/>
        </w:rPr>
        <w:t>2024年12月到2025年5月，编制组系统分析现阶段国内储能行业的运营技术要求，研究储能式电源车运营技术要求。</w:t>
      </w:r>
    </w:p>
    <w:p w14:paraId="37084D25">
      <w:pPr>
        <w:spacing w:line="400" w:lineRule="exact"/>
        <w:ind w:firstLine="420"/>
        <w:rPr>
          <w:rFonts w:hint="default"/>
          <w:color w:val="auto"/>
          <w:highlight w:val="none"/>
          <w:lang w:val="en-US" w:eastAsia="zh-CN"/>
        </w:rPr>
      </w:pPr>
      <w:r>
        <w:rPr>
          <w:rFonts w:hint="eastAsia"/>
          <w:color w:val="auto"/>
          <w:highlight w:val="none"/>
          <w:lang w:val="en-US" w:eastAsia="zh-CN"/>
        </w:rPr>
        <w:t>2025年6月26日，在江苏省南京市召开中汽研团体标准：储能式电源车运营技术要求立项讨论会，专家组一致同意该标准立项。</w:t>
      </w:r>
    </w:p>
    <w:p w14:paraId="03F34D9B">
      <w:pPr>
        <w:ind w:firstLine="480" w:firstLineChars="200"/>
        <w:rPr>
          <w:rFonts w:ascii="黑体" w:hAnsi="黑体" w:eastAsia="黑体" w:cs="黑体"/>
          <w:color w:val="auto"/>
          <w:sz w:val="24"/>
        </w:rPr>
      </w:pPr>
      <w:r>
        <w:rPr>
          <w:rFonts w:hint="eastAsia" w:ascii="黑体" w:hAnsi="黑体" w:eastAsia="黑体" w:cs="黑体"/>
          <w:color w:val="auto"/>
          <w:sz w:val="24"/>
        </w:rPr>
        <w:t>二、标准编制原则和主要内容</w:t>
      </w:r>
    </w:p>
    <w:p w14:paraId="070C373C">
      <w:pPr>
        <w:spacing w:line="400" w:lineRule="exact"/>
        <w:ind w:firstLine="420"/>
        <w:rPr>
          <w:color w:val="auto"/>
          <w:highlight w:val="none"/>
        </w:rPr>
      </w:pPr>
      <w:r>
        <w:rPr>
          <w:color w:val="auto"/>
          <w:highlight w:val="none"/>
        </w:rPr>
        <w:t>本标准的制订，是根据《中华人民共和国标准化法》及相关法律、规章，按照《标准化工作导则  第1部分：标准化文件的结构和起草规则》（GB/T 1.1—2020）要求进行的。标准在编制过程中立足行业现状，吸收了先进技术，并遵循切实可行的原则，对标准进行了编制。</w:t>
      </w:r>
    </w:p>
    <w:p w14:paraId="7AAFBD34">
      <w:pPr>
        <w:spacing w:line="400" w:lineRule="exact"/>
        <w:ind w:firstLine="420"/>
        <w:rPr>
          <w:color w:val="auto"/>
          <w:highlight w:val="none"/>
        </w:rPr>
      </w:pPr>
      <w:r>
        <w:rPr>
          <w:color w:val="auto"/>
          <w:highlight w:val="none"/>
        </w:rPr>
        <w:t>1）基于市场需求，立足行业发展</w:t>
      </w:r>
    </w:p>
    <w:p w14:paraId="42FA6DE0">
      <w:pPr>
        <w:spacing w:line="400" w:lineRule="exact"/>
        <w:ind w:firstLine="420"/>
        <w:rPr>
          <w:color w:val="auto"/>
          <w:highlight w:val="none"/>
        </w:rPr>
      </w:pPr>
      <w:r>
        <w:rPr>
          <w:color w:val="auto"/>
          <w:highlight w:val="none"/>
        </w:rPr>
        <w:t>在标准的</w:t>
      </w:r>
      <w:r>
        <w:rPr>
          <w:rFonts w:hint="eastAsia"/>
          <w:color w:val="auto"/>
          <w:highlight w:val="none"/>
          <w:lang w:val="en-US" w:eastAsia="zh-CN"/>
        </w:rPr>
        <w:t>制定</w:t>
      </w:r>
      <w:r>
        <w:rPr>
          <w:color w:val="auto"/>
          <w:highlight w:val="none"/>
        </w:rPr>
        <w:t>过程中，通过充分调研</w:t>
      </w:r>
      <w:r>
        <w:rPr>
          <w:rFonts w:hint="eastAsia"/>
          <w:color w:val="auto"/>
          <w:highlight w:val="none"/>
        </w:rPr>
        <w:t>储能式电源车</w:t>
      </w:r>
      <w:r>
        <w:rPr>
          <w:color w:val="auto"/>
          <w:highlight w:val="none"/>
        </w:rPr>
        <w:t>的</w:t>
      </w:r>
      <w:r>
        <w:rPr>
          <w:rFonts w:hint="eastAsia"/>
          <w:color w:val="auto"/>
          <w:highlight w:val="none"/>
          <w:lang w:val="en-US" w:eastAsia="zh-CN"/>
        </w:rPr>
        <w:t>市场</w:t>
      </w:r>
      <w:r>
        <w:rPr>
          <w:color w:val="auto"/>
          <w:highlight w:val="none"/>
        </w:rPr>
        <w:t>需求，并立足于</w:t>
      </w:r>
      <w:r>
        <w:rPr>
          <w:rFonts w:hint="eastAsia"/>
          <w:color w:val="auto"/>
          <w:highlight w:val="none"/>
        </w:rPr>
        <w:t>储能式电源车</w:t>
      </w:r>
      <w:r>
        <w:rPr>
          <w:rFonts w:hint="eastAsia"/>
          <w:color w:val="auto"/>
          <w:highlight w:val="none"/>
          <w:lang w:val="en-US" w:eastAsia="zh-CN"/>
        </w:rPr>
        <w:t>发展</w:t>
      </w:r>
      <w:r>
        <w:rPr>
          <w:color w:val="auto"/>
          <w:highlight w:val="none"/>
        </w:rPr>
        <w:t>现状，以</w:t>
      </w:r>
      <w:r>
        <w:rPr>
          <w:rFonts w:hint="eastAsia"/>
          <w:color w:val="auto"/>
          <w:highlight w:val="none"/>
        </w:rPr>
        <w:t>储能式电源车</w:t>
      </w:r>
      <w:r>
        <w:rPr>
          <w:color w:val="auto"/>
          <w:highlight w:val="none"/>
        </w:rPr>
        <w:t>结构特点、作业工况以及基本性能作为基本出发点，借助广泛的</w:t>
      </w:r>
      <w:r>
        <w:rPr>
          <w:rFonts w:hint="eastAsia"/>
          <w:color w:val="auto"/>
          <w:highlight w:val="none"/>
          <w:lang w:val="en-US" w:eastAsia="zh-CN"/>
        </w:rPr>
        <w:t>调研和</w:t>
      </w:r>
      <w:r>
        <w:rPr>
          <w:color w:val="auto"/>
          <w:highlight w:val="none"/>
        </w:rPr>
        <w:t>试验验证，掌握产品关键技术参数，对</w:t>
      </w:r>
      <w:r>
        <w:rPr>
          <w:rFonts w:hint="eastAsia"/>
          <w:color w:val="auto"/>
          <w:highlight w:val="none"/>
        </w:rPr>
        <w:t>储能式电源车</w:t>
      </w:r>
      <w:r>
        <w:rPr>
          <w:color w:val="auto"/>
          <w:highlight w:val="none"/>
        </w:rPr>
        <w:t>提出适应于产品技术特点、市场需求特征的</w:t>
      </w:r>
      <w:r>
        <w:rPr>
          <w:rFonts w:hint="eastAsia"/>
          <w:color w:val="auto"/>
          <w:highlight w:val="none"/>
          <w:lang w:val="en-US" w:eastAsia="zh-CN"/>
        </w:rPr>
        <w:t>运营</w:t>
      </w:r>
      <w:r>
        <w:rPr>
          <w:color w:val="auto"/>
          <w:highlight w:val="none"/>
        </w:rPr>
        <w:t>技术要求。</w:t>
      </w:r>
    </w:p>
    <w:p w14:paraId="1C55F921">
      <w:pPr>
        <w:spacing w:line="400" w:lineRule="exact"/>
        <w:ind w:firstLine="420"/>
        <w:rPr>
          <w:color w:val="auto"/>
          <w:highlight w:val="none"/>
        </w:rPr>
      </w:pPr>
      <w:r>
        <w:rPr>
          <w:color w:val="auto"/>
          <w:highlight w:val="none"/>
        </w:rPr>
        <w:t>2）贴合产品实际需求，促进技术进步</w:t>
      </w:r>
    </w:p>
    <w:p w14:paraId="294316CB">
      <w:pPr>
        <w:spacing w:line="400" w:lineRule="exact"/>
        <w:ind w:firstLine="420"/>
        <w:rPr>
          <w:color w:val="auto"/>
          <w:highlight w:val="none"/>
        </w:rPr>
      </w:pPr>
      <w:r>
        <w:rPr>
          <w:color w:val="auto"/>
          <w:highlight w:val="none"/>
        </w:rPr>
        <w:t>在标准</w:t>
      </w:r>
      <w:r>
        <w:rPr>
          <w:rFonts w:hint="eastAsia"/>
          <w:color w:val="auto"/>
          <w:highlight w:val="none"/>
          <w:lang w:val="en-US" w:eastAsia="zh-CN"/>
        </w:rPr>
        <w:t>制定</w:t>
      </w:r>
      <w:r>
        <w:rPr>
          <w:color w:val="auto"/>
          <w:highlight w:val="none"/>
        </w:rPr>
        <w:t>中对于所提出的术语定义、</w:t>
      </w:r>
      <w:r>
        <w:rPr>
          <w:rFonts w:hint="eastAsia"/>
          <w:color w:val="auto"/>
          <w:highlight w:val="none"/>
          <w:lang w:val="en-US" w:eastAsia="zh-CN"/>
        </w:rPr>
        <w:t>基本要求</w:t>
      </w:r>
      <w:r>
        <w:rPr>
          <w:rFonts w:hint="eastAsia"/>
          <w:color w:val="auto"/>
          <w:highlight w:val="none"/>
        </w:rPr>
        <w:t>、</w:t>
      </w:r>
      <w:r>
        <w:rPr>
          <w:rFonts w:hint="eastAsia"/>
          <w:color w:val="auto"/>
          <w:highlight w:val="none"/>
          <w:lang w:val="en-US" w:eastAsia="zh-CN"/>
        </w:rPr>
        <w:t>正常运行、异常运行及故障处理、维护、应急处置和安全评估与报废</w:t>
      </w:r>
      <w:r>
        <w:rPr>
          <w:color w:val="auto"/>
          <w:highlight w:val="none"/>
        </w:rPr>
        <w:t>，既要贴合产品的实际情况，又要结合国内市场需求的发展方向，既要考虑国内实际使用工况，又要借鉴国外产品的发展特点，以保证标准的未来适应性。</w:t>
      </w:r>
    </w:p>
    <w:p w14:paraId="0DCE3F3E">
      <w:pPr>
        <w:spacing w:line="400" w:lineRule="exact"/>
        <w:ind w:firstLine="420"/>
        <w:rPr>
          <w:color w:val="auto"/>
          <w:highlight w:val="none"/>
        </w:rPr>
      </w:pPr>
      <w:r>
        <w:rPr>
          <w:color w:val="auto"/>
          <w:highlight w:val="none"/>
        </w:rPr>
        <w:t>3）切实可行，保证落地实施</w:t>
      </w:r>
    </w:p>
    <w:p w14:paraId="3C5CEAAA">
      <w:pPr>
        <w:spacing w:line="400" w:lineRule="exact"/>
        <w:ind w:firstLine="420"/>
        <w:rPr>
          <w:color w:val="auto"/>
          <w:highlight w:val="none"/>
        </w:rPr>
      </w:pPr>
      <w:r>
        <w:rPr>
          <w:color w:val="auto"/>
          <w:highlight w:val="none"/>
        </w:rPr>
        <w:t>本标准作为</w:t>
      </w:r>
      <w:r>
        <w:rPr>
          <w:rFonts w:hint="eastAsia"/>
          <w:color w:val="auto"/>
          <w:highlight w:val="none"/>
        </w:rPr>
        <w:t>储能式电源车</w:t>
      </w:r>
      <w:r>
        <w:rPr>
          <w:color w:val="auto"/>
          <w:highlight w:val="none"/>
        </w:rPr>
        <w:t>产品的</w:t>
      </w:r>
      <w:r>
        <w:rPr>
          <w:rFonts w:hint="eastAsia"/>
          <w:color w:val="auto"/>
          <w:highlight w:val="none"/>
          <w:lang w:val="en-US" w:eastAsia="zh-CN"/>
        </w:rPr>
        <w:t>团体</w:t>
      </w:r>
      <w:r>
        <w:rPr>
          <w:color w:val="auto"/>
          <w:highlight w:val="none"/>
        </w:rPr>
        <w:t>标准，标准中所规定的</w:t>
      </w:r>
      <w:r>
        <w:rPr>
          <w:rFonts w:hint="eastAsia"/>
          <w:color w:val="auto"/>
          <w:highlight w:val="none"/>
          <w:lang w:val="en-US" w:eastAsia="zh-CN"/>
        </w:rPr>
        <w:t>运营</w:t>
      </w:r>
      <w:r>
        <w:rPr>
          <w:color w:val="auto"/>
          <w:highlight w:val="none"/>
        </w:rPr>
        <w:t>技术要求，既要保证</w:t>
      </w:r>
      <w:r>
        <w:rPr>
          <w:rFonts w:hint="eastAsia"/>
          <w:color w:val="auto"/>
          <w:highlight w:val="none"/>
        </w:rPr>
        <w:t>储能式电源车</w:t>
      </w:r>
      <w:r>
        <w:rPr>
          <w:color w:val="auto"/>
          <w:highlight w:val="none"/>
        </w:rPr>
        <w:t>的作业安全性和可靠性，又要与当前国内</w:t>
      </w:r>
      <w:r>
        <w:rPr>
          <w:rFonts w:hint="eastAsia"/>
          <w:color w:val="auto"/>
          <w:highlight w:val="none"/>
        </w:rPr>
        <w:t>储能式电源车</w:t>
      </w:r>
      <w:r>
        <w:rPr>
          <w:color w:val="auto"/>
          <w:highlight w:val="none"/>
        </w:rPr>
        <w:t>设计生产能力、测试评价技术能力等方面相适应，确保相关要求在标准实施后的</w:t>
      </w:r>
      <w:r>
        <w:rPr>
          <w:rFonts w:hint="eastAsia"/>
          <w:color w:val="auto"/>
          <w:highlight w:val="none"/>
          <w:lang w:val="en-US" w:eastAsia="zh-CN"/>
        </w:rPr>
        <w:t>运营</w:t>
      </w:r>
      <w:r>
        <w:rPr>
          <w:color w:val="auto"/>
          <w:highlight w:val="none"/>
        </w:rPr>
        <w:t>过程中能有效实施。</w:t>
      </w:r>
    </w:p>
    <w:p w14:paraId="53A35DFD">
      <w:pPr>
        <w:spacing w:line="400" w:lineRule="exact"/>
        <w:ind w:firstLine="0" w:firstLineChars="0"/>
        <w:outlineLvl w:val="1"/>
        <w:rPr>
          <w:color w:val="auto"/>
          <w:highlight w:val="none"/>
        </w:rPr>
      </w:pPr>
      <w:bookmarkStart w:id="0" w:name="_Toc152935158"/>
      <w:bookmarkStart w:id="1" w:name="_Toc152935099"/>
      <w:r>
        <w:rPr>
          <w:color w:val="auto"/>
          <w:highlight w:val="none"/>
        </w:rPr>
        <w:t>2.2主要技术内容</w:t>
      </w:r>
      <w:bookmarkEnd w:id="0"/>
      <w:bookmarkEnd w:id="1"/>
    </w:p>
    <w:p w14:paraId="29F6379B">
      <w:pPr>
        <w:pStyle w:val="7"/>
        <w:ind w:firstLine="420"/>
        <w:rPr>
          <w:rFonts w:hint="eastAsia"/>
          <w:color w:val="auto"/>
          <w:highlight w:val="none"/>
          <w:lang w:val="en-US" w:eastAsia="zh-CN"/>
        </w:rPr>
      </w:pPr>
      <w:r>
        <w:rPr>
          <w:rFonts w:hint="eastAsia"/>
          <w:color w:val="auto"/>
          <w:highlight w:val="none"/>
          <w:lang w:val="en-US" w:eastAsia="zh-CN"/>
        </w:rPr>
        <w:t>2.2.1本文件规定了储能式电源车（以下简称“电源车”）的术语和定义、测试资料、测试环境、测试仪器设备、试验项目要求。</w:t>
      </w:r>
    </w:p>
    <w:p w14:paraId="1B1945AF">
      <w:pPr>
        <w:pStyle w:val="7"/>
        <w:ind w:firstLine="420"/>
        <w:rPr>
          <w:color w:val="auto"/>
          <w:highlight w:val="none"/>
        </w:rPr>
      </w:pPr>
      <w:r>
        <w:rPr>
          <w:rFonts w:hint="eastAsia"/>
          <w:color w:val="auto"/>
          <w:highlight w:val="none"/>
          <w:lang w:val="en-US" w:eastAsia="zh-CN"/>
        </w:rPr>
        <w:t>本文件适用于采用定型汽车底盘、半挂车或整车改装的，以锂离子电池、铅炭电池为电能存储介质，输出功率覆盖30kW-2000kW，额定电压为10 kV 及以下的储能式电源车的试验</w:t>
      </w:r>
      <w:r>
        <w:rPr>
          <w:color w:val="auto"/>
          <w:highlight w:val="none"/>
        </w:rPr>
        <w:t>。</w:t>
      </w:r>
    </w:p>
    <w:p w14:paraId="333B0AD7">
      <w:pPr>
        <w:ind w:firstLine="480" w:firstLineChars="200"/>
        <w:rPr>
          <w:rFonts w:ascii="黑体" w:hAnsi="黑体" w:eastAsia="黑体" w:cs="黑体"/>
          <w:color w:val="auto"/>
          <w:sz w:val="30"/>
          <w:szCs w:val="30"/>
        </w:rPr>
      </w:pPr>
      <w:r>
        <w:rPr>
          <w:rFonts w:hint="eastAsia" w:ascii="黑体" w:hAnsi="黑体" w:eastAsia="黑体" w:cs="黑体"/>
          <w:color w:val="auto"/>
          <w:sz w:val="24"/>
        </w:rPr>
        <w:t xml:space="preserve">三、采用国际标准和国外先进标准情况  </w:t>
      </w:r>
      <w:r>
        <w:rPr>
          <w:rFonts w:hint="eastAsia" w:ascii="黑体" w:hAnsi="黑体" w:eastAsia="黑体" w:cs="黑体"/>
          <w:color w:val="auto"/>
          <w:sz w:val="30"/>
          <w:szCs w:val="30"/>
        </w:rPr>
        <w:t xml:space="preserve"> </w:t>
      </w:r>
    </w:p>
    <w:p w14:paraId="0A7B7507">
      <w:pPr>
        <w:spacing w:line="400" w:lineRule="exact"/>
        <w:ind w:firstLine="420"/>
        <w:rPr>
          <w:rFonts w:ascii="仿宋" w:hAnsi="仿宋" w:eastAsia="仿宋" w:cs="仿宋"/>
          <w:color w:val="auto"/>
          <w:szCs w:val="21"/>
        </w:rPr>
      </w:pPr>
      <w:r>
        <w:rPr>
          <w:rFonts w:hint="eastAsia"/>
          <w:color w:val="auto"/>
          <w:highlight w:val="none"/>
        </w:rPr>
        <w:t>本标准</w:t>
      </w:r>
      <w:r>
        <w:rPr>
          <w:rFonts w:hint="eastAsia"/>
          <w:color w:val="auto"/>
          <w:highlight w:val="none"/>
          <w:lang w:val="en-US" w:eastAsia="zh-CN"/>
        </w:rPr>
        <w:t>制定</w:t>
      </w:r>
      <w:r>
        <w:rPr>
          <w:rFonts w:hint="eastAsia"/>
          <w:color w:val="auto"/>
          <w:highlight w:val="none"/>
        </w:rPr>
        <w:t>过程未采用国际标准，未测试国外的样品、样机，主要由于国外目前没有相关的标准文件。</w:t>
      </w:r>
    </w:p>
    <w:p w14:paraId="48C18C10">
      <w:pPr>
        <w:ind w:firstLine="480" w:firstLineChars="200"/>
        <w:rPr>
          <w:rFonts w:ascii="黑体" w:hAnsi="黑体" w:eastAsia="黑体" w:cs="黑体"/>
          <w:color w:val="auto"/>
          <w:sz w:val="24"/>
        </w:rPr>
      </w:pPr>
      <w:r>
        <w:rPr>
          <w:rFonts w:hint="eastAsia" w:ascii="黑体" w:hAnsi="黑体" w:eastAsia="黑体" w:cs="黑体"/>
          <w:color w:val="auto"/>
          <w:sz w:val="24"/>
        </w:rPr>
        <w:t>四、主要</w:t>
      </w:r>
      <w:r>
        <w:rPr>
          <w:rFonts w:hint="eastAsia" w:ascii="黑体" w:hAnsi="黑体" w:eastAsia="黑体" w:cs="黑体"/>
          <w:color w:val="auto"/>
          <w:sz w:val="24"/>
          <w:lang w:val="en-US" w:eastAsia="zh-CN"/>
        </w:rPr>
        <w:t>关键指标及</w:t>
      </w:r>
      <w:r>
        <w:rPr>
          <w:rFonts w:hint="eastAsia" w:ascii="黑体" w:hAnsi="黑体" w:eastAsia="黑体" w:cs="黑体"/>
          <w:color w:val="auto"/>
          <w:sz w:val="24"/>
        </w:rPr>
        <w:t>试验验证情况</w:t>
      </w:r>
    </w:p>
    <w:p w14:paraId="69884B74">
      <w:pPr>
        <w:spacing w:line="400" w:lineRule="exact"/>
        <w:ind w:firstLine="420"/>
        <w:rPr>
          <w:rFonts w:hint="eastAsia"/>
          <w:color w:val="auto"/>
          <w:highlight w:val="none"/>
        </w:rPr>
      </w:pPr>
      <w:r>
        <w:rPr>
          <w:rFonts w:hint="eastAsia"/>
          <w:color w:val="auto"/>
          <w:highlight w:val="none"/>
        </w:rPr>
        <w:t>本标准是在结合储能式电源车设计、生产</w:t>
      </w:r>
      <w:r>
        <w:rPr>
          <w:rFonts w:hint="eastAsia"/>
          <w:color w:val="auto"/>
          <w:highlight w:val="none"/>
          <w:lang w:eastAsia="zh-CN"/>
        </w:rPr>
        <w:t>、</w:t>
      </w:r>
      <w:r>
        <w:rPr>
          <w:rFonts w:hint="eastAsia"/>
          <w:color w:val="auto"/>
          <w:highlight w:val="none"/>
          <w:lang w:val="en-US" w:eastAsia="zh-CN"/>
        </w:rPr>
        <w:t>试验</w:t>
      </w:r>
      <w:r>
        <w:rPr>
          <w:rFonts w:hint="eastAsia"/>
          <w:color w:val="auto"/>
          <w:highlight w:val="none"/>
        </w:rPr>
        <w:t>和使用经验的基础上</w:t>
      </w:r>
      <w:r>
        <w:rPr>
          <w:rFonts w:hint="eastAsia"/>
          <w:color w:val="auto"/>
          <w:highlight w:val="none"/>
          <w:lang w:val="en-US" w:eastAsia="zh-CN"/>
        </w:rPr>
        <w:t>编制形成</w:t>
      </w:r>
      <w:r>
        <w:rPr>
          <w:rFonts w:hint="eastAsia"/>
          <w:color w:val="auto"/>
          <w:highlight w:val="none"/>
        </w:rPr>
        <w:t>。起草组通过国内</w:t>
      </w:r>
      <w:r>
        <w:rPr>
          <w:rFonts w:hint="eastAsia"/>
          <w:color w:val="auto"/>
          <w:highlight w:val="none"/>
          <w:lang w:val="en-US" w:eastAsia="zh-CN"/>
        </w:rPr>
        <w:t>储能式电源车</w:t>
      </w:r>
      <w:r>
        <w:rPr>
          <w:rFonts w:hint="eastAsia"/>
          <w:color w:val="auto"/>
          <w:highlight w:val="none"/>
        </w:rPr>
        <w:t>生产企业的出厂检验和现场试验，并充分结合用户的现场使用，证明本标准规定的主要技术指标和技术要求。部分试验验证见图3-1。</w:t>
      </w:r>
    </w:p>
    <w:p w14:paraId="3327CBEB">
      <w:pPr>
        <w:pStyle w:val="2"/>
        <w:jc w:val="center"/>
        <w:rPr>
          <w:rFonts w:hint="eastAsia" w:eastAsia="宋体"/>
          <w:color w:val="auto"/>
          <w:highlight w:val="none"/>
          <w:lang w:eastAsia="zh-CN"/>
        </w:rPr>
      </w:pPr>
      <w:r>
        <w:rPr>
          <w:rFonts w:hint="eastAsia"/>
          <w:color w:val="auto"/>
          <w:highlight w:val="none"/>
          <w:lang w:val="en-US" w:eastAsia="zh-CN"/>
        </w:rPr>
        <w:drawing>
          <wp:inline distT="0" distB="0" distL="114300" distR="114300">
            <wp:extent cx="5232400" cy="2364740"/>
            <wp:effectExtent l="0" t="0" r="6350" b="16510"/>
            <wp:docPr id="2" name="图片 2" descr="微信图片_2024021210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212103023"/>
                    <pic:cNvPicPr>
                      <a:picLocks noChangeAspect="1"/>
                    </pic:cNvPicPr>
                  </pic:nvPicPr>
                  <pic:blipFill>
                    <a:blip r:embed="rId4"/>
                    <a:stretch>
                      <a:fillRect/>
                    </a:stretch>
                  </pic:blipFill>
                  <pic:spPr>
                    <a:xfrm>
                      <a:off x="0" y="0"/>
                      <a:ext cx="5232400" cy="2364740"/>
                    </a:xfrm>
                    <a:prstGeom prst="rect">
                      <a:avLst/>
                    </a:prstGeom>
                  </pic:spPr>
                </pic:pic>
              </a:graphicData>
            </a:graphic>
          </wp:inline>
        </w:drawing>
      </w:r>
      <w:r>
        <w:rPr>
          <w:rFonts w:hint="eastAsia"/>
          <w:color w:val="auto"/>
          <w:highlight w:val="none"/>
          <w:lang w:val="en-US" w:eastAsia="zh-CN"/>
        </w:rPr>
        <w:t xml:space="preserve">  </w:t>
      </w:r>
    </w:p>
    <w:p w14:paraId="753E61F1">
      <w:pPr>
        <w:pStyle w:val="2"/>
        <w:ind w:firstLine="420" w:firstLineChars="200"/>
        <w:jc w:val="center"/>
        <w:rPr>
          <w:rFonts w:hint="default" w:eastAsia="宋体"/>
          <w:color w:val="auto"/>
          <w:highlight w:val="none"/>
          <w:lang w:val="en-US" w:eastAsia="zh-CN"/>
        </w:rPr>
      </w:pPr>
      <w:r>
        <w:rPr>
          <w:rFonts w:hint="eastAsia"/>
          <w:color w:val="auto"/>
          <w:highlight w:val="none"/>
          <w:lang w:val="en-US" w:eastAsia="zh-CN"/>
        </w:rPr>
        <w:t>图3-1运行作业</w:t>
      </w:r>
    </w:p>
    <w:p w14:paraId="57C83D50">
      <w:pPr>
        <w:ind w:firstLine="480" w:firstLineChars="200"/>
        <w:rPr>
          <w:rFonts w:ascii="黑体" w:hAnsi="黑体" w:eastAsia="黑体" w:cs="黑体"/>
          <w:color w:val="auto"/>
          <w:sz w:val="24"/>
        </w:rPr>
      </w:pPr>
      <w:r>
        <w:rPr>
          <w:rFonts w:hint="eastAsia" w:ascii="黑体" w:hAnsi="黑体" w:eastAsia="黑体" w:cs="黑体"/>
          <w:color w:val="auto"/>
          <w:sz w:val="24"/>
        </w:rPr>
        <w:t>五、与现行法律、法规和政策及相关标准的协调性</w:t>
      </w:r>
    </w:p>
    <w:p w14:paraId="4AAFE084">
      <w:pPr>
        <w:spacing w:line="400" w:lineRule="exact"/>
        <w:ind w:firstLine="420"/>
        <w:rPr>
          <w:rFonts w:ascii="仿宋" w:hAnsi="仿宋" w:eastAsia="仿宋" w:cs="仿宋"/>
          <w:color w:val="auto"/>
          <w:szCs w:val="21"/>
        </w:rPr>
      </w:pPr>
      <w:r>
        <w:rPr>
          <w:rFonts w:hint="eastAsia"/>
          <w:color w:val="auto"/>
          <w:highlight w:val="none"/>
        </w:rPr>
        <w:t>本标准属于专用汽车领域标准体系中的产品标准，本标准力求与其他现行国家标准中的有关要求相协调，兼顾标准的可操作性和对产品要求的全面性。本项目</w:t>
      </w:r>
      <w:r>
        <w:rPr>
          <w:rFonts w:hint="eastAsia"/>
          <w:color w:val="auto"/>
          <w:highlight w:val="none"/>
          <w:lang w:val="en-US" w:eastAsia="zh-CN"/>
        </w:rPr>
        <w:t>制定</w:t>
      </w:r>
      <w:r>
        <w:rPr>
          <w:rFonts w:hint="eastAsia"/>
          <w:color w:val="auto"/>
          <w:highlight w:val="none"/>
        </w:rPr>
        <w:t>过程中，将遵守现有标准和修订中标准的规定。经分析，本标准与现行相关法律、法规、规章及相关标准无不协调之处，且贯彻了我国的有关法律、法规和强制性国家标准。</w:t>
      </w:r>
    </w:p>
    <w:p w14:paraId="3D7E7174">
      <w:pPr>
        <w:ind w:firstLine="480" w:firstLineChars="200"/>
        <w:rPr>
          <w:rFonts w:ascii="黑体" w:hAnsi="黑体" w:eastAsia="黑体" w:cs="黑体"/>
          <w:color w:val="auto"/>
          <w:sz w:val="24"/>
        </w:rPr>
      </w:pPr>
      <w:r>
        <w:rPr>
          <w:rFonts w:hint="eastAsia" w:ascii="黑体" w:hAnsi="黑体" w:eastAsia="黑体" w:cs="黑体"/>
          <w:color w:val="auto"/>
          <w:sz w:val="24"/>
        </w:rPr>
        <w:t>六、贯彻标准的要求和措施建议</w:t>
      </w:r>
    </w:p>
    <w:p w14:paraId="008AB0DD">
      <w:pPr>
        <w:spacing w:line="400" w:lineRule="exact"/>
        <w:ind w:firstLine="420"/>
        <w:rPr>
          <w:rFonts w:ascii="仿宋" w:hAnsi="仿宋" w:eastAsia="仿宋" w:cs="仿宋"/>
          <w:color w:val="auto"/>
          <w:szCs w:val="21"/>
        </w:rPr>
      </w:pPr>
      <w:r>
        <w:rPr>
          <w:rFonts w:hint="eastAsia"/>
          <w:color w:val="auto"/>
          <w:highlight w:val="none"/>
        </w:rPr>
        <w:t>本标准对新定型产品自标准实施之日起执行。对在生产产品自实施之日起第7个月开始执行。</w:t>
      </w:r>
    </w:p>
    <w:p w14:paraId="24B88E07">
      <w:pPr>
        <w:numPr>
          <w:ilvl w:val="0"/>
          <w:numId w:val="4"/>
        </w:numPr>
        <w:ind w:firstLine="480" w:firstLineChars="200"/>
        <w:rPr>
          <w:rFonts w:ascii="黑体" w:hAnsi="黑体" w:eastAsia="黑体" w:cs="黑体"/>
          <w:color w:val="auto"/>
          <w:sz w:val="24"/>
        </w:rPr>
      </w:pPr>
      <w:r>
        <w:rPr>
          <w:rFonts w:hint="eastAsia" w:ascii="黑体" w:hAnsi="黑体" w:eastAsia="黑体" w:cs="黑体"/>
          <w:color w:val="auto"/>
          <w:sz w:val="24"/>
        </w:rPr>
        <w:t>其他需要说明的事项</w:t>
      </w:r>
    </w:p>
    <w:p w14:paraId="5C5184A7">
      <w:pPr>
        <w:spacing w:line="400" w:lineRule="exact"/>
        <w:ind w:firstLine="420"/>
        <w:rPr>
          <w:rFonts w:hint="eastAsia" w:eastAsia="宋体"/>
          <w:color w:val="auto"/>
          <w:highlight w:val="none"/>
          <w:lang w:eastAsia="zh-CN"/>
        </w:rPr>
      </w:pPr>
      <w:r>
        <w:rPr>
          <w:rFonts w:hint="eastAsia"/>
          <w:color w:val="auto"/>
          <w:highlight w:val="none"/>
        </w:rPr>
        <w:t>无</w:t>
      </w:r>
      <w:r>
        <w:rPr>
          <w:rFonts w:hint="eastAsia"/>
          <w:color w:val="auto"/>
          <w:highlight w:val="none"/>
          <w:lang w:eastAsia="zh-CN"/>
        </w:rPr>
        <w:t>。</w:t>
      </w:r>
    </w:p>
    <w:p w14:paraId="4EE3F6AE">
      <w:pPr>
        <w:pStyle w:val="2"/>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0"/>
      <w:suff w:val="nothing"/>
      <w:lvlText w:val="%1%2　"/>
      <w:lvlJc w:val="left"/>
      <w:pPr>
        <w:ind w:left="1134" w:firstLine="0"/>
      </w:pPr>
      <w:rPr>
        <w:rFonts w:hint="eastAsia" w:ascii="黑体" w:eastAsia="黑体"/>
        <w:b w:val="0"/>
        <w:i w:val="0"/>
        <w:sz w:val="21"/>
      </w:rPr>
    </w:lvl>
    <w:lvl w:ilvl="2" w:tentative="0">
      <w:start w:val="1"/>
      <w:numFmt w:val="decimal"/>
      <w:pStyle w:val="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8"/>
      <w:suff w:val="nothing"/>
      <w:lvlText w:val="%1%2.%3.%4　"/>
      <w:lvlJc w:val="left"/>
      <w:pPr>
        <w:ind w:left="3827" w:firstLine="0"/>
      </w:pPr>
      <w:rPr>
        <w:rFonts w:hint="eastAsia" w:ascii="黑体" w:eastAsia="黑体"/>
        <w:b w:val="0"/>
        <w:i w:val="0"/>
        <w:sz w:val="21"/>
        <w:lang w:val="en-US"/>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1CA3"/>
    <w:rsid w:val="00E61DC5"/>
    <w:rsid w:val="01172EB4"/>
    <w:rsid w:val="019C741D"/>
    <w:rsid w:val="01E43C17"/>
    <w:rsid w:val="0381685A"/>
    <w:rsid w:val="05C37FDC"/>
    <w:rsid w:val="05CF7D50"/>
    <w:rsid w:val="05FB0B46"/>
    <w:rsid w:val="06624DC0"/>
    <w:rsid w:val="07591FC8"/>
    <w:rsid w:val="08FA3336"/>
    <w:rsid w:val="0AA418ED"/>
    <w:rsid w:val="0C21048D"/>
    <w:rsid w:val="0C64748C"/>
    <w:rsid w:val="0D481F63"/>
    <w:rsid w:val="0E9449B9"/>
    <w:rsid w:val="12B6275E"/>
    <w:rsid w:val="12FF2E02"/>
    <w:rsid w:val="13D73FBA"/>
    <w:rsid w:val="13E9679D"/>
    <w:rsid w:val="154047C7"/>
    <w:rsid w:val="158B33E1"/>
    <w:rsid w:val="17FE211F"/>
    <w:rsid w:val="18C53778"/>
    <w:rsid w:val="19861895"/>
    <w:rsid w:val="1A8512AF"/>
    <w:rsid w:val="1AF7263E"/>
    <w:rsid w:val="1D885CCC"/>
    <w:rsid w:val="1DBD5B2E"/>
    <w:rsid w:val="1EB36D9B"/>
    <w:rsid w:val="23630640"/>
    <w:rsid w:val="24242E4C"/>
    <w:rsid w:val="25CD70E6"/>
    <w:rsid w:val="28B928B1"/>
    <w:rsid w:val="2BC06B9A"/>
    <w:rsid w:val="2D9214E0"/>
    <w:rsid w:val="3014442E"/>
    <w:rsid w:val="302F442C"/>
    <w:rsid w:val="30414B88"/>
    <w:rsid w:val="31FD03A4"/>
    <w:rsid w:val="331C664B"/>
    <w:rsid w:val="35063F79"/>
    <w:rsid w:val="35240B57"/>
    <w:rsid w:val="35300883"/>
    <w:rsid w:val="375021F0"/>
    <w:rsid w:val="37F1035A"/>
    <w:rsid w:val="38962237"/>
    <w:rsid w:val="39D32003"/>
    <w:rsid w:val="3A1C460B"/>
    <w:rsid w:val="3CFC5061"/>
    <w:rsid w:val="3D5A67D1"/>
    <w:rsid w:val="3E1000F5"/>
    <w:rsid w:val="3E42660A"/>
    <w:rsid w:val="3F013CA7"/>
    <w:rsid w:val="40FC3B3E"/>
    <w:rsid w:val="431C742A"/>
    <w:rsid w:val="46F25071"/>
    <w:rsid w:val="493A2D00"/>
    <w:rsid w:val="4A28014C"/>
    <w:rsid w:val="4A513E5D"/>
    <w:rsid w:val="4C6E2B14"/>
    <w:rsid w:val="4E6E0E59"/>
    <w:rsid w:val="4E7E368F"/>
    <w:rsid w:val="4E8642F1"/>
    <w:rsid w:val="4EB038C3"/>
    <w:rsid w:val="4EEF041C"/>
    <w:rsid w:val="50B45976"/>
    <w:rsid w:val="53B8400F"/>
    <w:rsid w:val="5443043D"/>
    <w:rsid w:val="55B21CAF"/>
    <w:rsid w:val="55FC3A5F"/>
    <w:rsid w:val="56334818"/>
    <w:rsid w:val="57021A82"/>
    <w:rsid w:val="59BF16A6"/>
    <w:rsid w:val="59EA7729"/>
    <w:rsid w:val="5A8557D0"/>
    <w:rsid w:val="5B1C4013"/>
    <w:rsid w:val="5B901E62"/>
    <w:rsid w:val="5E0019CA"/>
    <w:rsid w:val="5FB20452"/>
    <w:rsid w:val="61955BE0"/>
    <w:rsid w:val="61A40A91"/>
    <w:rsid w:val="62C71B1B"/>
    <w:rsid w:val="634427F5"/>
    <w:rsid w:val="63973B77"/>
    <w:rsid w:val="644B40FA"/>
    <w:rsid w:val="66C45DB5"/>
    <w:rsid w:val="699C2688"/>
    <w:rsid w:val="6A2C5CCF"/>
    <w:rsid w:val="6AA80BCD"/>
    <w:rsid w:val="6BCA7D9A"/>
    <w:rsid w:val="71155E15"/>
    <w:rsid w:val="72160DB2"/>
    <w:rsid w:val="726917AE"/>
    <w:rsid w:val="72E3698D"/>
    <w:rsid w:val="743F5EF0"/>
    <w:rsid w:val="74BD01BD"/>
    <w:rsid w:val="7636612B"/>
    <w:rsid w:val="76C648D7"/>
    <w:rsid w:val="779D22E8"/>
    <w:rsid w:val="77C42E2D"/>
    <w:rsid w:val="798D712C"/>
    <w:rsid w:val="7BE97AEA"/>
    <w:rsid w:val="7C935796"/>
    <w:rsid w:val="7D2012E9"/>
    <w:rsid w:val="7DE50C81"/>
    <w:rsid w:val="7F6B2562"/>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标准文件_二级条标题"/>
    <w:next w:val="7"/>
    <w:autoRedefine/>
    <w:qFormat/>
    <w:uiPriority w:val="0"/>
    <w:pPr>
      <w:widowControl w:val="0"/>
      <w:numPr>
        <w:ilvl w:val="3"/>
        <w:numId w:val="1"/>
      </w:numPr>
      <w:spacing w:before="120" w:beforeLines="50" w:after="120" w:afterLines="50"/>
      <w:ind w:left="0"/>
      <w:jc w:val="both"/>
      <w:outlineLvl w:val="2"/>
    </w:pPr>
    <w:rPr>
      <w:rFonts w:ascii="黑体" w:hAnsi="Times New Roman" w:eastAsia="黑体" w:cs="Times New Roman"/>
      <w:sz w:val="21"/>
      <w:lang w:val="en-US" w:eastAsia="zh-CN" w:bidi="ar-SA"/>
    </w:rPr>
  </w:style>
  <w:style w:type="paragraph" w:customStyle="1" w:styleId="9">
    <w:name w:val="标准文件_一级条标题"/>
    <w:basedOn w:val="10"/>
    <w:next w:val="7"/>
    <w:autoRedefine/>
    <w:qFormat/>
    <w:uiPriority w:val="0"/>
    <w:pPr>
      <w:numPr>
        <w:ilvl w:val="2"/>
      </w:numPr>
      <w:spacing w:before="120" w:beforeLines="50" w:after="120" w:afterLines="50"/>
      <w:outlineLvl w:val="1"/>
    </w:pPr>
  </w:style>
  <w:style w:type="paragraph" w:customStyle="1" w:styleId="10">
    <w:name w:val="标准文件_章标题"/>
    <w:next w:val="7"/>
    <w:autoRedefine/>
    <w:qFormat/>
    <w:uiPriority w:val="0"/>
    <w:pPr>
      <w:numPr>
        <w:ilvl w:val="1"/>
        <w:numId w:val="1"/>
      </w:numPr>
      <w:spacing w:before="100" w:beforeLines="100" w:after="100" w:afterLines="100"/>
      <w:ind w:left="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2407</Words>
  <Characters>2503</Characters>
  <Lines>0</Lines>
  <Paragraphs>0</Paragraphs>
  <TotalTime>5</TotalTime>
  <ScaleCrop>false</ScaleCrop>
  <LinksUpToDate>false</LinksUpToDate>
  <CharactersWithSpaces>2553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2022-04-24T14:35:00Z</dcterms:created>
  <dc:creator>ZHQ</dc:creator>
  <cp:lastModifiedBy>HC</cp:lastModifiedBy>
  <dcterms:modified xsi:type="dcterms:W3CDTF">2026-04-23T06:14:35Z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KSOTemplateDocerSaveRecord">
    <vt:lpwstr>eyJoZGlkIjoiYzQwYzk2MTY0MjMxZGRmN2ZkMGI0ZGU5Mjc4MTQ1NjUiLCJ1c2VySWQiOiIxNzc2OTk3MjYzIn0=</vt:lpwstr>
  </property>
  <property fmtid="{D5CDD505-2E9C-101B-9397-08002B2CF9AE}" pid="4" name="ICV">
    <vt:lpwstr>5B9439D00CF549759CCED3E03AE38896_12</vt:lpwstr>
  </property>
</Properties>
</file>