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6AD96">
      <w:pPr>
        <w:rPr>
          <w:rFonts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470C88AB">
      <w:pPr>
        <w:widowControl/>
        <w:jc w:val="center"/>
        <w:rPr>
          <w:rFonts w:hint="eastAsia" w:eastAsia="黑体"/>
          <w:sz w:val="28"/>
          <w:szCs w:val="28"/>
        </w:rPr>
      </w:pPr>
      <w:r>
        <w:rPr>
          <w:rFonts w:hint="eastAsia" w:eastAsia="黑体"/>
          <w:sz w:val="28"/>
          <w:szCs w:val="28"/>
        </w:rPr>
        <w:t>中汽协会《汽车计算芯片信息安全技术要求及试验方法》</w:t>
      </w:r>
    </w:p>
    <w:p w14:paraId="53087CB5">
      <w:pPr>
        <w:widowControl/>
        <w:jc w:val="center"/>
        <w:rPr>
          <w:rFonts w:eastAsia="黑体"/>
          <w:sz w:val="28"/>
          <w:szCs w:val="28"/>
        </w:rPr>
      </w:pPr>
      <w:r>
        <w:rPr>
          <w:rFonts w:hint="eastAsia" w:eastAsia="黑体"/>
          <w:sz w:val="28"/>
          <w:szCs w:val="28"/>
          <w:lang w:val="en-US" w:eastAsia="zh-CN"/>
        </w:rPr>
        <w:t>团体</w:t>
      </w:r>
      <w:r>
        <w:rPr>
          <w:rFonts w:hint="eastAsia" w:eastAsia="黑体"/>
          <w:sz w:val="28"/>
          <w:szCs w:val="28"/>
        </w:rPr>
        <w:t>标准编制说明</w:t>
      </w:r>
    </w:p>
    <w:p w14:paraId="67F3817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64751B29">
      <w:pPr>
        <w:numPr>
          <w:ilvl w:val="0"/>
          <w:numId w:val="2"/>
        </w:numPr>
        <w:spacing w:line="360" w:lineRule="auto"/>
        <w:ind w:left="0"/>
        <w:outlineLvl w:val="1"/>
        <w:rPr>
          <w:rFonts w:hint="eastAsia" w:ascii="黑体" w:hAnsi="黑体" w:eastAsia="黑体" w:cs="仿宋"/>
          <w:color w:val="000000" w:themeColor="text1"/>
          <w:sz w:val="24"/>
          <w14:textFill>
            <w14:solidFill>
              <w14:schemeClr w14:val="tx1"/>
            </w14:solidFill>
          </w14:textFill>
        </w:rPr>
      </w:pPr>
      <w:r>
        <w:rPr>
          <w:rFonts w:hint="eastAsia" w:ascii="黑体" w:hAnsi="黑体" w:eastAsia="黑体" w:cs="仿宋"/>
          <w:color w:val="000000" w:themeColor="text1"/>
          <w:sz w:val="24"/>
          <w14:textFill>
            <w14:solidFill>
              <w14:schemeClr w14:val="tx1"/>
            </w14:solidFill>
          </w14:textFill>
        </w:rPr>
        <w:t>任务来源</w:t>
      </w:r>
    </w:p>
    <w:p w14:paraId="0915653A">
      <w:pPr>
        <w:spacing w:line="360" w:lineRule="auto"/>
        <w:ind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来源：</w:t>
      </w:r>
      <w:r>
        <w:rPr>
          <w:rFonts w:hint="eastAsia" w:ascii="仿宋" w:hAnsi="仿宋" w:eastAsia="仿宋" w:cs="仿宋"/>
          <w:color w:val="000000" w:themeColor="text1"/>
          <w:sz w:val="24"/>
          <w14:textFill>
            <w14:solidFill>
              <w14:schemeClr w14:val="tx1"/>
            </w14:solidFill>
          </w14:textFill>
        </w:rPr>
        <w:t>《汽车计算芯片信息安全技术要求及试验方法》团体标准是由中国汽车工业协会标准法规工作委员会批准立项，文件号为：中汽协函字〔2025〕157号，计划号为202</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21</w:t>
      </w:r>
      <w:r>
        <w:rPr>
          <w:rFonts w:hint="eastAsia" w:ascii="仿宋" w:hAnsi="仿宋" w:eastAsia="仿宋" w:cs="仿宋"/>
          <w:color w:val="000000" w:themeColor="text1"/>
          <w:sz w:val="24"/>
          <w14:textFill>
            <w14:solidFill>
              <w14:schemeClr w14:val="tx1"/>
            </w14:solidFill>
          </w14:textFill>
        </w:rPr>
        <w:t>。</w:t>
      </w:r>
    </w:p>
    <w:p w14:paraId="2D629FD8">
      <w:pPr>
        <w:spacing w:line="360" w:lineRule="auto"/>
        <w:ind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背景及意义：</w:t>
      </w:r>
      <w:r>
        <w:rPr>
          <w:rFonts w:hint="eastAsia" w:ascii="仿宋" w:hAnsi="仿宋" w:eastAsia="仿宋" w:cs="仿宋"/>
          <w:color w:val="000000" w:themeColor="text1"/>
          <w:sz w:val="24"/>
          <w14:textFill>
            <w14:solidFill>
              <w14:schemeClr w14:val="tx1"/>
            </w14:solidFill>
          </w14:textFill>
        </w:rPr>
        <w:t>在智能网联汽车发展到下半场，IT化、智能化、网联化推动车联网、自动驾驶、智能交通、共享出行发展，辅助驾驶已经实现大规模推广普及，L3级自动驾驶进入准商业化量产阶段，L4级示范蓬勃开展。车载芯片用量越来越多，目前新能源汽车使用芯片超过1000颗。预计每辆车使用芯片的平均金额达到1000美元以上。汽车上用于座舱的SoC算力较高、接口资源丰富，用于智能驾驶SoC具有异构多核高算力。这些芯片需要支持安全相关的功能，芯片的安全能力会进一步加强，以支撑汽车日益增长的高安全要求。</w:t>
      </w:r>
    </w:p>
    <w:p w14:paraId="048AC940">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本标准</w:t>
      </w:r>
      <w:r>
        <w:rPr>
          <w:rFonts w:hint="eastAsia" w:ascii="仿宋" w:hAnsi="仿宋" w:eastAsia="仿宋" w:cs="仿宋"/>
          <w:color w:val="000000" w:themeColor="text1"/>
          <w:sz w:val="24"/>
          <w:lang w:val="en-US" w:eastAsia="zh-CN"/>
          <w14:textFill>
            <w14:solidFill>
              <w14:schemeClr w14:val="tx1"/>
            </w14:solidFill>
          </w14:textFill>
        </w:rPr>
        <w:t>项目</w:t>
      </w:r>
      <w:r>
        <w:rPr>
          <w:rFonts w:hint="eastAsia" w:ascii="仿宋" w:hAnsi="仿宋" w:eastAsia="仿宋" w:cs="仿宋"/>
          <w:color w:val="000000" w:themeColor="text1"/>
          <w:sz w:val="24"/>
          <w14:textFill>
            <w14:solidFill>
              <w14:schemeClr w14:val="tx1"/>
            </w14:solidFill>
          </w14:textFill>
        </w:rPr>
        <w:t>旨在对汽车计算芯片（主要涉及智能座舱和自动驾驶领域）的安全相关能力提出系统性的、规范化的要求，有利于行业达成共识，为软件层面实现系统的网络安全、数据安全的相关机制、功能提供充分的硬件支持，进一步提升智能网联汽车的安全保障能力和水平。本标准的内容规划具有针对智能座舱、自动驾驶场景所使用计算芯片的侧重性、提取它们在安全方面的共性特征要求，标准内容一致性和可维护性高，是基于汽车芯片标准体系框架的、对现有标准的重要补充。</w:t>
      </w:r>
    </w:p>
    <w:p w14:paraId="3A289D39">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textAlignment w:val="auto"/>
        <w:outlineLvl w:val="1"/>
        <w:rPr>
          <w:rFonts w:hint="eastAsia" w:ascii="黑体" w:hAnsi="黑体" w:eastAsia="黑体" w:cs="仿宋"/>
          <w:color w:val="000000" w:themeColor="text1"/>
          <w:sz w:val="24"/>
          <w14:textFill>
            <w14:solidFill>
              <w14:schemeClr w14:val="tx1"/>
            </w14:solidFill>
          </w14:textFill>
        </w:rPr>
      </w:pPr>
      <w:r>
        <w:rPr>
          <w:rFonts w:hint="eastAsia" w:ascii="黑体" w:hAnsi="黑体" w:eastAsia="黑体" w:cs="仿宋"/>
          <w:color w:val="000000" w:themeColor="text1"/>
          <w:sz w:val="24"/>
          <w14:textFill>
            <w14:solidFill>
              <w14:schemeClr w14:val="tx1"/>
            </w14:solidFill>
          </w14:textFill>
        </w:rPr>
        <w:t>主要起草单位及任务分工</w:t>
      </w:r>
    </w:p>
    <w:p w14:paraId="604617F5">
      <w:pPr>
        <w:spacing w:line="360" w:lineRule="auto"/>
        <w:ind w:firstLine="480" w:firstLineChars="200"/>
        <w:rPr>
          <w:rFonts w:hint="eastAsia" w:ascii="仿宋" w:hAnsi="仿宋" w:eastAsia="仿宋"/>
          <w:sz w:val="24"/>
        </w:rPr>
      </w:pPr>
      <w:r>
        <w:rPr>
          <w:rFonts w:hint="eastAsia" w:ascii="仿宋" w:hAnsi="仿宋" w:eastAsia="仿宋" w:cs="宋体"/>
          <w:sz w:val="24"/>
        </w:rPr>
        <w:t>标准立项后，广东为辰信息科技有限公司联合整车企业、零部件企业、芯片企业、检测公司、测试设备公司、高校等共同制定和完善标准草案。参编单位有：</w:t>
      </w:r>
      <w:r>
        <w:rPr>
          <w:rFonts w:hint="eastAsia" w:ascii="仿宋" w:hAnsi="仿宋" w:eastAsia="仿宋" w:cs="宋体"/>
          <w:sz w:val="24"/>
          <w:lang w:val="en-US" w:eastAsia="zh-CN"/>
        </w:rPr>
        <w:t>电子科技大学</w:t>
      </w:r>
      <w:r>
        <w:rPr>
          <w:rFonts w:hint="eastAsia" w:ascii="仿宋" w:hAnsi="仿宋" w:eastAsia="仿宋" w:cs="宋体"/>
          <w:sz w:val="24"/>
        </w:rPr>
        <w:t>、国家新能源汽车技术创新中心、中国信息通信研究院、上海为旌科技有限公司、北汽福田汽车股份有限公司、加特兰微电子科技(上海)有限公司、苏州特思恩科技有限公司、北京超星未来科技有限公司、北京东土科技股份有限公司、上海复旦微电子集团股份有限公司、深圳市纽创信安科技开发有限公司、黑芝麻智能科技有限公司、湖北芯擎科技有限公司、普华基础软件股份有限公司、是德科技（中国）有限公司、北京银联金卡科技有限公司、重庆长安汽车股份有限公司、北京智芯微电子科技有限公司、中国汽车工程研究院股份有限公司、中国重型汽车集团、中移物联网有限公司、紫光同芯微电子有限公司、北京经纬恒润科技股份有限公司、中兴通讯股份有限公司、合肥杰发科技有限公司</w:t>
      </w:r>
      <w:r>
        <w:rPr>
          <w:rFonts w:hint="eastAsia" w:ascii="仿宋" w:hAnsi="仿宋" w:eastAsia="仿宋"/>
          <w:sz w:val="24"/>
        </w:rPr>
        <w:t>等。</w:t>
      </w:r>
    </w:p>
    <w:p w14:paraId="1E1DA66E">
      <w:pPr>
        <w:spacing w:line="360" w:lineRule="auto"/>
        <w:ind w:firstLine="480" w:firstLineChars="200"/>
        <w:rPr>
          <w:rFonts w:hint="eastAsia" w:ascii="仿宋" w:hAnsi="仿宋" w:eastAsia="仿宋"/>
          <w:sz w:val="24"/>
        </w:rPr>
      </w:pPr>
      <w:r>
        <w:rPr>
          <w:rFonts w:hint="eastAsia" w:ascii="仿宋" w:hAnsi="仿宋" w:eastAsia="仿宋"/>
          <w:sz w:val="24"/>
        </w:rPr>
        <w:t>其中，牵头单位的主要工作内容：</w:t>
      </w:r>
    </w:p>
    <w:p w14:paraId="6163ECA9">
      <w:pPr>
        <w:numPr>
          <w:ilvl w:val="0"/>
          <w:numId w:val="3"/>
        </w:numPr>
        <w:spacing w:line="360" w:lineRule="auto"/>
        <w:ind w:firstLine="480" w:firstLineChars="200"/>
        <w:rPr>
          <w:rFonts w:hint="eastAsia" w:ascii="仿宋" w:hAnsi="仿宋" w:eastAsia="仿宋"/>
          <w:sz w:val="24"/>
        </w:rPr>
      </w:pPr>
      <w:r>
        <w:rPr>
          <w:rFonts w:hint="eastAsia" w:ascii="仿宋" w:hAnsi="仿宋" w:eastAsia="仿宋"/>
          <w:sz w:val="24"/>
        </w:rPr>
        <w:t>组织成立标准起草组;</w:t>
      </w:r>
    </w:p>
    <w:p w14:paraId="7551EA9D">
      <w:pPr>
        <w:numPr>
          <w:ilvl w:val="0"/>
          <w:numId w:val="3"/>
        </w:numPr>
        <w:spacing w:line="360" w:lineRule="auto"/>
        <w:ind w:firstLine="480" w:firstLineChars="200"/>
        <w:rPr>
          <w:rFonts w:hint="eastAsia" w:ascii="仿宋" w:hAnsi="仿宋" w:eastAsia="仿宋"/>
          <w:sz w:val="24"/>
        </w:rPr>
      </w:pPr>
      <w:r>
        <w:rPr>
          <w:rFonts w:hint="eastAsia" w:ascii="仿宋" w:hAnsi="仿宋" w:eastAsia="仿宋"/>
          <w:sz w:val="24"/>
        </w:rPr>
        <w:t>组织并参加标准化起草活动;</w:t>
      </w:r>
    </w:p>
    <w:p w14:paraId="619B7456">
      <w:pPr>
        <w:numPr>
          <w:ilvl w:val="0"/>
          <w:numId w:val="3"/>
        </w:numPr>
        <w:spacing w:line="360" w:lineRule="auto"/>
        <w:ind w:firstLine="480" w:firstLineChars="200"/>
        <w:rPr>
          <w:rFonts w:hint="eastAsia" w:ascii="仿宋" w:hAnsi="仿宋" w:eastAsia="仿宋"/>
          <w:sz w:val="24"/>
        </w:rPr>
      </w:pPr>
      <w:r>
        <w:rPr>
          <w:rFonts w:hint="eastAsia" w:ascii="仿宋" w:hAnsi="仿宋" w:eastAsia="仿宋"/>
          <w:sz w:val="24"/>
        </w:rPr>
        <w:t>协调处理起草工作中出现的问题，根据以往经验，结合起草组各单位建议，完善标准草稿;</w:t>
      </w:r>
    </w:p>
    <w:p w14:paraId="0D6DF3DE">
      <w:pPr>
        <w:numPr>
          <w:ilvl w:val="0"/>
          <w:numId w:val="3"/>
        </w:numPr>
        <w:spacing w:line="360" w:lineRule="auto"/>
        <w:ind w:firstLine="480" w:firstLineChars="200"/>
        <w:rPr>
          <w:rFonts w:hint="eastAsia" w:ascii="仿宋" w:hAnsi="仿宋" w:eastAsia="仿宋"/>
          <w:sz w:val="24"/>
        </w:rPr>
      </w:pPr>
      <w:r>
        <w:rPr>
          <w:rFonts w:hint="eastAsia" w:ascii="仿宋" w:hAnsi="仿宋" w:eastAsia="仿宋"/>
          <w:sz w:val="24"/>
        </w:rPr>
        <w:t>组织相关单位，对标准测试相关内容进行试验验证。</w:t>
      </w:r>
    </w:p>
    <w:p w14:paraId="252FBA83">
      <w:pPr>
        <w:numPr>
          <w:ilvl w:val="0"/>
          <w:numId w:val="0"/>
        </w:numPr>
        <w:spacing w:line="360" w:lineRule="auto"/>
        <w:ind w:firstLine="480" w:firstLineChars="200"/>
        <w:rPr>
          <w:rFonts w:hint="eastAsia" w:ascii="仿宋" w:hAnsi="仿宋" w:eastAsia="仿宋"/>
          <w:sz w:val="24"/>
        </w:rPr>
      </w:pPr>
      <w:r>
        <w:rPr>
          <w:rFonts w:hint="eastAsia" w:ascii="仿宋" w:hAnsi="仿宋" w:eastAsia="仿宋"/>
          <w:sz w:val="24"/>
        </w:rPr>
        <w:t>起草组成员的主要工作内容：</w:t>
      </w:r>
    </w:p>
    <w:p w14:paraId="57B91932">
      <w:pPr>
        <w:numPr>
          <w:ilvl w:val="0"/>
          <w:numId w:val="4"/>
        </w:numPr>
        <w:spacing w:line="360" w:lineRule="auto"/>
        <w:ind w:firstLine="480" w:firstLineChars="200"/>
        <w:rPr>
          <w:rFonts w:hint="eastAsia" w:ascii="仿宋" w:hAnsi="仿宋" w:eastAsia="仿宋"/>
          <w:sz w:val="24"/>
        </w:rPr>
      </w:pPr>
      <w:r>
        <w:rPr>
          <w:rFonts w:hint="eastAsia" w:ascii="仿宋" w:hAnsi="仿宋" w:eastAsia="仿宋"/>
          <w:sz w:val="24"/>
        </w:rPr>
        <w:t>配合牵头单位成立标准起草组配合牵头单位共同完成标准起草工作;</w:t>
      </w:r>
    </w:p>
    <w:p w14:paraId="023E4D54">
      <w:pPr>
        <w:numPr>
          <w:ilvl w:val="0"/>
          <w:numId w:val="4"/>
        </w:numPr>
        <w:spacing w:line="360" w:lineRule="auto"/>
        <w:ind w:firstLine="480" w:firstLineChars="200"/>
        <w:rPr>
          <w:rFonts w:hint="eastAsia" w:ascii="仿宋" w:hAnsi="仿宋" w:eastAsia="仿宋"/>
          <w:sz w:val="24"/>
        </w:rPr>
      </w:pPr>
      <w:r>
        <w:rPr>
          <w:rFonts w:hint="eastAsia" w:ascii="仿宋" w:hAnsi="仿宋" w:eastAsia="仿宋"/>
          <w:sz w:val="24"/>
        </w:rPr>
        <w:t>根据分工，承担标准起草任务：相关单位根据自身经验，反馈汽车</w:t>
      </w:r>
      <w:r>
        <w:rPr>
          <w:rFonts w:hint="eastAsia" w:ascii="仿宋" w:hAnsi="仿宋" w:eastAsia="仿宋"/>
          <w:sz w:val="24"/>
          <w:lang w:val="en-US" w:eastAsia="zh-CN"/>
        </w:rPr>
        <w:t>计算芯片信息安全</w:t>
      </w:r>
      <w:r>
        <w:rPr>
          <w:rFonts w:hint="eastAsia" w:ascii="仿宋" w:hAnsi="仿宋" w:eastAsia="仿宋"/>
          <w:sz w:val="24"/>
        </w:rPr>
        <w:t>检测内容和要求;</w:t>
      </w:r>
    </w:p>
    <w:p w14:paraId="1F6CF35F">
      <w:pPr>
        <w:numPr>
          <w:ilvl w:val="0"/>
          <w:numId w:val="4"/>
        </w:numPr>
        <w:spacing w:line="360" w:lineRule="auto"/>
        <w:ind w:firstLine="480" w:firstLineChars="200"/>
        <w:rPr>
          <w:rFonts w:hint="eastAsia" w:ascii="仿宋" w:hAnsi="仿宋" w:eastAsia="仿宋"/>
          <w:sz w:val="24"/>
        </w:rPr>
      </w:pPr>
      <w:r>
        <w:rPr>
          <w:rFonts w:hint="eastAsia" w:ascii="仿宋" w:hAnsi="仿宋" w:eastAsia="仿宋"/>
          <w:sz w:val="24"/>
        </w:rPr>
        <w:t>根据需要，配合开展标准的测试验证工作。</w:t>
      </w:r>
    </w:p>
    <w:p w14:paraId="5508B0E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left="0"/>
        <w:textAlignment w:val="auto"/>
        <w:outlineLvl w:val="1"/>
        <w:rPr>
          <w:rFonts w:hint="eastAsia" w:ascii="黑体" w:hAnsi="黑体" w:eastAsia="黑体" w:cs="仿宋"/>
          <w:color w:val="000000" w:themeColor="text1"/>
          <w:sz w:val="24"/>
          <w14:textFill>
            <w14:solidFill>
              <w14:schemeClr w14:val="tx1"/>
            </w14:solidFill>
          </w14:textFill>
        </w:rPr>
      </w:pPr>
      <w:r>
        <w:rPr>
          <w:rFonts w:hint="eastAsia" w:ascii="黑体" w:hAnsi="黑体" w:eastAsia="黑体" w:cs="仿宋"/>
          <w:color w:val="000000" w:themeColor="text1"/>
          <w:sz w:val="24"/>
          <w14:textFill>
            <w14:solidFill>
              <w14:schemeClr w14:val="tx1"/>
            </w14:solidFill>
          </w14:textFill>
        </w:rPr>
        <w:t>标准研讨情况</w:t>
      </w:r>
    </w:p>
    <w:p w14:paraId="46DE02B3">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标准起草组遵守GB/T 1.1-2020等文件相关规定，结合标准制定工作程序的各个环节，进行了探讨和研究。对国内外的相关标准进行系统研究，对行业现有标准技术文件和研究成果进行归纳整理，对比国内外车规半导体标准的技术要求，进行了必要的试验验证，保证标准研究方向的正确性及可行性。同时标准起草组广泛听取了行业知名专家的意见，组织相关技术人员对标准中各章节的技术指标、内容要求进行多次研讨。具体工作过程如下。</w:t>
      </w:r>
    </w:p>
    <w:p w14:paraId="60C78EB1">
      <w:pPr>
        <w:spacing w:line="360" w:lineRule="auto"/>
        <w:outlineLvl w:val="2"/>
        <w:rPr>
          <w:rFonts w:hint="eastAsia" w:ascii="黑体" w:hAnsi="黑体" w:eastAsia="黑体" w:cs="仿宋"/>
          <w:sz w:val="24"/>
        </w:rPr>
      </w:pPr>
      <w:r>
        <w:rPr>
          <w:rFonts w:hint="eastAsia" w:ascii="黑体" w:hAnsi="黑体" w:eastAsia="黑体" w:cs="仿宋"/>
          <w:sz w:val="24"/>
        </w:rPr>
        <w:t>1</w:t>
      </w:r>
      <w:r>
        <w:rPr>
          <w:rFonts w:hint="eastAsia" w:ascii="黑体" w:hAnsi="黑体" w:eastAsia="黑体" w:cs="仿宋"/>
          <w:sz w:val="24"/>
          <w:lang w:eastAsia="zh-CN"/>
        </w:rPr>
        <w:t>、</w:t>
      </w:r>
      <w:r>
        <w:rPr>
          <w:rFonts w:hint="eastAsia" w:ascii="黑体" w:hAnsi="黑体" w:eastAsia="黑体" w:cs="仿宋"/>
          <w:sz w:val="24"/>
        </w:rPr>
        <w:t>预研</w:t>
      </w:r>
    </w:p>
    <w:p w14:paraId="06E2FCF9">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调查研究国内、欧洲、美国和日本等主要汽车生产商的</w:t>
      </w:r>
      <w:r>
        <w:rPr>
          <w:rFonts w:hint="eastAsia" w:ascii="仿宋" w:hAnsi="仿宋" w:eastAsia="仿宋" w:cs="仿宋"/>
          <w:color w:val="000000" w:themeColor="text1"/>
          <w:sz w:val="24"/>
          <w:lang w:val="en-US" w:eastAsia="zh-CN"/>
          <w14:textFill>
            <w14:solidFill>
              <w14:schemeClr w14:val="tx1"/>
            </w14:solidFill>
          </w14:textFill>
        </w:rPr>
        <w:t>汽车计算芯片信息安全</w:t>
      </w:r>
      <w:r>
        <w:rPr>
          <w:rFonts w:hint="eastAsia" w:ascii="仿宋" w:hAnsi="仿宋" w:eastAsia="仿宋" w:cs="仿宋"/>
          <w:color w:val="000000" w:themeColor="text1"/>
          <w:sz w:val="24"/>
          <w14:textFill>
            <w14:solidFill>
              <w14:schemeClr w14:val="tx1"/>
            </w14:solidFill>
          </w14:textFill>
        </w:rPr>
        <w:t>技术</w:t>
      </w:r>
      <w:r>
        <w:rPr>
          <w:rFonts w:hint="eastAsia" w:ascii="仿宋" w:hAnsi="仿宋" w:eastAsia="仿宋" w:cs="仿宋"/>
          <w:color w:val="000000" w:themeColor="text1"/>
          <w:sz w:val="24"/>
          <w:lang w:val="en-US" w:eastAsia="zh-CN"/>
          <w14:textFill>
            <w14:solidFill>
              <w14:schemeClr w14:val="tx1"/>
            </w14:solidFill>
          </w14:textFill>
        </w:rPr>
        <w:t>现状</w:t>
      </w:r>
      <w:r>
        <w:rPr>
          <w:rFonts w:hint="eastAsia" w:ascii="仿宋" w:hAnsi="仿宋" w:eastAsia="仿宋" w:cs="仿宋"/>
          <w:color w:val="000000" w:themeColor="text1"/>
          <w:sz w:val="24"/>
          <w14:textFill>
            <w14:solidFill>
              <w14:schemeClr w14:val="tx1"/>
            </w14:solidFill>
          </w14:textFill>
        </w:rPr>
        <w:t>和国内</w:t>
      </w:r>
      <w:r>
        <w:rPr>
          <w:rFonts w:hint="eastAsia" w:ascii="仿宋" w:hAnsi="仿宋" w:eastAsia="仿宋" w:cs="仿宋"/>
          <w:color w:val="000000" w:themeColor="text1"/>
          <w:sz w:val="24"/>
          <w:lang w:val="en-US" w:eastAsia="zh-CN"/>
          <w14:textFill>
            <w14:solidFill>
              <w14:schemeClr w14:val="tx1"/>
            </w14:solidFill>
          </w14:textFill>
        </w:rPr>
        <w:t>计算芯片信息安全</w:t>
      </w:r>
      <w:r>
        <w:rPr>
          <w:rFonts w:hint="eastAsia" w:ascii="仿宋" w:hAnsi="仿宋" w:eastAsia="仿宋" w:cs="仿宋"/>
          <w:color w:val="000000" w:themeColor="text1"/>
          <w:sz w:val="24"/>
          <w14:textFill>
            <w14:solidFill>
              <w14:schemeClr w14:val="tx1"/>
            </w14:solidFill>
          </w14:textFill>
        </w:rPr>
        <w:t>标准研究制定情况，明确标准定位与差异性，确定</w:t>
      </w:r>
      <w:r>
        <w:rPr>
          <w:rFonts w:hint="eastAsia" w:ascii="仿宋" w:hAnsi="仿宋" w:eastAsia="仿宋" w:cs="仿宋"/>
          <w:color w:val="000000" w:themeColor="text1"/>
          <w:sz w:val="24"/>
          <w:lang w:val="en-US" w:eastAsia="zh-CN"/>
          <w14:textFill>
            <w14:solidFill>
              <w14:schemeClr w14:val="tx1"/>
            </w14:solidFill>
          </w14:textFill>
        </w:rPr>
        <w:t>汽车计算芯片信息安全</w:t>
      </w:r>
      <w:r>
        <w:rPr>
          <w:rFonts w:hint="eastAsia" w:ascii="仿宋" w:hAnsi="仿宋" w:eastAsia="仿宋" w:cs="仿宋"/>
          <w:color w:val="000000" w:themeColor="text1"/>
          <w:sz w:val="24"/>
          <w14:textFill>
            <w14:solidFill>
              <w14:schemeClr w14:val="tx1"/>
            </w14:solidFill>
          </w14:textFill>
        </w:rPr>
        <w:t>技术规范标准制定的意义和目的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了解</w:t>
      </w:r>
      <w:r>
        <w:rPr>
          <w:rFonts w:hint="eastAsia" w:ascii="仿宋" w:hAnsi="仿宋" w:eastAsia="仿宋" w:cs="仿宋"/>
          <w:color w:val="000000" w:themeColor="text1"/>
          <w:sz w:val="24"/>
          <w14:textFill>
            <w14:solidFill>
              <w14:schemeClr w14:val="tx1"/>
            </w14:solidFill>
          </w14:textFill>
        </w:rPr>
        <w:t>汽车芯片标准体系以“汽车芯片应用场景”为横向出发点，包括动力系统、底盘系统、车身系统、座舱系统及智能驾驶五个方面</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根据标准内容分为基础通用、产品与技术应用和匹配试验三类标准，实现不同应用场景下汽车关键芯片从器件-模块-系统-整车的技术标准全覆盖，信息安全相关标准属于基础通用类，包括《汽车芯片信息安全技术规范》、《汽车安全芯片技术要求及试验方法》等。根据调研结果，汇总后形成结论，形成标准框架草案及技术路线图，确定核心章节及验证方案，用于编制标准立项汇报材料以及标准立项建议书，</w:t>
      </w:r>
      <w:r>
        <w:rPr>
          <w:rFonts w:ascii="仿宋" w:hAnsi="仿宋" w:eastAsia="仿宋" w:cs="仿宋"/>
          <w:color w:val="000000" w:themeColor="text1"/>
          <w:sz w:val="24"/>
          <w14:textFill>
            <w14:solidFill>
              <w14:schemeClr w14:val="tx1"/>
            </w14:solidFill>
          </w14:textFill>
        </w:rPr>
        <w:t>为后续起草奠定技术共识和数据基础</w:t>
      </w:r>
      <w:r>
        <w:rPr>
          <w:rFonts w:hint="eastAsia" w:ascii="仿宋" w:hAnsi="仿宋" w:eastAsia="仿宋" w:cs="仿宋"/>
          <w:color w:val="000000" w:themeColor="text1"/>
          <w:sz w:val="24"/>
          <w14:textFill>
            <w14:solidFill>
              <w14:schemeClr w14:val="tx1"/>
            </w14:solidFill>
          </w14:textFill>
        </w:rPr>
        <w:t>。</w:t>
      </w:r>
    </w:p>
    <w:p w14:paraId="75ED7074">
      <w:pPr>
        <w:spacing w:line="360" w:lineRule="auto"/>
        <w:outlineLvl w:val="2"/>
        <w:rPr>
          <w:rFonts w:hint="eastAsia" w:ascii="黑体" w:hAnsi="黑体" w:eastAsia="黑体" w:cs="仿宋"/>
          <w:sz w:val="24"/>
        </w:rPr>
      </w:pPr>
      <w:r>
        <w:rPr>
          <w:rFonts w:hint="eastAsia" w:ascii="黑体" w:hAnsi="黑体" w:eastAsia="黑体" w:cs="仿宋"/>
          <w:sz w:val="24"/>
          <w:lang w:val="en-US" w:eastAsia="zh-CN"/>
        </w:rPr>
        <w:t>2、</w:t>
      </w:r>
      <w:r>
        <w:rPr>
          <w:rFonts w:hint="eastAsia" w:ascii="黑体" w:hAnsi="黑体" w:eastAsia="黑体" w:cs="仿宋"/>
          <w:sz w:val="24"/>
        </w:rPr>
        <w:t>立项</w:t>
      </w:r>
    </w:p>
    <w:p w14:paraId="609582EA">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据汽车芯片标准体系建设整体设计思路，完成标准正文初稿框架结构内容初版编写，完成标准立项相关材料初版编写；召开内部评审会，听取行业整车企业、芯片企业与零部件企业专家意见并进行修订后，提交立项资料至</w:t>
      </w:r>
      <w:bookmarkStart w:id="0" w:name="OLE_LINK3"/>
      <w:r>
        <w:rPr>
          <w:rFonts w:ascii="仿宋" w:hAnsi="仿宋" w:eastAsia="仿宋" w:cs="仿宋"/>
          <w:color w:val="000000" w:themeColor="text1"/>
          <w:sz w:val="24"/>
          <w14:textFill>
            <w14:solidFill>
              <w14:schemeClr w14:val="tx1"/>
            </w14:solidFill>
          </w14:textFill>
        </w:rPr>
        <w:t>国家新能源汽车技术创新中心</w:t>
      </w:r>
      <w:bookmarkEnd w:id="0"/>
      <w:r>
        <w:rPr>
          <w:rFonts w:hint="eastAsia" w:ascii="仿宋" w:hAnsi="仿宋" w:eastAsia="仿宋" w:cs="仿宋"/>
          <w:color w:val="000000" w:themeColor="text1"/>
          <w:sz w:val="24"/>
          <w14:textFill>
            <w14:solidFill>
              <w14:schemeClr w14:val="tx1"/>
            </w14:solidFill>
          </w14:textFill>
        </w:rPr>
        <w:t>进行立项申报，202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日由</w:t>
      </w:r>
      <w:r>
        <w:rPr>
          <w:rFonts w:ascii="仿宋" w:hAnsi="仿宋" w:eastAsia="仿宋" w:cs="仿宋"/>
          <w:color w:val="000000" w:themeColor="text1"/>
          <w:sz w:val="24"/>
          <w14:textFill>
            <w14:solidFill>
              <w14:schemeClr w14:val="tx1"/>
            </w14:solidFill>
          </w14:textFill>
        </w:rPr>
        <w:t>国家新能源汽车技术创新中心</w:t>
      </w:r>
      <w:r>
        <w:rPr>
          <w:rFonts w:hint="eastAsia" w:ascii="仿宋" w:hAnsi="仿宋" w:eastAsia="仿宋" w:cs="仿宋"/>
          <w:color w:val="000000" w:themeColor="text1"/>
          <w:sz w:val="24"/>
          <w14:textFill>
            <w14:solidFill>
              <w14:schemeClr w14:val="tx1"/>
            </w14:solidFill>
          </w14:textFill>
        </w:rPr>
        <w:t>组织汽车、芯片等行业专家进行标准立项审查，202</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月17日，中国汽车工业协会发布标准立项通过公示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计划号为202</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21</w:t>
      </w:r>
      <w:r>
        <w:rPr>
          <w:rFonts w:hint="eastAsia" w:ascii="仿宋" w:hAnsi="仿宋" w:eastAsia="仿宋" w:cs="仿宋"/>
          <w:color w:val="000000" w:themeColor="text1"/>
          <w:sz w:val="24"/>
          <w14:textFill>
            <w14:solidFill>
              <w14:schemeClr w14:val="tx1"/>
            </w14:solidFill>
          </w14:textFill>
        </w:rPr>
        <w:t>。</w:t>
      </w:r>
    </w:p>
    <w:p w14:paraId="7155A97C">
      <w:pPr>
        <w:spacing w:line="360" w:lineRule="auto"/>
        <w:outlineLvl w:val="2"/>
        <w:rPr>
          <w:rFonts w:hint="eastAsia" w:ascii="黑体" w:hAnsi="黑体" w:eastAsia="黑体" w:cs="仿宋"/>
          <w:sz w:val="24"/>
        </w:rPr>
      </w:pPr>
      <w:r>
        <w:rPr>
          <w:rFonts w:hint="eastAsia" w:ascii="黑体" w:hAnsi="黑体" w:eastAsia="黑体" w:cs="仿宋"/>
          <w:sz w:val="24"/>
          <w:lang w:val="en-US" w:eastAsia="zh-CN"/>
        </w:rPr>
        <w:t>3、</w:t>
      </w:r>
      <w:r>
        <w:rPr>
          <w:rFonts w:hint="eastAsia" w:ascii="黑体" w:hAnsi="黑体" w:eastAsia="黑体" w:cs="仿宋"/>
          <w:sz w:val="24"/>
        </w:rPr>
        <w:t>起草</w:t>
      </w:r>
    </w:p>
    <w:p w14:paraId="522EBC22">
      <w:pPr>
        <w:spacing w:line="360" w:lineRule="auto"/>
        <w:ind w:firstLine="480" w:firstLineChars="200"/>
        <w:rPr>
          <w:rFonts w:hint="eastAsia" w:ascii="仿宋" w:hAnsi="仿宋" w:eastAsia="仿宋" w:cs="仿宋"/>
          <w:sz w:val="24"/>
        </w:rPr>
      </w:pPr>
      <w:r>
        <w:rPr>
          <w:rFonts w:hint="eastAsia" w:ascii="仿宋" w:hAnsi="仿宋" w:eastAsia="仿宋" w:cs="仿宋"/>
          <w:sz w:val="24"/>
        </w:rPr>
        <w:t>标准立项后，广东为辰信息科技有限公司联合整车企业、零部件企业、芯片企业、检测公司、测试设备公司、高校等共同制定和完善标准草案。参编单位有：</w:t>
      </w:r>
      <w:r>
        <w:rPr>
          <w:rFonts w:hint="eastAsia" w:ascii="仿宋" w:hAnsi="仿宋" w:eastAsia="仿宋" w:cs="宋体"/>
          <w:sz w:val="24"/>
        </w:rPr>
        <w:t>电子科技大学、国家新能源汽车技术创新中心、中国信息通信研究院、上海为旌科技有限公司、北汽福田汽车股份有限公司、加特兰微电子科技(上海)有限公司、苏州特思恩科技有限公司、北京超星未来科技有限公司、北京东土科技股份有限公司、上海复旦微电子集团股份有限公司、深圳市纽创信安科技开发有限公司、黑芝麻智能科技有限公司、湖北芯擎科技有限公司、普华基础软件股份有限公司、是德科技（中国）有限公司、北京银联金卡科技有限公司、重庆长安汽车股份有限公司、北京智芯微电子科技有限公司、中国汽车工程研究院股份有限公司、中国重型汽车集团、中移物联网有限公司、紫光同芯微电子有限公司、北京经纬恒润科技股份有限公司、中兴通讯股份有限公司、合肥杰发科技有限公司等</w:t>
      </w:r>
      <w:r>
        <w:rPr>
          <w:rFonts w:hint="eastAsia" w:ascii="仿宋" w:hAnsi="仿宋" w:eastAsia="仿宋" w:cs="仿宋"/>
          <w:sz w:val="24"/>
        </w:rPr>
        <w:t>。</w:t>
      </w:r>
    </w:p>
    <w:p w14:paraId="36EBF718">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9</w:t>
      </w:r>
      <w:r>
        <w:rPr>
          <w:rFonts w:hint="eastAsia" w:ascii="仿宋" w:hAnsi="仿宋" w:eastAsia="仿宋" w:cs="仿宋"/>
          <w:sz w:val="24"/>
        </w:rPr>
        <w:t>日，</w:t>
      </w:r>
      <w:r>
        <w:rPr>
          <w:rFonts w:hint="eastAsia" w:ascii="仿宋" w:hAnsi="仿宋" w:eastAsia="仿宋" w:cs="仿宋"/>
          <w:sz w:val="24"/>
          <w:lang w:val="en-US" w:eastAsia="zh-CN"/>
        </w:rPr>
        <w:t>中汽协汽车芯片专委会秘书处组织</w:t>
      </w:r>
      <w:r>
        <w:rPr>
          <w:rFonts w:hint="eastAsia" w:ascii="仿宋" w:hAnsi="仿宋" w:eastAsia="仿宋" w:cs="仿宋"/>
          <w:sz w:val="24"/>
        </w:rPr>
        <w:t>在</w:t>
      </w:r>
      <w:r>
        <w:rPr>
          <w:rFonts w:hint="eastAsia" w:ascii="仿宋" w:hAnsi="仿宋" w:eastAsia="仿宋" w:cs="仿宋"/>
          <w:sz w:val="24"/>
          <w:lang w:val="en-US" w:eastAsia="zh-CN"/>
        </w:rPr>
        <w:t>成都</w:t>
      </w:r>
      <w:r>
        <w:rPr>
          <w:rFonts w:hint="eastAsia" w:ascii="仿宋" w:hAnsi="仿宋" w:eastAsia="仿宋" w:cs="仿宋"/>
          <w:sz w:val="24"/>
        </w:rPr>
        <w:t>组织召开标准起草组启动会暨第一次标准研讨会，会上项目组介绍了标准编制的背景、目的、意义和基本思路，以及标准起草方案，起草组就</w:t>
      </w:r>
      <w:r>
        <w:rPr>
          <w:rFonts w:hint="eastAsia" w:ascii="仿宋" w:hAnsi="仿宋" w:eastAsia="仿宋" w:cs="仿宋"/>
          <w:sz w:val="24"/>
          <w:lang w:val="en-US" w:eastAsia="zh-CN"/>
        </w:rPr>
        <w:t>牵头单位</w:t>
      </w:r>
      <w:r>
        <w:rPr>
          <w:rFonts w:hint="eastAsia" w:ascii="仿宋" w:hAnsi="仿宋" w:eastAsia="仿宋" w:cs="仿宋"/>
          <w:sz w:val="24"/>
        </w:rPr>
        <w:t>编制的了标准框架就标准草案进行了讨论，会上给出了</w:t>
      </w:r>
      <w:r>
        <w:rPr>
          <w:rFonts w:hint="eastAsia" w:ascii="仿宋" w:hAnsi="仿宋" w:eastAsia="仿宋" w:cs="仿宋"/>
          <w:sz w:val="24"/>
          <w:lang w:val="en-US" w:eastAsia="zh-CN"/>
        </w:rPr>
        <w:t>31</w:t>
      </w:r>
      <w:r>
        <w:rPr>
          <w:rFonts w:hint="eastAsia" w:ascii="仿宋" w:hAnsi="仿宋" w:eastAsia="仿宋" w:cs="仿宋"/>
          <w:sz w:val="24"/>
        </w:rPr>
        <w:t>条意见和建议。起草组经过讨论形成标准研究编写初步分工并确定起草阶段工作计划及下一步工作计划。</w:t>
      </w:r>
    </w:p>
    <w:p w14:paraId="799EE85E">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年1</w:t>
      </w:r>
      <w:r>
        <w:rPr>
          <w:rFonts w:hint="eastAsia" w:ascii="仿宋" w:hAnsi="仿宋" w:eastAsia="仿宋" w:cs="仿宋"/>
          <w:sz w:val="24"/>
          <w:lang w:val="en-US" w:eastAsia="zh-CN"/>
        </w:rPr>
        <w:t>0</w:t>
      </w:r>
      <w:r>
        <w:rPr>
          <w:rFonts w:hint="eastAsia" w:ascii="仿宋" w:hAnsi="仿宋" w:eastAsia="仿宋" w:cs="仿宋"/>
          <w:sz w:val="24"/>
        </w:rPr>
        <w:t>月1</w:t>
      </w:r>
      <w:r>
        <w:rPr>
          <w:rFonts w:hint="eastAsia" w:ascii="仿宋" w:hAnsi="仿宋" w:eastAsia="仿宋" w:cs="仿宋"/>
          <w:sz w:val="24"/>
          <w:lang w:val="en-US" w:eastAsia="zh-CN"/>
        </w:rPr>
        <w:t>3</w:t>
      </w:r>
      <w:r>
        <w:rPr>
          <w:rFonts w:hint="eastAsia" w:ascii="仿宋" w:hAnsi="仿宋" w:eastAsia="仿宋" w:cs="仿宋"/>
          <w:sz w:val="24"/>
        </w:rPr>
        <w:t>日，</w:t>
      </w:r>
      <w:r>
        <w:rPr>
          <w:rFonts w:hint="eastAsia" w:ascii="仿宋" w:hAnsi="仿宋" w:eastAsia="仿宋" w:cs="仿宋"/>
          <w:sz w:val="24"/>
          <w:lang w:val="en-US" w:eastAsia="zh-CN"/>
        </w:rPr>
        <w:t>中汽协汽车芯片专委会秘书处</w:t>
      </w:r>
      <w:r>
        <w:rPr>
          <w:rFonts w:hint="eastAsia" w:ascii="仿宋" w:hAnsi="仿宋" w:eastAsia="仿宋" w:cs="仿宋"/>
          <w:sz w:val="24"/>
        </w:rPr>
        <w:t>组织起草组单位召开了起草组第二次标准研讨会，标准主笔人介绍了根据第一次会议意见对标准文本的修改情况，以及标准编写整体情况。起草组各编写单位就承担部分的编写思路进行了讲解，起草组全体成员就标准各部分内容进行了讨论，形成</w:t>
      </w:r>
      <w:r>
        <w:rPr>
          <w:rFonts w:hint="eastAsia" w:ascii="仿宋" w:hAnsi="仿宋" w:eastAsia="仿宋" w:cs="仿宋"/>
          <w:sz w:val="24"/>
          <w:lang w:val="en-US" w:eastAsia="zh-CN"/>
        </w:rPr>
        <w:t>达成共识的</w:t>
      </w:r>
      <w:r>
        <w:rPr>
          <w:rFonts w:hint="eastAsia" w:ascii="仿宋" w:hAnsi="仿宋" w:eastAsia="仿宋" w:cs="仿宋"/>
          <w:sz w:val="24"/>
        </w:rPr>
        <w:t>改进意见</w:t>
      </w:r>
      <w:r>
        <w:rPr>
          <w:rFonts w:hint="eastAsia" w:ascii="仿宋" w:hAnsi="仿宋" w:eastAsia="仿宋" w:cs="仿宋"/>
          <w:sz w:val="24"/>
          <w:lang w:val="en-US" w:eastAsia="zh-CN"/>
        </w:rPr>
        <w:t>59</w:t>
      </w:r>
      <w:r>
        <w:rPr>
          <w:rFonts w:hint="eastAsia" w:ascii="仿宋" w:hAnsi="仿宋" w:eastAsia="仿宋" w:cs="仿宋"/>
          <w:sz w:val="24"/>
        </w:rPr>
        <w:t>项</w:t>
      </w:r>
      <w:r>
        <w:rPr>
          <w:rFonts w:hint="eastAsia" w:ascii="仿宋" w:hAnsi="仿宋" w:eastAsia="仿宋" w:cs="仿宋"/>
          <w:sz w:val="24"/>
          <w:lang w:eastAsia="zh-CN"/>
        </w:rPr>
        <w:t>，</w:t>
      </w:r>
      <w:r>
        <w:rPr>
          <w:rFonts w:hint="eastAsia" w:ascii="仿宋" w:hAnsi="仿宋" w:eastAsia="仿宋" w:cs="仿宋"/>
          <w:sz w:val="24"/>
        </w:rPr>
        <w:t>起草组成员讨论确定下一步工作计划。</w:t>
      </w:r>
    </w:p>
    <w:p w14:paraId="6E4B72C3">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xx</w:t>
      </w:r>
      <w:r>
        <w:rPr>
          <w:rFonts w:hint="eastAsia" w:ascii="仿宋" w:hAnsi="仿宋" w:eastAsia="仿宋" w:cs="仿宋"/>
          <w:sz w:val="24"/>
        </w:rPr>
        <w:t>日，</w:t>
      </w:r>
      <w:r>
        <w:rPr>
          <w:rFonts w:hint="eastAsia" w:ascii="仿宋" w:hAnsi="仿宋" w:eastAsia="仿宋" w:cs="仿宋"/>
          <w:sz w:val="24"/>
          <w:lang w:val="en-US" w:eastAsia="zh-CN"/>
        </w:rPr>
        <w:t>中汽协汽车芯片专委会秘书处组织</w:t>
      </w:r>
      <w:r>
        <w:rPr>
          <w:rFonts w:hint="eastAsia" w:ascii="仿宋" w:hAnsi="仿宋" w:eastAsia="仿宋" w:cs="仿宋"/>
          <w:sz w:val="24"/>
        </w:rPr>
        <w:t>通过线上会议组织起草组单位召开了起草组第三次标准研讨会，标准主笔人介绍了标准整体进展，起草组内对标准文本意见的处理情况，起草组对相关意见进行了讨论和确认。广东为辰信息科技有限公司标准主笔人介绍了标准试验验证计划及后续的验证分工，相关单位根据会议要求，会后按期反馈试验报告及进行试验验证等。</w:t>
      </w:r>
    </w:p>
    <w:p w14:paraId="2E830236">
      <w:pPr>
        <w:spacing w:line="360" w:lineRule="auto"/>
        <w:outlineLvl w:val="2"/>
        <w:rPr>
          <w:rFonts w:hint="eastAsia" w:ascii="黑体" w:hAnsi="黑体" w:eastAsia="黑体" w:cs="仿宋"/>
          <w:color w:val="auto"/>
          <w:sz w:val="24"/>
          <w:highlight w:val="none"/>
          <w:lang w:val="en-US" w:eastAsia="zh-CN"/>
        </w:rPr>
      </w:pPr>
      <w:r>
        <w:rPr>
          <w:rFonts w:hint="eastAsia" w:ascii="黑体" w:hAnsi="黑体" w:eastAsia="黑体" w:cs="仿宋"/>
          <w:color w:val="auto"/>
          <w:sz w:val="24"/>
          <w:highlight w:val="none"/>
          <w:lang w:val="en-US" w:eastAsia="zh-CN"/>
        </w:rPr>
        <w:t>4、 试验验证</w:t>
      </w:r>
    </w:p>
    <w:p w14:paraId="33C34535">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月，由牵头单位组织起草组单位，征集标准试验验证参与意向、验证内容，并根据参与意向及验证内容制定试验验证计划及方案。</w:t>
      </w:r>
    </w:p>
    <w:p w14:paraId="676F9696">
      <w:pPr>
        <w:spacing w:line="360" w:lineRule="auto"/>
        <w:ind w:firstLine="480" w:firstLineChars="200"/>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2</w:t>
      </w:r>
      <w:r>
        <w:rPr>
          <w:rFonts w:hint="eastAsia" w:ascii="仿宋" w:hAnsi="仿宋" w:eastAsia="仿宋" w:cs="仿宋"/>
          <w:sz w:val="24"/>
        </w:rPr>
        <w:t>月，选取</w:t>
      </w:r>
      <w:r>
        <w:rPr>
          <w:rFonts w:hint="eastAsia" w:ascii="仿宋" w:hAnsi="仿宋" w:eastAsia="仿宋" w:cs="仿宋"/>
          <w:sz w:val="24"/>
          <w:lang w:val="en-US" w:eastAsia="zh-CN"/>
        </w:rPr>
        <w:t>计算芯片样品</w:t>
      </w:r>
      <w:r>
        <w:rPr>
          <w:rFonts w:hint="eastAsia" w:ascii="仿宋" w:hAnsi="仿宋" w:eastAsia="仿宋" w:cs="仿宋"/>
          <w:sz w:val="24"/>
        </w:rPr>
        <w:t>，依据《汽车计算芯片信息安全技术要求及试验方法》进行了主要项目检验，通过分析试验过程以及测试数据，验证了标准内容的合理性和可行性。</w:t>
      </w:r>
    </w:p>
    <w:p w14:paraId="5B37E303">
      <w:pPr>
        <w:spacing w:line="360" w:lineRule="auto"/>
        <w:outlineLvl w:val="2"/>
        <w:rPr>
          <w:rFonts w:hint="eastAsia" w:ascii="黑体" w:hAnsi="黑体" w:eastAsia="黑体" w:cs="仿宋"/>
          <w:color w:val="auto"/>
          <w:sz w:val="24"/>
          <w:highlight w:val="none"/>
        </w:rPr>
      </w:pPr>
      <w:r>
        <w:rPr>
          <w:rFonts w:hint="eastAsia" w:ascii="黑体" w:hAnsi="黑体" w:eastAsia="黑体" w:cs="仿宋"/>
          <w:color w:val="auto"/>
          <w:sz w:val="24"/>
          <w:highlight w:val="none"/>
          <w:lang w:val="en-US" w:eastAsia="zh-CN"/>
        </w:rPr>
        <w:t>5、</w:t>
      </w:r>
      <w:r>
        <w:rPr>
          <w:rFonts w:hint="eastAsia" w:ascii="黑体" w:hAnsi="黑体" w:eastAsia="黑体" w:cs="仿宋"/>
          <w:color w:val="auto"/>
          <w:sz w:val="24"/>
          <w:highlight w:val="none"/>
        </w:rPr>
        <w:t>征求意见</w:t>
      </w:r>
    </w:p>
    <w:p w14:paraId="68773D64">
      <w:pPr>
        <w:spacing w:line="360" w:lineRule="auto"/>
        <w:ind w:left="36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highlight w:val="none"/>
        </w:rPr>
        <w:t>试验验证后，标准起草组修改标准文本、形成标准征求意见稿和编制说明，于202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月提交中国汽车工业协会申请行业公开征求意见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未收到行业内的意见反馈</w:t>
      </w:r>
      <w:r>
        <w:rPr>
          <w:rFonts w:hint="eastAsia" w:ascii="仿宋" w:hAnsi="仿宋" w:eastAsia="仿宋" w:cs="仿宋"/>
          <w:color w:val="auto"/>
          <w:sz w:val="24"/>
          <w:highlight w:val="none"/>
        </w:rPr>
        <w:t>。</w:t>
      </w:r>
    </w:p>
    <w:p w14:paraId="567343D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3AE4281A">
      <w:pPr>
        <w:spacing w:line="360" w:lineRule="auto"/>
        <w:outlineLvl w:val="1"/>
        <w:rPr>
          <w:rFonts w:hint="eastAsia" w:ascii="黑体" w:hAnsi="黑体" w:eastAsia="黑体"/>
          <w:sz w:val="24"/>
          <w:szCs w:val="24"/>
        </w:rPr>
      </w:pPr>
      <w:r>
        <w:rPr>
          <w:rFonts w:hint="eastAsia" w:ascii="黑体" w:hAnsi="黑体" w:eastAsia="黑体"/>
          <w:sz w:val="24"/>
          <w:szCs w:val="24"/>
        </w:rPr>
        <w:t>2.1</w:t>
      </w:r>
      <w:r>
        <w:rPr>
          <w:rFonts w:hint="eastAsia" w:ascii="黑体" w:hAnsi="黑体" w:eastAsia="黑体"/>
          <w:sz w:val="24"/>
          <w:szCs w:val="24"/>
          <w:lang w:val="en-US" w:eastAsia="zh-CN"/>
        </w:rPr>
        <w:t xml:space="preserve"> </w:t>
      </w:r>
      <w:r>
        <w:rPr>
          <w:rFonts w:hint="eastAsia" w:ascii="黑体" w:hAnsi="黑体" w:eastAsia="黑体"/>
          <w:sz w:val="24"/>
          <w:szCs w:val="24"/>
        </w:rPr>
        <w:t>标准制定原则</w:t>
      </w:r>
    </w:p>
    <w:p w14:paraId="5DE3512C">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1）本标准编写符合 GB/T 1.1—2020《标准化工作导则 第 1 部分：标准化文件的结构和起草规则》的规定起草。</w:t>
      </w:r>
    </w:p>
    <w:p w14:paraId="74ADFC1E">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2）本标准无对应的国际或国外标准可供对照及参考。起草过程中，充分考虑与国内外现有相关标准的统一和协调，标准中的指标要求充分考虑了国内当前</w:t>
      </w:r>
      <w:r>
        <w:rPr>
          <w:rFonts w:hint="eastAsia" w:ascii="仿宋" w:hAnsi="仿宋" w:eastAsia="仿宋" w:cs="宋体"/>
          <w:color w:val="auto"/>
          <w:sz w:val="24"/>
          <w:szCs w:val="24"/>
        </w:rPr>
        <w:t>行业技术水平，草案内容已经过多次充分讨论、修改和完善，并在起草组内多次征求意见。本标准的制定是在对我国</w:t>
      </w:r>
      <w:r>
        <w:rPr>
          <w:rFonts w:hint="eastAsia" w:ascii="仿宋" w:hAnsi="仿宋" w:eastAsia="仿宋" w:cs="宋体"/>
          <w:color w:val="auto"/>
          <w:sz w:val="24"/>
          <w:szCs w:val="24"/>
          <w:lang w:val="en-US" w:eastAsia="zh-CN"/>
        </w:rPr>
        <w:t>计算芯片信息安全技术</w:t>
      </w:r>
      <w:r>
        <w:rPr>
          <w:rFonts w:hint="eastAsia" w:ascii="仿宋" w:hAnsi="仿宋" w:eastAsia="仿宋" w:cs="宋体"/>
          <w:color w:val="auto"/>
          <w:sz w:val="24"/>
          <w:szCs w:val="24"/>
        </w:rPr>
        <w:t>及应用现状进行调查，对相关国际、国外相关标准的关键技术指标在我国的适用性进行分析研究，并且对相关的试验方法在我国现阶段实施的可行性进行论证分析研究的基础上，结合我国实际情况提出的汽车计算芯片信息安全技术要求；并通过验证试验，对试验方案的可行性进行了验证，确定了适合我国实际情况的汽车计算芯片信息安全技术要求及试验方法。</w:t>
      </w:r>
    </w:p>
    <w:p w14:paraId="51AE03C2">
      <w:pPr>
        <w:pStyle w:val="2"/>
        <w:spacing w:before="156" w:beforeLines="50" w:after="156" w:afterLines="50"/>
        <w:ind w:firstLine="0" w:firstLineChars="0"/>
        <w:outlineLvl w:val="2"/>
        <w:rPr>
          <w:rFonts w:hint="eastAsia" w:ascii="黑体" w:hAnsi="黑体" w:eastAsia="黑体" w:cs="黑体"/>
          <w:sz w:val="21"/>
          <w:szCs w:val="21"/>
        </w:rPr>
      </w:pPr>
      <w:r>
        <w:rPr>
          <w:rFonts w:hint="eastAsia" w:ascii="黑体" w:hAnsi="黑体" w:eastAsia="黑体" w:cs="黑体"/>
          <w:sz w:val="21"/>
          <w:szCs w:val="21"/>
        </w:rPr>
        <w:t>2.1.1</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通用性原则</w:t>
      </w:r>
    </w:p>
    <w:p w14:paraId="1BD302DE">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编写《汽车计算芯片信息安全技术要求及试验方法》标准旨在确保该标准广泛适用于不同的汽车应用场景、芯片制造商以及各类汽车计算芯片产品，同时维持技术规范的一致性与可比性。标准所提出的各项指标和要求契合汽车计算芯片信息安全行业的发展水平，提供的试验方法切实可行、易于操作。</w:t>
      </w:r>
    </w:p>
    <w:p w14:paraId="0921CCE1">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1）中立性和普适性：标准在制定过程中应保持绝对中立，不偏向任何特定的芯片制造商、汽车厂商或信息安全技术。同时，标准需具备广泛的普适性，能够全面涵盖汽车计算芯片在各类车型（如乘用车、商用车、新能源汽车等）以及不同应用场景（如自动驾驶、智能座舱、车联网通信等）下的信息安全需求，确保无论何种类型的汽车计算芯片，都能依据本标准进行信息安全评估与测试。</w:t>
      </w:r>
    </w:p>
    <w:p w14:paraId="70BD7920">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2）基于国际标准和行业共识：在制定本标准的技术规范时，充分参考和借鉴</w:t>
      </w:r>
      <w:r>
        <w:rPr>
          <w:rFonts w:hint="eastAsia" w:ascii="仿宋" w:hAnsi="仿宋" w:eastAsia="仿宋" w:cs="宋体"/>
          <w:sz w:val="24"/>
          <w:szCs w:val="24"/>
          <w:lang w:val="en-US" w:eastAsia="zh-CN"/>
        </w:rPr>
        <w:t>了</w:t>
      </w:r>
      <w:r>
        <w:rPr>
          <w:rFonts w:hint="eastAsia" w:ascii="仿宋" w:hAnsi="仿宋" w:eastAsia="仿宋" w:cs="宋体"/>
          <w:sz w:val="24"/>
          <w:szCs w:val="24"/>
        </w:rPr>
        <w:t>国际上已成熟的信息安全相关标准，如 ISO/SAE 21434 等，以及汽车行业内普遍认可的信息安全共识和最佳实践。通过与国际标准和行业共识接轨，确保本标准与其他相关标准具有良好的兼容性，能够实现不同地区、不同厂商生产的汽车计算芯片在信息安全方面的互操作性，促进汽车计算芯片信息安全领域的全球化发展。</w:t>
      </w:r>
    </w:p>
    <w:p w14:paraId="2FDCB2F8">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3）考虑技术进步和未来发展：鉴于汽车计算芯片技术以及信息安全技术处于快速发展阶段，本标准在制定时应充分考虑技术进步对汽车计算芯片信息安全性能和需求的影响。</w:t>
      </w:r>
      <w:r>
        <w:rPr>
          <w:rFonts w:hint="eastAsia" w:ascii="仿宋" w:hAnsi="仿宋" w:eastAsia="仿宋" w:cs="宋体"/>
          <w:sz w:val="24"/>
          <w:szCs w:val="24"/>
          <w:lang w:val="en-US" w:eastAsia="zh-CN"/>
        </w:rPr>
        <w:t>也充分考虑了数据安全和抗量子密码等前沿性的技术内容</w:t>
      </w:r>
      <w:r>
        <w:rPr>
          <w:rFonts w:hint="eastAsia" w:ascii="仿宋" w:hAnsi="仿宋" w:eastAsia="仿宋" w:cs="宋体"/>
          <w:sz w:val="24"/>
          <w:szCs w:val="24"/>
        </w:rPr>
        <w:t>，以便能够适应未来新出现的信息安全威胁、技术架构以及应用场景，确保标准在较长时间内保持有效性和前瞻性。</w:t>
      </w:r>
    </w:p>
    <w:p w14:paraId="40CA8EC3">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4）测试方法和评估标准的统一：为保障汽车计算芯片信息安全性能和质量的可靠评估，必须制定统一、可重复的测试方法和评估标准。这些方法和标准应基于严谨的科学原理和丰富的工程实践经验，能够客观、准确、全面地评价汽车计算芯片的各项信息安全性能指标，如数据保密性、完整性、可用性，以及芯片对各类网络攻击的抵御能力等。通过统一的测试方法和评估标准，确保不同实验室、不同测试机构对同一款汽车计算芯片的测试结果具有可比性和一致性。</w:t>
      </w:r>
    </w:p>
    <w:p w14:paraId="35D3B14C">
      <w:pPr>
        <w:pStyle w:val="2"/>
        <w:spacing w:before="156" w:beforeLines="50" w:after="156" w:afterLines="50"/>
        <w:ind w:firstLine="0" w:firstLineChars="0"/>
        <w:outlineLvl w:val="2"/>
        <w:rPr>
          <w:rFonts w:hint="eastAsia" w:ascii="黑体" w:hAnsi="黑体" w:eastAsia="黑体" w:cs="黑体"/>
          <w:sz w:val="24"/>
          <w:szCs w:val="24"/>
        </w:rPr>
      </w:pPr>
      <w:r>
        <w:rPr>
          <w:rFonts w:hint="eastAsia" w:ascii="黑体" w:hAnsi="黑体" w:eastAsia="黑体" w:cs="黑体"/>
          <w:sz w:val="24"/>
          <w:szCs w:val="24"/>
        </w:rPr>
        <w:t>2.1.2</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指导性原则</w:t>
      </w:r>
    </w:p>
    <w:p w14:paraId="15457E03">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1）明确性和精确性：规范清晰、详尽地阐述</w:t>
      </w:r>
      <w:r>
        <w:rPr>
          <w:rFonts w:hint="eastAsia" w:ascii="仿宋" w:hAnsi="仿宋" w:eastAsia="仿宋" w:cs="宋体"/>
          <w:sz w:val="24"/>
          <w:szCs w:val="24"/>
          <w:lang w:val="en-US" w:eastAsia="zh-CN"/>
        </w:rPr>
        <w:t>了</w:t>
      </w:r>
      <w:r>
        <w:rPr>
          <w:rFonts w:hint="eastAsia" w:ascii="仿宋" w:hAnsi="仿宋" w:eastAsia="仿宋" w:cs="宋体"/>
          <w:sz w:val="24"/>
          <w:szCs w:val="24"/>
        </w:rPr>
        <w:t>汽车计算芯片的信息安全技术要求及试验方法，确保相关人员能够准确理解并严格依照标准开展工作。</w:t>
      </w:r>
    </w:p>
    <w:p w14:paraId="260004EB">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2）兼容性和互通性：考虑到</w:t>
      </w:r>
      <w:r>
        <w:rPr>
          <w:rFonts w:hint="eastAsia" w:ascii="仿宋" w:hAnsi="仿宋" w:eastAsia="仿宋" w:cs="宋体"/>
          <w:sz w:val="24"/>
          <w:szCs w:val="24"/>
          <w:lang w:val="en-US" w:eastAsia="zh-CN"/>
        </w:rPr>
        <w:t>汽车计算芯片信息安全</w:t>
      </w:r>
      <w:r>
        <w:rPr>
          <w:rFonts w:hint="eastAsia" w:ascii="仿宋" w:hAnsi="仿宋" w:eastAsia="仿宋" w:cs="宋体"/>
          <w:sz w:val="24"/>
          <w:szCs w:val="24"/>
        </w:rPr>
        <w:t>快速发展，该标准应尽可能与现有的国际和行业标准兼容，同时考虑到未来技术发展的可能性，保持一定的前瞻性。</w:t>
      </w:r>
    </w:p>
    <w:p w14:paraId="69C97E51">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3）安全性和可靠性：计算芯片信息安全关乎汽车稳定运行。数据安全上，防数据窃取、篡改；密钥安全方面，保加密密钥不被泄露，确保信息加密解密正常，保障系统安全。</w:t>
      </w:r>
    </w:p>
    <w:p w14:paraId="71FFC62F">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4）可操作性和实用性：标准应易于理解和操作，方便工程师和技术人员在实际生产和使用中遵循。同时，应考虑不同制造商的生产能力和市场需求，制定合理的技术规范，以促进SiC MOSFET的广泛应用和普及。</w:t>
      </w:r>
    </w:p>
    <w:p w14:paraId="7C62F454">
      <w:pPr>
        <w:pStyle w:val="2"/>
        <w:spacing w:before="156" w:beforeLines="50" w:after="156" w:afterLines="50"/>
        <w:ind w:firstLine="0" w:firstLineChars="0"/>
        <w:outlineLvl w:val="2"/>
        <w:rPr>
          <w:rFonts w:hint="eastAsia" w:ascii="黑体" w:hAnsi="黑体" w:eastAsia="黑体" w:cs="黑体"/>
          <w:sz w:val="24"/>
          <w:szCs w:val="24"/>
        </w:rPr>
      </w:pPr>
      <w:r>
        <w:rPr>
          <w:rFonts w:hint="eastAsia" w:ascii="黑体" w:hAnsi="黑体" w:eastAsia="黑体" w:cs="黑体"/>
          <w:sz w:val="24"/>
          <w:szCs w:val="24"/>
        </w:rPr>
        <w:t>2.1.3</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协调性原则</w:t>
      </w:r>
    </w:p>
    <w:p w14:paraId="7B443312">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本标准提出的检验规范，通过与整车企业、零部件企业、芯片企业、检测公司、测试设备公司、高校等多方专家讨论论证，使标准的检验项目和检验要求与各单位的现行情况相协调。</w:t>
      </w:r>
    </w:p>
    <w:p w14:paraId="026843C9">
      <w:pPr>
        <w:pStyle w:val="2"/>
        <w:spacing w:before="156" w:beforeLines="50" w:after="156" w:afterLines="50"/>
        <w:ind w:firstLine="0" w:firstLineChars="0"/>
        <w:outlineLvl w:val="2"/>
        <w:rPr>
          <w:rFonts w:hint="eastAsia" w:ascii="黑体" w:hAnsi="黑体" w:eastAsia="黑体" w:cs="黑体"/>
          <w:sz w:val="24"/>
          <w:szCs w:val="24"/>
        </w:rPr>
      </w:pPr>
      <w:r>
        <w:rPr>
          <w:rFonts w:hint="eastAsia" w:ascii="黑体" w:hAnsi="黑体" w:eastAsia="黑体" w:cs="黑体"/>
          <w:sz w:val="24"/>
          <w:szCs w:val="24"/>
        </w:rPr>
        <w:t>2.1.4</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兼容性原则</w:t>
      </w:r>
    </w:p>
    <w:p w14:paraId="74FD2E70">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本标准提出的功能及技术指标要求，充分考虑当下技术水平，兼顾实用性与前瞻性。借鉴国内外汽车芯片信息安全相关标准的先进经验，持续收集当前汽车计算芯片信息安全方面存在的问题，在现有相关标准基础上，进一步优化性能参数和安全指标，以指导车企、零部件供应商及芯片企业的研发与生产。</w:t>
      </w:r>
    </w:p>
    <w:p w14:paraId="2FEB7647">
      <w:pPr>
        <w:pStyle w:val="2"/>
        <w:spacing w:before="156" w:beforeLines="50" w:after="156" w:afterLines="50"/>
        <w:ind w:firstLine="0" w:firstLineChars="0"/>
        <w:outlineLvl w:val="1"/>
        <w:rPr>
          <w:rFonts w:hint="eastAsia" w:ascii="黑体" w:hAnsi="黑体" w:eastAsia="黑体" w:cs="黑体"/>
          <w:sz w:val="24"/>
          <w:szCs w:val="24"/>
        </w:rPr>
      </w:pPr>
      <w:r>
        <w:rPr>
          <w:rFonts w:hint="eastAsia" w:ascii="黑体" w:hAnsi="黑体" w:eastAsia="黑体" w:cs="黑体"/>
          <w:sz w:val="24"/>
          <w:szCs w:val="24"/>
        </w:rPr>
        <w:t>2.2 标准主要技术内容</w:t>
      </w:r>
    </w:p>
    <w:p w14:paraId="7F125EE3">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本标准规定了汽车计算芯片的信息安全技术要求，包括相关术语和定义、密码运算、密钥管理、证书管理、可信执行环境、机密计算环境、安全启动、安全更新、安全诊断、安全通信、网络安全监控、数据安全等方面的技术要求及其他要求，并给出对应的试验方法。</w:t>
      </w:r>
    </w:p>
    <w:p w14:paraId="6C5948A1">
      <w:pPr>
        <w:pStyle w:val="2"/>
        <w:spacing w:after="0" w:line="360" w:lineRule="auto"/>
        <w:ind w:firstLine="420" w:firstLineChars="0"/>
        <w:jc w:val="both"/>
        <w:rPr>
          <w:rFonts w:hint="eastAsia" w:ascii="仿宋" w:hAnsi="仿宋" w:eastAsia="仿宋" w:cs="宋体"/>
          <w:sz w:val="24"/>
          <w:szCs w:val="24"/>
        </w:rPr>
      </w:pPr>
      <w:r>
        <w:rPr>
          <w:rFonts w:hint="eastAsia" w:ascii="仿宋" w:hAnsi="仿宋" w:eastAsia="仿宋" w:cs="宋体"/>
          <w:sz w:val="24"/>
          <w:szCs w:val="24"/>
        </w:rPr>
        <w:t>本标准适用于适用于汽车高级辅助驾驶、智能座舱等系统所使用的计算芯片。</w:t>
      </w:r>
    </w:p>
    <w:p w14:paraId="7AD3B755">
      <w:pPr>
        <w:spacing w:line="360" w:lineRule="auto"/>
        <w:outlineLvl w:val="1"/>
        <w:rPr>
          <w:rFonts w:hint="eastAsia" w:ascii="黑体" w:hAnsi="黑体" w:eastAsia="黑体"/>
          <w:sz w:val="24"/>
          <w:szCs w:val="24"/>
          <w:highlight w:val="yellow"/>
        </w:rPr>
      </w:pPr>
      <w:r>
        <w:rPr>
          <w:rFonts w:hint="eastAsia" w:ascii="黑体" w:hAnsi="黑体" w:eastAsia="黑体"/>
          <w:sz w:val="24"/>
          <w:szCs w:val="24"/>
          <w:highlight w:val="yellow"/>
        </w:rPr>
        <w:t>2.3</w:t>
      </w:r>
      <w:r>
        <w:rPr>
          <w:rFonts w:hint="eastAsia" w:ascii="黑体" w:hAnsi="黑体" w:eastAsia="黑体"/>
          <w:sz w:val="24"/>
          <w:szCs w:val="24"/>
          <w:highlight w:val="yellow"/>
          <w:lang w:val="en-US" w:eastAsia="zh-CN"/>
        </w:rPr>
        <w:t xml:space="preserve"> </w:t>
      </w:r>
      <w:r>
        <w:rPr>
          <w:rFonts w:hint="eastAsia" w:ascii="黑体" w:hAnsi="黑体" w:eastAsia="黑体"/>
          <w:sz w:val="24"/>
          <w:szCs w:val="24"/>
          <w:highlight w:val="yellow"/>
        </w:rPr>
        <w:t>关键技术问题说明</w:t>
      </w:r>
    </w:p>
    <w:p w14:paraId="272D243A">
      <w:pPr>
        <w:pStyle w:val="2"/>
        <w:spacing w:after="0" w:line="360" w:lineRule="auto"/>
        <w:ind w:firstLine="480" w:firstLineChars="200"/>
        <w:jc w:val="both"/>
        <w:rPr>
          <w:rFonts w:hint="eastAsia" w:ascii="仿宋" w:hAnsi="仿宋" w:eastAsia="仿宋" w:cs="宋体"/>
          <w:color w:val="0000FF"/>
          <w:sz w:val="24"/>
          <w:szCs w:val="24"/>
          <w:highlight w:val="yellow"/>
        </w:rPr>
      </w:pPr>
      <w:r>
        <w:rPr>
          <w:rFonts w:hint="eastAsia" w:ascii="仿宋" w:hAnsi="仿宋" w:eastAsia="仿宋" w:cs="宋体"/>
          <w:color w:val="0000FF"/>
          <w:sz w:val="24"/>
          <w:szCs w:val="24"/>
          <w:highlight w:val="yellow"/>
        </w:rPr>
        <w:t>本文件中的试验项目适用于SiC MOSFET在进行可靠性试验前、中、后的功能测试，芯片设计验证、量产筛选、使用方芯片选型等环节的测试可参照使用。本标准计划根据电动汽车的应用特点，对车用SiC MOSFET关注的测试指标进行了筛选和梳理，针对这些指标的测试条件和方法进一步予以明确，同时对SiC MOSFET的可靠性要求和试验方法进行整体梳理，在AEC-Q101基础上根据当前行业实际应用情况和适用性进行修订，同时对于方法进行整体规范，以避免歧义和试验的不一致性，更加准确地体现不同产品的可靠性性能，有利于第三方认证和设计选型等需求。</w:t>
      </w:r>
    </w:p>
    <w:p w14:paraId="148A3915">
      <w:pPr>
        <w:pStyle w:val="2"/>
        <w:spacing w:after="0" w:line="360" w:lineRule="auto"/>
        <w:ind w:firstLine="480" w:firstLineChars="200"/>
        <w:jc w:val="both"/>
        <w:rPr>
          <w:rFonts w:hint="eastAsia" w:ascii="仿宋" w:hAnsi="仿宋" w:eastAsia="仿宋" w:cs="宋体"/>
          <w:color w:val="0000FF"/>
          <w:sz w:val="24"/>
          <w:szCs w:val="24"/>
          <w:highlight w:val="yellow"/>
        </w:rPr>
      </w:pPr>
      <w:r>
        <w:rPr>
          <w:rFonts w:hint="eastAsia" w:ascii="仿宋" w:hAnsi="仿宋" w:eastAsia="仿宋" w:cs="宋体"/>
          <w:color w:val="0000FF"/>
          <w:sz w:val="24"/>
          <w:szCs w:val="24"/>
          <w:highlight w:val="yellow"/>
        </w:rPr>
        <w:t>此检验规范可以进一步打消用户对于国产SiC MOSFET的电动汽车使用疑虑，进一步提升车用国产SiC MOSFET的使用覆盖率，避免国外产品的市场垄断和技术压制。</w:t>
      </w:r>
    </w:p>
    <w:p w14:paraId="15BC8A10">
      <w:pPr>
        <w:pStyle w:val="2"/>
        <w:spacing w:before="156" w:beforeLines="50" w:after="156" w:afterLines="50"/>
        <w:ind w:firstLine="0" w:firstLineChars="0"/>
        <w:outlineLvl w:val="1"/>
        <w:rPr>
          <w:rFonts w:hint="eastAsia" w:ascii="黑体" w:hAnsi="黑体" w:eastAsia="黑体" w:cs="黑体"/>
          <w:sz w:val="24"/>
          <w:szCs w:val="24"/>
        </w:rPr>
      </w:pPr>
      <w:r>
        <w:rPr>
          <w:rFonts w:hint="eastAsia" w:ascii="黑体" w:hAnsi="黑体" w:eastAsia="黑体" w:cs="黑体"/>
          <w:sz w:val="24"/>
          <w:szCs w:val="24"/>
        </w:rPr>
        <w:t>2.4</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标准主要内容的论据</w:t>
      </w:r>
    </w:p>
    <w:p w14:paraId="7D093A76">
      <w:pPr>
        <w:pStyle w:val="2"/>
        <w:spacing w:after="0" w:line="360" w:lineRule="auto"/>
        <w:ind w:firstLine="468" w:firstLineChars="195"/>
        <w:jc w:val="both"/>
        <w:rPr>
          <w:rFonts w:hint="eastAsia" w:ascii="仿宋" w:hAnsi="仿宋" w:eastAsia="仿宋" w:cs="宋体"/>
          <w:sz w:val="24"/>
          <w:szCs w:val="24"/>
        </w:rPr>
      </w:pPr>
      <w:r>
        <w:rPr>
          <w:rFonts w:hint="eastAsia" w:ascii="仿宋" w:hAnsi="仿宋" w:eastAsia="仿宋" w:cs="宋体"/>
          <w:sz w:val="24"/>
          <w:szCs w:val="24"/>
        </w:rPr>
        <w:t>汽车计算芯片信息安全标准主要内容的论据源于多方面考量。一方面，借鉴国内外在汽车电子及信息安全领域已有的成熟标准经验，这些标准经过长期实践检验，在保障信息安全方面具备科学性与合理性，能为汽车计算芯片信息安全标准提供坚实框架与基础规范。另一方面，密切关注当前汽车计算芯片信息安全实际状况，持续收集行业现存问题，如数据传输易受干扰、非法访问风险高、密钥管理存在漏洞等。同时，立足现有如 ISO/SAE 21434 等相关国际标准以及国内汽车信息安全规范，结合汽车计算芯片独特的技术特性与应用场景，进一步优化性能参数和安全指标，如强化数据加密强度、完善密钥生成与存储机制等，从而制定出贴合实际、科学严谨且具有前瞻性的标准，有效指导车企、芯片供应商等各方开展研发与生产工作，提升汽车计算芯片信息安全整体水平。。</w:t>
      </w:r>
    </w:p>
    <w:p w14:paraId="6614B8FA">
      <w:pPr>
        <w:pStyle w:val="2"/>
        <w:spacing w:before="156" w:beforeLines="50" w:after="156" w:afterLines="50"/>
        <w:ind w:firstLine="0" w:firstLineChars="0"/>
        <w:outlineLvl w:val="1"/>
        <w:rPr>
          <w:rFonts w:hint="eastAsia" w:ascii="黑体" w:hAnsi="黑体" w:eastAsia="黑体" w:cs="黑体"/>
          <w:sz w:val="21"/>
          <w:szCs w:val="21"/>
        </w:rPr>
      </w:pPr>
      <w:r>
        <w:rPr>
          <w:rFonts w:hint="eastAsia" w:ascii="黑体" w:hAnsi="黑体" w:eastAsia="黑体" w:cs="黑体"/>
          <w:sz w:val="21"/>
          <w:szCs w:val="21"/>
        </w:rPr>
        <w:t>2.5</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标准工作基础</w:t>
      </w:r>
    </w:p>
    <w:p w14:paraId="4298CBEA">
      <w:pPr>
        <w:pStyle w:val="11"/>
        <w:spacing w:line="360" w:lineRule="auto"/>
        <w:ind w:firstLine="480"/>
        <w:rPr>
          <w:rFonts w:hint="eastAsia" w:ascii="仿宋" w:hAnsi="仿宋" w:eastAsia="仿宋" w:cs="宋体"/>
          <w:sz w:val="24"/>
          <w:szCs w:val="24"/>
        </w:rPr>
      </w:pPr>
      <w:r>
        <w:rPr>
          <w:rFonts w:hint="eastAsia" w:ascii="仿宋" w:hAnsi="仿宋" w:eastAsia="仿宋" w:cs="宋体"/>
          <w:sz w:val="24"/>
          <w:szCs w:val="24"/>
        </w:rPr>
        <w:t>本标准起草组单位由国内知名的整车企业、零部件企业、芯片企业、检测公司、测试设备公司、高校等等组成，涵盖了汽车行业各个主要环节，具备完整的汽车电子知识体系和行业经验，可以为本标准的制定和验证提供强有力的技术和资源支持。通过</w:t>
      </w:r>
      <w:r>
        <w:rPr>
          <w:rFonts w:hint="eastAsia" w:ascii="仿宋" w:hAnsi="仿宋" w:eastAsia="仿宋" w:cs="宋体"/>
          <w:sz w:val="24"/>
          <w:szCs w:val="24"/>
          <w:lang w:val="en-US" w:eastAsia="zh-CN"/>
        </w:rPr>
        <w:t>汽车芯片</w:t>
      </w:r>
      <w:r>
        <w:rPr>
          <w:rFonts w:hint="eastAsia" w:ascii="仿宋" w:hAnsi="仿宋" w:eastAsia="仿宋" w:cs="宋体"/>
          <w:sz w:val="24"/>
          <w:szCs w:val="24"/>
        </w:rPr>
        <w:t>研发方、</w:t>
      </w:r>
      <w:r>
        <w:rPr>
          <w:rFonts w:hint="eastAsia" w:ascii="仿宋" w:hAnsi="仿宋" w:eastAsia="仿宋" w:cs="宋体"/>
          <w:sz w:val="24"/>
          <w:szCs w:val="24"/>
          <w:lang w:val="en-US" w:eastAsia="zh-CN"/>
        </w:rPr>
        <w:t>信息安全解决方案方，</w:t>
      </w:r>
      <w:r>
        <w:rPr>
          <w:rFonts w:hint="eastAsia" w:ascii="仿宋" w:hAnsi="仿宋" w:eastAsia="仿宋" w:cs="宋体"/>
          <w:sz w:val="24"/>
          <w:szCs w:val="24"/>
        </w:rPr>
        <w:t>使用方、检测方等共同参与标准制定，在最大程度上保证了本标准的可操作性、可用性和实用性。</w:t>
      </w:r>
    </w:p>
    <w:p w14:paraId="2EA7A6A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30"/>
          <w:szCs w:val="30"/>
          <w:highlight w:val="yellow"/>
          <w14:textFill>
            <w14:solidFill>
              <w14:schemeClr w14:val="tx1"/>
            </w14:solidFill>
          </w14:textFill>
        </w:rPr>
      </w:pPr>
      <w:r>
        <w:rPr>
          <w:rFonts w:hint="eastAsia" w:ascii="黑体" w:hAnsi="黑体" w:eastAsia="黑体" w:cs="黑体"/>
          <w:color w:val="000000" w:themeColor="text1"/>
          <w:sz w:val="24"/>
          <w:highlight w:val="yellow"/>
          <w14:textFill>
            <w14:solidFill>
              <w14:schemeClr w14:val="tx1"/>
            </w14:solidFill>
          </w14:textFill>
        </w:rPr>
        <w:t>三、采用国际标准和国外先进标准情况</w:t>
      </w:r>
    </w:p>
    <w:p w14:paraId="6D47068D">
      <w:pPr>
        <w:pStyle w:val="11"/>
        <w:spacing w:line="360" w:lineRule="auto"/>
        <w:ind w:firstLine="480"/>
        <w:rPr>
          <w:rFonts w:hint="eastAsia" w:ascii="仿宋" w:hAnsi="仿宋" w:eastAsia="仿宋" w:cs="宋体"/>
          <w:color w:val="0000FF"/>
          <w:sz w:val="24"/>
          <w:szCs w:val="24"/>
          <w:highlight w:val="yellow"/>
        </w:rPr>
      </w:pPr>
      <w:r>
        <w:rPr>
          <w:rFonts w:hint="eastAsia" w:ascii="仿宋" w:hAnsi="仿宋" w:eastAsia="仿宋" w:cs="宋体"/>
          <w:color w:val="0000FF"/>
          <w:sz w:val="24"/>
          <w:szCs w:val="24"/>
          <w:highlight w:val="yellow"/>
        </w:rPr>
        <w:t>本标准</w:t>
      </w:r>
      <w:r>
        <w:rPr>
          <w:rFonts w:hint="eastAsia" w:ascii="仿宋" w:hAnsi="仿宋" w:eastAsia="仿宋" w:cs="宋体"/>
          <w:color w:val="0000FF"/>
          <w:sz w:val="24"/>
          <w:szCs w:val="24"/>
          <w:highlight w:val="yellow"/>
          <w:lang w:val="en-US" w:eastAsia="zh-CN"/>
        </w:rPr>
        <w:t>引用的</w:t>
      </w:r>
      <w:r>
        <w:rPr>
          <w:rFonts w:hint="eastAsia" w:ascii="仿宋" w:hAnsi="仿宋" w:eastAsia="仿宋" w:cs="宋体"/>
          <w:color w:val="0000FF"/>
          <w:sz w:val="24"/>
          <w:szCs w:val="24"/>
          <w:highlight w:val="yellow"/>
        </w:rPr>
        <w:t>国际和国外标准包括：</w:t>
      </w:r>
    </w:p>
    <w:p w14:paraId="6C479713">
      <w:pPr>
        <w:spacing w:line="360" w:lineRule="auto"/>
        <w:ind w:firstLine="480" w:firstLineChars="200"/>
        <w:rPr>
          <w:rFonts w:hint="eastAsia" w:ascii="仿宋" w:hAnsi="仿宋" w:eastAsia="仿宋" w:cs="宋体"/>
          <w:color w:val="0000FF"/>
          <w:kern w:val="0"/>
          <w:sz w:val="24"/>
          <w:highlight w:val="yellow"/>
        </w:rPr>
      </w:pPr>
      <w:r>
        <w:rPr>
          <w:rFonts w:ascii="仿宋" w:hAnsi="仿宋" w:eastAsia="仿宋" w:cs="宋体"/>
          <w:color w:val="0000FF"/>
          <w:kern w:val="0"/>
          <w:sz w:val="24"/>
          <w:highlight w:val="yellow"/>
        </w:rPr>
        <w:t>IEC 60747-8:2021  Semiconductor devices–Discrete devices–Part 8:Field-effect transistors</w:t>
      </w:r>
    </w:p>
    <w:p w14:paraId="117B96F6">
      <w:pPr>
        <w:spacing w:line="360" w:lineRule="auto"/>
        <w:ind w:firstLine="480" w:firstLineChars="200"/>
        <w:rPr>
          <w:rFonts w:hint="eastAsia" w:ascii="仿宋" w:hAnsi="仿宋" w:eastAsia="仿宋" w:cs="宋体"/>
          <w:color w:val="0000FF"/>
          <w:kern w:val="0"/>
          <w:sz w:val="24"/>
          <w:highlight w:val="yellow"/>
        </w:rPr>
      </w:pPr>
      <w:r>
        <w:rPr>
          <w:rFonts w:ascii="仿宋" w:hAnsi="仿宋" w:eastAsia="仿宋" w:cs="宋体"/>
          <w:color w:val="0000FF"/>
          <w:kern w:val="0"/>
          <w:sz w:val="24"/>
          <w:highlight w:val="yellow"/>
        </w:rPr>
        <w:t>IEC 60749-34:2010  Semiconductor devices-Mechanical and climatic test methods-Part 34:Power cycling</w:t>
      </w:r>
    </w:p>
    <w:p w14:paraId="4D5B13F0">
      <w:pPr>
        <w:spacing w:line="360" w:lineRule="auto"/>
        <w:ind w:firstLine="480" w:firstLineChars="200"/>
        <w:rPr>
          <w:rFonts w:hint="eastAsia" w:ascii="仿宋" w:hAnsi="仿宋" w:eastAsia="仿宋" w:cs="宋体"/>
          <w:color w:val="0000FF"/>
          <w:kern w:val="0"/>
          <w:sz w:val="24"/>
          <w:highlight w:val="yellow"/>
        </w:rPr>
      </w:pPr>
      <w:r>
        <w:rPr>
          <w:rFonts w:ascii="仿宋" w:hAnsi="仿宋" w:eastAsia="仿宋" w:cs="宋体"/>
          <w:color w:val="0000FF"/>
          <w:kern w:val="0"/>
          <w:sz w:val="24"/>
          <w:highlight w:val="yellow"/>
        </w:rPr>
        <w:t>IEC 60068-2-82:2019  Environmental testing-Part 2-82:Tests-Test Xw1,:Whisker test methods for components and partsused in electronic assemblies</w:t>
      </w:r>
    </w:p>
    <w:p w14:paraId="54B607BB">
      <w:pPr>
        <w:spacing w:line="360" w:lineRule="auto"/>
        <w:ind w:firstLine="480" w:firstLineChars="200"/>
        <w:rPr>
          <w:rFonts w:ascii="仿宋" w:hAnsi="仿宋" w:eastAsia="仿宋" w:cs="宋体"/>
          <w:color w:val="0000FF"/>
          <w:kern w:val="0"/>
          <w:sz w:val="24"/>
          <w:highlight w:val="yellow"/>
        </w:rPr>
      </w:pPr>
      <w:r>
        <w:rPr>
          <w:rFonts w:ascii="仿宋" w:hAnsi="仿宋" w:eastAsia="仿宋" w:cs="宋体"/>
          <w:color w:val="0000FF"/>
          <w:kern w:val="0"/>
          <w:sz w:val="24"/>
          <w:highlight w:val="yellow"/>
        </w:rPr>
        <w:t>IEC 60749-28:2022  Semiconductor devices-Mechanical and climatic test methods-Part 28:Electrostatic discharge(ESD) sensitivity testing-Charged device model(CDM)-device level</w:t>
      </w:r>
    </w:p>
    <w:p w14:paraId="3247977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FF"/>
          <w:sz w:val="24"/>
          <w:highlight w:val="yellow"/>
        </w:rPr>
      </w:pPr>
      <w:r>
        <w:rPr>
          <w:rFonts w:hint="eastAsia" w:ascii="黑体" w:hAnsi="黑体" w:eastAsia="黑体" w:cs="黑体"/>
          <w:color w:val="0000FF"/>
          <w:sz w:val="24"/>
          <w:highlight w:val="yellow"/>
        </w:rPr>
        <w:t>四、主要关键指标及试验验证情况</w:t>
      </w:r>
    </w:p>
    <w:p w14:paraId="0724F965">
      <w:pPr>
        <w:spacing w:line="360" w:lineRule="auto"/>
        <w:ind w:firstLine="960" w:firstLineChars="400"/>
        <w:rPr>
          <w:rFonts w:hint="eastAsia" w:ascii="仿宋" w:hAnsi="仿宋" w:eastAsia="仿宋" w:cs="宋体"/>
          <w:kern w:val="0"/>
          <w:sz w:val="24"/>
          <w:highlight w:val="yellow"/>
        </w:rPr>
      </w:pPr>
      <w:r>
        <w:rPr>
          <w:rFonts w:hint="eastAsia" w:ascii="仿宋" w:hAnsi="仿宋" w:eastAsia="仿宋" w:cs="宋体"/>
          <w:kern w:val="0"/>
          <w:sz w:val="24"/>
          <w:highlight w:val="yellow"/>
          <w:lang w:val="en-US" w:eastAsia="zh-CN"/>
        </w:rPr>
        <w:t>本规范的</w:t>
      </w:r>
      <w:r>
        <w:rPr>
          <w:rFonts w:hint="eastAsia" w:ascii="仿宋" w:hAnsi="仿宋" w:eastAsia="仿宋" w:cs="宋体"/>
          <w:kern w:val="0"/>
          <w:sz w:val="24"/>
          <w:highlight w:val="yellow"/>
        </w:rPr>
        <w:t>试验结果</w:t>
      </w:r>
      <w:r>
        <w:rPr>
          <w:rFonts w:hint="eastAsia" w:ascii="仿宋" w:hAnsi="仿宋" w:eastAsia="仿宋" w:cs="宋体"/>
          <w:kern w:val="0"/>
          <w:sz w:val="24"/>
          <w:highlight w:val="yellow"/>
          <w:lang w:val="en-US" w:eastAsia="zh-CN"/>
        </w:rPr>
        <w:t>情况如下</w:t>
      </w:r>
      <w:r>
        <w:rPr>
          <w:rFonts w:hint="eastAsia" w:ascii="仿宋" w:hAnsi="仿宋" w:eastAsia="仿宋" w:cs="宋体"/>
          <w:kern w:val="0"/>
          <w:sz w:val="24"/>
          <w:highlight w:val="yellow"/>
        </w:rPr>
        <w:t>：</w:t>
      </w:r>
      <w:bookmarkStart w:id="1" w:name="_GoBack"/>
      <w:bookmarkEnd w:id="1"/>
    </w:p>
    <w:tbl>
      <w:tblPr>
        <w:tblStyle w:val="6"/>
        <w:tblpPr w:leftFromText="180" w:rightFromText="180" w:vertAnchor="text" w:horzAnchor="page" w:tblpXSpec="center" w:tblpY="57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697"/>
        <w:gridCol w:w="781"/>
        <w:gridCol w:w="755"/>
        <w:gridCol w:w="499"/>
        <w:gridCol w:w="3436"/>
        <w:gridCol w:w="810"/>
        <w:gridCol w:w="892"/>
      </w:tblGrid>
      <w:tr w14:paraId="451C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452" w:type="dxa"/>
            <w:shd w:val="clear" w:color="auto" w:fill="auto"/>
            <w:vAlign w:val="center"/>
          </w:tcPr>
          <w:p w14:paraId="43FD0561">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697" w:type="dxa"/>
            <w:shd w:val="clear" w:color="auto" w:fill="auto"/>
            <w:vAlign w:val="center"/>
          </w:tcPr>
          <w:p w14:paraId="5CC43BDE">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中文名称</w:t>
            </w:r>
          </w:p>
        </w:tc>
        <w:tc>
          <w:tcPr>
            <w:tcW w:w="781" w:type="dxa"/>
            <w:shd w:val="clear" w:color="auto" w:fill="auto"/>
            <w:vAlign w:val="center"/>
          </w:tcPr>
          <w:p w14:paraId="6F39A77C">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简称</w:t>
            </w:r>
          </w:p>
        </w:tc>
        <w:tc>
          <w:tcPr>
            <w:tcW w:w="755" w:type="dxa"/>
            <w:shd w:val="clear" w:color="auto" w:fill="auto"/>
            <w:vAlign w:val="center"/>
          </w:tcPr>
          <w:p w14:paraId="11DB3936">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样品数量</w:t>
            </w:r>
          </w:p>
        </w:tc>
        <w:tc>
          <w:tcPr>
            <w:tcW w:w="499" w:type="dxa"/>
            <w:shd w:val="clear" w:color="auto" w:fill="auto"/>
            <w:vAlign w:val="center"/>
          </w:tcPr>
          <w:p w14:paraId="222E7528">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批次</w:t>
            </w:r>
          </w:p>
        </w:tc>
        <w:tc>
          <w:tcPr>
            <w:tcW w:w="3436" w:type="dxa"/>
            <w:shd w:val="clear" w:color="auto" w:fill="auto"/>
            <w:vAlign w:val="center"/>
          </w:tcPr>
          <w:p w14:paraId="6B513D45">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试验概要描述</w:t>
            </w:r>
          </w:p>
        </w:tc>
        <w:tc>
          <w:tcPr>
            <w:tcW w:w="810" w:type="dxa"/>
            <w:shd w:val="clear" w:color="auto" w:fill="auto"/>
            <w:vAlign w:val="center"/>
          </w:tcPr>
          <w:p w14:paraId="26A873AF">
            <w:pPr>
              <w:widowControl/>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kern w:val="0"/>
                <w:sz w:val="18"/>
                <w:szCs w:val="18"/>
                <w:lang w:bidi="ar"/>
              </w:rPr>
              <w:t>试验</w:t>
            </w:r>
            <w:r>
              <w:rPr>
                <w:rFonts w:hint="eastAsia" w:ascii="宋体" w:hAnsi="宋体" w:cs="宋体"/>
                <w:b/>
                <w:bCs/>
                <w:color w:val="000000"/>
                <w:kern w:val="0"/>
                <w:sz w:val="18"/>
                <w:szCs w:val="18"/>
                <w:lang w:val="en-US" w:eastAsia="zh-CN" w:bidi="ar"/>
              </w:rPr>
              <w:t>符合性</w:t>
            </w:r>
          </w:p>
        </w:tc>
        <w:tc>
          <w:tcPr>
            <w:tcW w:w="892" w:type="dxa"/>
            <w:shd w:val="clear" w:color="auto" w:fill="auto"/>
            <w:vAlign w:val="center"/>
          </w:tcPr>
          <w:p w14:paraId="276ABE8B">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备注</w:t>
            </w:r>
          </w:p>
        </w:tc>
      </w:tr>
      <w:tr w14:paraId="64AE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452" w:type="dxa"/>
            <w:shd w:val="clear" w:color="auto" w:fill="auto"/>
            <w:vAlign w:val="center"/>
          </w:tcPr>
          <w:p w14:paraId="74BE6CC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697" w:type="dxa"/>
            <w:shd w:val="clear" w:color="auto" w:fill="auto"/>
            <w:vAlign w:val="center"/>
          </w:tcPr>
          <w:p w14:paraId="485FC4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预处理</w:t>
            </w:r>
          </w:p>
        </w:tc>
        <w:tc>
          <w:tcPr>
            <w:tcW w:w="781" w:type="dxa"/>
            <w:shd w:val="clear" w:color="auto" w:fill="auto"/>
            <w:vAlign w:val="center"/>
          </w:tcPr>
          <w:p w14:paraId="1CF84FF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PC</w:t>
            </w:r>
          </w:p>
        </w:tc>
        <w:tc>
          <w:tcPr>
            <w:tcW w:w="755" w:type="dxa"/>
            <w:shd w:val="clear" w:color="auto" w:fill="auto"/>
            <w:vAlign w:val="center"/>
          </w:tcPr>
          <w:p w14:paraId="7D20C7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462</w:t>
            </w:r>
          </w:p>
        </w:tc>
        <w:tc>
          <w:tcPr>
            <w:tcW w:w="499" w:type="dxa"/>
            <w:shd w:val="clear" w:color="auto" w:fill="auto"/>
            <w:vAlign w:val="center"/>
          </w:tcPr>
          <w:p w14:paraId="6DA3432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6</w:t>
            </w:r>
          </w:p>
        </w:tc>
        <w:tc>
          <w:tcPr>
            <w:tcW w:w="3436" w:type="dxa"/>
            <w:shd w:val="clear" w:color="auto" w:fill="auto"/>
            <w:vAlign w:val="center"/>
          </w:tcPr>
          <w:p w14:paraId="531633A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a）初始特性测试：将样品在25 ℃条件下进行参数检测，记录检测结果；</w:t>
            </w:r>
          </w:p>
          <w:p w14:paraId="4A5E0CB0">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b）外部目检：40倍光学放大下进行外部目视检查，记录检测结果；</w:t>
            </w:r>
          </w:p>
          <w:p w14:paraId="38CC5B6C">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c）内部检视：将样品放置在超声波扫描设备上检查样品封装内部情况，记录检测结果；</w:t>
            </w:r>
          </w:p>
          <w:p w14:paraId="6E513B1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d）温度循环：-40 ℃到60 ℃进行五个温度循环。</w:t>
            </w:r>
          </w:p>
          <w:p w14:paraId="2031692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e）烘烤：在125(+5/0)℃下至少烘烤24 h；</w:t>
            </w:r>
          </w:p>
          <w:p w14:paraId="60E75796">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f）湿气渗浸:应在烘烤后2 h内开始本试验，将样品放置在一个干净、干燥且浅的容器中，使样品封装间不会相互接触或重叠，然后放置在温湿度试验箱内，按照GB/T 4937.20-2018规定进行渗浸测试。</w:t>
            </w:r>
          </w:p>
          <w:p w14:paraId="270894AF">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g）回流焊后的焊接：样品移除温湿度试验箱15 min到4 h之间，按照GB/T 4937.20-2018规定回流焊条件下进行3次循环。</w:t>
            </w:r>
          </w:p>
          <w:p w14:paraId="2B5386C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h）最终目检和超声波扫描：回流后样品使用40倍光学显微镜检查，并利用超声波扫描显微镜检测，记录结果与初始目检、超声波扫描结果对比。</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i）最终特性参数检测：样品恢复到25 ℃环境温度下，进行电参数和功能测试，记录结果并对比。</w:t>
            </w:r>
          </w:p>
        </w:tc>
        <w:tc>
          <w:tcPr>
            <w:tcW w:w="810" w:type="dxa"/>
            <w:shd w:val="clear" w:color="auto" w:fill="auto"/>
            <w:vAlign w:val="center"/>
          </w:tcPr>
          <w:p w14:paraId="3E6684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7DEC135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仅适用于贴片器件</w:t>
            </w:r>
          </w:p>
        </w:tc>
      </w:tr>
      <w:tr w14:paraId="65BE2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452" w:type="dxa"/>
            <w:shd w:val="clear" w:color="auto" w:fill="auto"/>
            <w:vAlign w:val="center"/>
          </w:tcPr>
          <w:p w14:paraId="2425A04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2</w:t>
            </w:r>
          </w:p>
        </w:tc>
        <w:tc>
          <w:tcPr>
            <w:tcW w:w="697" w:type="dxa"/>
            <w:shd w:val="clear" w:color="auto" w:fill="auto"/>
            <w:vAlign w:val="center"/>
          </w:tcPr>
          <w:p w14:paraId="52833FB3">
            <w:pPr>
              <w:widowControl/>
              <w:jc w:val="left"/>
              <w:textAlignment w:val="center"/>
              <w:rPr>
                <w:rFonts w:hint="eastAsia" w:ascii="宋体" w:hAnsi="宋体" w:cs="宋体"/>
                <w:color w:val="000000"/>
                <w:sz w:val="18"/>
                <w:szCs w:val="18"/>
              </w:rPr>
            </w:pPr>
            <w:r>
              <w:rPr>
                <w:rFonts w:hint="eastAsia" w:ascii="宋体" w:hAnsi="宋体" w:cs="宋体"/>
                <w:sz w:val="18"/>
                <w:szCs w:val="18"/>
              </w:rPr>
              <w:t>高压蒸煮</w:t>
            </w:r>
          </w:p>
        </w:tc>
        <w:tc>
          <w:tcPr>
            <w:tcW w:w="781" w:type="dxa"/>
            <w:shd w:val="clear" w:color="auto" w:fill="auto"/>
            <w:vAlign w:val="center"/>
          </w:tcPr>
          <w:p w14:paraId="102FA9CB">
            <w:pPr>
              <w:widowControl/>
              <w:jc w:val="center"/>
              <w:textAlignment w:val="center"/>
              <w:rPr>
                <w:rFonts w:hint="eastAsia" w:ascii="宋体" w:hAnsi="宋体" w:cs="宋体"/>
                <w:color w:val="000000"/>
                <w:sz w:val="18"/>
                <w:szCs w:val="18"/>
              </w:rPr>
            </w:pPr>
            <w:r>
              <w:rPr>
                <w:rFonts w:hint="eastAsia" w:ascii="宋体" w:hAnsi="宋体" w:cs="宋体"/>
                <w:sz w:val="18"/>
                <w:szCs w:val="18"/>
              </w:rPr>
              <w:t>AC</w:t>
            </w:r>
          </w:p>
        </w:tc>
        <w:tc>
          <w:tcPr>
            <w:tcW w:w="755" w:type="dxa"/>
            <w:shd w:val="clear" w:color="auto" w:fill="auto"/>
            <w:vAlign w:val="center"/>
          </w:tcPr>
          <w:p w14:paraId="0F919C9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603086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5C021F79">
            <w:pPr>
              <w:widowControl/>
              <w:numPr>
                <w:ilvl w:val="0"/>
                <w:numId w:val="5"/>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温度：T</w:t>
            </w:r>
            <w:r>
              <w:rPr>
                <w:rFonts w:hint="eastAsia" w:ascii="宋体" w:hAnsi="宋体" w:cs="宋体"/>
                <w:color w:val="000000"/>
                <w:sz w:val="18"/>
                <w:szCs w:val="18"/>
                <w:vertAlign w:val="subscript"/>
              </w:rPr>
              <w:t>a</w:t>
            </w:r>
            <w:r>
              <w:rPr>
                <w:rFonts w:hint="eastAsia" w:ascii="宋体" w:hAnsi="宋体" w:cs="宋体"/>
                <w:color w:val="000000"/>
                <w:sz w:val="18"/>
                <w:szCs w:val="18"/>
              </w:rPr>
              <w:t xml:space="preserve"> = 121 ℃；</w:t>
            </w:r>
          </w:p>
          <w:p w14:paraId="587E526D">
            <w:pPr>
              <w:widowControl/>
              <w:numPr>
                <w:ilvl w:val="0"/>
                <w:numId w:val="5"/>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湿度：100% RH；</w:t>
            </w:r>
          </w:p>
          <w:p w14:paraId="012D07E7">
            <w:pPr>
              <w:widowControl/>
              <w:numPr>
                <w:ilvl w:val="0"/>
                <w:numId w:val="5"/>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气压：103 kPa；</w:t>
            </w:r>
          </w:p>
          <w:p w14:paraId="409EE118">
            <w:pPr>
              <w:widowControl/>
              <w:numPr>
                <w:ilvl w:val="0"/>
                <w:numId w:val="5"/>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试验时间：96 h。</w:t>
            </w:r>
          </w:p>
        </w:tc>
        <w:tc>
          <w:tcPr>
            <w:tcW w:w="810" w:type="dxa"/>
            <w:shd w:val="clear" w:color="auto" w:fill="auto"/>
            <w:vAlign w:val="center"/>
          </w:tcPr>
          <w:p w14:paraId="2A2E2A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48259B28">
            <w:pPr>
              <w:jc w:val="center"/>
              <w:rPr>
                <w:rFonts w:hint="eastAsia" w:ascii="宋体" w:hAnsi="宋体" w:cs="宋体"/>
                <w:color w:val="000000"/>
                <w:sz w:val="18"/>
                <w:szCs w:val="18"/>
              </w:rPr>
            </w:pPr>
          </w:p>
        </w:tc>
      </w:tr>
      <w:tr w14:paraId="3D04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452" w:type="dxa"/>
            <w:shd w:val="clear" w:color="auto" w:fill="auto"/>
            <w:vAlign w:val="center"/>
          </w:tcPr>
          <w:p w14:paraId="4B6C340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w:t>
            </w:r>
          </w:p>
        </w:tc>
        <w:tc>
          <w:tcPr>
            <w:tcW w:w="697" w:type="dxa"/>
            <w:shd w:val="clear" w:color="auto" w:fill="auto"/>
            <w:vAlign w:val="center"/>
          </w:tcPr>
          <w:p w14:paraId="11142518">
            <w:pPr>
              <w:widowControl/>
              <w:jc w:val="left"/>
              <w:textAlignment w:val="center"/>
              <w:rPr>
                <w:rFonts w:hint="eastAsia" w:ascii="宋体" w:hAnsi="宋体" w:cs="宋体"/>
                <w:color w:val="000000"/>
                <w:sz w:val="18"/>
                <w:szCs w:val="18"/>
              </w:rPr>
            </w:pPr>
            <w:r>
              <w:rPr>
                <w:rFonts w:hint="eastAsia" w:ascii="宋体" w:hAnsi="宋体" w:cs="宋体"/>
                <w:sz w:val="18"/>
                <w:szCs w:val="18"/>
              </w:rPr>
              <w:t>高温存储</w:t>
            </w:r>
          </w:p>
        </w:tc>
        <w:tc>
          <w:tcPr>
            <w:tcW w:w="781" w:type="dxa"/>
            <w:shd w:val="clear" w:color="auto" w:fill="auto"/>
            <w:vAlign w:val="center"/>
          </w:tcPr>
          <w:p w14:paraId="4CDFC091">
            <w:pPr>
              <w:widowControl/>
              <w:jc w:val="center"/>
              <w:textAlignment w:val="center"/>
              <w:rPr>
                <w:rFonts w:hint="eastAsia" w:ascii="宋体" w:hAnsi="宋体" w:cs="宋体"/>
                <w:color w:val="000000"/>
                <w:sz w:val="18"/>
                <w:szCs w:val="18"/>
              </w:rPr>
            </w:pPr>
            <w:r>
              <w:rPr>
                <w:rFonts w:hint="eastAsia" w:ascii="宋体" w:hAnsi="宋体" w:cs="宋体"/>
                <w:sz w:val="18"/>
                <w:szCs w:val="18"/>
              </w:rPr>
              <w:t>HTS</w:t>
            </w:r>
          </w:p>
        </w:tc>
        <w:tc>
          <w:tcPr>
            <w:tcW w:w="755" w:type="dxa"/>
            <w:shd w:val="clear" w:color="auto" w:fill="auto"/>
            <w:vAlign w:val="center"/>
          </w:tcPr>
          <w:p w14:paraId="3EEB53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64DCA0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3AC75D6D">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——温度：T</w:t>
            </w:r>
            <w:r>
              <w:rPr>
                <w:rFonts w:hint="eastAsia" w:ascii="宋体" w:hAnsi="宋体" w:cs="宋体"/>
                <w:color w:val="000000"/>
                <w:sz w:val="18"/>
                <w:szCs w:val="18"/>
                <w:vertAlign w:val="subscript"/>
              </w:rPr>
              <w:t>a</w:t>
            </w:r>
            <w:r>
              <w:rPr>
                <w:rFonts w:hint="eastAsia" w:ascii="宋体" w:hAnsi="宋体" w:cs="宋体"/>
                <w:color w:val="000000"/>
                <w:sz w:val="18"/>
                <w:szCs w:val="18"/>
              </w:rPr>
              <w:t xml:space="preserve"> = T</w:t>
            </w:r>
            <w:r>
              <w:rPr>
                <w:rFonts w:hint="eastAsia" w:ascii="宋体" w:hAnsi="宋体" w:cs="宋体"/>
                <w:color w:val="000000"/>
                <w:sz w:val="18"/>
                <w:szCs w:val="18"/>
                <w:vertAlign w:val="subscript"/>
              </w:rPr>
              <w:t>stgmax</w:t>
            </w:r>
            <w:r>
              <w:rPr>
                <w:rFonts w:hint="eastAsia" w:ascii="宋体" w:hAnsi="宋体" w:cs="宋体"/>
                <w:color w:val="000000"/>
                <w:sz w:val="18"/>
                <w:szCs w:val="18"/>
              </w:rPr>
              <w:t>；</w:t>
            </w:r>
          </w:p>
          <w:p w14:paraId="7EFB16B3">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——时间：≥1000h。</w:t>
            </w:r>
          </w:p>
        </w:tc>
        <w:tc>
          <w:tcPr>
            <w:tcW w:w="810" w:type="dxa"/>
            <w:shd w:val="clear" w:color="auto" w:fill="auto"/>
            <w:vAlign w:val="center"/>
          </w:tcPr>
          <w:p w14:paraId="01A2BE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5B649715">
            <w:pPr>
              <w:jc w:val="center"/>
              <w:rPr>
                <w:rFonts w:hint="eastAsia" w:ascii="宋体" w:hAnsi="宋体" w:cs="宋体"/>
                <w:color w:val="000000"/>
                <w:sz w:val="18"/>
                <w:szCs w:val="18"/>
              </w:rPr>
            </w:pPr>
          </w:p>
        </w:tc>
      </w:tr>
      <w:tr w14:paraId="001D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52" w:type="dxa"/>
            <w:shd w:val="clear" w:color="auto" w:fill="auto"/>
            <w:vAlign w:val="center"/>
          </w:tcPr>
          <w:p w14:paraId="006E918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4</w:t>
            </w:r>
          </w:p>
        </w:tc>
        <w:tc>
          <w:tcPr>
            <w:tcW w:w="697" w:type="dxa"/>
            <w:shd w:val="clear" w:color="auto" w:fill="auto"/>
            <w:vAlign w:val="center"/>
          </w:tcPr>
          <w:p w14:paraId="2CD121FD">
            <w:pPr>
              <w:widowControl/>
              <w:jc w:val="left"/>
              <w:textAlignment w:val="center"/>
              <w:rPr>
                <w:rFonts w:hint="eastAsia" w:ascii="宋体" w:hAnsi="宋体" w:cs="宋体"/>
                <w:color w:val="000000"/>
                <w:sz w:val="18"/>
                <w:szCs w:val="18"/>
              </w:rPr>
            </w:pPr>
            <w:r>
              <w:rPr>
                <w:rFonts w:hint="eastAsia" w:ascii="宋体" w:hAnsi="宋体" w:cs="宋体"/>
                <w:sz w:val="18"/>
                <w:szCs w:val="18"/>
              </w:rPr>
              <w:t>低温存储</w:t>
            </w:r>
          </w:p>
        </w:tc>
        <w:tc>
          <w:tcPr>
            <w:tcW w:w="781" w:type="dxa"/>
            <w:shd w:val="clear" w:color="auto" w:fill="auto"/>
            <w:vAlign w:val="center"/>
          </w:tcPr>
          <w:p w14:paraId="6E11A0C1">
            <w:pPr>
              <w:widowControl/>
              <w:jc w:val="center"/>
              <w:textAlignment w:val="center"/>
              <w:rPr>
                <w:rFonts w:hint="eastAsia" w:ascii="宋体" w:hAnsi="宋体" w:cs="宋体"/>
                <w:color w:val="000000"/>
                <w:sz w:val="18"/>
                <w:szCs w:val="18"/>
              </w:rPr>
            </w:pPr>
            <w:r>
              <w:rPr>
                <w:rFonts w:hint="eastAsia" w:ascii="宋体" w:hAnsi="宋体" w:cs="宋体"/>
                <w:sz w:val="18"/>
                <w:szCs w:val="18"/>
              </w:rPr>
              <w:t>LTS</w:t>
            </w:r>
          </w:p>
        </w:tc>
        <w:tc>
          <w:tcPr>
            <w:tcW w:w="755" w:type="dxa"/>
            <w:shd w:val="clear" w:color="auto" w:fill="auto"/>
            <w:vAlign w:val="center"/>
          </w:tcPr>
          <w:p w14:paraId="3550FA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7E9940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5AF6AF2A">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——温度：T</w:t>
            </w:r>
            <w:r>
              <w:rPr>
                <w:rFonts w:hint="eastAsia" w:ascii="宋体" w:hAnsi="宋体" w:cs="宋体"/>
                <w:color w:val="000000"/>
                <w:sz w:val="18"/>
                <w:szCs w:val="18"/>
                <w:vertAlign w:val="subscript"/>
              </w:rPr>
              <w:t>a</w:t>
            </w:r>
            <w:r>
              <w:rPr>
                <w:rFonts w:hint="eastAsia" w:ascii="宋体" w:hAnsi="宋体" w:cs="宋体"/>
                <w:color w:val="000000"/>
                <w:sz w:val="18"/>
                <w:szCs w:val="18"/>
              </w:rPr>
              <w:t xml:space="preserve"> = T</w:t>
            </w:r>
            <w:r>
              <w:rPr>
                <w:rFonts w:hint="eastAsia" w:ascii="宋体" w:hAnsi="宋体" w:cs="宋体"/>
                <w:color w:val="000000"/>
                <w:sz w:val="18"/>
                <w:szCs w:val="18"/>
                <w:vertAlign w:val="subscript"/>
              </w:rPr>
              <w:t>stgmin</w:t>
            </w:r>
            <w:r>
              <w:rPr>
                <w:rFonts w:hint="eastAsia" w:ascii="宋体" w:hAnsi="宋体" w:cs="宋体"/>
                <w:color w:val="000000"/>
                <w:sz w:val="18"/>
                <w:szCs w:val="18"/>
              </w:rPr>
              <w:t>；</w:t>
            </w:r>
          </w:p>
          <w:p w14:paraId="584F06CA">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——时间：≥1000h。</w:t>
            </w:r>
          </w:p>
        </w:tc>
        <w:tc>
          <w:tcPr>
            <w:tcW w:w="810" w:type="dxa"/>
            <w:shd w:val="clear" w:color="auto" w:fill="auto"/>
            <w:vAlign w:val="center"/>
          </w:tcPr>
          <w:p w14:paraId="6AC466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0BB028E5">
            <w:pPr>
              <w:jc w:val="center"/>
              <w:rPr>
                <w:rFonts w:hint="eastAsia" w:ascii="宋体" w:hAnsi="宋体" w:cs="宋体"/>
                <w:color w:val="000000"/>
                <w:sz w:val="18"/>
                <w:szCs w:val="18"/>
              </w:rPr>
            </w:pPr>
          </w:p>
        </w:tc>
      </w:tr>
      <w:tr w14:paraId="5F6C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452" w:type="dxa"/>
            <w:shd w:val="clear" w:color="auto" w:fill="auto"/>
            <w:vAlign w:val="center"/>
          </w:tcPr>
          <w:p w14:paraId="08DE0B7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5</w:t>
            </w:r>
          </w:p>
        </w:tc>
        <w:tc>
          <w:tcPr>
            <w:tcW w:w="697" w:type="dxa"/>
            <w:shd w:val="clear" w:color="auto" w:fill="auto"/>
            <w:vAlign w:val="center"/>
          </w:tcPr>
          <w:p w14:paraId="496AB02B">
            <w:pPr>
              <w:widowControl/>
              <w:jc w:val="left"/>
              <w:textAlignment w:val="center"/>
              <w:rPr>
                <w:rFonts w:hint="eastAsia" w:ascii="宋体" w:hAnsi="宋体" w:cs="宋体"/>
                <w:color w:val="000000"/>
                <w:sz w:val="18"/>
                <w:szCs w:val="18"/>
              </w:rPr>
            </w:pPr>
            <w:r>
              <w:rPr>
                <w:rFonts w:hint="eastAsia" w:ascii="宋体" w:hAnsi="宋体" w:cs="宋体"/>
                <w:sz w:val="18"/>
                <w:szCs w:val="18"/>
              </w:rPr>
              <w:t>温度循环</w:t>
            </w:r>
          </w:p>
        </w:tc>
        <w:tc>
          <w:tcPr>
            <w:tcW w:w="781" w:type="dxa"/>
            <w:shd w:val="clear" w:color="auto" w:fill="auto"/>
            <w:vAlign w:val="center"/>
          </w:tcPr>
          <w:p w14:paraId="1CF544F8">
            <w:pPr>
              <w:widowControl/>
              <w:jc w:val="center"/>
              <w:textAlignment w:val="center"/>
              <w:rPr>
                <w:rFonts w:hint="eastAsia" w:ascii="宋体" w:hAnsi="宋体" w:cs="宋体"/>
                <w:color w:val="000000"/>
                <w:sz w:val="18"/>
                <w:szCs w:val="18"/>
              </w:rPr>
            </w:pPr>
            <w:r>
              <w:rPr>
                <w:rFonts w:hint="eastAsia" w:ascii="宋体" w:hAnsi="宋体" w:cs="宋体"/>
                <w:sz w:val="18"/>
                <w:szCs w:val="18"/>
              </w:rPr>
              <w:t>TC</w:t>
            </w:r>
          </w:p>
        </w:tc>
        <w:tc>
          <w:tcPr>
            <w:tcW w:w="755" w:type="dxa"/>
            <w:shd w:val="clear" w:color="auto" w:fill="auto"/>
            <w:vAlign w:val="center"/>
          </w:tcPr>
          <w:p w14:paraId="0863A31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717501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7368EC03">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——试验温度：-55 ℃到最高额定结温(不超过150 ℃)；或试验温度为-55 ℃到最高额定结温+25 ℃(不超过175 ℃)；</w:t>
            </w:r>
          </w:p>
          <w:p w14:paraId="1B331525">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——循环次数：循环次数为1000次（最高结温不超150 ℃）或400次（最高结温+25 ℃，不超175 ℃）在1 h内完成两次循环，且每次循环在最低温度和最高温度下的持续时间均不少于10 min；</w:t>
            </w:r>
          </w:p>
          <w:p w14:paraId="30C56CEC">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——最高温度的允许误差范围为-5 ℃～10 ℃，最低温度的允许误差范围为-10 ℃～5 ℃。</w:t>
            </w:r>
          </w:p>
        </w:tc>
        <w:tc>
          <w:tcPr>
            <w:tcW w:w="810" w:type="dxa"/>
            <w:shd w:val="clear" w:color="auto" w:fill="auto"/>
            <w:vAlign w:val="center"/>
          </w:tcPr>
          <w:p w14:paraId="20F072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4377A11C">
            <w:pPr>
              <w:widowControl/>
              <w:jc w:val="center"/>
              <w:textAlignment w:val="center"/>
              <w:rPr>
                <w:rFonts w:hint="eastAsia" w:ascii="宋体" w:hAnsi="宋体" w:cs="宋体"/>
                <w:color w:val="000000"/>
                <w:sz w:val="18"/>
                <w:szCs w:val="18"/>
              </w:rPr>
            </w:pPr>
          </w:p>
        </w:tc>
      </w:tr>
      <w:tr w14:paraId="1ADFB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60F0D3D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6</w:t>
            </w:r>
          </w:p>
        </w:tc>
        <w:tc>
          <w:tcPr>
            <w:tcW w:w="697" w:type="dxa"/>
            <w:shd w:val="clear" w:color="auto" w:fill="auto"/>
            <w:vAlign w:val="center"/>
          </w:tcPr>
          <w:p w14:paraId="11FC13C3">
            <w:pPr>
              <w:widowControl/>
              <w:jc w:val="left"/>
              <w:textAlignment w:val="center"/>
              <w:rPr>
                <w:rFonts w:hint="eastAsia" w:ascii="宋体" w:hAnsi="宋体" w:cs="宋体"/>
                <w:color w:val="000000"/>
                <w:sz w:val="18"/>
                <w:szCs w:val="18"/>
              </w:rPr>
            </w:pPr>
            <w:r>
              <w:rPr>
                <w:rFonts w:hint="eastAsia" w:ascii="宋体" w:hAnsi="宋体" w:cs="宋体"/>
                <w:sz w:val="18"/>
                <w:szCs w:val="18"/>
              </w:rPr>
              <w:t>温度冲击</w:t>
            </w:r>
          </w:p>
        </w:tc>
        <w:tc>
          <w:tcPr>
            <w:tcW w:w="781" w:type="dxa"/>
            <w:shd w:val="clear" w:color="auto" w:fill="auto"/>
            <w:vAlign w:val="center"/>
          </w:tcPr>
          <w:p w14:paraId="0E8ED0D9">
            <w:pPr>
              <w:widowControl/>
              <w:jc w:val="center"/>
              <w:textAlignment w:val="center"/>
              <w:rPr>
                <w:rFonts w:hint="eastAsia" w:ascii="宋体" w:hAnsi="宋体" w:cs="宋体"/>
                <w:color w:val="000000"/>
                <w:sz w:val="18"/>
                <w:szCs w:val="18"/>
              </w:rPr>
            </w:pPr>
            <w:r>
              <w:rPr>
                <w:rFonts w:hint="eastAsia" w:ascii="宋体" w:hAnsi="宋体" w:cs="宋体"/>
                <w:sz w:val="18"/>
                <w:szCs w:val="18"/>
              </w:rPr>
              <w:t>TST</w:t>
            </w:r>
          </w:p>
        </w:tc>
        <w:tc>
          <w:tcPr>
            <w:tcW w:w="755" w:type="dxa"/>
            <w:shd w:val="clear" w:color="auto" w:fill="auto"/>
            <w:vAlign w:val="center"/>
          </w:tcPr>
          <w:p w14:paraId="17EEC0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3D569E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44349250">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温度：T</w:t>
            </w:r>
            <w:r>
              <w:rPr>
                <w:rFonts w:ascii="宋体" w:hAnsi="宋体" w:cs="宋体"/>
                <w:color w:val="000000"/>
                <w:sz w:val="18"/>
                <w:szCs w:val="18"/>
                <w:vertAlign w:val="subscript"/>
              </w:rPr>
              <w:t>stgmin</w:t>
            </w:r>
            <w:r>
              <w:rPr>
                <w:rFonts w:ascii="宋体" w:hAnsi="宋体" w:cs="宋体"/>
                <w:color w:val="000000"/>
                <w:sz w:val="18"/>
                <w:szCs w:val="18"/>
              </w:rPr>
              <w:t>～T</w:t>
            </w:r>
            <w:r>
              <w:rPr>
                <w:rFonts w:ascii="宋体" w:hAnsi="宋体" w:cs="宋体"/>
                <w:color w:val="000000"/>
                <w:sz w:val="18"/>
                <w:szCs w:val="18"/>
                <w:vertAlign w:val="subscript"/>
              </w:rPr>
              <w:t>stgmax</w:t>
            </w:r>
            <w:r>
              <w:rPr>
                <w:rFonts w:ascii="宋体" w:hAnsi="宋体" w:cs="宋体"/>
                <w:color w:val="000000"/>
                <w:sz w:val="18"/>
                <w:szCs w:val="18"/>
              </w:rPr>
              <w:t>；</w:t>
            </w:r>
          </w:p>
          <w:p w14:paraId="2FDDDC08">
            <w:pPr>
              <w:widowControl/>
              <w:jc w:val="left"/>
              <w:textAlignment w:val="center"/>
              <w:rPr>
                <w:rFonts w:hint="eastAsia" w:ascii="宋体" w:hAnsi="宋体" w:cs="宋体"/>
                <w:color w:val="000000"/>
                <w:sz w:val="18"/>
                <w:szCs w:val="18"/>
              </w:rPr>
            </w:pPr>
            <w:r>
              <w:rPr>
                <w:rFonts w:ascii="宋体" w:hAnsi="宋体" w:cs="宋体"/>
                <w:color w:val="000000"/>
                <w:sz w:val="18"/>
                <w:szCs w:val="18"/>
              </w:rPr>
              <w:t>——循环数：≥1000 次；</w:t>
            </w:r>
          </w:p>
          <w:p w14:paraId="6D4EF7FE">
            <w:pPr>
              <w:widowControl/>
              <w:jc w:val="left"/>
              <w:textAlignment w:val="center"/>
              <w:rPr>
                <w:rFonts w:hint="eastAsia" w:ascii="宋体" w:hAnsi="宋体" w:cs="宋体"/>
                <w:color w:val="000000"/>
                <w:sz w:val="18"/>
                <w:szCs w:val="18"/>
              </w:rPr>
            </w:pPr>
            <w:r>
              <w:rPr>
                <w:rFonts w:ascii="宋体" w:hAnsi="宋体" w:cs="宋体"/>
                <w:color w:val="000000"/>
                <w:sz w:val="18"/>
                <w:szCs w:val="18"/>
              </w:rPr>
              <w:t>——高温存储阶段时间：≥15 min；</w:t>
            </w:r>
          </w:p>
          <w:p w14:paraId="098CCA5B">
            <w:pPr>
              <w:widowControl/>
              <w:jc w:val="left"/>
              <w:textAlignment w:val="center"/>
              <w:rPr>
                <w:rFonts w:hint="eastAsia" w:ascii="宋体" w:hAnsi="宋体" w:cs="宋体"/>
                <w:color w:val="000000"/>
                <w:sz w:val="18"/>
                <w:szCs w:val="18"/>
              </w:rPr>
            </w:pPr>
            <w:r>
              <w:rPr>
                <w:rFonts w:ascii="宋体" w:hAnsi="宋体" w:cs="宋体"/>
                <w:color w:val="000000"/>
                <w:sz w:val="18"/>
                <w:szCs w:val="18"/>
              </w:rPr>
              <w:t>——低温存储阶段时间：≥15 min；</w:t>
            </w:r>
          </w:p>
          <w:p w14:paraId="793BBAEE">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——温度转换阶段时间：＞5 s且＜30 s；</w:t>
            </w:r>
          </w:p>
          <w:p w14:paraId="3EFB4D7E">
            <w:pPr>
              <w:widowControl/>
              <w:jc w:val="left"/>
              <w:textAlignment w:val="center"/>
              <w:rPr>
                <w:rFonts w:hint="eastAsia" w:ascii="宋体" w:hAnsi="宋体" w:cs="宋体"/>
                <w:color w:val="000000"/>
                <w:sz w:val="18"/>
                <w:szCs w:val="18"/>
              </w:rPr>
            </w:pPr>
            <w:r>
              <w:rPr>
                <w:rFonts w:ascii="宋体" w:hAnsi="宋体" w:cs="宋体"/>
                <w:color w:val="000000"/>
                <w:sz w:val="18"/>
                <w:szCs w:val="18"/>
              </w:rPr>
              <w:t>——被测样件状态：不带电工作状态。</w:t>
            </w:r>
          </w:p>
        </w:tc>
        <w:tc>
          <w:tcPr>
            <w:tcW w:w="810" w:type="dxa"/>
            <w:shd w:val="clear" w:color="auto" w:fill="auto"/>
            <w:vAlign w:val="center"/>
          </w:tcPr>
          <w:p w14:paraId="49D8A7A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17A47315">
            <w:pPr>
              <w:jc w:val="center"/>
              <w:rPr>
                <w:rFonts w:hint="eastAsia" w:ascii="宋体" w:hAnsi="宋体" w:cs="宋体"/>
                <w:color w:val="000000"/>
                <w:sz w:val="18"/>
                <w:szCs w:val="18"/>
              </w:rPr>
            </w:pPr>
          </w:p>
        </w:tc>
      </w:tr>
      <w:tr w14:paraId="1ACC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52" w:type="dxa"/>
            <w:shd w:val="clear" w:color="auto" w:fill="auto"/>
            <w:vAlign w:val="center"/>
          </w:tcPr>
          <w:p w14:paraId="1358379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7</w:t>
            </w:r>
          </w:p>
        </w:tc>
        <w:tc>
          <w:tcPr>
            <w:tcW w:w="697" w:type="dxa"/>
            <w:shd w:val="clear" w:color="auto" w:fill="auto"/>
            <w:vAlign w:val="center"/>
          </w:tcPr>
          <w:p w14:paraId="3A59630A">
            <w:pPr>
              <w:widowControl/>
              <w:jc w:val="left"/>
              <w:textAlignment w:val="center"/>
              <w:rPr>
                <w:rFonts w:hint="eastAsia" w:ascii="宋体" w:hAnsi="宋体" w:cs="宋体"/>
                <w:color w:val="000000"/>
                <w:sz w:val="18"/>
                <w:szCs w:val="18"/>
              </w:rPr>
            </w:pPr>
            <w:r>
              <w:rPr>
                <w:rFonts w:hint="eastAsia" w:ascii="宋体" w:hAnsi="宋体" w:cs="宋体"/>
                <w:sz w:val="18"/>
                <w:szCs w:val="18"/>
              </w:rPr>
              <w:t>可焊性试验</w:t>
            </w:r>
          </w:p>
        </w:tc>
        <w:tc>
          <w:tcPr>
            <w:tcW w:w="781" w:type="dxa"/>
            <w:shd w:val="clear" w:color="auto" w:fill="auto"/>
            <w:vAlign w:val="center"/>
          </w:tcPr>
          <w:p w14:paraId="12393F8B">
            <w:pPr>
              <w:widowControl/>
              <w:jc w:val="center"/>
              <w:textAlignment w:val="center"/>
              <w:rPr>
                <w:rFonts w:hint="eastAsia" w:ascii="宋体" w:hAnsi="宋体" w:cs="宋体"/>
                <w:color w:val="000000"/>
                <w:sz w:val="18"/>
                <w:szCs w:val="18"/>
              </w:rPr>
            </w:pPr>
            <w:r>
              <w:rPr>
                <w:rFonts w:hint="eastAsia" w:ascii="宋体" w:hAnsi="宋体" w:cs="宋体"/>
                <w:sz w:val="18"/>
                <w:szCs w:val="18"/>
              </w:rPr>
              <w:t>SD</w:t>
            </w:r>
          </w:p>
        </w:tc>
        <w:tc>
          <w:tcPr>
            <w:tcW w:w="755" w:type="dxa"/>
            <w:shd w:val="clear" w:color="auto" w:fill="auto"/>
            <w:vAlign w:val="center"/>
          </w:tcPr>
          <w:p w14:paraId="394760D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025B95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6CFCD667">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——温度：235℃±5℃；</w:t>
            </w:r>
          </w:p>
          <w:p w14:paraId="0E868824">
            <w:pPr>
              <w:widowControl/>
              <w:jc w:val="left"/>
              <w:textAlignment w:val="center"/>
              <w:rPr>
                <w:rFonts w:hint="eastAsia" w:ascii="宋体" w:hAnsi="宋体" w:cs="宋体"/>
                <w:color w:val="000000"/>
                <w:sz w:val="18"/>
                <w:szCs w:val="18"/>
              </w:rPr>
            </w:pPr>
            <w:r>
              <w:rPr>
                <w:rFonts w:ascii="宋体" w:hAnsi="宋体" w:cs="宋体"/>
                <w:color w:val="000000"/>
                <w:sz w:val="18"/>
                <w:szCs w:val="18"/>
              </w:rPr>
              <w:t>——等级：老化等级3。</w:t>
            </w:r>
          </w:p>
        </w:tc>
        <w:tc>
          <w:tcPr>
            <w:tcW w:w="810" w:type="dxa"/>
            <w:shd w:val="clear" w:color="auto" w:fill="auto"/>
            <w:vAlign w:val="center"/>
          </w:tcPr>
          <w:p w14:paraId="5A218F1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547B572C">
            <w:pPr>
              <w:jc w:val="center"/>
              <w:rPr>
                <w:rFonts w:hint="eastAsia" w:ascii="宋体" w:hAnsi="宋体" w:cs="宋体"/>
                <w:color w:val="000000"/>
                <w:sz w:val="18"/>
                <w:szCs w:val="18"/>
              </w:rPr>
            </w:pPr>
          </w:p>
        </w:tc>
      </w:tr>
      <w:tr w14:paraId="440B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trPr>
        <w:tc>
          <w:tcPr>
            <w:tcW w:w="452" w:type="dxa"/>
            <w:shd w:val="clear" w:color="auto" w:fill="auto"/>
            <w:vAlign w:val="center"/>
          </w:tcPr>
          <w:p w14:paraId="2093722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8</w:t>
            </w:r>
          </w:p>
        </w:tc>
        <w:tc>
          <w:tcPr>
            <w:tcW w:w="697" w:type="dxa"/>
            <w:shd w:val="clear" w:color="auto" w:fill="auto"/>
            <w:vAlign w:val="center"/>
          </w:tcPr>
          <w:p w14:paraId="538EC876">
            <w:pPr>
              <w:widowControl/>
              <w:jc w:val="left"/>
              <w:textAlignment w:val="center"/>
              <w:rPr>
                <w:rFonts w:hint="eastAsia" w:ascii="宋体" w:hAnsi="宋体" w:cs="宋体"/>
                <w:color w:val="000000"/>
                <w:sz w:val="18"/>
                <w:szCs w:val="18"/>
              </w:rPr>
            </w:pPr>
            <w:r>
              <w:rPr>
                <w:rFonts w:hint="eastAsia" w:ascii="宋体" w:hAnsi="宋体" w:cs="宋体"/>
                <w:sz w:val="18"/>
                <w:szCs w:val="18"/>
              </w:rPr>
              <w:t>盐雾试验</w:t>
            </w:r>
          </w:p>
        </w:tc>
        <w:tc>
          <w:tcPr>
            <w:tcW w:w="781" w:type="dxa"/>
            <w:shd w:val="clear" w:color="auto" w:fill="auto"/>
            <w:vAlign w:val="center"/>
          </w:tcPr>
          <w:p w14:paraId="27AD3A99">
            <w:pPr>
              <w:widowControl/>
              <w:jc w:val="center"/>
              <w:textAlignment w:val="center"/>
              <w:rPr>
                <w:rFonts w:hint="eastAsia" w:ascii="宋体" w:hAnsi="宋体" w:cs="宋体"/>
                <w:color w:val="000000"/>
                <w:sz w:val="18"/>
                <w:szCs w:val="18"/>
              </w:rPr>
            </w:pPr>
            <w:r>
              <w:rPr>
                <w:rFonts w:hint="eastAsia" w:ascii="宋体" w:hAnsi="宋体" w:cs="宋体"/>
                <w:sz w:val="18"/>
                <w:szCs w:val="18"/>
              </w:rPr>
              <w:t>SST</w:t>
            </w:r>
          </w:p>
        </w:tc>
        <w:tc>
          <w:tcPr>
            <w:tcW w:w="755" w:type="dxa"/>
            <w:shd w:val="clear" w:color="auto" w:fill="auto"/>
            <w:vAlign w:val="center"/>
          </w:tcPr>
          <w:p w14:paraId="3BADD0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161F058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3F24F1E7">
            <w:pPr>
              <w:widowControl/>
              <w:jc w:val="left"/>
              <w:textAlignment w:val="center"/>
              <w:rPr>
                <w:rFonts w:hint="eastAsia" w:ascii="宋体" w:hAnsi="宋体" w:cs="宋体"/>
                <w:color w:val="000000"/>
                <w:sz w:val="18"/>
                <w:szCs w:val="18"/>
              </w:rPr>
            </w:pPr>
            <w:r>
              <w:rPr>
                <w:rFonts w:ascii="宋体" w:hAnsi="宋体" w:cs="宋体"/>
                <w:color w:val="000000"/>
                <w:sz w:val="18"/>
                <w:szCs w:val="18"/>
              </w:rPr>
              <w:t>按照GB/T 4937.13的规定执行</w:t>
            </w:r>
          </w:p>
        </w:tc>
        <w:tc>
          <w:tcPr>
            <w:tcW w:w="810" w:type="dxa"/>
            <w:shd w:val="clear" w:color="auto" w:fill="auto"/>
            <w:vAlign w:val="center"/>
          </w:tcPr>
          <w:p w14:paraId="0760F22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2D377839">
            <w:pPr>
              <w:jc w:val="center"/>
              <w:rPr>
                <w:rFonts w:hint="eastAsia" w:ascii="宋体" w:hAnsi="宋体" w:cs="宋体"/>
                <w:color w:val="000000"/>
                <w:sz w:val="18"/>
                <w:szCs w:val="18"/>
              </w:rPr>
            </w:pPr>
          </w:p>
        </w:tc>
      </w:tr>
      <w:tr w14:paraId="689A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6" w:hRule="atLeast"/>
        </w:trPr>
        <w:tc>
          <w:tcPr>
            <w:tcW w:w="452" w:type="dxa"/>
            <w:shd w:val="clear" w:color="auto" w:fill="auto"/>
            <w:vAlign w:val="center"/>
          </w:tcPr>
          <w:p w14:paraId="18C2311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9</w:t>
            </w:r>
          </w:p>
        </w:tc>
        <w:tc>
          <w:tcPr>
            <w:tcW w:w="697" w:type="dxa"/>
            <w:shd w:val="clear" w:color="auto" w:fill="auto"/>
            <w:vAlign w:val="center"/>
          </w:tcPr>
          <w:p w14:paraId="6CE29B91">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高温反偏</w:t>
            </w:r>
          </w:p>
        </w:tc>
        <w:tc>
          <w:tcPr>
            <w:tcW w:w="781" w:type="dxa"/>
            <w:shd w:val="clear" w:color="auto" w:fill="auto"/>
            <w:vAlign w:val="center"/>
          </w:tcPr>
          <w:p w14:paraId="4C7703C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（HTRB）</w:t>
            </w:r>
          </w:p>
        </w:tc>
        <w:tc>
          <w:tcPr>
            <w:tcW w:w="755" w:type="dxa"/>
            <w:shd w:val="clear" w:color="auto" w:fill="auto"/>
            <w:vAlign w:val="center"/>
          </w:tcPr>
          <w:p w14:paraId="0CD9F9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2133AA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5E3E2E9F">
            <w:pPr>
              <w:widowControl/>
              <w:jc w:val="left"/>
              <w:textAlignment w:val="center"/>
              <w:rPr>
                <w:rFonts w:hint="eastAsia" w:ascii="宋体" w:hAnsi="宋体" w:cs="宋体"/>
                <w:color w:val="000000"/>
                <w:sz w:val="18"/>
                <w:szCs w:val="18"/>
              </w:rPr>
            </w:pPr>
            <w:r>
              <w:rPr>
                <w:rFonts w:ascii="宋体" w:hAnsi="宋体" w:cs="宋体"/>
                <w:color w:val="000000"/>
                <w:sz w:val="18"/>
                <w:szCs w:val="18"/>
              </w:rPr>
              <w:t>——电压：V</w:t>
            </w:r>
            <w:r>
              <w:rPr>
                <w:rFonts w:ascii="宋体" w:hAnsi="宋体" w:cs="宋体"/>
                <w:color w:val="000000"/>
                <w:sz w:val="18"/>
                <w:szCs w:val="18"/>
                <w:vertAlign w:val="subscript"/>
              </w:rPr>
              <w:t>DS</w:t>
            </w:r>
            <w:r>
              <w:rPr>
                <w:rFonts w:ascii="宋体" w:hAnsi="宋体" w:cs="宋体"/>
                <w:color w:val="000000"/>
                <w:sz w:val="18"/>
                <w:szCs w:val="18"/>
              </w:rPr>
              <w:t>为额定电压的100%，V</w:t>
            </w:r>
            <w:r>
              <w:rPr>
                <w:rFonts w:ascii="宋体" w:hAnsi="宋体" w:cs="宋体"/>
                <w:color w:val="000000"/>
                <w:sz w:val="18"/>
                <w:szCs w:val="18"/>
                <w:vertAlign w:val="subscript"/>
              </w:rPr>
              <w:t>GS</w:t>
            </w:r>
            <w:r>
              <w:rPr>
                <w:rFonts w:ascii="宋体" w:hAnsi="宋体" w:cs="宋体"/>
                <w:color w:val="000000"/>
                <w:sz w:val="18"/>
                <w:szCs w:val="18"/>
              </w:rPr>
              <w:t>=0 V（如器件不能保证漏源极沟道完全关断，则根据数据手册确定最小负压）；</w:t>
            </w:r>
          </w:p>
          <w:p w14:paraId="128F8326">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——温度：T</w:t>
            </w:r>
            <w:r>
              <w:rPr>
                <w:rFonts w:ascii="宋体" w:hAnsi="宋体" w:cs="宋体"/>
                <w:color w:val="000000"/>
                <w:sz w:val="18"/>
                <w:szCs w:val="18"/>
                <w:vertAlign w:val="subscript"/>
              </w:rPr>
              <w:t>a</w:t>
            </w:r>
            <w:r>
              <w:rPr>
                <w:rFonts w:ascii="宋体" w:hAnsi="宋体" w:cs="宋体"/>
                <w:color w:val="000000"/>
                <w:sz w:val="18"/>
                <w:szCs w:val="18"/>
              </w:rPr>
              <w:t>根据T</w:t>
            </w:r>
            <w:r>
              <w:rPr>
                <w:rFonts w:ascii="宋体" w:hAnsi="宋体" w:cs="宋体"/>
                <w:color w:val="000000"/>
                <w:sz w:val="18"/>
                <w:szCs w:val="18"/>
                <w:vertAlign w:val="subscript"/>
              </w:rPr>
              <w:t>jmax</w:t>
            </w:r>
            <w:r>
              <w:rPr>
                <w:rFonts w:ascii="宋体" w:hAnsi="宋体" w:cs="宋体"/>
                <w:color w:val="000000"/>
                <w:sz w:val="18"/>
                <w:szCs w:val="18"/>
              </w:rPr>
              <w:t>和漏电流带来的温度变化确定；</w:t>
            </w:r>
          </w:p>
          <w:p w14:paraId="5612A85A">
            <w:pPr>
              <w:widowControl/>
              <w:jc w:val="left"/>
              <w:textAlignment w:val="center"/>
              <w:rPr>
                <w:rFonts w:hint="eastAsia" w:ascii="宋体" w:hAnsi="宋体" w:cs="宋体"/>
                <w:color w:val="000000"/>
                <w:sz w:val="18"/>
                <w:szCs w:val="18"/>
              </w:rPr>
            </w:pPr>
            <w:r>
              <w:rPr>
                <w:rFonts w:ascii="宋体" w:hAnsi="宋体" w:cs="宋体"/>
                <w:color w:val="000000"/>
                <w:sz w:val="18"/>
                <w:szCs w:val="18"/>
              </w:rPr>
              <w:t>——时间：≥1000 h。</w:t>
            </w:r>
          </w:p>
        </w:tc>
        <w:tc>
          <w:tcPr>
            <w:tcW w:w="810" w:type="dxa"/>
            <w:shd w:val="clear" w:color="auto" w:fill="auto"/>
            <w:vAlign w:val="center"/>
          </w:tcPr>
          <w:p w14:paraId="24D161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0FA5D9A0">
            <w:pPr>
              <w:jc w:val="center"/>
              <w:rPr>
                <w:rFonts w:hint="eastAsia" w:ascii="宋体" w:hAnsi="宋体" w:cs="宋体"/>
                <w:color w:val="000000"/>
                <w:sz w:val="18"/>
                <w:szCs w:val="18"/>
              </w:rPr>
            </w:pPr>
          </w:p>
        </w:tc>
      </w:tr>
      <w:tr w14:paraId="77523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52" w:type="dxa"/>
            <w:shd w:val="clear" w:color="auto" w:fill="auto"/>
            <w:vAlign w:val="center"/>
          </w:tcPr>
          <w:p w14:paraId="0B743567">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10</w:t>
            </w:r>
          </w:p>
        </w:tc>
        <w:tc>
          <w:tcPr>
            <w:tcW w:w="697" w:type="dxa"/>
            <w:shd w:val="clear" w:color="auto" w:fill="auto"/>
            <w:vAlign w:val="center"/>
          </w:tcPr>
          <w:p w14:paraId="04317727">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高温栅极反偏</w:t>
            </w:r>
          </w:p>
        </w:tc>
        <w:tc>
          <w:tcPr>
            <w:tcW w:w="781" w:type="dxa"/>
            <w:shd w:val="clear" w:color="auto" w:fill="auto"/>
            <w:vAlign w:val="center"/>
          </w:tcPr>
          <w:p w14:paraId="78B4D8A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（HTGB）</w:t>
            </w:r>
          </w:p>
        </w:tc>
        <w:tc>
          <w:tcPr>
            <w:tcW w:w="755" w:type="dxa"/>
            <w:shd w:val="clear" w:color="auto" w:fill="auto"/>
            <w:vAlign w:val="center"/>
          </w:tcPr>
          <w:p w14:paraId="4CE75A9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628A9B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05B2C5DA">
            <w:pPr>
              <w:widowControl/>
              <w:jc w:val="left"/>
              <w:textAlignment w:val="center"/>
              <w:rPr>
                <w:rFonts w:hint="eastAsia" w:ascii="宋体" w:hAnsi="宋体" w:cs="宋体"/>
                <w:color w:val="000000"/>
                <w:sz w:val="18"/>
                <w:szCs w:val="18"/>
              </w:rPr>
            </w:pPr>
            <w:r>
              <w:rPr>
                <w:rFonts w:ascii="宋体" w:hAnsi="宋体" w:cs="宋体"/>
                <w:color w:val="000000"/>
                <w:sz w:val="18"/>
                <w:szCs w:val="18"/>
              </w:rPr>
              <w:t>——电压：V</w:t>
            </w:r>
            <w:r>
              <w:rPr>
                <w:rFonts w:ascii="宋体" w:hAnsi="宋体" w:cs="宋体"/>
                <w:color w:val="000000"/>
                <w:sz w:val="18"/>
                <w:szCs w:val="18"/>
                <w:vertAlign w:val="subscript"/>
              </w:rPr>
              <w:t>GS</w:t>
            </w:r>
            <w:r>
              <w:rPr>
                <w:rFonts w:ascii="宋体" w:hAnsi="宋体" w:cs="宋体"/>
                <w:color w:val="000000"/>
                <w:sz w:val="18"/>
                <w:szCs w:val="18"/>
              </w:rPr>
              <w:t>为规定的最大电压（包含正和负最大允许值）；</w:t>
            </w:r>
          </w:p>
          <w:p w14:paraId="365CFCA2">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——温度：T</w:t>
            </w:r>
            <w:r>
              <w:rPr>
                <w:rFonts w:ascii="宋体" w:hAnsi="宋体" w:cs="宋体"/>
                <w:color w:val="000000"/>
                <w:sz w:val="18"/>
                <w:szCs w:val="18"/>
                <w:vertAlign w:val="subscript"/>
              </w:rPr>
              <w:t>a</w:t>
            </w:r>
            <w:r>
              <w:rPr>
                <w:rFonts w:ascii="宋体" w:hAnsi="宋体" w:cs="宋体"/>
                <w:color w:val="000000"/>
                <w:sz w:val="18"/>
                <w:szCs w:val="18"/>
              </w:rPr>
              <w:t xml:space="preserve"> = T</w:t>
            </w:r>
            <w:r>
              <w:rPr>
                <w:rFonts w:ascii="宋体" w:hAnsi="宋体" w:cs="宋体"/>
                <w:color w:val="000000"/>
                <w:sz w:val="18"/>
                <w:szCs w:val="18"/>
                <w:vertAlign w:val="subscript"/>
              </w:rPr>
              <w:t>jmax</w:t>
            </w:r>
            <w:r>
              <w:rPr>
                <w:rFonts w:ascii="宋体" w:hAnsi="宋体" w:cs="宋体"/>
                <w:color w:val="000000"/>
                <w:sz w:val="18"/>
                <w:szCs w:val="18"/>
              </w:rPr>
              <w:t>；</w:t>
            </w:r>
          </w:p>
          <w:p w14:paraId="7A75F53A">
            <w:pPr>
              <w:widowControl/>
              <w:jc w:val="left"/>
              <w:textAlignment w:val="center"/>
              <w:rPr>
                <w:rFonts w:hint="eastAsia" w:ascii="宋体" w:hAnsi="宋体" w:cs="宋体"/>
                <w:color w:val="000000"/>
                <w:sz w:val="18"/>
                <w:szCs w:val="18"/>
              </w:rPr>
            </w:pPr>
            <w:r>
              <w:rPr>
                <w:rFonts w:ascii="宋体" w:hAnsi="宋体" w:cs="宋体"/>
                <w:color w:val="000000"/>
                <w:sz w:val="18"/>
                <w:szCs w:val="18"/>
              </w:rPr>
              <w:t>——时间：≥1000h。</w:t>
            </w:r>
          </w:p>
        </w:tc>
        <w:tc>
          <w:tcPr>
            <w:tcW w:w="810" w:type="dxa"/>
            <w:shd w:val="clear" w:color="auto" w:fill="auto"/>
            <w:vAlign w:val="center"/>
          </w:tcPr>
          <w:p w14:paraId="1A4D9A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2E3661C9">
            <w:pPr>
              <w:jc w:val="center"/>
              <w:rPr>
                <w:rFonts w:hint="eastAsia" w:ascii="宋体" w:hAnsi="宋体" w:cs="宋体"/>
                <w:color w:val="000000"/>
                <w:sz w:val="18"/>
                <w:szCs w:val="18"/>
              </w:rPr>
            </w:pPr>
            <w:r>
              <w:rPr>
                <w:rFonts w:hint="eastAsia" w:ascii="宋体" w:hAnsi="宋体" w:cs="宋体"/>
                <w:color w:val="000000"/>
                <w:kern w:val="0"/>
                <w:sz w:val="18"/>
                <w:szCs w:val="18"/>
                <w:lang w:bidi="ar"/>
              </w:rPr>
              <w:t>正负栅压各3个批次</w:t>
            </w:r>
          </w:p>
        </w:tc>
      </w:tr>
      <w:tr w14:paraId="1F9A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452" w:type="dxa"/>
            <w:shd w:val="clear" w:color="auto" w:fill="auto"/>
            <w:vAlign w:val="center"/>
          </w:tcPr>
          <w:p w14:paraId="2756713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11</w:t>
            </w:r>
          </w:p>
        </w:tc>
        <w:tc>
          <w:tcPr>
            <w:tcW w:w="697" w:type="dxa"/>
            <w:shd w:val="clear" w:color="auto" w:fill="auto"/>
            <w:vAlign w:val="center"/>
          </w:tcPr>
          <w:p w14:paraId="3A412A43">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高温高湿反偏</w:t>
            </w:r>
          </w:p>
        </w:tc>
        <w:tc>
          <w:tcPr>
            <w:tcW w:w="781" w:type="dxa"/>
            <w:shd w:val="clear" w:color="auto" w:fill="auto"/>
            <w:vAlign w:val="center"/>
          </w:tcPr>
          <w:p w14:paraId="70FF0E6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（H</w:t>
            </w:r>
            <w:r>
              <w:rPr>
                <w:rFonts w:hint="eastAsia" w:ascii="宋体" w:hAnsi="宋体" w:cs="宋体"/>
                <w:color w:val="000000"/>
                <w:sz w:val="18"/>
                <w:szCs w:val="18"/>
                <w:vertAlign w:val="superscript"/>
              </w:rPr>
              <w:t>3</w:t>
            </w:r>
            <w:r>
              <w:rPr>
                <w:rFonts w:hint="eastAsia" w:ascii="宋体" w:hAnsi="宋体" w:cs="宋体"/>
                <w:color w:val="000000"/>
                <w:sz w:val="18"/>
                <w:szCs w:val="18"/>
              </w:rPr>
              <w:t>TRB）</w:t>
            </w:r>
          </w:p>
        </w:tc>
        <w:tc>
          <w:tcPr>
            <w:tcW w:w="755" w:type="dxa"/>
            <w:shd w:val="clear" w:color="auto" w:fill="auto"/>
            <w:vAlign w:val="center"/>
          </w:tcPr>
          <w:p w14:paraId="03D94D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427A5D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5CB5ECE2">
            <w:pPr>
              <w:widowControl/>
              <w:jc w:val="left"/>
              <w:textAlignment w:val="center"/>
              <w:rPr>
                <w:rFonts w:hint="eastAsia" w:ascii="宋体" w:hAnsi="宋体" w:cs="宋体"/>
                <w:color w:val="000000"/>
                <w:sz w:val="18"/>
                <w:szCs w:val="18"/>
              </w:rPr>
            </w:pPr>
            <w:r>
              <w:rPr>
                <w:rFonts w:ascii="宋体" w:hAnsi="宋体" w:cs="宋体"/>
                <w:color w:val="000000"/>
                <w:sz w:val="18"/>
                <w:szCs w:val="18"/>
              </w:rPr>
              <w:t>——电压：V</w:t>
            </w:r>
            <w:r>
              <w:rPr>
                <w:rFonts w:ascii="宋体" w:hAnsi="宋体" w:cs="宋体"/>
                <w:color w:val="000000"/>
                <w:sz w:val="18"/>
                <w:szCs w:val="18"/>
                <w:vertAlign w:val="subscript"/>
              </w:rPr>
              <w:t>DS</w:t>
            </w:r>
            <w:r>
              <w:rPr>
                <w:rFonts w:ascii="宋体" w:hAnsi="宋体" w:cs="宋体"/>
                <w:color w:val="000000"/>
                <w:sz w:val="18"/>
                <w:szCs w:val="18"/>
              </w:rPr>
              <w:t>为额定电压的80%，V</w:t>
            </w:r>
            <w:r>
              <w:rPr>
                <w:rFonts w:ascii="宋体" w:hAnsi="宋体" w:cs="宋体"/>
                <w:color w:val="000000"/>
                <w:sz w:val="18"/>
                <w:szCs w:val="18"/>
                <w:vertAlign w:val="subscript"/>
              </w:rPr>
              <w:t>GS</w:t>
            </w:r>
            <w:r>
              <w:rPr>
                <w:rFonts w:ascii="宋体" w:hAnsi="宋体" w:cs="宋体"/>
                <w:color w:val="000000"/>
                <w:sz w:val="18"/>
                <w:szCs w:val="18"/>
              </w:rPr>
              <w:t xml:space="preserve"> = 0V（如器件不能保证漏源极沟道完全关断，则根据数据手册确定最小负压）；</w:t>
            </w:r>
          </w:p>
          <w:p w14:paraId="4A4D8C84">
            <w:pPr>
              <w:widowControl/>
              <w:jc w:val="left"/>
              <w:textAlignment w:val="center"/>
              <w:rPr>
                <w:rFonts w:hint="eastAsia" w:ascii="宋体" w:hAnsi="宋体" w:cs="宋体"/>
                <w:color w:val="000000"/>
                <w:sz w:val="18"/>
                <w:szCs w:val="18"/>
              </w:rPr>
            </w:pPr>
            <w:r>
              <w:rPr>
                <w:rFonts w:ascii="宋体" w:hAnsi="宋体" w:cs="宋体"/>
                <w:color w:val="000000"/>
                <w:sz w:val="18"/>
                <w:szCs w:val="18"/>
              </w:rPr>
              <w:t>——相对湿度：85 %；</w:t>
            </w:r>
          </w:p>
          <w:p w14:paraId="1C148BCE">
            <w:pPr>
              <w:widowControl/>
              <w:jc w:val="left"/>
              <w:textAlignment w:val="center"/>
              <w:rPr>
                <w:rFonts w:hint="eastAsia" w:ascii="宋体" w:hAnsi="宋体" w:cs="宋体"/>
                <w:color w:val="000000"/>
                <w:sz w:val="18"/>
                <w:szCs w:val="18"/>
              </w:rPr>
            </w:pPr>
            <w:r>
              <w:rPr>
                <w:rFonts w:ascii="宋体" w:hAnsi="宋体" w:cs="宋体"/>
                <w:color w:val="000000"/>
                <w:sz w:val="18"/>
                <w:szCs w:val="18"/>
              </w:rPr>
              <w:t>——温度：85 ℃；</w:t>
            </w:r>
          </w:p>
          <w:p w14:paraId="6B6A7A17">
            <w:pPr>
              <w:widowControl/>
              <w:jc w:val="left"/>
              <w:textAlignment w:val="center"/>
              <w:rPr>
                <w:rFonts w:hint="eastAsia" w:ascii="宋体" w:hAnsi="宋体" w:cs="宋体"/>
                <w:color w:val="000000"/>
                <w:sz w:val="18"/>
                <w:szCs w:val="18"/>
              </w:rPr>
            </w:pPr>
            <w:r>
              <w:rPr>
                <w:rFonts w:ascii="宋体" w:hAnsi="宋体" w:cs="宋体"/>
                <w:color w:val="000000"/>
                <w:sz w:val="18"/>
                <w:szCs w:val="18"/>
              </w:rPr>
              <w:t>——时间：≥1000 h。</w:t>
            </w:r>
          </w:p>
        </w:tc>
        <w:tc>
          <w:tcPr>
            <w:tcW w:w="810" w:type="dxa"/>
            <w:shd w:val="clear" w:color="auto" w:fill="auto"/>
            <w:vAlign w:val="center"/>
          </w:tcPr>
          <w:p w14:paraId="6EDAB62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578B8C87">
            <w:pPr>
              <w:widowControl/>
              <w:jc w:val="left"/>
              <w:textAlignment w:val="center"/>
              <w:rPr>
                <w:rFonts w:hint="eastAsia" w:ascii="宋体" w:hAnsi="宋体" w:cs="宋体"/>
                <w:color w:val="000000"/>
                <w:sz w:val="18"/>
                <w:szCs w:val="18"/>
              </w:rPr>
            </w:pPr>
          </w:p>
        </w:tc>
      </w:tr>
      <w:tr w14:paraId="0E7BF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3B66A7B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12</w:t>
            </w:r>
          </w:p>
        </w:tc>
        <w:tc>
          <w:tcPr>
            <w:tcW w:w="697" w:type="dxa"/>
            <w:shd w:val="clear" w:color="auto" w:fill="auto"/>
            <w:vAlign w:val="center"/>
          </w:tcPr>
          <w:p w14:paraId="6C3BE5AC">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间歇工作寿命</w:t>
            </w:r>
          </w:p>
        </w:tc>
        <w:tc>
          <w:tcPr>
            <w:tcW w:w="781" w:type="dxa"/>
            <w:shd w:val="clear" w:color="auto" w:fill="auto"/>
            <w:vAlign w:val="center"/>
          </w:tcPr>
          <w:p w14:paraId="50E6F66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（IOL）</w:t>
            </w:r>
          </w:p>
        </w:tc>
        <w:tc>
          <w:tcPr>
            <w:tcW w:w="755" w:type="dxa"/>
            <w:shd w:val="clear" w:color="auto" w:fill="auto"/>
            <w:vAlign w:val="center"/>
          </w:tcPr>
          <w:p w14:paraId="47880E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49B2AD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104C1324">
            <w:pPr>
              <w:widowControl/>
              <w:numPr>
                <w:ilvl w:val="0"/>
                <w:numId w:val="6"/>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电流：I</w:t>
            </w:r>
            <w:r>
              <w:rPr>
                <w:rFonts w:hint="eastAsia" w:ascii="宋体" w:hAnsi="宋体" w:cs="宋体"/>
                <w:color w:val="000000"/>
                <w:sz w:val="18"/>
                <w:szCs w:val="18"/>
                <w:vertAlign w:val="subscript"/>
              </w:rPr>
              <w:t>on</w:t>
            </w:r>
            <w:r>
              <w:rPr>
                <w:rFonts w:hint="eastAsia" w:ascii="宋体" w:hAnsi="宋体" w:cs="宋体"/>
                <w:color w:val="000000"/>
                <w:sz w:val="18"/>
                <w:szCs w:val="18"/>
              </w:rPr>
              <w:t>以实际测试为准；</w:t>
            </w:r>
          </w:p>
          <w:p w14:paraId="518708D8">
            <w:pPr>
              <w:widowControl/>
              <w:numPr>
                <w:ilvl w:val="0"/>
                <w:numId w:val="6"/>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如温升ΔT</w:t>
            </w:r>
            <w:r>
              <w:rPr>
                <w:rFonts w:hint="eastAsia" w:ascii="宋体" w:hAnsi="宋体" w:cs="宋体"/>
                <w:color w:val="000000"/>
                <w:sz w:val="18"/>
                <w:szCs w:val="18"/>
                <w:vertAlign w:val="subscript"/>
              </w:rPr>
              <w:t>j</w:t>
            </w:r>
            <w:r>
              <w:rPr>
                <w:rFonts w:hint="eastAsia" w:ascii="宋体" w:hAnsi="宋体" w:cs="宋体"/>
                <w:color w:val="000000"/>
                <w:sz w:val="18"/>
                <w:szCs w:val="18"/>
              </w:rPr>
              <w:t>大于等于100 ℃（T</w:t>
            </w:r>
            <w:r>
              <w:rPr>
                <w:rFonts w:hint="eastAsia" w:ascii="宋体" w:hAnsi="宋体" w:cs="宋体"/>
                <w:color w:val="000000"/>
                <w:sz w:val="18"/>
                <w:szCs w:val="18"/>
                <w:vertAlign w:val="subscript"/>
              </w:rPr>
              <w:t>j</w:t>
            </w:r>
            <w:r>
              <w:rPr>
                <w:rFonts w:hint="eastAsia" w:ascii="宋体" w:hAnsi="宋体" w:cs="宋体"/>
                <w:color w:val="000000"/>
                <w:sz w:val="18"/>
                <w:szCs w:val="18"/>
              </w:rPr>
              <w:t>不超过器件最高额定结温），循环次数为60000/(x+y)次，但不大于15000次；如温升ΔT</w:t>
            </w:r>
            <w:r>
              <w:rPr>
                <w:rFonts w:hint="eastAsia" w:ascii="宋体" w:hAnsi="宋体" w:cs="宋体"/>
                <w:color w:val="000000"/>
                <w:sz w:val="18"/>
                <w:szCs w:val="18"/>
                <w:vertAlign w:val="subscript"/>
              </w:rPr>
              <w:t>j</w:t>
            </w:r>
            <w:r>
              <w:rPr>
                <w:rFonts w:hint="eastAsia" w:ascii="宋体" w:hAnsi="宋体" w:cs="宋体"/>
                <w:color w:val="000000"/>
                <w:sz w:val="18"/>
                <w:szCs w:val="18"/>
              </w:rPr>
              <w:t>大于等于125 ℃（T</w:t>
            </w:r>
            <w:r>
              <w:rPr>
                <w:rFonts w:hint="eastAsia" w:ascii="宋体" w:hAnsi="宋体" w:cs="宋体"/>
                <w:color w:val="000000"/>
                <w:sz w:val="18"/>
                <w:szCs w:val="18"/>
                <w:vertAlign w:val="subscript"/>
              </w:rPr>
              <w:t>j</w:t>
            </w:r>
            <w:r>
              <w:rPr>
                <w:rFonts w:hint="eastAsia" w:ascii="宋体" w:hAnsi="宋体" w:cs="宋体"/>
                <w:color w:val="000000"/>
                <w:sz w:val="18"/>
                <w:szCs w:val="18"/>
              </w:rPr>
              <w:t>不超过器件最高额定结温），循环不大于7500次；</w:t>
            </w:r>
          </w:p>
          <w:p w14:paraId="446B2C39">
            <w:pPr>
              <w:widowControl/>
              <w:numPr>
                <w:ilvl w:val="0"/>
                <w:numId w:val="6"/>
              </w:numPr>
              <w:ind w:left="0"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每次循环导通时器件从环境温度达到Tj所需最短时间应大于等于2 min。每次循环关断时器件从Tj冷却到环境温度所需最短时间应大于等于2 min。</w:t>
            </w:r>
          </w:p>
          <w:p w14:paraId="5E8C53CF">
            <w:pPr>
              <w:widowControl/>
              <w:jc w:val="left"/>
              <w:textAlignment w:val="center"/>
              <w:rPr>
                <w:rFonts w:hint="eastAsia" w:ascii="宋体" w:hAnsi="宋体" w:cs="宋体"/>
                <w:color w:val="000000"/>
                <w:sz w:val="18"/>
                <w:szCs w:val="18"/>
              </w:rPr>
            </w:pPr>
            <w:r>
              <w:rPr>
                <w:rFonts w:ascii="宋体" w:hAnsi="宋体" w:cs="宋体"/>
                <w:color w:val="000000"/>
                <w:sz w:val="18"/>
                <w:szCs w:val="18"/>
              </w:rPr>
              <w:t>注：x代表器件从环境温度下达到要求的ΔT</w:t>
            </w:r>
            <w:r>
              <w:rPr>
                <w:rFonts w:ascii="宋体" w:hAnsi="宋体" w:cs="宋体"/>
                <w:color w:val="000000"/>
                <w:sz w:val="18"/>
                <w:szCs w:val="18"/>
                <w:vertAlign w:val="subscript"/>
              </w:rPr>
              <w:t>j</w:t>
            </w:r>
            <w:r>
              <w:rPr>
                <w:rFonts w:ascii="宋体" w:hAnsi="宋体" w:cs="宋体"/>
                <w:color w:val="000000"/>
                <w:sz w:val="18"/>
                <w:szCs w:val="18"/>
              </w:rPr>
              <w:t>所需的最短时间。y代表器件从要求的ΔT</w:t>
            </w:r>
            <w:r>
              <w:rPr>
                <w:rFonts w:ascii="宋体" w:hAnsi="宋体" w:cs="宋体"/>
                <w:color w:val="000000"/>
                <w:sz w:val="18"/>
                <w:szCs w:val="18"/>
                <w:vertAlign w:val="subscript"/>
              </w:rPr>
              <w:t>j</w:t>
            </w:r>
            <w:r>
              <w:rPr>
                <w:rFonts w:ascii="宋体" w:hAnsi="宋体" w:cs="宋体"/>
                <w:color w:val="000000"/>
                <w:sz w:val="18"/>
                <w:szCs w:val="18"/>
              </w:rPr>
              <w:t>冷却到环境温度所需的最短时间。</w:t>
            </w:r>
          </w:p>
          <w:p w14:paraId="66BD125F">
            <w:pPr>
              <w:widowControl/>
              <w:jc w:val="left"/>
              <w:textAlignment w:val="center"/>
              <w:rPr>
                <w:rFonts w:hint="eastAsia" w:ascii="宋体" w:hAnsi="宋体" w:cs="宋体"/>
                <w:color w:val="000000"/>
                <w:sz w:val="18"/>
                <w:szCs w:val="18"/>
              </w:rPr>
            </w:pPr>
          </w:p>
        </w:tc>
        <w:tc>
          <w:tcPr>
            <w:tcW w:w="810" w:type="dxa"/>
            <w:shd w:val="clear" w:color="auto" w:fill="auto"/>
            <w:vAlign w:val="center"/>
          </w:tcPr>
          <w:p w14:paraId="7E76A8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292BC046">
            <w:pPr>
              <w:jc w:val="center"/>
              <w:rPr>
                <w:rFonts w:hint="eastAsia" w:ascii="宋体" w:hAnsi="宋体" w:cs="宋体"/>
                <w:color w:val="000000"/>
                <w:sz w:val="18"/>
                <w:szCs w:val="18"/>
              </w:rPr>
            </w:pPr>
          </w:p>
        </w:tc>
      </w:tr>
      <w:tr w14:paraId="262A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4573B35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13</w:t>
            </w:r>
          </w:p>
        </w:tc>
        <w:tc>
          <w:tcPr>
            <w:tcW w:w="697" w:type="dxa"/>
            <w:shd w:val="clear" w:color="auto" w:fill="auto"/>
            <w:vAlign w:val="center"/>
          </w:tcPr>
          <w:p w14:paraId="02B38B4A">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静电放电</w:t>
            </w:r>
          </w:p>
        </w:tc>
        <w:tc>
          <w:tcPr>
            <w:tcW w:w="781" w:type="dxa"/>
            <w:shd w:val="clear" w:color="auto" w:fill="auto"/>
            <w:vAlign w:val="center"/>
          </w:tcPr>
          <w:p w14:paraId="3CF34D5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（ESD）</w:t>
            </w:r>
          </w:p>
        </w:tc>
        <w:tc>
          <w:tcPr>
            <w:tcW w:w="755" w:type="dxa"/>
            <w:shd w:val="clear" w:color="auto" w:fill="auto"/>
            <w:vAlign w:val="center"/>
          </w:tcPr>
          <w:p w14:paraId="5CEA793E">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80</w:t>
            </w:r>
          </w:p>
        </w:tc>
        <w:tc>
          <w:tcPr>
            <w:tcW w:w="499" w:type="dxa"/>
            <w:shd w:val="clear" w:color="auto" w:fill="auto"/>
            <w:vAlign w:val="center"/>
          </w:tcPr>
          <w:p w14:paraId="2A3A155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3</w:t>
            </w:r>
          </w:p>
        </w:tc>
        <w:tc>
          <w:tcPr>
            <w:tcW w:w="3436" w:type="dxa"/>
            <w:shd w:val="clear" w:color="auto" w:fill="auto"/>
            <w:vAlign w:val="center"/>
          </w:tcPr>
          <w:p w14:paraId="65D22F62">
            <w:pPr>
              <w:widowControl/>
              <w:jc w:val="left"/>
              <w:textAlignment w:val="center"/>
              <w:rPr>
                <w:rFonts w:hint="eastAsia" w:ascii="宋体" w:hAnsi="宋体" w:cs="宋体"/>
                <w:color w:val="000000"/>
                <w:sz w:val="18"/>
                <w:szCs w:val="18"/>
              </w:rPr>
            </w:pPr>
            <w:r>
              <w:rPr>
                <w:rFonts w:ascii="宋体" w:hAnsi="宋体" w:cs="宋体"/>
                <w:color w:val="000000"/>
                <w:sz w:val="18"/>
                <w:szCs w:val="18"/>
              </w:rPr>
              <w:t>——环境温度：25 ℃±5 ℃；</w:t>
            </w:r>
          </w:p>
          <w:p w14:paraId="11509D72">
            <w:pPr>
              <w:widowControl/>
              <w:jc w:val="left"/>
              <w:textAlignment w:val="center"/>
              <w:rPr>
                <w:rFonts w:hint="eastAsia" w:ascii="宋体" w:hAnsi="宋体" w:cs="宋体"/>
                <w:color w:val="000000"/>
                <w:sz w:val="18"/>
                <w:szCs w:val="18"/>
              </w:rPr>
            </w:pPr>
            <w:r>
              <w:rPr>
                <w:rFonts w:ascii="宋体" w:hAnsi="宋体" w:cs="宋体"/>
                <w:color w:val="000000"/>
                <w:sz w:val="18"/>
                <w:szCs w:val="18"/>
              </w:rPr>
              <w:t>——相对湿度：55±10 %。</w:t>
            </w:r>
          </w:p>
        </w:tc>
        <w:tc>
          <w:tcPr>
            <w:tcW w:w="810" w:type="dxa"/>
            <w:shd w:val="clear" w:color="auto" w:fill="auto"/>
            <w:vAlign w:val="center"/>
          </w:tcPr>
          <w:p w14:paraId="5CB4C9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1EAE7778">
            <w:pPr>
              <w:rPr>
                <w:rFonts w:hint="eastAsia" w:ascii="宋体" w:hAnsi="宋体" w:cs="宋体"/>
                <w:color w:val="000000"/>
                <w:sz w:val="18"/>
                <w:szCs w:val="18"/>
              </w:rPr>
            </w:pPr>
            <w:r>
              <w:rPr>
                <w:rFonts w:hint="eastAsia" w:ascii="宋体" w:hAnsi="宋体" w:cs="宋体"/>
                <w:color w:val="000000"/>
                <w:sz w:val="18"/>
                <w:szCs w:val="18"/>
              </w:rPr>
              <w:t>HBM和CDM模式，每个模式4个静电等级，每个等级10只器件</w:t>
            </w:r>
          </w:p>
        </w:tc>
      </w:tr>
      <w:tr w14:paraId="4D36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28E1D26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14</w:t>
            </w:r>
          </w:p>
        </w:tc>
        <w:tc>
          <w:tcPr>
            <w:tcW w:w="697" w:type="dxa"/>
            <w:shd w:val="clear" w:color="auto" w:fill="auto"/>
            <w:vAlign w:val="center"/>
          </w:tcPr>
          <w:p w14:paraId="7A51D291">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机械振动</w:t>
            </w:r>
          </w:p>
        </w:tc>
        <w:tc>
          <w:tcPr>
            <w:tcW w:w="781" w:type="dxa"/>
            <w:shd w:val="clear" w:color="auto" w:fill="auto"/>
            <w:vAlign w:val="center"/>
          </w:tcPr>
          <w:p w14:paraId="30080F5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(MV)</w:t>
            </w:r>
          </w:p>
        </w:tc>
        <w:tc>
          <w:tcPr>
            <w:tcW w:w="755" w:type="dxa"/>
            <w:shd w:val="clear" w:color="auto" w:fill="auto"/>
            <w:vAlign w:val="center"/>
          </w:tcPr>
          <w:p w14:paraId="40426B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4F1E471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252757F3">
            <w:pPr>
              <w:widowControl/>
              <w:jc w:val="left"/>
              <w:textAlignment w:val="center"/>
              <w:rPr>
                <w:rFonts w:hint="eastAsia" w:ascii="宋体" w:hAnsi="宋体" w:cs="宋体"/>
                <w:color w:val="000000"/>
                <w:sz w:val="18"/>
                <w:szCs w:val="18"/>
              </w:rPr>
            </w:pPr>
            <w:r>
              <w:rPr>
                <w:rFonts w:ascii="宋体" w:hAnsi="宋体" w:cs="宋体"/>
                <w:color w:val="000000"/>
                <w:sz w:val="18"/>
                <w:szCs w:val="18"/>
              </w:rPr>
              <w:t>——扫频范围：5～200 Hz；</w:t>
            </w:r>
          </w:p>
          <w:p w14:paraId="7165D18D">
            <w:pPr>
              <w:widowControl/>
              <w:jc w:val="left"/>
              <w:textAlignment w:val="center"/>
              <w:rPr>
                <w:rFonts w:hint="eastAsia" w:ascii="宋体" w:hAnsi="宋体" w:cs="宋体"/>
                <w:color w:val="000000"/>
                <w:sz w:val="18"/>
                <w:szCs w:val="18"/>
              </w:rPr>
            </w:pPr>
            <w:r>
              <w:rPr>
                <w:rFonts w:ascii="宋体" w:hAnsi="宋体" w:cs="宋体"/>
                <w:color w:val="000000"/>
                <w:sz w:val="18"/>
                <w:szCs w:val="18"/>
              </w:rPr>
              <w:t>——扫描速度：1 otc/min；</w:t>
            </w:r>
          </w:p>
          <w:p w14:paraId="6A250AFA">
            <w:pPr>
              <w:widowControl/>
              <w:jc w:val="left"/>
              <w:textAlignment w:val="center"/>
              <w:rPr>
                <w:rFonts w:hint="eastAsia" w:ascii="宋体" w:hAnsi="宋体" w:cs="宋体"/>
                <w:color w:val="000000"/>
                <w:sz w:val="18"/>
                <w:szCs w:val="18"/>
              </w:rPr>
            </w:pPr>
            <w:r>
              <w:rPr>
                <w:rFonts w:ascii="宋体" w:hAnsi="宋体" w:cs="宋体"/>
                <w:color w:val="000000"/>
                <w:sz w:val="18"/>
                <w:szCs w:val="18"/>
              </w:rPr>
              <w:t>——加速度：50 m/s</w:t>
            </w:r>
            <w:r>
              <w:rPr>
                <w:rFonts w:ascii="宋体" w:hAnsi="宋体" w:cs="宋体"/>
                <w:color w:val="000000"/>
                <w:sz w:val="18"/>
                <w:szCs w:val="18"/>
                <w:vertAlign w:val="superscript"/>
              </w:rPr>
              <w:t>2</w:t>
            </w:r>
            <w:r>
              <w:rPr>
                <w:rFonts w:ascii="宋体" w:hAnsi="宋体" w:cs="宋体"/>
                <w:color w:val="000000"/>
                <w:sz w:val="18"/>
                <w:szCs w:val="18"/>
              </w:rPr>
              <w:t>；</w:t>
            </w:r>
          </w:p>
          <w:p w14:paraId="2A23034C">
            <w:pPr>
              <w:widowControl/>
              <w:jc w:val="left"/>
              <w:textAlignment w:val="center"/>
              <w:rPr>
                <w:rFonts w:hint="eastAsia" w:ascii="宋体" w:hAnsi="宋体" w:cs="宋体"/>
                <w:color w:val="000000"/>
                <w:sz w:val="18"/>
                <w:szCs w:val="18"/>
              </w:rPr>
            </w:pPr>
            <w:r>
              <w:rPr>
                <w:rFonts w:ascii="宋体" w:hAnsi="宋体" w:cs="宋体"/>
                <w:color w:val="000000"/>
                <w:sz w:val="18"/>
                <w:szCs w:val="18"/>
              </w:rPr>
              <w:t>——交越频率：9.2 Hz；</w:t>
            </w:r>
          </w:p>
          <w:p w14:paraId="1C42325C">
            <w:pPr>
              <w:widowControl/>
              <w:jc w:val="left"/>
              <w:textAlignment w:val="center"/>
              <w:rPr>
                <w:rFonts w:hint="eastAsia" w:ascii="宋体" w:hAnsi="宋体" w:cs="宋体"/>
                <w:color w:val="000000"/>
                <w:sz w:val="18"/>
                <w:szCs w:val="18"/>
              </w:rPr>
            </w:pPr>
            <w:r>
              <w:rPr>
                <w:rFonts w:ascii="宋体" w:hAnsi="宋体" w:cs="宋体"/>
                <w:color w:val="000000"/>
                <w:sz w:val="18"/>
                <w:szCs w:val="18"/>
              </w:rPr>
              <w:t>——每轴小时数：30 h；</w:t>
            </w:r>
          </w:p>
          <w:p w14:paraId="579A6246">
            <w:pPr>
              <w:widowControl/>
              <w:jc w:val="left"/>
              <w:textAlignment w:val="center"/>
              <w:rPr>
                <w:rFonts w:hint="eastAsia" w:ascii="宋体" w:hAnsi="宋体" w:cs="宋体"/>
                <w:color w:val="000000"/>
                <w:sz w:val="18"/>
                <w:szCs w:val="18"/>
              </w:rPr>
            </w:pPr>
            <w:r>
              <w:rPr>
                <w:rFonts w:ascii="宋体" w:hAnsi="宋体" w:cs="宋体"/>
                <w:color w:val="000000"/>
                <w:sz w:val="18"/>
                <w:szCs w:val="18"/>
              </w:rPr>
              <w:t>——震动方向：X、Y、Z共3向。</w:t>
            </w:r>
          </w:p>
        </w:tc>
        <w:tc>
          <w:tcPr>
            <w:tcW w:w="810" w:type="dxa"/>
            <w:shd w:val="clear" w:color="auto" w:fill="auto"/>
            <w:vAlign w:val="center"/>
          </w:tcPr>
          <w:p w14:paraId="58B8E94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48D92393">
            <w:pPr>
              <w:jc w:val="center"/>
              <w:rPr>
                <w:rFonts w:hint="eastAsia" w:ascii="宋体" w:hAnsi="宋体" w:cs="宋体"/>
                <w:color w:val="000000"/>
                <w:sz w:val="18"/>
                <w:szCs w:val="18"/>
              </w:rPr>
            </w:pPr>
          </w:p>
        </w:tc>
      </w:tr>
      <w:tr w14:paraId="5FB71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14ECED3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15</w:t>
            </w:r>
          </w:p>
        </w:tc>
        <w:tc>
          <w:tcPr>
            <w:tcW w:w="697" w:type="dxa"/>
            <w:shd w:val="clear" w:color="auto" w:fill="auto"/>
            <w:vAlign w:val="center"/>
          </w:tcPr>
          <w:p w14:paraId="605583B0">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机械冲击</w:t>
            </w:r>
          </w:p>
        </w:tc>
        <w:tc>
          <w:tcPr>
            <w:tcW w:w="781" w:type="dxa"/>
            <w:shd w:val="clear" w:color="auto" w:fill="auto"/>
            <w:vAlign w:val="center"/>
          </w:tcPr>
          <w:p w14:paraId="4BA9EAED">
            <w:pPr>
              <w:widowControl/>
              <w:jc w:val="center"/>
              <w:textAlignment w:val="center"/>
              <w:rPr>
                <w:rFonts w:hint="eastAsia" w:ascii="宋体" w:hAnsi="宋体" w:cs="宋体"/>
                <w:color w:val="000000"/>
                <w:sz w:val="18"/>
                <w:szCs w:val="18"/>
              </w:rPr>
            </w:pPr>
            <w:r>
              <w:rPr>
                <w:rFonts w:ascii="宋体" w:hAnsi="宋体" w:cs="宋体"/>
                <w:color w:val="000000"/>
                <w:sz w:val="18"/>
                <w:szCs w:val="18"/>
              </w:rPr>
              <w:t>(MS)</w:t>
            </w:r>
          </w:p>
        </w:tc>
        <w:tc>
          <w:tcPr>
            <w:tcW w:w="755" w:type="dxa"/>
            <w:shd w:val="clear" w:color="auto" w:fill="auto"/>
            <w:vAlign w:val="center"/>
          </w:tcPr>
          <w:p w14:paraId="50A666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1AC3BF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1595354D">
            <w:pPr>
              <w:widowControl/>
              <w:jc w:val="left"/>
              <w:textAlignment w:val="center"/>
              <w:rPr>
                <w:rFonts w:hint="eastAsia" w:ascii="宋体" w:hAnsi="宋体" w:cs="宋体"/>
                <w:color w:val="000000"/>
                <w:sz w:val="18"/>
                <w:szCs w:val="18"/>
              </w:rPr>
            </w:pPr>
            <w:r>
              <w:rPr>
                <w:rFonts w:ascii="宋体" w:hAnsi="宋体" w:cs="宋体"/>
                <w:color w:val="000000"/>
                <w:sz w:val="18"/>
                <w:szCs w:val="18"/>
              </w:rPr>
              <w:t>——加速度：500 m/s</w:t>
            </w:r>
            <w:r>
              <w:rPr>
                <w:rFonts w:ascii="宋体" w:hAnsi="宋体" w:cs="宋体"/>
                <w:color w:val="000000"/>
                <w:sz w:val="18"/>
                <w:szCs w:val="18"/>
                <w:vertAlign w:val="superscript"/>
              </w:rPr>
              <w:t>2</w:t>
            </w:r>
            <w:r>
              <w:rPr>
                <w:rFonts w:ascii="宋体" w:hAnsi="宋体" w:cs="宋体"/>
                <w:color w:val="000000"/>
                <w:sz w:val="18"/>
                <w:szCs w:val="18"/>
              </w:rPr>
              <w:t>；</w:t>
            </w:r>
          </w:p>
          <w:p w14:paraId="182A827F">
            <w:pPr>
              <w:widowControl/>
              <w:jc w:val="left"/>
              <w:textAlignment w:val="center"/>
              <w:rPr>
                <w:rFonts w:hint="eastAsia" w:ascii="宋体" w:hAnsi="宋体" w:cs="宋体"/>
                <w:color w:val="000000"/>
                <w:sz w:val="18"/>
                <w:szCs w:val="18"/>
              </w:rPr>
            </w:pPr>
            <w:r>
              <w:rPr>
                <w:rFonts w:ascii="宋体" w:hAnsi="宋体" w:cs="宋体"/>
                <w:color w:val="000000"/>
                <w:sz w:val="18"/>
                <w:szCs w:val="18"/>
              </w:rPr>
              <w:t>——脉冲时间：6 ms；</w:t>
            </w:r>
          </w:p>
          <w:p w14:paraId="31DD0C77">
            <w:pPr>
              <w:widowControl/>
              <w:jc w:val="left"/>
              <w:textAlignment w:val="center"/>
              <w:rPr>
                <w:rFonts w:hint="eastAsia" w:ascii="宋体" w:hAnsi="宋体" w:cs="宋体"/>
                <w:color w:val="000000"/>
                <w:sz w:val="18"/>
                <w:szCs w:val="18"/>
              </w:rPr>
            </w:pPr>
            <w:r>
              <w:rPr>
                <w:rFonts w:ascii="宋体" w:hAnsi="宋体" w:cs="宋体"/>
                <w:color w:val="000000"/>
                <w:sz w:val="18"/>
                <w:szCs w:val="18"/>
              </w:rPr>
              <w:t>——冲击次数：10次；</w:t>
            </w:r>
          </w:p>
          <w:p w14:paraId="08341244">
            <w:pPr>
              <w:widowControl/>
              <w:jc w:val="left"/>
              <w:textAlignment w:val="center"/>
              <w:rPr>
                <w:rFonts w:hint="eastAsia" w:ascii="宋体" w:hAnsi="宋体" w:cs="宋体"/>
                <w:color w:val="000000"/>
                <w:sz w:val="18"/>
                <w:szCs w:val="18"/>
              </w:rPr>
            </w:pPr>
            <w:r>
              <w:rPr>
                <w:rFonts w:ascii="宋体" w:hAnsi="宋体" w:cs="宋体"/>
                <w:color w:val="000000"/>
                <w:sz w:val="18"/>
                <w:szCs w:val="18"/>
              </w:rPr>
              <w:t>——冲击方向：±X、±Y、±Z共6向；</w:t>
            </w:r>
          </w:p>
          <w:p w14:paraId="62A81E40">
            <w:pPr>
              <w:widowControl/>
              <w:jc w:val="left"/>
              <w:textAlignment w:val="center"/>
              <w:rPr>
                <w:rFonts w:hint="eastAsia" w:ascii="宋体" w:hAnsi="宋体" w:cs="宋体"/>
                <w:color w:val="000000"/>
                <w:sz w:val="18"/>
                <w:szCs w:val="18"/>
              </w:rPr>
            </w:pPr>
            <w:r>
              <w:rPr>
                <w:rFonts w:ascii="宋体" w:hAnsi="宋体" w:cs="宋体"/>
                <w:color w:val="000000"/>
                <w:sz w:val="18"/>
                <w:szCs w:val="18"/>
              </w:rPr>
              <w:t>——波形：半正弦波。</w:t>
            </w:r>
          </w:p>
        </w:tc>
        <w:tc>
          <w:tcPr>
            <w:tcW w:w="810" w:type="dxa"/>
            <w:shd w:val="clear" w:color="auto" w:fill="auto"/>
            <w:vAlign w:val="center"/>
          </w:tcPr>
          <w:p w14:paraId="669D6D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408F9795">
            <w:pPr>
              <w:jc w:val="center"/>
              <w:rPr>
                <w:rFonts w:hint="eastAsia" w:ascii="宋体" w:hAnsi="宋体" w:cs="宋体"/>
                <w:color w:val="000000"/>
                <w:sz w:val="18"/>
                <w:szCs w:val="18"/>
              </w:rPr>
            </w:pPr>
          </w:p>
        </w:tc>
      </w:tr>
      <w:tr w14:paraId="052F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290EAE9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16</w:t>
            </w:r>
          </w:p>
        </w:tc>
        <w:tc>
          <w:tcPr>
            <w:tcW w:w="697" w:type="dxa"/>
            <w:shd w:val="clear" w:color="auto" w:fill="auto"/>
            <w:vAlign w:val="center"/>
          </w:tcPr>
          <w:p w14:paraId="334D7C5A">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rPr>
              <w:t>晶须试验</w:t>
            </w:r>
          </w:p>
        </w:tc>
        <w:tc>
          <w:tcPr>
            <w:tcW w:w="781" w:type="dxa"/>
            <w:shd w:val="clear" w:color="auto" w:fill="auto"/>
            <w:vAlign w:val="center"/>
          </w:tcPr>
          <w:p w14:paraId="3EA84ED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（WG）</w:t>
            </w:r>
          </w:p>
        </w:tc>
        <w:tc>
          <w:tcPr>
            <w:tcW w:w="755" w:type="dxa"/>
            <w:shd w:val="clear" w:color="auto" w:fill="auto"/>
            <w:vAlign w:val="center"/>
          </w:tcPr>
          <w:p w14:paraId="59E4F5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499" w:type="dxa"/>
            <w:shd w:val="clear" w:color="auto" w:fill="auto"/>
            <w:vAlign w:val="center"/>
          </w:tcPr>
          <w:p w14:paraId="3FA946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3436" w:type="dxa"/>
            <w:shd w:val="clear" w:color="auto" w:fill="auto"/>
            <w:vAlign w:val="center"/>
          </w:tcPr>
          <w:p w14:paraId="1EA62868">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——试验条件A温度循环，不超过45um</w:t>
            </w:r>
          </w:p>
          <w:p w14:paraId="54FB1EA6">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·温度：55</w:t>
            </w:r>
            <w:r>
              <w:rPr>
                <w:rFonts w:hint="eastAsia" w:ascii="宋体" w:hAnsi="宋体" w:cs="宋体"/>
                <w:color w:val="000000"/>
                <w:kern w:val="0"/>
                <w:sz w:val="18"/>
                <w:szCs w:val="18"/>
                <w:lang w:bidi="ar"/>
                <w:eastAsianLayout w:id="1" w:combine="1"/>
              </w:rPr>
              <w:t>0  -10</w:t>
            </w:r>
            <w:r>
              <w:rPr>
                <w:rFonts w:hint="eastAsia" w:ascii="宋体" w:hAnsi="宋体" w:cs="宋体"/>
                <w:color w:val="000000"/>
                <w:kern w:val="0"/>
                <w:sz w:val="18"/>
                <w:szCs w:val="18"/>
                <w:lang w:bidi="ar"/>
              </w:rPr>
              <w:t>℃～85</w:t>
            </w:r>
            <w:r>
              <w:rPr>
                <w:rFonts w:hint="eastAsia" w:ascii="宋体" w:hAnsi="宋体" w:cs="宋体"/>
                <w:color w:val="000000"/>
                <w:kern w:val="0"/>
                <w:sz w:val="18"/>
                <w:szCs w:val="18"/>
                <w:lang w:bidi="ar"/>
                <w:eastAsianLayout w:id="2" w:combine="1"/>
              </w:rPr>
              <w:t>+10 0</w:t>
            </w:r>
            <w:r>
              <w:rPr>
                <w:rFonts w:hint="eastAsia" w:ascii="宋体" w:hAnsi="宋体" w:cs="宋体"/>
                <w:color w:val="000000"/>
                <w:kern w:val="0"/>
                <w:sz w:val="18"/>
                <w:szCs w:val="18"/>
                <w:lang w:bidi="ar"/>
              </w:rPr>
              <w:t>℃时，每小时3个循环；</w:t>
            </w:r>
          </w:p>
          <w:p w14:paraId="3717D508">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·循环次数：1500次；</w:t>
            </w:r>
          </w:p>
          <w:p w14:paraId="34DD6842">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·检测间隔：每500循环检查一次。</w:t>
            </w:r>
          </w:p>
          <w:p w14:paraId="6A9CF90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——试验条件B温湿度存储：不超过40um</w:t>
            </w:r>
          </w:p>
          <w:p w14:paraId="03BB8A43">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·温湿度：55</w:t>
            </w:r>
            <w:r>
              <w:rPr>
                <w:rFonts w:hint="eastAsia" w:ascii="宋体" w:hAnsi="宋体" w:cs="宋体"/>
                <w:color w:val="000000"/>
                <w:kern w:val="0"/>
                <w:sz w:val="18"/>
                <w:szCs w:val="18"/>
                <w:lang w:bidi="ar"/>
                <w:eastAsianLayout w:id="3" w:combine="1"/>
              </w:rPr>
              <w:t>+3 -3</w:t>
            </w:r>
            <w:r>
              <w:rPr>
                <w:rFonts w:hint="eastAsia" w:ascii="宋体" w:hAnsi="宋体" w:cs="宋体"/>
                <w:color w:val="000000"/>
                <w:kern w:val="0"/>
                <w:sz w:val="18"/>
                <w:szCs w:val="18"/>
                <w:lang w:bidi="ar"/>
              </w:rPr>
              <w:t>℃和85</w:t>
            </w:r>
            <w:r>
              <w:rPr>
                <w:rFonts w:hint="eastAsia" w:ascii="宋体" w:hAnsi="宋体" w:cs="宋体"/>
                <w:color w:val="000000"/>
                <w:kern w:val="0"/>
                <w:sz w:val="18"/>
                <w:szCs w:val="18"/>
                <w:lang w:bidi="ar"/>
                <w:eastAsianLayout w:id="4" w:combine="1"/>
              </w:rPr>
              <w:t>+3 -3</w:t>
            </w:r>
            <w:r>
              <w:rPr>
                <w:rFonts w:hint="eastAsia" w:ascii="宋体" w:hAnsi="宋体" w:cs="宋体"/>
                <w:color w:val="000000"/>
                <w:kern w:val="0"/>
                <w:sz w:val="18"/>
                <w:szCs w:val="18"/>
                <w:lang w:bidi="ar"/>
              </w:rPr>
              <w:t>%RH；</w:t>
            </w:r>
          </w:p>
          <w:p w14:paraId="1625332C">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·试验时间：4000 h；</w:t>
            </w:r>
          </w:p>
          <w:p w14:paraId="5BF6CA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·检测间隔：每1000 h检查一次</w:t>
            </w:r>
          </w:p>
        </w:tc>
        <w:tc>
          <w:tcPr>
            <w:tcW w:w="810" w:type="dxa"/>
            <w:shd w:val="clear" w:color="auto" w:fill="auto"/>
            <w:vAlign w:val="center"/>
          </w:tcPr>
          <w:p w14:paraId="25D49D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68AB0D71">
            <w:pPr>
              <w:jc w:val="center"/>
              <w:rPr>
                <w:rFonts w:hint="eastAsia" w:ascii="宋体" w:hAnsi="宋体" w:cs="宋体"/>
                <w:color w:val="000000"/>
                <w:sz w:val="18"/>
                <w:szCs w:val="18"/>
              </w:rPr>
            </w:pPr>
          </w:p>
        </w:tc>
      </w:tr>
      <w:tr w14:paraId="327C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52" w:type="dxa"/>
            <w:shd w:val="clear" w:color="auto" w:fill="auto"/>
            <w:vAlign w:val="center"/>
          </w:tcPr>
          <w:p w14:paraId="0C8DE2D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17</w:t>
            </w:r>
          </w:p>
        </w:tc>
        <w:tc>
          <w:tcPr>
            <w:tcW w:w="697" w:type="dxa"/>
            <w:shd w:val="clear" w:color="auto" w:fill="auto"/>
            <w:vAlign w:val="center"/>
          </w:tcPr>
          <w:p w14:paraId="3A453FC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外观检验</w:t>
            </w:r>
          </w:p>
        </w:tc>
        <w:tc>
          <w:tcPr>
            <w:tcW w:w="781" w:type="dxa"/>
            <w:shd w:val="clear" w:color="auto" w:fill="auto"/>
            <w:vAlign w:val="center"/>
          </w:tcPr>
          <w:p w14:paraId="0DABB8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EV </w:t>
            </w:r>
          </w:p>
        </w:tc>
        <w:tc>
          <w:tcPr>
            <w:tcW w:w="755" w:type="dxa"/>
            <w:shd w:val="clear" w:color="auto" w:fill="auto"/>
            <w:vAlign w:val="center"/>
          </w:tcPr>
          <w:p w14:paraId="0FD34F6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All</w:t>
            </w:r>
          </w:p>
        </w:tc>
        <w:tc>
          <w:tcPr>
            <w:tcW w:w="499" w:type="dxa"/>
            <w:shd w:val="clear" w:color="auto" w:fill="auto"/>
            <w:vAlign w:val="center"/>
          </w:tcPr>
          <w:p w14:paraId="389A61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All</w:t>
            </w:r>
          </w:p>
        </w:tc>
        <w:tc>
          <w:tcPr>
            <w:tcW w:w="3436" w:type="dxa"/>
            <w:shd w:val="clear" w:color="auto" w:fill="auto"/>
            <w:vAlign w:val="center"/>
          </w:tcPr>
          <w:p w14:paraId="15A352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10" w:type="dxa"/>
            <w:shd w:val="clear" w:color="auto" w:fill="auto"/>
            <w:vAlign w:val="center"/>
          </w:tcPr>
          <w:p w14:paraId="35A266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符合</w:t>
            </w:r>
          </w:p>
        </w:tc>
        <w:tc>
          <w:tcPr>
            <w:tcW w:w="892" w:type="dxa"/>
            <w:shd w:val="clear" w:color="auto" w:fill="auto"/>
            <w:vAlign w:val="center"/>
          </w:tcPr>
          <w:p w14:paraId="3248EB70">
            <w:pPr>
              <w:jc w:val="center"/>
              <w:rPr>
                <w:rFonts w:hint="eastAsia" w:ascii="宋体" w:hAnsi="宋体" w:cs="宋体"/>
                <w:color w:val="000000"/>
                <w:sz w:val="18"/>
                <w:szCs w:val="18"/>
              </w:rPr>
            </w:pPr>
          </w:p>
        </w:tc>
      </w:tr>
    </w:tbl>
    <w:p w14:paraId="77BEB722">
      <w:pPr>
        <w:spacing w:line="360" w:lineRule="auto"/>
        <w:rPr>
          <w:rFonts w:hint="eastAsia" w:ascii="仿宋" w:hAnsi="仿宋" w:eastAsia="仿宋" w:cs="宋体"/>
          <w:kern w:val="0"/>
          <w:sz w:val="24"/>
        </w:rPr>
      </w:pPr>
    </w:p>
    <w:p w14:paraId="0FE57069">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lang w:val="en-US" w:eastAsia="zh-CN"/>
        </w:rPr>
        <w:t>本规范的</w:t>
      </w:r>
      <w:r>
        <w:rPr>
          <w:rFonts w:hint="eastAsia" w:ascii="仿宋" w:hAnsi="仿宋" w:eastAsia="仿宋" w:cs="宋体"/>
          <w:kern w:val="0"/>
          <w:sz w:val="24"/>
        </w:rPr>
        <w:t>试验数据如下：</w:t>
      </w:r>
    </w:p>
    <w:p w14:paraId="52A6DC00">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rPr>
        <w:drawing>
          <wp:inline distT="0" distB="0" distL="0" distR="0">
            <wp:extent cx="5409565" cy="8090535"/>
            <wp:effectExtent l="0" t="0" r="635" b="12065"/>
            <wp:docPr id="9168272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27254"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09565" cy="8090535"/>
                    </a:xfrm>
                    <a:prstGeom prst="rect">
                      <a:avLst/>
                    </a:prstGeom>
                    <a:noFill/>
                    <a:ln>
                      <a:noFill/>
                    </a:ln>
                  </pic:spPr>
                </pic:pic>
              </a:graphicData>
            </a:graphic>
          </wp:inline>
        </w:drawing>
      </w:r>
    </w:p>
    <w:p w14:paraId="44EC0C5E">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rPr>
        <w:drawing>
          <wp:inline distT="0" distB="0" distL="0" distR="0">
            <wp:extent cx="5377815" cy="8389620"/>
            <wp:effectExtent l="0" t="0" r="6985" b="5080"/>
            <wp:docPr id="17876258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2586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77815" cy="8389620"/>
                    </a:xfrm>
                    <a:prstGeom prst="rect">
                      <a:avLst/>
                    </a:prstGeom>
                    <a:noFill/>
                    <a:ln>
                      <a:noFill/>
                    </a:ln>
                  </pic:spPr>
                </pic:pic>
              </a:graphicData>
            </a:graphic>
          </wp:inline>
        </w:drawing>
      </w:r>
    </w:p>
    <w:p w14:paraId="1BE06AC5">
      <w:pPr>
        <w:spacing w:line="360" w:lineRule="auto"/>
        <w:jc w:val="center"/>
        <w:rPr>
          <w:rFonts w:ascii="仿宋" w:hAnsi="仿宋" w:eastAsia="仿宋" w:cs="仿宋"/>
          <w:color w:val="000000" w:themeColor="text1"/>
          <w:sz w:val="28"/>
          <w:szCs w:val="28"/>
          <w14:textFill>
            <w14:solidFill>
              <w14:schemeClr w14:val="tx1"/>
            </w14:solidFill>
          </w14:textFill>
        </w:rPr>
      </w:pPr>
    </w:p>
    <w:p w14:paraId="4268E6EE">
      <w:pPr>
        <w:spacing w:line="360" w:lineRule="auto"/>
        <w:jc w:val="center"/>
        <w:rPr>
          <w:rFonts w:ascii="仿宋" w:hAnsi="仿宋" w:eastAsia="仿宋" w:cs="仿宋"/>
          <w:color w:val="000000" w:themeColor="text1"/>
          <w:sz w:val="28"/>
          <w:szCs w:val="28"/>
          <w14:textFill>
            <w14:solidFill>
              <w14:schemeClr w14:val="tx1"/>
            </w14:solidFill>
          </w14:textFill>
        </w:rPr>
      </w:pPr>
      <w:r>
        <w:rPr>
          <w:rFonts w:hint="eastAsia"/>
        </w:rPr>
        <w:drawing>
          <wp:inline distT="0" distB="0" distL="0" distR="0">
            <wp:extent cx="5369560" cy="8465185"/>
            <wp:effectExtent l="0" t="0" r="2540" b="5715"/>
            <wp:docPr id="6628339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339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69560" cy="8465185"/>
                    </a:xfrm>
                    <a:prstGeom prst="rect">
                      <a:avLst/>
                    </a:prstGeom>
                    <a:noFill/>
                    <a:ln>
                      <a:noFill/>
                    </a:ln>
                  </pic:spPr>
                </pic:pic>
              </a:graphicData>
            </a:graphic>
          </wp:inline>
        </w:drawing>
      </w:r>
    </w:p>
    <w:p w14:paraId="59583D43">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14:paraId="0B759689">
      <w:pPr>
        <w:spacing w:line="360" w:lineRule="auto"/>
        <w:rPr>
          <w:rFonts w:hint="eastAsia" w:ascii="黑体" w:hAnsi="黑体" w:eastAsia="黑体" w:cs="黑体"/>
          <w:color w:val="000000" w:themeColor="text1"/>
          <w:sz w:val="24"/>
          <w14:textFill>
            <w14:solidFill>
              <w14:schemeClr w14:val="tx1"/>
            </w14:solidFill>
          </w14:textFill>
        </w:rPr>
      </w:pPr>
    </w:p>
    <w:p w14:paraId="7A2C044A">
      <w:pPr>
        <w:spacing w:line="360" w:lineRule="auto"/>
        <w:rPr>
          <w:rFonts w:hint="eastAsia" w:ascii="黑体" w:hAnsi="黑体" w:eastAsia="黑体" w:cs="黑体"/>
          <w:color w:val="000000" w:themeColor="text1"/>
          <w:sz w:val="24"/>
          <w14:textFill>
            <w14:solidFill>
              <w14:schemeClr w14:val="tx1"/>
            </w14:solidFill>
          </w14:textFill>
        </w:rPr>
      </w:pPr>
    </w:p>
    <w:p w14:paraId="53D71481">
      <w:pPr>
        <w:spacing w:line="360" w:lineRule="auto"/>
        <w:rPr>
          <w:rFonts w:hint="eastAsia" w:ascii="黑体" w:hAnsi="黑体" w:eastAsia="黑体" w:cs="黑体"/>
          <w:color w:val="000000" w:themeColor="text1"/>
          <w:sz w:val="24"/>
          <w14:textFill>
            <w14:solidFill>
              <w14:schemeClr w14:val="tx1"/>
            </w14:solidFill>
          </w14:textFill>
        </w:rPr>
      </w:pPr>
    </w:p>
    <w:p w14:paraId="2C6E84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2422B51A">
      <w:pPr>
        <w:pStyle w:val="11"/>
        <w:spacing w:line="360" w:lineRule="auto"/>
        <w:ind w:firstLine="480"/>
        <w:rPr>
          <w:rFonts w:hint="eastAsia" w:ascii="仿宋" w:hAnsi="仿宋" w:eastAsia="仿宋" w:cs="宋体"/>
          <w:sz w:val="24"/>
          <w:szCs w:val="24"/>
        </w:rPr>
      </w:pPr>
      <w:r>
        <w:rPr>
          <w:rFonts w:hint="eastAsia" w:ascii="仿宋" w:hAnsi="仿宋" w:eastAsia="仿宋" w:cs="宋体"/>
          <w:sz w:val="24"/>
          <w:szCs w:val="24"/>
        </w:rPr>
        <w:t>本标准的条目，符合国家有关法律、法规和相关强制性标准的要求，与现行的国家标准、行业标准相协调。</w:t>
      </w:r>
    </w:p>
    <w:p w14:paraId="5439E08D">
      <w:pPr>
        <w:spacing w:line="360" w:lineRule="auto"/>
        <w:ind w:firstLine="480" w:firstLineChars="200"/>
        <w:rPr>
          <w:rFonts w:hint="eastAsia" w:ascii="仿宋" w:hAnsi="仿宋" w:eastAsia="仿宋" w:cs="宋体"/>
          <w:sz w:val="24"/>
        </w:rPr>
      </w:pPr>
      <w:r>
        <w:rPr>
          <w:rFonts w:hint="eastAsia" w:ascii="仿宋" w:hAnsi="仿宋" w:eastAsia="仿宋" w:cs="宋体"/>
          <w:sz w:val="24"/>
        </w:rPr>
        <w:t>当前无</w:t>
      </w:r>
      <w:r>
        <w:rPr>
          <w:rFonts w:hint="eastAsia" w:ascii="仿宋" w:hAnsi="仿宋" w:eastAsia="仿宋" w:cs="宋体"/>
          <w:sz w:val="24"/>
          <w:lang w:val="en-US" w:eastAsia="zh-CN"/>
        </w:rPr>
        <w:t>计算芯片信息安全技术要求及</w:t>
      </w:r>
      <w:r>
        <w:rPr>
          <w:rFonts w:hint="eastAsia" w:ascii="仿宋" w:hAnsi="仿宋" w:eastAsia="仿宋" w:cs="宋体"/>
          <w:sz w:val="24"/>
        </w:rPr>
        <w:t>试验方法国家标准，《汽车芯片信息安全技术规范》侧重基础和通用，未专门针对智能座舱、自动驾驶场景的复杂计算芯片的信息安全要求；《汽车智能驾驶计算芯片技术要求及试验方法》和《汽车智能座舱计算芯片技术要求及试验方法》作为分离标准，然而在安全方面是具有共性要求的。本标准专注于信息安全要求，旨在系统性的提出共性的要求，确保标准内容的一致性和可维护性。</w:t>
      </w:r>
    </w:p>
    <w:p w14:paraId="422B47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0899168A">
      <w:pPr>
        <w:pStyle w:val="11"/>
        <w:spacing w:line="360" w:lineRule="auto"/>
        <w:ind w:firstLine="480"/>
        <w:rPr>
          <w:rFonts w:hint="eastAsia" w:ascii="仿宋" w:hAnsi="仿宋" w:eastAsia="仿宋" w:cs="宋体"/>
          <w:sz w:val="24"/>
          <w:szCs w:val="24"/>
        </w:rPr>
      </w:pPr>
      <w:r>
        <w:rPr>
          <w:rFonts w:hint="eastAsia" w:ascii="仿宋" w:hAnsi="仿宋" w:eastAsia="仿宋" w:cs="宋体"/>
          <w:sz w:val="24"/>
          <w:szCs w:val="24"/>
        </w:rPr>
        <w:t>严格按照本标准提出的</w:t>
      </w:r>
      <w:r>
        <w:rPr>
          <w:rFonts w:hint="eastAsia" w:ascii="仿宋" w:hAnsi="仿宋" w:eastAsia="仿宋" w:cs="宋体"/>
          <w:sz w:val="24"/>
          <w:szCs w:val="24"/>
          <w:lang w:val="en-US" w:eastAsia="zh-CN"/>
        </w:rPr>
        <w:t>信息安全</w:t>
      </w:r>
      <w:r>
        <w:rPr>
          <w:rFonts w:hint="eastAsia" w:ascii="仿宋" w:hAnsi="仿宋" w:eastAsia="仿宋" w:cs="宋体"/>
          <w:sz w:val="24"/>
          <w:szCs w:val="24"/>
        </w:rPr>
        <w:t>要求及试验方法，对检验工程师进行理论学习和操作培训，保证检验方法操作的准确性。</w:t>
      </w:r>
    </w:p>
    <w:p w14:paraId="512100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黑体" w:hAnsi="黑体" w:eastAsia="黑体" w:cs="黑体"/>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七、</w:t>
      </w:r>
      <w:r>
        <w:rPr>
          <w:rFonts w:hint="eastAsia" w:ascii="黑体" w:hAnsi="黑体" w:eastAsia="黑体" w:cs="黑体"/>
          <w:color w:val="000000" w:themeColor="text1"/>
          <w:sz w:val="24"/>
          <w14:textFill>
            <w14:solidFill>
              <w14:schemeClr w14:val="tx1"/>
            </w14:solidFill>
          </w14:textFill>
        </w:rPr>
        <w:t>其他需要说明的事项</w:t>
      </w:r>
      <w:r>
        <w:rPr>
          <w:rFonts w:hint="eastAsia" w:ascii="黑体" w:hAnsi="黑体" w:eastAsia="黑体" w:cs="黑体"/>
          <w:color w:val="000000" w:themeColor="text1"/>
          <w:sz w:val="24"/>
          <w:lang w:val="en-US" w:eastAsia="zh-CN"/>
          <w14:textFill>
            <w14:solidFill>
              <w14:schemeClr w14:val="tx1"/>
            </w14:solidFill>
          </w14:textFill>
        </w:rPr>
        <w:t>·</w:t>
      </w:r>
    </w:p>
    <w:p w14:paraId="08910254">
      <w:pPr>
        <w:spacing w:line="360" w:lineRule="auto"/>
        <w:ind w:firstLine="960" w:firstLineChars="400"/>
        <w:rPr>
          <w:rFonts w:hint="eastAsia" w:ascii="仿宋" w:hAnsi="仿宋" w:eastAsia="仿宋" w:cs="宋体"/>
          <w:kern w:val="0"/>
          <w:sz w:val="24"/>
        </w:rPr>
      </w:pPr>
      <w:r>
        <w:rPr>
          <w:rFonts w:hint="eastAsia" w:ascii="仿宋" w:hAnsi="仿宋" w:eastAsia="仿宋" w:cs="宋体"/>
          <w:kern w:val="0"/>
          <w:sz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A6A1C"/>
    <w:multiLevelType w:val="singleLevel"/>
    <w:tmpl w:val="809A6A1C"/>
    <w:lvl w:ilvl="0" w:tentative="0">
      <w:start w:val="1"/>
      <w:numFmt w:val="decimal"/>
      <w:suff w:val="nothing"/>
      <w:lvlText w:val="%1）"/>
      <w:lvlJc w:val="left"/>
    </w:lvl>
  </w:abstractNum>
  <w:abstractNum w:abstractNumId="1">
    <w:nsid w:val="C760A38F"/>
    <w:multiLevelType w:val="singleLevel"/>
    <w:tmpl w:val="C760A38F"/>
    <w:lvl w:ilvl="0" w:tentative="0">
      <w:start w:val="1"/>
      <w:numFmt w:val="chineseCounting"/>
      <w:suff w:val="nothing"/>
      <w:lvlText w:val="%1、"/>
      <w:lvlJc w:val="left"/>
      <w:rPr>
        <w:rFonts w:hint="eastAsia"/>
      </w:rPr>
    </w:lvl>
  </w:abstractNum>
  <w:abstractNum w:abstractNumId="2">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3">
    <w:nsid w:val="1EA85159"/>
    <w:multiLevelType w:val="multilevel"/>
    <w:tmpl w:val="1EA85159"/>
    <w:lvl w:ilvl="0" w:tentative="0">
      <w:start w:val="1"/>
      <w:numFmt w:val="none"/>
      <w:suff w:val="nothing"/>
      <w:lvlText w:val="%1——"/>
      <w:lvlJc w:val="left"/>
      <w:pPr>
        <w:ind w:left="833" w:hanging="408"/>
      </w:pPr>
      <w:rPr>
        <w:rFonts w:hint="eastAsia" w:ascii="宋体" w:hAnsi="宋体" w:eastAsia="宋体"/>
      </w:rPr>
    </w:lvl>
    <w:lvl w:ilvl="1" w:tentative="0">
      <w:start w:val="1"/>
      <w:numFmt w:val="bullet"/>
      <w:lvlText w:val=""/>
      <w:lvlJc w:val="left"/>
      <w:pPr>
        <w:tabs>
          <w:tab w:val="left" w:pos="760"/>
        </w:tabs>
        <w:ind w:left="1264" w:hanging="413"/>
      </w:pPr>
      <w:rPr>
        <w:rFonts w:hint="default" w:ascii="Symbol" w:hAnsi="Symbol"/>
      </w:rPr>
    </w:lvl>
    <w:lvl w:ilvl="2" w:tentative="0">
      <w:start w:val="1"/>
      <w:numFmt w:val="bullet"/>
      <w:lvlText w:val=""/>
      <w:lvlJc w:val="left"/>
      <w:pPr>
        <w:tabs>
          <w:tab w:val="left" w:pos="1678"/>
        </w:tabs>
        <w:ind w:left="1678" w:hanging="414"/>
      </w:pPr>
      <w:rPr>
        <w:rFonts w:hint="default" w:ascii="Symbol" w:hAnsi="Symbol"/>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abstractNum w:abstractNumId="4">
    <w:nsid w:val="27AF0D84"/>
    <w:multiLevelType w:val="multilevel"/>
    <w:tmpl w:val="27AF0D84"/>
    <w:lvl w:ilvl="0" w:tentative="0">
      <w:start w:val="1"/>
      <w:numFmt w:val="none"/>
      <w:suff w:val="nothing"/>
      <w:lvlText w:val="%1——"/>
      <w:lvlJc w:val="left"/>
      <w:pPr>
        <w:ind w:left="833" w:hanging="408"/>
      </w:pPr>
      <w:rPr>
        <w:rFonts w:hint="eastAsia" w:ascii="宋体" w:hAnsi="宋体" w:eastAsia="宋体"/>
      </w:rPr>
    </w:lvl>
    <w:lvl w:ilvl="1" w:tentative="0">
      <w:start w:val="1"/>
      <w:numFmt w:val="bullet"/>
      <w:lvlText w:val=""/>
      <w:lvlJc w:val="left"/>
      <w:pPr>
        <w:tabs>
          <w:tab w:val="left" w:pos="760"/>
        </w:tabs>
        <w:ind w:left="1264" w:hanging="413"/>
      </w:pPr>
      <w:rPr>
        <w:rFonts w:hint="default" w:ascii="Symbol" w:hAnsi="Symbol"/>
      </w:rPr>
    </w:lvl>
    <w:lvl w:ilvl="2" w:tentative="0">
      <w:start w:val="1"/>
      <w:numFmt w:val="bullet"/>
      <w:lvlText w:val=""/>
      <w:lvlJc w:val="left"/>
      <w:pPr>
        <w:tabs>
          <w:tab w:val="left" w:pos="1678"/>
        </w:tabs>
        <w:ind w:left="1678" w:hanging="414"/>
      </w:pPr>
      <w:rPr>
        <w:rFonts w:hint="default" w:ascii="Symbol" w:hAnsi="Symbol"/>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abstractNum w:abstractNumId="5">
    <w:nsid w:val="54336163"/>
    <w:multiLevelType w:val="singleLevel"/>
    <w:tmpl w:val="54336163"/>
    <w:lvl w:ilvl="0" w:tentative="0">
      <w:start w:val="1"/>
      <w:numFmt w:val="decimal"/>
      <w:suff w:val="nothing"/>
      <w:lvlText w:val="%1）"/>
      <w:lvlJc w:val="left"/>
    </w:lvl>
  </w:abstractNum>
  <w:num w:numId="1">
    <w:abstractNumId w:val="1"/>
  </w:num>
  <w:num w:numId="2">
    <w:abstractNumId w:val="2"/>
  </w:num>
  <w:num w:numId="3">
    <w:abstractNumId w:val="0"/>
  </w:num>
  <w:num w:numId="4">
    <w:abstractNumId w:val="5"/>
  </w:num>
  <w:num w:numId="5">
    <w:abstractNumId w:val="3"/>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71"/>
    <w:rsid w:val="00063052"/>
    <w:rsid w:val="0006607A"/>
    <w:rsid w:val="000E33B8"/>
    <w:rsid w:val="001028D3"/>
    <w:rsid w:val="00120D86"/>
    <w:rsid w:val="001A1421"/>
    <w:rsid w:val="001A5BBC"/>
    <w:rsid w:val="001D732A"/>
    <w:rsid w:val="002015CE"/>
    <w:rsid w:val="00212F80"/>
    <w:rsid w:val="00235D5E"/>
    <w:rsid w:val="00250392"/>
    <w:rsid w:val="002516C2"/>
    <w:rsid w:val="0026410E"/>
    <w:rsid w:val="00297F71"/>
    <w:rsid w:val="002A72E5"/>
    <w:rsid w:val="00315DAC"/>
    <w:rsid w:val="00323C64"/>
    <w:rsid w:val="00337F73"/>
    <w:rsid w:val="00354AB7"/>
    <w:rsid w:val="00375FBD"/>
    <w:rsid w:val="003855AC"/>
    <w:rsid w:val="004127B0"/>
    <w:rsid w:val="004A11D0"/>
    <w:rsid w:val="004C6815"/>
    <w:rsid w:val="004D2F78"/>
    <w:rsid w:val="00573BD5"/>
    <w:rsid w:val="00583F1B"/>
    <w:rsid w:val="005B1A65"/>
    <w:rsid w:val="005E42DF"/>
    <w:rsid w:val="00605FE8"/>
    <w:rsid w:val="006C2821"/>
    <w:rsid w:val="006D50AE"/>
    <w:rsid w:val="006D54E6"/>
    <w:rsid w:val="00742ED2"/>
    <w:rsid w:val="0074571D"/>
    <w:rsid w:val="00755F36"/>
    <w:rsid w:val="007F7E8B"/>
    <w:rsid w:val="008200D7"/>
    <w:rsid w:val="0087531C"/>
    <w:rsid w:val="00887FE3"/>
    <w:rsid w:val="008C0E5E"/>
    <w:rsid w:val="008C5F32"/>
    <w:rsid w:val="008F1ACE"/>
    <w:rsid w:val="009241A8"/>
    <w:rsid w:val="00945383"/>
    <w:rsid w:val="00957976"/>
    <w:rsid w:val="0098782A"/>
    <w:rsid w:val="00987AC9"/>
    <w:rsid w:val="009A1D17"/>
    <w:rsid w:val="009D6477"/>
    <w:rsid w:val="009E3C20"/>
    <w:rsid w:val="009F3D16"/>
    <w:rsid w:val="00A22C24"/>
    <w:rsid w:val="00A511E4"/>
    <w:rsid w:val="00A86B67"/>
    <w:rsid w:val="00A944A2"/>
    <w:rsid w:val="00AD6A48"/>
    <w:rsid w:val="00B54E09"/>
    <w:rsid w:val="00B75950"/>
    <w:rsid w:val="00BE56B5"/>
    <w:rsid w:val="00BF7794"/>
    <w:rsid w:val="00CB45AA"/>
    <w:rsid w:val="00CC6DAE"/>
    <w:rsid w:val="00CE3D7F"/>
    <w:rsid w:val="00D30C85"/>
    <w:rsid w:val="00D470AA"/>
    <w:rsid w:val="00D55C4D"/>
    <w:rsid w:val="00D933E3"/>
    <w:rsid w:val="00E332E1"/>
    <w:rsid w:val="00E35C30"/>
    <w:rsid w:val="00EA46DC"/>
    <w:rsid w:val="00EA4EA6"/>
    <w:rsid w:val="00EB7A75"/>
    <w:rsid w:val="00EE1580"/>
    <w:rsid w:val="00EF7D19"/>
    <w:rsid w:val="00F071AB"/>
    <w:rsid w:val="00F07B44"/>
    <w:rsid w:val="00F135F0"/>
    <w:rsid w:val="00F542F4"/>
    <w:rsid w:val="00FB0F5B"/>
    <w:rsid w:val="00FD1BA5"/>
    <w:rsid w:val="049743AD"/>
    <w:rsid w:val="07E13D6B"/>
    <w:rsid w:val="09750C0F"/>
    <w:rsid w:val="0B252643"/>
    <w:rsid w:val="0E286588"/>
    <w:rsid w:val="0ED91C40"/>
    <w:rsid w:val="122F22A3"/>
    <w:rsid w:val="14C173FE"/>
    <w:rsid w:val="14CD7B51"/>
    <w:rsid w:val="15D14D0C"/>
    <w:rsid w:val="17FE211F"/>
    <w:rsid w:val="1B324BB2"/>
    <w:rsid w:val="1B530620"/>
    <w:rsid w:val="1CD90307"/>
    <w:rsid w:val="1E780B2E"/>
    <w:rsid w:val="21667363"/>
    <w:rsid w:val="21D2410C"/>
    <w:rsid w:val="2409047A"/>
    <w:rsid w:val="269F6165"/>
    <w:rsid w:val="29422464"/>
    <w:rsid w:val="2C702EEC"/>
    <w:rsid w:val="31FB3AF8"/>
    <w:rsid w:val="39F72C7E"/>
    <w:rsid w:val="3A3029B7"/>
    <w:rsid w:val="3BFF41E4"/>
    <w:rsid w:val="3EAB0654"/>
    <w:rsid w:val="570556BE"/>
    <w:rsid w:val="587753D7"/>
    <w:rsid w:val="5B6E411E"/>
    <w:rsid w:val="5EB60923"/>
    <w:rsid w:val="63260125"/>
    <w:rsid w:val="66F127F8"/>
    <w:rsid w:val="6A6634FD"/>
    <w:rsid w:val="6F5222A2"/>
    <w:rsid w:val="701612EA"/>
    <w:rsid w:val="706C7393"/>
    <w:rsid w:val="73C179F6"/>
    <w:rsid w:val="75314597"/>
    <w:rsid w:val="76724FD8"/>
    <w:rsid w:val="77364257"/>
    <w:rsid w:val="799040F2"/>
    <w:rsid w:val="7C036DFE"/>
    <w:rsid w:val="7F28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after="120"/>
      <w:ind w:firstLine="425" w:firstLineChars="193"/>
      <w:jc w:val="left"/>
    </w:pPr>
    <w:rPr>
      <w:kern w:val="0"/>
      <w:sz w:val="22"/>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font31"/>
    <w:basedOn w:val="7"/>
    <w:qFormat/>
    <w:uiPriority w:val="0"/>
    <w:rPr>
      <w:rFonts w:hint="eastAsia" w:ascii="仿宋" w:hAnsi="仿宋" w:eastAsia="仿宋" w:cs="仿宋"/>
      <w:color w:val="000000"/>
      <w:sz w:val="20"/>
      <w:szCs w:val="20"/>
      <w:u w:val="none"/>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段 Char"/>
    <w:link w:val="11"/>
    <w:qFormat/>
    <w:uiPriority w:val="0"/>
    <w:rPr>
      <w:rFonts w:ascii="宋体"/>
      <w:sz w:val="21"/>
    </w:rPr>
  </w:style>
  <w:style w:type="paragraph" w:styleId="13">
    <w:name w:val="List Paragraph"/>
    <w:basedOn w:val="1"/>
    <w:unhideWhenUsed/>
    <w:qFormat/>
    <w:uiPriority w:val="99"/>
    <w:pPr>
      <w:ind w:firstLine="420" w:firstLineChars="200"/>
    </w:pPr>
  </w:style>
  <w:style w:type="character" w:customStyle="1" w:styleId="14">
    <w:name w:val="font21"/>
    <w:basedOn w:val="7"/>
    <w:qFormat/>
    <w:uiPriority w:val="0"/>
    <w:rPr>
      <w:rFonts w:hint="eastAsia" w:ascii="微软雅黑 Light" w:hAnsi="微软雅黑 Light" w:eastAsia="微软雅黑 Light" w:cs="微软雅黑 Light"/>
      <w:color w:val="000000"/>
      <w:sz w:val="18"/>
      <w:szCs w:val="18"/>
      <w:u w:val="none"/>
    </w:rPr>
  </w:style>
  <w:style w:type="character" w:customStyle="1" w:styleId="15">
    <w:name w:val="font41"/>
    <w:basedOn w:val="7"/>
    <w:qFormat/>
    <w:uiPriority w:val="0"/>
    <w:rPr>
      <w:rFonts w:hint="eastAsia" w:ascii="微软雅黑 Light" w:hAnsi="微软雅黑 Light" w:eastAsia="微软雅黑 Light" w:cs="微软雅黑 Light"/>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7519</Words>
  <Characters>8672</Characters>
  <Lines>686</Lines>
  <Paragraphs>921</Paragraphs>
  <TotalTime>31</TotalTime>
  <ScaleCrop>false</ScaleCrop>
  <LinksUpToDate>false</LinksUpToDate>
  <CharactersWithSpaces>8837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ZHQ</dc:creator>
  <cp:lastModifiedBy>颜洲</cp:lastModifiedBy>
  <dcterms:modified xsi:type="dcterms:W3CDTF">2025-12-30T08:01:17Z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eyJoZGlkIjoiZDExZDNlMTIyMTE1MGYwM2I0ZjliZjA3NDIwYjVlYTciLCJ1c2VySWQiOiI0MzMxMDc1MTMifQ==</vt:lpwstr>
  </property>
  <property fmtid="{D5CDD505-2E9C-101B-9397-08002B2CF9AE}" pid="4" name="ICV">
    <vt:lpwstr>4FB0FA39C508479692D32B8F2530B993_13</vt:lpwstr>
  </property>
</Properties>
</file>