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51B03">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附件4：</w:t>
      </w:r>
    </w:p>
    <w:p w14:paraId="4EF51B04">
      <w:pPr>
        <w:widowControl/>
        <w:spacing w:line="360" w:lineRule="auto"/>
        <w:jc w:val="center"/>
        <w:rPr>
          <w:rFonts w:eastAsia="黑体"/>
          <w:sz w:val="28"/>
          <w:szCs w:val="28"/>
        </w:rPr>
      </w:pPr>
      <w:r>
        <w:rPr>
          <w:rFonts w:hint="eastAsia" w:eastAsia="黑体"/>
          <w:sz w:val="28"/>
          <w:szCs w:val="28"/>
        </w:rPr>
        <w:t>中汽协会《新能源汽车安全测试规范第4部分：应急安全》团体标准编制说明</w:t>
      </w:r>
    </w:p>
    <w:p w14:paraId="4EF51B05">
      <w:pPr>
        <w:spacing w:line="360" w:lineRule="auto"/>
        <w:rPr>
          <w:rFonts w:hint="eastAsia" w:ascii="黑体" w:hAnsi="黑体" w:eastAsia="黑体" w:cs="黑体"/>
          <w:color w:val="000000" w:themeColor="text1"/>
          <w:sz w:val="30"/>
          <w:szCs w:val="30"/>
          <w14:textFill>
            <w14:solidFill>
              <w14:schemeClr w14:val="tx1"/>
            </w14:solidFill>
          </w14:textFill>
        </w:rPr>
      </w:pPr>
    </w:p>
    <w:p w14:paraId="4EF51B06">
      <w:pPr>
        <w:numPr>
          <w:ilvl w:val="0"/>
          <w:numId w:val="1"/>
        </w:numPr>
        <w:spacing w:line="360" w:lineRule="auto"/>
        <w:ind w:firstLine="480" w:firstLineChars="200"/>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工作简要过程</w:t>
      </w:r>
    </w:p>
    <w:p w14:paraId="4EF51B07">
      <w:pPr>
        <w:numPr>
          <w:ilvl w:val="0"/>
          <w:numId w:val="2"/>
        </w:numPr>
        <w:spacing w:line="360" w:lineRule="auto"/>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任务来源</w:t>
      </w:r>
    </w:p>
    <w:p w14:paraId="4EF51B08">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随着新能源汽车保有量的持续攀升，其火灾安全风险已成为全社会关注的焦点。特别是在发生碰撞、电池热失控等极端情形时，车辆不仅可能迅速起火，更会伴随高压系统失稳、车门闭锁等次生危害，严重威胁乘员生命并极大阻碍消防救援。近期发生的多起新能源汽车火灾事故，暴露出我们在整车级火灾应急安全评估能力上存在明显短板。为了系统评估车辆在极端火情下的安全表现并指导有效应对，亟需建立科学的方法来测试和评估其在事故下的应急安全性能。现阶段，国内现有标准虽对部分热安全项目有所规定，但对于真实的火灾应急场景下逃生通道功能验证不足；全车高压系统在火情中的绝缘性能与断电保护时效缺乏量化考核，救援人员面临触电风险；以及对现有应急救援方案缺乏有效性评估，其在实际火场中的可操作性与指导价值无从考证。现亟需对T-CAAMTB 212-2022电动汽车整车热失控安全要求及测试方法团体标准进行修订，补充完善测试方法。</w:t>
      </w:r>
    </w:p>
    <w:p w14:paraId="4EF51B09">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《电动汽车整车热失控安全要求及测试方法》团体标准修订是由中国汽车工程研究院股份有限公司向中国汽车工业协会申请，经立项论证通过下达编制计划</w:t>
      </w:r>
      <w:r>
        <w:rPr>
          <w:rFonts w:hint="eastAsia" w:ascii="宋体" w:hAnsi="宋体" w:cs="宋体"/>
          <w:color w:val="000000" w:themeColor="text1"/>
          <w:szCs w:val="21"/>
          <w:lang w:eastAsia="zh-CN"/>
          <w14:textFill>
            <w14:solidFill>
              <w14:schemeClr w14:val="tx1"/>
            </w14:solidFill>
          </w14:textFill>
        </w:rPr>
        <w:t>，</w:t>
      </w:r>
      <w:bookmarkStart w:id="0" w:name="_GoBack"/>
      <w:bookmarkEnd w:id="0"/>
      <w:r>
        <w:rPr>
          <w:rFonts w:hint="eastAsia" w:ascii="宋体" w:hAnsi="宋体" w:cs="宋体"/>
          <w:color w:val="000000" w:themeColor="text1"/>
          <w:szCs w:val="21"/>
          <w:lang w:val="en-US" w:eastAsia="zh-CN"/>
          <w14:textFill>
            <w14:solidFill>
              <w14:schemeClr w14:val="tx1"/>
            </w14:solidFill>
          </w14:textFill>
        </w:rPr>
        <w:t>项目计划号2026-11</w:t>
      </w:r>
      <w:r>
        <w:rPr>
          <w:rFonts w:hint="eastAsia" w:ascii="宋体" w:hAnsi="宋体" w:cs="宋体"/>
          <w:color w:val="000000" w:themeColor="text1"/>
          <w:szCs w:val="21"/>
          <w14:textFill>
            <w14:solidFill>
              <w14:schemeClr w14:val="tx1"/>
            </w14:solidFill>
          </w14:textFill>
        </w:rPr>
        <w:t>。</w:t>
      </w:r>
    </w:p>
    <w:p w14:paraId="4EF51B0A">
      <w:pPr>
        <w:numPr>
          <w:ilvl w:val="0"/>
          <w:numId w:val="2"/>
        </w:numPr>
        <w:spacing w:line="360" w:lineRule="auto"/>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主要起草单位及任务分工</w:t>
      </w:r>
    </w:p>
    <w:p w14:paraId="4EF51B0B">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介绍标准起草组构成，主要参与单位及标准起草工作组人员分工。在本标准的研究制定工作过程中，与行业专家进行了多次研讨并开展了广泛的调研工作和大量的试验验证工作，得到了相关汽车及动力电池生产企业的支持，取得了大量具有建设性的意见、建议和数据，保证本标准的制定质量。主要起草单位名单如下：</w:t>
      </w:r>
      <w:r>
        <w:rPr>
          <w:rFonts w:hint="eastAsia" w:ascii="宋体" w:hAnsi="宋体" w:cs="宋体"/>
          <w:szCs w:val="21"/>
        </w:rPr>
        <w:t>中国汽车工程研究院股份有限公司、应急管理部天津消防研究所、中汽院新能源科技有限公司、赛力斯集团股份有限公司、吉利汽车研究院(宁波)有限公司、重庆长安汽车股份有限公司、东风汽车公司研发总院、上汽大通、江铃汽车股份有限公司、特斯拉汽车公司、比亚迪汽车工业有限公司、小米汽车有限公司、上汽通用五菱汽车股份有限公司、深蓝汽车科技有限公司、东风柳州汽车有限公司、宝马(中国)汽车贸易有限公司、北京梅赛德斯-奔驰销售服务有限公司</w:t>
      </w:r>
      <w:r>
        <w:rPr>
          <w:rFonts w:hint="eastAsia" w:ascii="宋体" w:hAnsi="宋体" w:cs="宋体"/>
          <w:color w:val="000000" w:themeColor="text1"/>
          <w:szCs w:val="21"/>
          <w14:textFill>
            <w14:solidFill>
              <w14:schemeClr w14:val="tx1"/>
            </w14:solidFill>
          </w14:textFill>
        </w:rPr>
        <w:t>等。分别负责主要标准体系框架与技术内容的编写与确定、电池包进行试验验证，并提交试验结果，参与标准技术内容的研讨与确定等。</w:t>
      </w:r>
    </w:p>
    <w:p w14:paraId="4EF51B0C">
      <w:pPr>
        <w:numPr>
          <w:ilvl w:val="0"/>
          <w:numId w:val="2"/>
        </w:numPr>
        <w:spacing w:line="360" w:lineRule="auto"/>
      </w:pPr>
      <w:r>
        <w:rPr>
          <w:rFonts w:hint="eastAsia" w:ascii="仿宋" w:hAnsi="仿宋" w:eastAsia="仿宋" w:cs="仿宋"/>
          <w:b/>
          <w:bCs/>
          <w:color w:val="000000" w:themeColor="text1"/>
          <w:sz w:val="24"/>
          <w14:textFill>
            <w14:solidFill>
              <w14:schemeClr w14:val="tx1"/>
            </w14:solidFill>
          </w14:textFill>
        </w:rPr>
        <w:t>标准研讨情况</w:t>
      </w:r>
    </w:p>
    <w:p w14:paraId="4EF51B0D">
      <w:pPr>
        <w:spacing w:line="360" w:lineRule="auto"/>
        <w:ind w:firstLine="420" w:firstLineChars="200"/>
        <w:rPr>
          <w:rFonts w:hint="eastAsia" w:ascii="宋体" w:hAnsi="宋体" w:cs="宋体"/>
          <w:szCs w:val="21"/>
        </w:rPr>
      </w:pPr>
      <w:r>
        <w:rPr>
          <w:rFonts w:hint="eastAsia" w:ascii="宋体" w:hAnsi="宋体" w:cs="宋体"/>
          <w:szCs w:val="21"/>
        </w:rPr>
        <w:t>2025年3月开始，标准编制相关人员开始进行相关资料收集与调研。</w:t>
      </w:r>
    </w:p>
    <w:p w14:paraId="4EF51B0E">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2025年8月，中国汽车工程研究院股份有限公司组织建立标准起草组，起草组应兼顾与标准相关的多方面人员，包括行政管理、整车企业代表、维修行业代表、第三方检测研究人员等。标准起草组总结分析关于新能源汽车应急安全测试结果和分析报告，结合测试中发现的关键点和问题，研讨和改进测试方法，确定测试方法的可实施性，初步拟定标准的内容，形成标准草案。</w:t>
      </w:r>
    </w:p>
    <w:p w14:paraId="4EF51B0F">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2025年10月，中国汽车工程研究院股份有限公司汇总前期多次行业研讨的意见建议，编制立项申请文件，组织专家立项评估。</w:t>
      </w:r>
    </w:p>
    <w:p w14:paraId="4EF51B10">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2026年11月，完成团标修订立项评审，明确了标准目标范围、计划；</w:t>
      </w:r>
    </w:p>
    <w:p w14:paraId="4EF51B11">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2026年1月形成征求意见稿。</w:t>
      </w:r>
    </w:p>
    <w:p w14:paraId="4EF51B12">
      <w:pPr>
        <w:numPr>
          <w:ilvl w:val="0"/>
          <w:numId w:val="2"/>
        </w:numPr>
        <w:spacing w:line="360" w:lineRule="auto"/>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标准研讨情况</w:t>
      </w:r>
    </w:p>
    <w:p w14:paraId="4EF51B13">
      <w:pPr>
        <w:spacing w:line="360" w:lineRule="auto"/>
        <w:ind w:firstLine="480" w:firstLineChars="200"/>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二、标准编制原则和主要内容</w:t>
      </w:r>
    </w:p>
    <w:p w14:paraId="4EF51B14">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 本标准的制定依据以下原则：</w:t>
      </w:r>
    </w:p>
    <w:p w14:paraId="4EF51B15">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（1）适用性原则</w:t>
      </w:r>
    </w:p>
    <w:p w14:paraId="4EF51B16">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本标准的编制充分考虑与我国现行法律法规和技术标准相符合，重点考虑可操作性，便于标准的实施。</w:t>
      </w:r>
    </w:p>
    <w:p w14:paraId="4EF51B17">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（2）规范性原则</w:t>
      </w:r>
    </w:p>
    <w:p w14:paraId="4EF51B18">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本标准根据《中华人民共和国标准法》、GB/T 1.1《标准化工作导则第1部分：标准的结构和编写》、GB 38031-2025《电动汽车用动力蓄电池安全要求》、《GBT18384.3-电动汽车安全要求 第3部分:人员触电防护》、GB/T 38117-2019</w:t>
      </w:r>
      <w:r>
        <w:rPr>
          <w:rFonts w:hint="eastAsia" w:cs="宋体"/>
        </w:rPr>
        <w:t>《电动汽车产品使用说明 应急救援》</w:t>
      </w:r>
      <w:r>
        <w:rPr>
          <w:rFonts w:hint="eastAsia" w:ascii="宋体" w:hAnsi="宋体" w:cs="宋体"/>
          <w:color w:val="000000" w:themeColor="text1"/>
          <w:szCs w:val="21"/>
          <w14:textFill>
            <w14:solidFill>
              <w14:schemeClr w14:val="tx1"/>
            </w14:solidFill>
          </w14:textFill>
        </w:rPr>
        <w:t>进行编制。</w:t>
      </w:r>
    </w:p>
    <w:p w14:paraId="4EF51B19">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本标准编制所参考的依据为国家有关法律法规以及强制性标准要求、国家及行业产品或服务标准、国内或国际先进产品标准等。</w:t>
      </w:r>
    </w:p>
    <w:p w14:paraId="4EF51B1A">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 标准主要内容：</w:t>
      </w:r>
    </w:p>
    <w:p w14:paraId="4EF51B1B">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本标准代替T-CAAMTB 212-2022电动汽车整车热失控安全要求及测试方法，与T-CAAMTB 212-2022相比，主要技术变化如下:</w:t>
      </w:r>
    </w:p>
    <w:p w14:paraId="4EF51B1C">
      <w:pPr>
        <w:spacing w:line="360" w:lineRule="auto"/>
        <w:ind w:firstLine="420"/>
      </w:pPr>
      <w:r>
        <w:rPr>
          <w:rFonts w:hint="eastAsia"/>
        </w:rPr>
        <w:t>1. 新增了对整车热失控状态下乘员舱内儿童安全防护的考察。通过设置车辆初始状态为儿童锁闭锁状态，验证事故场景下车门开启功能，旨在评估车辆对活动受限人员的安全撤离几热安全防护能力。</w:t>
      </w:r>
    </w:p>
    <w:p w14:paraId="4EF51B1D">
      <w:pPr>
        <w:spacing w:line="360" w:lineRule="auto"/>
        <w:ind w:firstLine="420"/>
      </w:pPr>
      <w:r>
        <w:rPr>
          <w:rFonts w:hint="eastAsia"/>
        </w:rPr>
        <w:t>2. 补充了整车热失控状态下车门自动解锁功能及高压系统</w:t>
      </w:r>
      <w:r>
        <w:t>触电防护性能</w:t>
      </w:r>
      <w:r>
        <w:rPr>
          <w:rFonts w:hint="eastAsia"/>
        </w:rPr>
        <w:t>可靠性的测试。</w:t>
      </w:r>
    </w:p>
    <w:p w14:paraId="4EF51B1E">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rPr>
        <w:t xml:space="preserve">3. </w:t>
      </w:r>
      <w:r>
        <w:rPr>
          <w:rFonts w:ascii="Helvetica Neue" w:hAnsi="Helvetica Neue"/>
          <w:color w:val="0F1115"/>
          <w:shd w:val="clear" w:color="auto" w:fill="FFFFFF"/>
        </w:rPr>
        <w:t>引入了对车辆</w:t>
      </w:r>
      <w:r>
        <w:rPr>
          <w:rFonts w:hint="eastAsia" w:ascii="Helvetica Neue" w:hAnsi="Helvetica Neue"/>
          <w:color w:val="0F1115"/>
          <w:shd w:val="clear" w:color="auto" w:fill="FFFFFF"/>
        </w:rPr>
        <w:t>事故场景下救援方案</w:t>
      </w:r>
      <w:r>
        <w:rPr>
          <w:rFonts w:ascii="Helvetica Neue" w:hAnsi="Helvetica Neue"/>
          <w:color w:val="0F1115"/>
          <w:shd w:val="clear" w:color="auto" w:fill="FFFFFF"/>
        </w:rPr>
        <w:t>实施有效性评估</w:t>
      </w:r>
      <w:r>
        <w:rPr>
          <w:rFonts w:hint="eastAsia" w:ascii="Helvetica Neue" w:hAnsi="Helvetica Neue"/>
          <w:color w:val="0F1115"/>
          <w:shd w:val="clear" w:color="auto" w:fill="FFFFFF"/>
        </w:rPr>
        <w:t>。对</w:t>
      </w:r>
      <w:r>
        <w:rPr>
          <w:rFonts w:hint="eastAsia" w:ascii="宋体" w:hAnsi="宋体"/>
          <w:szCs w:val="21"/>
        </w:rPr>
        <w:t>各类事故救援方案的完整性、有效性和实施性作出要求，</w:t>
      </w:r>
      <w:r>
        <w:rPr>
          <w:rFonts w:ascii="Helvetica Neue" w:hAnsi="Helvetica Neue"/>
          <w:color w:val="0F1115"/>
          <w:shd w:val="clear" w:color="auto" w:fill="FFFFFF"/>
        </w:rPr>
        <w:t>推动车企优化设计，为驾乘人员和救援人员提供更清晰、更有效的应急指引，从而最大限度降低事故伤亡与损失。</w:t>
      </w:r>
    </w:p>
    <w:p w14:paraId="4EF51B1F">
      <w:pPr>
        <w:numPr>
          <w:ilvl w:val="0"/>
          <w:numId w:val="1"/>
        </w:numPr>
        <w:spacing w:line="360" w:lineRule="auto"/>
        <w:ind w:firstLine="480" w:firstLineChars="200"/>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采用国际标准和国外先进标准情况</w:t>
      </w:r>
    </w:p>
    <w:p w14:paraId="4EF51B20">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本标准属于团体标准，与现行法律、法规、规章和政策以及有关基础和相关标准不矛盾。</w:t>
      </w:r>
    </w:p>
    <w:p w14:paraId="4EF51B21">
      <w:pPr>
        <w:spacing w:line="360" w:lineRule="auto"/>
        <w:ind w:firstLine="480" w:firstLineChars="200"/>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四、主要关键指标及试验验证情况</w:t>
      </w:r>
    </w:p>
    <w:p w14:paraId="4EF51B22">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按本标准的试验方法，开展10款电动汽车整车样品验证测试，复现并量化评估了各关键风险场景；经验证，本标准的各项技术指标合理，并具有一定的先进性。</w:t>
      </w:r>
    </w:p>
    <w:p w14:paraId="4EF51B23">
      <w:pPr>
        <w:spacing w:line="360" w:lineRule="auto"/>
        <w:ind w:firstLine="480" w:firstLineChars="200"/>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五、与现行法律、法规和政策及相关标准的协调性</w:t>
      </w:r>
    </w:p>
    <w:p w14:paraId="4EF51B24">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本标准与现有的法律、法规和强制性国家标准无冲突。</w:t>
      </w:r>
    </w:p>
    <w:p w14:paraId="4EF51B25">
      <w:pPr>
        <w:spacing w:line="360" w:lineRule="auto"/>
        <w:ind w:firstLine="480" w:firstLineChars="200"/>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六、贯彻标准的要求和措施建议</w:t>
      </w:r>
    </w:p>
    <w:p w14:paraId="4EF51B26">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建议标准实施后组织标准宣讲，促进标准顺利实施。</w:t>
      </w:r>
    </w:p>
    <w:p w14:paraId="4EF51B27">
      <w:pPr>
        <w:numPr>
          <w:ilvl w:val="0"/>
          <w:numId w:val="3"/>
        </w:numPr>
        <w:spacing w:line="360" w:lineRule="auto"/>
        <w:ind w:firstLine="480" w:firstLineChars="200"/>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其他需要说明的事项</w:t>
      </w:r>
    </w:p>
    <w:p w14:paraId="4EF51B28">
      <w:pPr>
        <w:spacing w:line="360" w:lineRule="auto"/>
        <w:ind w:firstLine="840" w:firstLineChars="4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Neue">
    <w:altName w:val="Sylfaen"/>
    <w:panose1 w:val="00000000000000000000"/>
    <w:charset w:val="00"/>
    <w:family w:val="auto"/>
    <w:pitch w:val="default"/>
    <w:sig w:usb0="00000000" w:usb1="00000000" w:usb2="00000010" w:usb3="00000000" w:csb0="00000001" w:csb1="00000000"/>
  </w:font>
  <w:font w:name="Sylfaen">
    <w:panose1 w:val="010A0502050306030303"/>
    <w:charset w:val="00"/>
    <w:family w:val="auto"/>
    <w:pitch w:val="default"/>
    <w:sig w:usb0="040006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60A38F"/>
    <w:multiLevelType w:val="singleLevel"/>
    <w:tmpl w:val="C760A38F"/>
    <w:lvl w:ilvl="0" w:tentative="0">
      <w:start w:val="1"/>
      <w:numFmt w:val="chineseCounting"/>
      <w:suff w:val="nothing"/>
      <w:lvlText w:val="%1、"/>
      <w:lvlJc w:val="left"/>
      <w:rPr>
        <w:rFonts w:hint="eastAsia"/>
      </w:rPr>
    </w:lvl>
  </w:abstractNum>
  <w:abstractNum w:abstractNumId="1">
    <w:nsid w:val="E319F839"/>
    <w:multiLevelType w:val="singleLevel"/>
    <w:tmpl w:val="E319F839"/>
    <w:lvl w:ilvl="0" w:tentative="0">
      <w:start w:val="1"/>
      <w:numFmt w:val="chineseCounting"/>
      <w:suff w:val="nothing"/>
      <w:lvlText w:val="（%1）"/>
      <w:lvlJc w:val="left"/>
      <w:pPr>
        <w:ind w:left="360" w:firstLine="0"/>
      </w:pPr>
      <w:rPr>
        <w:rFonts w:hint="eastAsia"/>
      </w:rPr>
    </w:lvl>
  </w:abstractNum>
  <w:abstractNum w:abstractNumId="2">
    <w:nsid w:val="E3C56D80"/>
    <w:multiLevelType w:val="singleLevel"/>
    <w:tmpl w:val="E3C56D80"/>
    <w:lvl w:ilvl="0" w:tentative="0">
      <w:start w:val="7"/>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E83"/>
    <w:rsid w:val="000D4B74"/>
    <w:rsid w:val="001255E7"/>
    <w:rsid w:val="00140DF8"/>
    <w:rsid w:val="004D07A4"/>
    <w:rsid w:val="008B33C7"/>
    <w:rsid w:val="00967C85"/>
    <w:rsid w:val="00A148B3"/>
    <w:rsid w:val="00C60935"/>
    <w:rsid w:val="00C65E24"/>
    <w:rsid w:val="00CC036D"/>
    <w:rsid w:val="00DE1E83"/>
    <w:rsid w:val="00E51C82"/>
    <w:rsid w:val="00E73826"/>
    <w:rsid w:val="00ED3B8C"/>
    <w:rsid w:val="0167398B"/>
    <w:rsid w:val="03C05867"/>
    <w:rsid w:val="03D1158F"/>
    <w:rsid w:val="043047A0"/>
    <w:rsid w:val="04800661"/>
    <w:rsid w:val="094C0719"/>
    <w:rsid w:val="0A273AA8"/>
    <w:rsid w:val="0A6A08B7"/>
    <w:rsid w:val="0D933D59"/>
    <w:rsid w:val="0F3479B4"/>
    <w:rsid w:val="116F23E8"/>
    <w:rsid w:val="152D05F0"/>
    <w:rsid w:val="1571659F"/>
    <w:rsid w:val="16DD0A5E"/>
    <w:rsid w:val="17A13152"/>
    <w:rsid w:val="17D17958"/>
    <w:rsid w:val="17FE211F"/>
    <w:rsid w:val="19481E9C"/>
    <w:rsid w:val="196071E6"/>
    <w:rsid w:val="222246FC"/>
    <w:rsid w:val="24286B52"/>
    <w:rsid w:val="25A42208"/>
    <w:rsid w:val="272154D3"/>
    <w:rsid w:val="2A5F10CB"/>
    <w:rsid w:val="2CB74F17"/>
    <w:rsid w:val="2CC55886"/>
    <w:rsid w:val="2DD85145"/>
    <w:rsid w:val="32EC54BB"/>
    <w:rsid w:val="36851BE2"/>
    <w:rsid w:val="37074CED"/>
    <w:rsid w:val="38A12DBB"/>
    <w:rsid w:val="38D46E50"/>
    <w:rsid w:val="3D436353"/>
    <w:rsid w:val="415E3A35"/>
    <w:rsid w:val="467C79A6"/>
    <w:rsid w:val="46E44703"/>
    <w:rsid w:val="4A946440"/>
    <w:rsid w:val="4AE160EB"/>
    <w:rsid w:val="4F170C21"/>
    <w:rsid w:val="4F4703E8"/>
    <w:rsid w:val="53BE5764"/>
    <w:rsid w:val="54F63F7F"/>
    <w:rsid w:val="5C700ABB"/>
    <w:rsid w:val="60BF5B37"/>
    <w:rsid w:val="621243C2"/>
    <w:rsid w:val="621A5025"/>
    <w:rsid w:val="62A750F4"/>
    <w:rsid w:val="638B442C"/>
    <w:rsid w:val="64C64FF0"/>
    <w:rsid w:val="69EC374B"/>
    <w:rsid w:val="69FD5C5E"/>
    <w:rsid w:val="6BFB09A2"/>
    <w:rsid w:val="6D1001EF"/>
    <w:rsid w:val="6D194268"/>
    <w:rsid w:val="72EE22E1"/>
    <w:rsid w:val="74E0779E"/>
    <w:rsid w:val="76780840"/>
    <w:rsid w:val="783B1B25"/>
    <w:rsid w:val="7A08012D"/>
    <w:rsid w:val="7A16134B"/>
    <w:rsid w:val="7BC40083"/>
    <w:rsid w:val="7E285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tabs>
        <w:tab w:val="center" w:pos="4153"/>
        <w:tab w:val="right" w:pos="8306"/>
      </w:tabs>
      <w:snapToGrid w:val="0"/>
      <w:jc w:val="center"/>
    </w:pPr>
    <w:rPr>
      <w:sz w:val="18"/>
      <w:szCs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character" w:styleId="10">
    <w:name w:val="Hyperlink"/>
    <w:basedOn w:val="8"/>
    <w:qFormat/>
    <w:uiPriority w:val="0"/>
    <w:rPr>
      <w:color w:val="0000FF"/>
      <w:u w:val="single"/>
    </w:rPr>
  </w:style>
  <w:style w:type="paragraph" w:customStyle="1" w:styleId="1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
    <w:name w:val="页眉 字符"/>
    <w:basedOn w:val="8"/>
    <w:link w:val="4"/>
    <w:qFormat/>
    <w:uiPriority w:val="0"/>
    <w:rPr>
      <w:kern w:val="2"/>
      <w:sz w:val="18"/>
      <w:szCs w:val="18"/>
    </w:rPr>
  </w:style>
  <w:style w:type="character" w:customStyle="1" w:styleId="13">
    <w:name w:val="页脚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1985</Words>
  <Characters>2094</Characters>
  <Lines>15</Lines>
  <Paragraphs>4</Paragraphs>
  <TotalTime>13</TotalTime>
  <ScaleCrop>false</ScaleCrop>
  <LinksUpToDate>false</LinksUpToDate>
  <CharactersWithSpaces>2107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2025-10-27T02:15:00Z</dcterms:created>
  <dc:creator>ZHQ</dc:creator>
  <cp:lastModifiedBy>赵志伟</cp:lastModifiedBy>
  <dcterms:modified xsi:type="dcterms:W3CDTF">2026-01-26T00:27:29Z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eyJoZGlkIjoiMTU5NWUxOGQ5OWU3YzMzYmNmZDZkYTZjN2I2ZGU2ZjEiLCJ1c2VySWQiOiIxMTYxMTYwODc4In0=</vt:lpwstr>
  </property>
  <property fmtid="{D5CDD505-2E9C-101B-9397-08002B2CF9AE}" pid="4" name="ICV">
    <vt:lpwstr>8436176362DA4AE5B62D7C166DF00A3A_13</vt:lpwstr>
  </property>
</Properties>
</file>