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DB9C" w14:textId="77777777" w:rsidR="00DB1114" w:rsidRDefault="005208A5">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附件4：</w:t>
      </w:r>
    </w:p>
    <w:p w14:paraId="25484EEC" w14:textId="77777777" w:rsidR="00792EE4" w:rsidRDefault="005208A5">
      <w:pPr>
        <w:widowControl/>
        <w:jc w:val="center"/>
        <w:rPr>
          <w:rFonts w:eastAsia="黑体"/>
          <w:sz w:val="28"/>
          <w:szCs w:val="28"/>
        </w:rPr>
      </w:pPr>
      <w:r>
        <w:rPr>
          <w:rFonts w:eastAsia="黑体" w:hint="eastAsia"/>
          <w:sz w:val="28"/>
          <w:szCs w:val="28"/>
        </w:rPr>
        <w:t>中汽协会《</w:t>
      </w:r>
      <w:r w:rsidR="00792EE4">
        <w:rPr>
          <w:rFonts w:eastAsia="黑体" w:hint="eastAsia"/>
          <w:sz w:val="28"/>
          <w:szCs w:val="28"/>
        </w:rPr>
        <w:t>车桩融合大功率充电安全预警技术指南</w:t>
      </w:r>
      <w:r>
        <w:rPr>
          <w:rFonts w:eastAsia="黑体" w:hint="eastAsia"/>
          <w:sz w:val="28"/>
          <w:szCs w:val="28"/>
        </w:rPr>
        <w:t>》团体标准</w:t>
      </w:r>
    </w:p>
    <w:p w14:paraId="393DA28D" w14:textId="44B66B89" w:rsidR="00DB1114" w:rsidRDefault="005208A5">
      <w:pPr>
        <w:widowControl/>
        <w:jc w:val="center"/>
        <w:rPr>
          <w:rFonts w:eastAsia="黑体"/>
          <w:sz w:val="28"/>
          <w:szCs w:val="28"/>
        </w:rPr>
      </w:pPr>
      <w:r>
        <w:rPr>
          <w:rFonts w:eastAsia="黑体" w:hint="eastAsia"/>
          <w:sz w:val="28"/>
          <w:szCs w:val="28"/>
        </w:rPr>
        <w:t>编制说明</w:t>
      </w:r>
    </w:p>
    <w:p w14:paraId="0C91BB84" w14:textId="77777777" w:rsidR="00DB1114" w:rsidRDefault="00DB1114">
      <w:pPr>
        <w:rPr>
          <w:rFonts w:ascii="黑体" w:eastAsia="黑体" w:hAnsi="黑体" w:cs="黑体" w:hint="eastAsia"/>
          <w:color w:val="000000" w:themeColor="text1"/>
          <w:sz w:val="30"/>
          <w:szCs w:val="30"/>
        </w:rPr>
      </w:pPr>
    </w:p>
    <w:p w14:paraId="4DD36495" w14:textId="77777777" w:rsidR="00DB1114" w:rsidRDefault="005208A5">
      <w:pPr>
        <w:numPr>
          <w:ilvl w:val="0"/>
          <w:numId w:val="1"/>
        </w:numPr>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工作简要过程</w:t>
      </w:r>
    </w:p>
    <w:p w14:paraId="41C699B8" w14:textId="77777777" w:rsidR="00DB1114" w:rsidRDefault="005208A5" w:rsidP="00603687">
      <w:pPr>
        <w:numPr>
          <w:ilvl w:val="0"/>
          <w:numId w:val="2"/>
        </w:numPr>
        <w:spacing w:beforeLines="50" w:before="156" w:afterLines="50" w:after="156" w:line="360" w:lineRule="auto"/>
        <w:ind w:left="357"/>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任务来源</w:t>
      </w:r>
    </w:p>
    <w:p w14:paraId="34C2571F" w14:textId="77777777" w:rsidR="00566C80" w:rsidRPr="00B712A5" w:rsidRDefault="00566C80" w:rsidP="00566C80">
      <w:pPr>
        <w:pStyle w:val="a7"/>
        <w:spacing w:line="360" w:lineRule="auto"/>
        <w:ind w:firstLine="422"/>
        <w:rPr>
          <w:rFonts w:ascii="Times New Roman" w:hAnsi="Times New Roman"/>
          <w:b/>
          <w:szCs w:val="21"/>
        </w:rPr>
      </w:pPr>
      <w:r w:rsidRPr="00B712A5">
        <w:rPr>
          <w:rFonts w:ascii="Times New Roman" w:hAnsi="Times New Roman" w:hint="eastAsia"/>
          <w:b/>
          <w:szCs w:val="21"/>
        </w:rPr>
        <w:t>1</w:t>
      </w:r>
      <w:r w:rsidRPr="00B712A5">
        <w:rPr>
          <w:rFonts w:ascii="Times New Roman" w:hAnsi="Times New Roman" w:hint="eastAsia"/>
          <w:b/>
          <w:szCs w:val="21"/>
        </w:rPr>
        <w:t>、</w:t>
      </w:r>
      <w:r w:rsidRPr="00B712A5">
        <w:rPr>
          <w:rFonts w:ascii="Times New Roman" w:hAnsi="Times New Roman"/>
          <w:b/>
          <w:szCs w:val="21"/>
        </w:rPr>
        <w:t>任务来源</w:t>
      </w:r>
    </w:p>
    <w:p w14:paraId="1E951130" w14:textId="6D68E5F5" w:rsidR="00566C80" w:rsidRPr="00B712A5" w:rsidRDefault="00566C80" w:rsidP="00566C80">
      <w:pPr>
        <w:pStyle w:val="a7"/>
        <w:spacing w:line="360" w:lineRule="auto"/>
      </w:pPr>
      <w:r w:rsidRPr="00B712A5">
        <w:rPr>
          <w:rFonts w:ascii="Times New Roman" w:hAnsi="Times New Roman" w:hint="eastAsia"/>
          <w:szCs w:val="21"/>
        </w:rPr>
        <w:t>《</w:t>
      </w:r>
      <w:r w:rsidRPr="00566C80">
        <w:rPr>
          <w:rFonts w:ascii="Times New Roman" w:hAnsi="Times New Roman" w:hint="eastAsia"/>
          <w:szCs w:val="21"/>
        </w:rPr>
        <w:t>车桩融合大功率充电安全预警技术指南</w:t>
      </w:r>
      <w:r w:rsidRPr="00B712A5">
        <w:rPr>
          <w:rFonts w:ascii="Times New Roman" w:hAnsi="Times New Roman" w:hint="eastAsia"/>
          <w:szCs w:val="21"/>
        </w:rPr>
        <w:t>》团体标准由中国汽车工业协会批准立项，</w:t>
      </w:r>
      <w:r w:rsidRPr="00B712A5">
        <w:rPr>
          <w:rFonts w:ascii="Times New Roman" w:hAnsi="Times New Roman" w:hint="eastAsia"/>
        </w:rPr>
        <w:t>文件号中汽协函字【</w:t>
      </w:r>
      <w:r w:rsidR="00CC584B" w:rsidRPr="00CC584B">
        <w:rPr>
          <w:rFonts w:ascii="Times New Roman" w:hAnsi="Times New Roman"/>
        </w:rPr>
        <w:t>2025</w:t>
      </w:r>
      <w:r w:rsidRPr="00B712A5">
        <w:rPr>
          <w:rFonts w:ascii="Times New Roman" w:hAnsi="Times New Roman" w:hint="eastAsia"/>
        </w:rPr>
        <w:t>】</w:t>
      </w:r>
      <w:r w:rsidR="00CC584B">
        <w:rPr>
          <w:rFonts w:ascii="Times New Roman" w:hAnsi="Times New Roman" w:hint="eastAsia"/>
        </w:rPr>
        <w:t>315</w:t>
      </w:r>
      <w:r w:rsidRPr="00B712A5">
        <w:rPr>
          <w:rFonts w:ascii="Times New Roman" w:hAnsi="Times New Roman" w:hint="eastAsia"/>
        </w:rPr>
        <w:t>号，项目计划号</w:t>
      </w:r>
      <w:r w:rsidR="00CC584B">
        <w:rPr>
          <w:rFonts w:ascii="Times New Roman" w:hAnsi="Times New Roman" w:hint="eastAsia"/>
        </w:rPr>
        <w:t>2025-45</w:t>
      </w:r>
      <w:r w:rsidRPr="00B712A5">
        <w:rPr>
          <w:rFonts w:hint="eastAsia"/>
        </w:rPr>
        <w:t>。</w:t>
      </w:r>
    </w:p>
    <w:p w14:paraId="658D3444" w14:textId="77777777" w:rsidR="00566C80" w:rsidRPr="00B712A5" w:rsidRDefault="00566C80" w:rsidP="00566C80">
      <w:pPr>
        <w:pStyle w:val="a7"/>
        <w:spacing w:line="360" w:lineRule="auto"/>
        <w:ind w:firstLine="422"/>
        <w:rPr>
          <w:b/>
        </w:rPr>
      </w:pPr>
      <w:r w:rsidRPr="00B712A5">
        <w:rPr>
          <w:rFonts w:hint="eastAsia"/>
          <w:b/>
        </w:rPr>
        <w:t>2</w:t>
      </w:r>
      <w:r w:rsidRPr="00B712A5">
        <w:rPr>
          <w:rFonts w:hint="eastAsia"/>
          <w:b/>
        </w:rPr>
        <w:t>、编制背景与目标</w:t>
      </w:r>
    </w:p>
    <w:p w14:paraId="112E05D5" w14:textId="7B64F7DA" w:rsidR="00CC584B" w:rsidRDefault="00CC584B" w:rsidP="00566C80">
      <w:pPr>
        <w:pStyle w:val="a7"/>
        <w:spacing w:line="360" w:lineRule="auto"/>
        <w:rPr>
          <w:rFonts w:ascii="Times New Roman" w:hAnsi="Times New Roman"/>
          <w:szCs w:val="21"/>
        </w:rPr>
      </w:pPr>
      <w:r>
        <w:rPr>
          <w:rFonts w:ascii="Times New Roman" w:hAnsi="Times New Roman" w:hint="eastAsia"/>
          <w:szCs w:val="21"/>
        </w:rPr>
        <w:t>行业背景</w:t>
      </w:r>
      <w:r>
        <w:rPr>
          <w:rFonts w:ascii="Times New Roman" w:hAnsi="Times New Roman" w:hint="eastAsia"/>
          <w:szCs w:val="21"/>
        </w:rPr>
        <w:t>-</w:t>
      </w:r>
      <w:r>
        <w:rPr>
          <w:rFonts w:ascii="Times New Roman" w:hAnsi="Times New Roman" w:hint="eastAsia"/>
          <w:szCs w:val="21"/>
        </w:rPr>
        <w:t>科学问题</w:t>
      </w:r>
      <w:r>
        <w:rPr>
          <w:rFonts w:ascii="Times New Roman" w:hAnsi="Times New Roman" w:hint="eastAsia"/>
          <w:szCs w:val="21"/>
        </w:rPr>
        <w:t>-</w:t>
      </w:r>
      <w:r>
        <w:rPr>
          <w:rFonts w:ascii="Times New Roman" w:hAnsi="Times New Roman" w:hint="eastAsia"/>
          <w:szCs w:val="21"/>
        </w:rPr>
        <w:t>解决方式</w:t>
      </w:r>
      <w:r>
        <w:rPr>
          <w:rFonts w:ascii="Times New Roman" w:hAnsi="Times New Roman" w:hint="eastAsia"/>
          <w:szCs w:val="21"/>
        </w:rPr>
        <w:t>-</w:t>
      </w:r>
      <w:r>
        <w:rPr>
          <w:rFonts w:ascii="Times New Roman" w:hAnsi="Times New Roman" w:hint="eastAsia"/>
          <w:szCs w:val="21"/>
        </w:rPr>
        <w:t>达成效果</w:t>
      </w:r>
      <w:r>
        <w:rPr>
          <w:rFonts w:ascii="Times New Roman" w:hAnsi="Times New Roman" w:hint="eastAsia"/>
          <w:szCs w:val="21"/>
        </w:rPr>
        <w:t>-</w:t>
      </w:r>
      <w:r>
        <w:rPr>
          <w:rFonts w:ascii="Times New Roman" w:hAnsi="Times New Roman" w:hint="eastAsia"/>
          <w:szCs w:val="21"/>
        </w:rPr>
        <w:t>后续推广</w:t>
      </w:r>
    </w:p>
    <w:p w14:paraId="783A62D9" w14:textId="79611D1A" w:rsidR="00CC584B" w:rsidRPr="002E24DD" w:rsidRDefault="00CC584B" w:rsidP="002E24DD">
      <w:pPr>
        <w:pStyle w:val="a7"/>
        <w:spacing w:line="360" w:lineRule="auto"/>
        <w:rPr>
          <w:rFonts w:ascii="Times New Roman" w:hAnsi="Times New Roman"/>
          <w:szCs w:val="21"/>
        </w:rPr>
      </w:pPr>
      <w:r w:rsidRPr="002E24DD">
        <w:rPr>
          <w:rFonts w:ascii="Times New Roman" w:hAnsi="Times New Roman" w:hint="eastAsia"/>
          <w:szCs w:val="21"/>
        </w:rPr>
        <w:t>新能源汽车充电技术规模化已成为政策推动重心，</w:t>
      </w:r>
      <w:r w:rsidR="00605C86" w:rsidRPr="002E24DD">
        <w:rPr>
          <w:rFonts w:ascii="Times New Roman" w:hAnsi="Times New Roman" w:hint="eastAsia"/>
          <w:szCs w:val="21"/>
        </w:rPr>
        <w:t>截至</w:t>
      </w:r>
      <w:r w:rsidR="00605C86" w:rsidRPr="002E24DD">
        <w:rPr>
          <w:rFonts w:ascii="Times New Roman" w:hAnsi="Times New Roman" w:hint="eastAsia"/>
          <w:szCs w:val="21"/>
        </w:rPr>
        <w:t>2024</w:t>
      </w:r>
      <w:r w:rsidR="00605C86" w:rsidRPr="002E24DD">
        <w:rPr>
          <w:rFonts w:ascii="Times New Roman" w:hAnsi="Times New Roman" w:hint="eastAsia"/>
          <w:szCs w:val="21"/>
        </w:rPr>
        <w:t>年</w:t>
      </w:r>
      <w:r w:rsidR="00605C86" w:rsidRPr="002E24DD">
        <w:rPr>
          <w:rFonts w:ascii="Times New Roman" w:hAnsi="Times New Roman" w:hint="eastAsia"/>
          <w:szCs w:val="21"/>
        </w:rPr>
        <w:t>12</w:t>
      </w:r>
      <w:r w:rsidR="00605C86" w:rsidRPr="002E24DD">
        <w:rPr>
          <w:rFonts w:ascii="Times New Roman" w:hAnsi="Times New Roman" w:hint="eastAsia"/>
          <w:szCs w:val="21"/>
        </w:rPr>
        <w:t>月，全国充电基础设施保有量已达到</w:t>
      </w:r>
      <w:r w:rsidR="00605C86" w:rsidRPr="002E24DD">
        <w:rPr>
          <w:rFonts w:ascii="Times New Roman" w:hAnsi="Times New Roman" w:hint="eastAsia"/>
          <w:szCs w:val="21"/>
        </w:rPr>
        <w:t>1354.2</w:t>
      </w:r>
      <w:r w:rsidR="00605C86" w:rsidRPr="002E24DD">
        <w:rPr>
          <w:rFonts w:ascii="Times New Roman" w:hAnsi="Times New Roman" w:hint="eastAsia"/>
          <w:szCs w:val="21"/>
        </w:rPr>
        <w:t>万台，同比增长</w:t>
      </w:r>
      <w:r w:rsidR="00605C86" w:rsidRPr="002E24DD">
        <w:rPr>
          <w:rFonts w:ascii="Times New Roman" w:hAnsi="Times New Roman" w:hint="eastAsia"/>
          <w:szCs w:val="21"/>
        </w:rPr>
        <w:t>57.5%</w:t>
      </w:r>
      <w:r w:rsidR="00605C86" w:rsidRPr="002E24DD">
        <w:rPr>
          <w:rFonts w:ascii="Times New Roman" w:hAnsi="Times New Roman" w:hint="eastAsia"/>
          <w:szCs w:val="21"/>
        </w:rPr>
        <w:t>。充电基础设施与新能源汽车的发展相辅相成，充电设施的完善不仅缓解了用户的“里程焦虑”，也为新能源汽车的普及提供了坚实基础。近年大功率充电技术的标准化建设和产业化落地正在加快推进，相关国家及行业标准体系不断完善，旨在引导行业向高效、有序的方向发展，实现</w:t>
      </w:r>
      <w:r w:rsidR="00605C86" w:rsidRPr="002E24DD">
        <w:rPr>
          <w:rFonts w:ascii="Times New Roman" w:hAnsi="Times New Roman" w:hint="eastAsia"/>
          <w:szCs w:val="21"/>
        </w:rPr>
        <w:t>10</w:t>
      </w:r>
      <w:r w:rsidR="00605C86" w:rsidRPr="002E24DD">
        <w:rPr>
          <w:rFonts w:ascii="Times New Roman" w:hAnsi="Times New Roman" w:hint="eastAsia"/>
          <w:szCs w:val="21"/>
        </w:rPr>
        <w:t>分钟快速补能，提升充电体验、解决充电焦虑。</w:t>
      </w:r>
    </w:p>
    <w:p w14:paraId="74A56B21" w14:textId="6E9A7C69" w:rsidR="002E24DD" w:rsidRPr="002E24DD" w:rsidRDefault="00605C86" w:rsidP="002E24DD">
      <w:pPr>
        <w:pStyle w:val="a7"/>
        <w:spacing w:line="360" w:lineRule="auto"/>
        <w:rPr>
          <w:rFonts w:ascii="Times New Roman" w:hAnsi="Times New Roman"/>
          <w:szCs w:val="21"/>
        </w:rPr>
      </w:pPr>
      <w:r>
        <w:rPr>
          <w:rFonts w:ascii="Times New Roman" w:hAnsi="Times New Roman" w:hint="eastAsia"/>
          <w:szCs w:val="21"/>
        </w:rPr>
        <w:t>然而，大功率充电在提升补能效率的同时，仍然面临</w:t>
      </w:r>
      <w:r w:rsidR="002E24DD" w:rsidRPr="002E24DD">
        <w:rPr>
          <w:rFonts w:ascii="Times New Roman" w:hAnsi="Times New Roman" w:hint="eastAsia"/>
          <w:szCs w:val="21"/>
        </w:rPr>
        <w:t>多维度的安全挑战，涉及电池、电网、设备和用户操作等多个环节。这些安全挑战主要包括：</w:t>
      </w:r>
      <w:r w:rsidR="002E24DD">
        <w:rPr>
          <w:rFonts w:ascii="Times New Roman" w:hAnsi="Times New Roman" w:hint="eastAsia"/>
          <w:szCs w:val="21"/>
        </w:rPr>
        <w:t>（</w:t>
      </w:r>
      <w:r w:rsidR="002E24DD">
        <w:rPr>
          <w:rFonts w:ascii="Times New Roman" w:hAnsi="Times New Roman" w:hint="eastAsia"/>
          <w:szCs w:val="21"/>
        </w:rPr>
        <w:t>1</w:t>
      </w:r>
      <w:r w:rsidR="002E24DD">
        <w:rPr>
          <w:rFonts w:ascii="Times New Roman" w:hAnsi="Times New Roman" w:hint="eastAsia"/>
          <w:szCs w:val="21"/>
        </w:rPr>
        <w:t>）热安全问题——</w:t>
      </w:r>
      <w:r w:rsidR="002E24DD" w:rsidRPr="002E24DD">
        <w:rPr>
          <w:rFonts w:ascii="Times New Roman" w:hAnsi="Times New Roman" w:hint="eastAsia"/>
          <w:szCs w:val="21"/>
        </w:rPr>
        <w:t>包含充电桩、充电接口、电池等能量传输线路上所有环节的热量快速积累问题，若散热不及时，可能引发热失控，进而导致起火、爆炸等安全事故等。（</w:t>
      </w:r>
      <w:r w:rsidR="002E24DD" w:rsidRPr="002E24DD">
        <w:rPr>
          <w:rFonts w:ascii="Times New Roman" w:hAnsi="Times New Roman" w:hint="eastAsia"/>
          <w:szCs w:val="21"/>
        </w:rPr>
        <w:t>2</w:t>
      </w:r>
      <w:r w:rsidR="002E24DD" w:rsidRPr="002E24DD">
        <w:rPr>
          <w:rFonts w:ascii="Times New Roman" w:hAnsi="Times New Roman" w:hint="eastAsia"/>
          <w:szCs w:val="21"/>
        </w:rPr>
        <w:t>）电气安全问题——针对车桩来说主要包含高压绝缘、电磁兼容性、电腐蚀等安全风险，均可能对车桩及周围人员与设施产生威胁。而针对电网来说主要是带来电压波动、冲击等现象，威胁电网的稳定性，进而造成更大范围的影响和损失。（</w:t>
      </w:r>
      <w:r w:rsidR="002E24DD" w:rsidRPr="002E24DD">
        <w:rPr>
          <w:rFonts w:ascii="Times New Roman" w:hAnsi="Times New Roman" w:hint="eastAsia"/>
          <w:szCs w:val="21"/>
        </w:rPr>
        <w:t>3</w:t>
      </w:r>
      <w:r w:rsidR="002E24DD" w:rsidRPr="002E24DD">
        <w:rPr>
          <w:rFonts w:ascii="Times New Roman" w:hAnsi="Times New Roman" w:hint="eastAsia"/>
          <w:szCs w:val="21"/>
        </w:rPr>
        <w:t>）可靠性问题——包括充电接口长期工作在高压大电流工况下的可靠性、充电桩在恶劣环境下（如高温、高湿、灰尘等）工作的耐久性、辅助设施（如液冷散热系统）在高负荷工作状态下的稳定性等问题。（</w:t>
      </w:r>
      <w:r w:rsidR="002E24DD" w:rsidRPr="002E24DD">
        <w:rPr>
          <w:rFonts w:ascii="Times New Roman" w:hAnsi="Times New Roman" w:hint="eastAsia"/>
          <w:szCs w:val="21"/>
        </w:rPr>
        <w:t>4</w:t>
      </w:r>
      <w:r w:rsidR="002E24DD" w:rsidRPr="002E24DD">
        <w:rPr>
          <w:rFonts w:ascii="Times New Roman" w:hAnsi="Times New Roman" w:hint="eastAsia"/>
          <w:szCs w:val="21"/>
        </w:rPr>
        <w:t>）安全监管与责任界定问题——目前部分充电桩缺</w:t>
      </w:r>
      <w:r w:rsidR="002E24DD" w:rsidRPr="002E24DD">
        <w:rPr>
          <w:rFonts w:ascii="Times New Roman" w:hAnsi="Times New Roman" w:hint="eastAsia"/>
          <w:szCs w:val="21"/>
        </w:rPr>
        <w:lastRenderedPageBreak/>
        <w:t>乏充足的测试验证和有效的安全监测和预警机制，难以及时发现和处理潜在的安全隐患。此类风险出现在超充桩上的严重性将远高于小功率充电桩，尤其当充电速率大幅提升时，危机演变的速度和剧烈程度也将大幅提高，可能难以准确监控、预警和记录危机现象，责任界定较为复杂。</w:t>
      </w:r>
    </w:p>
    <w:p w14:paraId="277B1F59" w14:textId="48C7E44C" w:rsidR="002E24DD" w:rsidRPr="00095171" w:rsidRDefault="002E24DD" w:rsidP="002E24DD">
      <w:pPr>
        <w:pStyle w:val="a7"/>
        <w:spacing w:line="360" w:lineRule="auto"/>
        <w:rPr>
          <w:rFonts w:ascii="Times New Roman" w:hAnsi="Times New Roman"/>
          <w:szCs w:val="21"/>
        </w:rPr>
      </w:pPr>
      <w:r w:rsidRPr="002E24DD">
        <w:rPr>
          <w:rFonts w:ascii="Times New Roman" w:hAnsi="Times New Roman" w:hint="eastAsia"/>
          <w:szCs w:val="21"/>
        </w:rPr>
        <w:t>针对这些安全挑战，</w:t>
      </w:r>
      <w:r>
        <w:rPr>
          <w:rFonts w:ascii="Times New Roman" w:hAnsi="Times New Roman" w:hint="eastAsia"/>
          <w:szCs w:val="21"/>
        </w:rPr>
        <w:t>本标准希望</w:t>
      </w:r>
      <w:r w:rsidRPr="00095171">
        <w:rPr>
          <w:rFonts w:ascii="Times New Roman" w:hAnsi="Times New Roman" w:hint="eastAsia"/>
          <w:b/>
          <w:bCs/>
          <w:szCs w:val="21"/>
        </w:rPr>
        <w:t>建立完善的安全标准和监测机制</w:t>
      </w:r>
      <w:r w:rsidRPr="002E24DD">
        <w:rPr>
          <w:rFonts w:ascii="Times New Roman" w:hAnsi="Times New Roman" w:hint="eastAsia"/>
          <w:szCs w:val="21"/>
        </w:rPr>
        <w:t>，加强对支持超充技术的充电桩和新能源汽车的安全检测、预警监测工作</w:t>
      </w:r>
      <w:r>
        <w:rPr>
          <w:rFonts w:ascii="Times New Roman" w:hAnsi="Times New Roman" w:hint="eastAsia"/>
          <w:szCs w:val="21"/>
        </w:rPr>
        <w:t>，</w:t>
      </w:r>
      <w:r w:rsidRPr="00095171">
        <w:rPr>
          <w:rFonts w:ascii="Times New Roman" w:hAnsi="Times New Roman" w:hint="eastAsia"/>
          <w:b/>
          <w:bCs/>
          <w:szCs w:val="21"/>
        </w:rPr>
        <w:t>强化安全监控，系统化构建安全预警体系</w:t>
      </w:r>
      <w:r w:rsidR="00095171">
        <w:rPr>
          <w:rFonts w:ascii="Times New Roman" w:hAnsi="Times New Roman" w:hint="eastAsia"/>
          <w:szCs w:val="21"/>
        </w:rPr>
        <w:t>：</w:t>
      </w:r>
      <w:r w:rsidRPr="002E24DD">
        <w:rPr>
          <w:rFonts w:ascii="Times New Roman" w:hAnsi="Times New Roman" w:hint="eastAsia"/>
          <w:szCs w:val="21"/>
        </w:rPr>
        <w:t>解决大功率充电场景下，热失控、电气故障等高危安全问题</w:t>
      </w:r>
      <w:r>
        <w:rPr>
          <w:rFonts w:ascii="Times New Roman" w:hAnsi="Times New Roman" w:hint="eastAsia"/>
          <w:szCs w:val="21"/>
        </w:rPr>
        <w:t>；</w:t>
      </w:r>
      <w:r w:rsidRPr="00095171">
        <w:rPr>
          <w:rFonts w:ascii="Times New Roman" w:hAnsi="Times New Roman" w:hint="eastAsia"/>
          <w:b/>
          <w:bCs/>
          <w:szCs w:val="21"/>
        </w:rPr>
        <w:t>填补标准真空，统一行业技术迭代方向</w:t>
      </w:r>
      <w:r w:rsidR="00095171">
        <w:rPr>
          <w:rFonts w:ascii="Times New Roman" w:hAnsi="Times New Roman" w:hint="eastAsia"/>
          <w:szCs w:val="21"/>
        </w:rPr>
        <w:t>：</w:t>
      </w:r>
      <w:r w:rsidR="00882047" w:rsidRPr="00882047">
        <w:rPr>
          <w:rFonts w:ascii="Times New Roman" w:hAnsi="Times New Roman" w:hint="eastAsia"/>
          <w:szCs w:val="21"/>
        </w:rPr>
        <w:t>明确技术边界和兼容性要求，为技术大规模落地扫清障碍</w:t>
      </w:r>
      <w:r w:rsidR="00095171">
        <w:rPr>
          <w:rFonts w:ascii="Times New Roman" w:hAnsi="Times New Roman" w:hint="eastAsia"/>
          <w:szCs w:val="21"/>
        </w:rPr>
        <w:t>；</w:t>
      </w:r>
      <w:r w:rsidR="00095171" w:rsidRPr="00095171">
        <w:rPr>
          <w:rFonts w:ascii="Times New Roman" w:hAnsi="Times New Roman" w:hint="eastAsia"/>
          <w:b/>
          <w:bCs/>
          <w:szCs w:val="21"/>
        </w:rPr>
        <w:t>强化产业链协同，优化资源配置</w:t>
      </w:r>
      <w:r w:rsidR="00095171">
        <w:rPr>
          <w:rFonts w:ascii="Times New Roman" w:hAnsi="Times New Roman" w:hint="eastAsia"/>
          <w:szCs w:val="21"/>
        </w:rPr>
        <w:t>：</w:t>
      </w:r>
      <w:r w:rsidR="00095171" w:rsidRPr="00095171">
        <w:rPr>
          <w:rFonts w:ascii="Times New Roman" w:hAnsi="Times New Roman" w:hint="eastAsia"/>
          <w:szCs w:val="21"/>
        </w:rPr>
        <w:t>通过本标准制定能够平衡车企、充电运营商、电网企业等多元主体的利益诉求，促进技术路径协同与资源高效配置，避免重复投入和低水平竞争，推动产业链从松散协作转向深度融合</w:t>
      </w:r>
      <w:r w:rsidR="00095171">
        <w:rPr>
          <w:rFonts w:ascii="Times New Roman" w:hAnsi="Times New Roman" w:hint="eastAsia"/>
          <w:szCs w:val="21"/>
        </w:rPr>
        <w:t>；</w:t>
      </w:r>
      <w:r w:rsidR="00095171" w:rsidRPr="00095171">
        <w:rPr>
          <w:rFonts w:ascii="Times New Roman" w:hAnsi="Times New Roman" w:hint="eastAsia"/>
          <w:b/>
          <w:bCs/>
          <w:szCs w:val="21"/>
        </w:rPr>
        <w:t>抢占标准话语权，展望全球化布局：</w:t>
      </w:r>
      <w:r w:rsidR="00095171" w:rsidRPr="00095171">
        <w:rPr>
          <w:rFonts w:ascii="Times New Roman" w:hAnsi="Times New Roman" w:hint="eastAsia"/>
          <w:szCs w:val="21"/>
        </w:rPr>
        <w:t>中国超充桩保有量全球占比已达</w:t>
      </w:r>
      <w:r w:rsidR="00095171" w:rsidRPr="00095171">
        <w:rPr>
          <w:rFonts w:ascii="Times New Roman" w:hAnsi="Times New Roman" w:hint="eastAsia"/>
          <w:szCs w:val="21"/>
        </w:rPr>
        <w:t>68%</w:t>
      </w:r>
      <w:r w:rsidR="00095171" w:rsidRPr="00095171">
        <w:rPr>
          <w:rFonts w:ascii="Times New Roman" w:hAnsi="Times New Roman" w:hint="eastAsia"/>
          <w:szCs w:val="21"/>
        </w:rPr>
        <w:t>，中国新能源汽车相关产业也正从技术输出转向标准输出。本标准的制定，不仅可为国内企业提供统一的技术指南，更能为</w:t>
      </w:r>
      <w:r w:rsidR="00095171" w:rsidRPr="00095171">
        <w:rPr>
          <w:rFonts w:ascii="Times New Roman" w:hAnsi="Times New Roman" w:hint="eastAsia"/>
          <w:szCs w:val="21"/>
        </w:rPr>
        <w:t>IEC/ISO</w:t>
      </w:r>
      <w:r w:rsidR="00095171" w:rsidRPr="00095171">
        <w:rPr>
          <w:rFonts w:ascii="Times New Roman" w:hAnsi="Times New Roman" w:hint="eastAsia"/>
          <w:szCs w:val="21"/>
        </w:rPr>
        <w:t>国际标准提案提供实践范本</w:t>
      </w:r>
      <w:r w:rsidR="00095171">
        <w:rPr>
          <w:rFonts w:ascii="Times New Roman" w:hAnsi="Times New Roman" w:hint="eastAsia"/>
          <w:szCs w:val="21"/>
        </w:rPr>
        <w:t>。</w:t>
      </w:r>
    </w:p>
    <w:p w14:paraId="7538A274" w14:textId="77777777" w:rsidR="00095171" w:rsidRPr="00B712A5" w:rsidRDefault="00095171" w:rsidP="00095171">
      <w:pPr>
        <w:pStyle w:val="a7"/>
        <w:spacing w:line="360" w:lineRule="auto"/>
        <w:rPr>
          <w:rFonts w:ascii="Times New Roman" w:hAnsi="Times New Roman"/>
          <w:szCs w:val="21"/>
        </w:rPr>
      </w:pPr>
      <w:r>
        <w:rPr>
          <w:rFonts w:ascii="Times New Roman" w:hAnsi="Times New Roman" w:hint="eastAsia"/>
          <w:szCs w:val="21"/>
        </w:rPr>
        <w:t>本</w:t>
      </w:r>
      <w:r w:rsidRPr="00B712A5">
        <w:rPr>
          <w:rFonts w:ascii="Times New Roman" w:hAnsi="Times New Roman" w:hint="eastAsia"/>
          <w:szCs w:val="21"/>
        </w:rPr>
        <w:t>标准</w:t>
      </w:r>
      <w:r>
        <w:rPr>
          <w:rFonts w:ascii="Times New Roman" w:hAnsi="Times New Roman" w:hint="eastAsia"/>
          <w:szCs w:val="21"/>
        </w:rPr>
        <w:t>发布后仍将持续迭代</w:t>
      </w:r>
      <w:r w:rsidRPr="00B712A5">
        <w:rPr>
          <w:rFonts w:ascii="Times New Roman" w:hAnsi="Times New Roman" w:hint="eastAsia"/>
          <w:szCs w:val="21"/>
        </w:rPr>
        <w:t>，</w:t>
      </w:r>
      <w:r>
        <w:rPr>
          <w:rFonts w:ascii="Times New Roman" w:hAnsi="Times New Roman" w:hint="eastAsia"/>
          <w:szCs w:val="21"/>
        </w:rPr>
        <w:t>适时修订，并</w:t>
      </w:r>
      <w:r w:rsidRPr="00B712A5">
        <w:rPr>
          <w:rFonts w:ascii="Times New Roman" w:hAnsi="Times New Roman" w:hint="eastAsia"/>
          <w:szCs w:val="21"/>
        </w:rPr>
        <w:t>为后期相关国家标准的制定奠定基础。</w:t>
      </w:r>
    </w:p>
    <w:p w14:paraId="61DFA1E1" w14:textId="77777777" w:rsidR="00DB1114" w:rsidRDefault="005208A5" w:rsidP="00603687">
      <w:pPr>
        <w:numPr>
          <w:ilvl w:val="0"/>
          <w:numId w:val="2"/>
        </w:numPr>
        <w:spacing w:beforeLines="50" w:before="156" w:afterLines="50" w:after="156" w:line="360" w:lineRule="auto"/>
        <w:ind w:left="357"/>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主要起草单位及任务分工</w:t>
      </w:r>
    </w:p>
    <w:p w14:paraId="76F1CAD4" w14:textId="5FDD1111" w:rsidR="00DB1114" w:rsidRDefault="00095171" w:rsidP="00095171">
      <w:pPr>
        <w:spacing w:after="0" w:line="360" w:lineRule="auto"/>
        <w:ind w:firstLineChars="200" w:firstLine="420"/>
        <w:rPr>
          <w:szCs w:val="21"/>
        </w:rPr>
      </w:pPr>
      <w:r w:rsidRPr="00095171">
        <w:rPr>
          <w:rFonts w:hint="eastAsia"/>
          <w:szCs w:val="21"/>
        </w:rPr>
        <w:t>标准起草组</w:t>
      </w:r>
      <w:r>
        <w:rPr>
          <w:rFonts w:hint="eastAsia"/>
          <w:szCs w:val="21"/>
        </w:rPr>
        <w:t>主要由：产品研发单位、检测单位、运营单位、科研院所以及高校组成，由国家市场监督管理总局缺陷召回中心与中国汽车工程研究院股份有限公司联合牵头，包含：</w:t>
      </w:r>
      <w:r w:rsidRPr="00095171">
        <w:rPr>
          <w:rFonts w:hint="eastAsia"/>
          <w:szCs w:val="21"/>
        </w:rPr>
        <w:t>中国电动汽车充电基础设施促进联盟</w:t>
      </w:r>
      <w:r>
        <w:rPr>
          <w:rFonts w:hint="eastAsia"/>
          <w:szCs w:val="21"/>
        </w:rPr>
        <w:t>、</w:t>
      </w:r>
      <w:r w:rsidRPr="00095171">
        <w:rPr>
          <w:rFonts w:hint="eastAsia"/>
          <w:szCs w:val="21"/>
        </w:rPr>
        <w:t>深圳市计量科学研究院</w:t>
      </w:r>
      <w:r w:rsidR="001E66E3">
        <w:rPr>
          <w:rFonts w:hint="eastAsia"/>
          <w:szCs w:val="21"/>
        </w:rPr>
        <w:t>、</w:t>
      </w:r>
      <w:r w:rsidRPr="00095171">
        <w:rPr>
          <w:rFonts w:hint="eastAsia"/>
          <w:szCs w:val="21"/>
        </w:rPr>
        <w:t>中汽院新能源科技有限公司</w:t>
      </w:r>
      <w:r w:rsidR="001E66E3">
        <w:rPr>
          <w:rFonts w:hint="eastAsia"/>
          <w:szCs w:val="21"/>
        </w:rPr>
        <w:t>、</w:t>
      </w:r>
      <w:r w:rsidRPr="00095171">
        <w:rPr>
          <w:rFonts w:hint="eastAsia"/>
          <w:szCs w:val="21"/>
        </w:rPr>
        <w:t>广州小鹏汽车科技有限公司</w:t>
      </w:r>
      <w:r w:rsidR="001E66E3">
        <w:rPr>
          <w:rFonts w:hint="eastAsia"/>
          <w:szCs w:val="21"/>
        </w:rPr>
        <w:t>、</w:t>
      </w:r>
      <w:r w:rsidRPr="00095171">
        <w:rPr>
          <w:rFonts w:hint="eastAsia"/>
          <w:szCs w:val="21"/>
        </w:rPr>
        <w:t>北京理想汽车有限公司</w:t>
      </w:r>
      <w:r w:rsidR="001E66E3">
        <w:rPr>
          <w:rFonts w:hint="eastAsia"/>
          <w:szCs w:val="21"/>
        </w:rPr>
        <w:t>、</w:t>
      </w:r>
      <w:r w:rsidRPr="00095171">
        <w:rPr>
          <w:rFonts w:hint="eastAsia"/>
          <w:szCs w:val="21"/>
        </w:rPr>
        <w:t>广汽埃安新能源汽车股份有限公司</w:t>
      </w:r>
      <w:r w:rsidR="001E66E3">
        <w:rPr>
          <w:rFonts w:hint="eastAsia"/>
          <w:szCs w:val="21"/>
        </w:rPr>
        <w:t>、</w:t>
      </w:r>
      <w:r w:rsidR="00414B7F" w:rsidRPr="00095171">
        <w:rPr>
          <w:rFonts w:hint="eastAsia"/>
          <w:szCs w:val="21"/>
        </w:rPr>
        <w:t>上海蔚来汽车有限公司</w:t>
      </w:r>
      <w:r w:rsidR="00414B7F">
        <w:rPr>
          <w:rFonts w:hint="eastAsia"/>
          <w:szCs w:val="21"/>
        </w:rPr>
        <w:t>、</w:t>
      </w:r>
      <w:r w:rsidR="00414B7F" w:rsidRPr="00414B7F">
        <w:rPr>
          <w:rFonts w:hint="eastAsia"/>
          <w:szCs w:val="21"/>
        </w:rPr>
        <w:t>重庆市绿色能源发展有限公司</w:t>
      </w:r>
      <w:r w:rsidR="00414B7F">
        <w:rPr>
          <w:rFonts w:hint="eastAsia"/>
          <w:szCs w:val="21"/>
        </w:rPr>
        <w:t>、</w:t>
      </w:r>
      <w:r w:rsidR="00414B7F" w:rsidRPr="00414B7F">
        <w:rPr>
          <w:rFonts w:hint="eastAsia"/>
          <w:szCs w:val="21"/>
        </w:rPr>
        <w:t>招商局检测车辆技术研究院有限公司</w:t>
      </w:r>
      <w:r w:rsidR="00414B7F">
        <w:rPr>
          <w:rFonts w:hint="eastAsia"/>
          <w:szCs w:val="21"/>
        </w:rPr>
        <w:t>、</w:t>
      </w:r>
      <w:r w:rsidRPr="00095171">
        <w:rPr>
          <w:rFonts w:hint="eastAsia"/>
          <w:szCs w:val="21"/>
        </w:rPr>
        <w:t>华为数字能源技术有限公司</w:t>
      </w:r>
      <w:r w:rsidR="001E66E3">
        <w:rPr>
          <w:rFonts w:hint="eastAsia"/>
          <w:szCs w:val="21"/>
        </w:rPr>
        <w:t>、</w:t>
      </w:r>
      <w:r w:rsidR="00414B7F" w:rsidRPr="00414B7F">
        <w:rPr>
          <w:rFonts w:hint="eastAsia"/>
          <w:szCs w:val="21"/>
        </w:rPr>
        <w:t>重庆邮电大学</w:t>
      </w:r>
      <w:r w:rsidR="00414B7F">
        <w:rPr>
          <w:rFonts w:hint="eastAsia"/>
          <w:szCs w:val="21"/>
        </w:rPr>
        <w:t>、</w:t>
      </w:r>
      <w:r w:rsidR="00414B7F" w:rsidRPr="00414B7F">
        <w:rPr>
          <w:rFonts w:hint="eastAsia"/>
          <w:szCs w:val="21"/>
        </w:rPr>
        <w:t>阳光电源股份有限公司</w:t>
      </w:r>
      <w:r w:rsidR="00414B7F">
        <w:rPr>
          <w:rFonts w:hint="eastAsia"/>
          <w:szCs w:val="21"/>
        </w:rPr>
        <w:t>、</w:t>
      </w:r>
      <w:r w:rsidRPr="00095171">
        <w:rPr>
          <w:rFonts w:hint="eastAsia"/>
          <w:szCs w:val="21"/>
        </w:rPr>
        <w:t>特来电新能源股份有限公司</w:t>
      </w:r>
      <w:r w:rsidR="001E66E3">
        <w:rPr>
          <w:rFonts w:hint="eastAsia"/>
          <w:szCs w:val="21"/>
        </w:rPr>
        <w:t>、</w:t>
      </w:r>
      <w:r w:rsidRPr="00095171">
        <w:rPr>
          <w:rFonts w:hint="eastAsia"/>
          <w:szCs w:val="21"/>
        </w:rPr>
        <w:t>许继电气股份有限公司</w:t>
      </w:r>
      <w:r w:rsidR="001E66E3">
        <w:rPr>
          <w:rFonts w:hint="eastAsia"/>
          <w:szCs w:val="21"/>
        </w:rPr>
        <w:t>、</w:t>
      </w:r>
      <w:r w:rsidRPr="00095171">
        <w:rPr>
          <w:rFonts w:hint="eastAsia"/>
          <w:szCs w:val="21"/>
        </w:rPr>
        <w:t>北京链宇科技有限责任公司</w:t>
      </w:r>
      <w:r w:rsidR="001E66E3">
        <w:rPr>
          <w:rFonts w:hint="eastAsia"/>
          <w:szCs w:val="21"/>
        </w:rPr>
        <w:t>、</w:t>
      </w:r>
      <w:r w:rsidRPr="00095171">
        <w:rPr>
          <w:rFonts w:hint="eastAsia"/>
          <w:szCs w:val="21"/>
        </w:rPr>
        <w:t>上海控安智科软件有限公司</w:t>
      </w:r>
      <w:r w:rsidR="001E66E3">
        <w:rPr>
          <w:rFonts w:hint="eastAsia"/>
          <w:szCs w:val="21"/>
        </w:rPr>
        <w:t>、</w:t>
      </w:r>
      <w:r w:rsidRPr="00095171">
        <w:rPr>
          <w:rFonts w:hint="eastAsia"/>
          <w:szCs w:val="21"/>
        </w:rPr>
        <w:t>国网智慧车联网技术有限公司</w:t>
      </w:r>
      <w:r w:rsidR="001E66E3">
        <w:rPr>
          <w:rFonts w:hint="eastAsia"/>
          <w:szCs w:val="21"/>
        </w:rPr>
        <w:t>、</w:t>
      </w:r>
      <w:r w:rsidRPr="00095171">
        <w:rPr>
          <w:rFonts w:hint="eastAsia"/>
          <w:szCs w:val="21"/>
        </w:rPr>
        <w:t>赛力斯集团股份有限公司</w:t>
      </w:r>
      <w:r w:rsidR="00414B7F">
        <w:rPr>
          <w:rFonts w:hint="eastAsia"/>
          <w:szCs w:val="21"/>
        </w:rPr>
        <w:t>、</w:t>
      </w:r>
      <w:r w:rsidR="00414B7F" w:rsidRPr="00414B7F">
        <w:rPr>
          <w:rFonts w:hint="eastAsia"/>
          <w:szCs w:val="21"/>
        </w:rPr>
        <w:t>杭州极电电子科技有限公司</w:t>
      </w:r>
      <w:r w:rsidR="00414B7F">
        <w:rPr>
          <w:rFonts w:hint="eastAsia"/>
          <w:szCs w:val="21"/>
        </w:rPr>
        <w:t>、</w:t>
      </w:r>
      <w:r w:rsidR="00414B7F" w:rsidRPr="00414B7F">
        <w:rPr>
          <w:rFonts w:hint="eastAsia"/>
          <w:szCs w:val="21"/>
        </w:rPr>
        <w:t>国家新能源数字监管创新中心</w:t>
      </w:r>
      <w:r w:rsidR="00414B7F">
        <w:rPr>
          <w:rFonts w:hint="eastAsia"/>
          <w:szCs w:val="21"/>
        </w:rPr>
        <w:t>、</w:t>
      </w:r>
      <w:r w:rsidR="00414B7F" w:rsidRPr="00414B7F">
        <w:rPr>
          <w:rFonts w:hint="eastAsia"/>
          <w:szCs w:val="21"/>
        </w:rPr>
        <w:t>中国</w:t>
      </w:r>
      <w:r w:rsidR="00414B7F">
        <w:rPr>
          <w:rFonts w:hint="eastAsia"/>
          <w:szCs w:val="21"/>
        </w:rPr>
        <w:t>电力科学研究院</w:t>
      </w:r>
      <w:r w:rsidR="001E66E3">
        <w:rPr>
          <w:rFonts w:hint="eastAsia"/>
          <w:szCs w:val="21"/>
        </w:rPr>
        <w:t>等</w:t>
      </w:r>
      <w:r w:rsidR="00414B7F">
        <w:rPr>
          <w:rFonts w:hint="eastAsia"/>
          <w:szCs w:val="21"/>
        </w:rPr>
        <w:t>23</w:t>
      </w:r>
      <w:r w:rsidR="001E66E3">
        <w:rPr>
          <w:rFonts w:hint="eastAsia"/>
          <w:szCs w:val="21"/>
        </w:rPr>
        <w:t>家单位组成，</w:t>
      </w:r>
      <w:r w:rsidR="001B72E6">
        <w:rPr>
          <w:rFonts w:hint="eastAsia"/>
          <w:szCs w:val="21"/>
        </w:rPr>
        <w:t>各企业</w:t>
      </w:r>
      <w:r w:rsidR="001E66E3">
        <w:rPr>
          <w:rFonts w:hint="eastAsia"/>
          <w:szCs w:val="21"/>
        </w:rPr>
        <w:t>主要分工</w:t>
      </w:r>
      <w:r w:rsidR="001B72E6">
        <w:rPr>
          <w:rFonts w:hint="eastAsia"/>
          <w:szCs w:val="21"/>
        </w:rPr>
        <w:t>情况如下</w:t>
      </w:r>
      <w:r w:rsidR="001E66E3">
        <w:rPr>
          <w:rFonts w:hint="eastAsia"/>
          <w:szCs w:val="21"/>
        </w:rPr>
        <w:t>：</w:t>
      </w:r>
    </w:p>
    <w:tbl>
      <w:tblPr>
        <w:tblStyle w:val="a8"/>
        <w:tblW w:w="0" w:type="auto"/>
        <w:jc w:val="center"/>
        <w:tblLook w:val="04A0" w:firstRow="1" w:lastRow="0" w:firstColumn="1" w:lastColumn="0" w:noHBand="0" w:noVBand="1"/>
      </w:tblPr>
      <w:tblGrid>
        <w:gridCol w:w="5824"/>
        <w:gridCol w:w="2222"/>
      </w:tblGrid>
      <w:tr w:rsidR="00680235" w14:paraId="5C14C219" w14:textId="77777777" w:rsidTr="0044590D">
        <w:trPr>
          <w:jc w:val="center"/>
        </w:trPr>
        <w:tc>
          <w:tcPr>
            <w:tcW w:w="5824" w:type="dxa"/>
          </w:tcPr>
          <w:p w14:paraId="2E1B572E" w14:textId="7B4C80A9" w:rsidR="00680235" w:rsidRPr="00680235" w:rsidRDefault="00680235" w:rsidP="00680235">
            <w:pPr>
              <w:spacing w:line="360" w:lineRule="auto"/>
              <w:jc w:val="center"/>
              <w:rPr>
                <w:b/>
                <w:bCs/>
                <w:szCs w:val="21"/>
              </w:rPr>
            </w:pPr>
            <w:r w:rsidRPr="00680235">
              <w:rPr>
                <w:rFonts w:hint="eastAsia"/>
                <w:b/>
                <w:bCs/>
                <w:szCs w:val="21"/>
              </w:rPr>
              <w:t>单位</w:t>
            </w:r>
          </w:p>
        </w:tc>
        <w:tc>
          <w:tcPr>
            <w:tcW w:w="2222" w:type="dxa"/>
          </w:tcPr>
          <w:p w14:paraId="69EC4D42" w14:textId="41667276" w:rsidR="00680235" w:rsidRPr="00680235" w:rsidRDefault="0044590D" w:rsidP="00680235">
            <w:pPr>
              <w:spacing w:line="360" w:lineRule="auto"/>
              <w:jc w:val="center"/>
              <w:rPr>
                <w:b/>
                <w:bCs/>
                <w:szCs w:val="21"/>
              </w:rPr>
            </w:pPr>
            <w:r>
              <w:rPr>
                <w:rFonts w:hint="eastAsia"/>
                <w:b/>
                <w:bCs/>
                <w:szCs w:val="21"/>
              </w:rPr>
              <w:t>主要</w:t>
            </w:r>
            <w:r w:rsidR="00680235" w:rsidRPr="00680235">
              <w:rPr>
                <w:rFonts w:hint="eastAsia"/>
                <w:b/>
                <w:bCs/>
                <w:szCs w:val="21"/>
              </w:rPr>
              <w:t>分工</w:t>
            </w:r>
          </w:p>
        </w:tc>
      </w:tr>
      <w:tr w:rsidR="00680235" w14:paraId="10BFD742" w14:textId="77777777" w:rsidTr="009112F2">
        <w:trPr>
          <w:jc w:val="center"/>
        </w:trPr>
        <w:tc>
          <w:tcPr>
            <w:tcW w:w="5824" w:type="dxa"/>
            <w:vAlign w:val="center"/>
          </w:tcPr>
          <w:p w14:paraId="23672D4C" w14:textId="208C602B" w:rsidR="00680235" w:rsidRDefault="0044590D" w:rsidP="009112F2">
            <w:pPr>
              <w:spacing w:line="360" w:lineRule="auto"/>
              <w:jc w:val="center"/>
              <w:rPr>
                <w:szCs w:val="21"/>
              </w:rPr>
            </w:pPr>
            <w:r>
              <w:rPr>
                <w:rFonts w:hint="eastAsia"/>
                <w:szCs w:val="21"/>
              </w:rPr>
              <w:t>中国汽车工程研究院股份有限公司，国家市场监督管理总局缺陷召回中心</w:t>
            </w:r>
          </w:p>
        </w:tc>
        <w:tc>
          <w:tcPr>
            <w:tcW w:w="2222" w:type="dxa"/>
            <w:vAlign w:val="center"/>
          </w:tcPr>
          <w:p w14:paraId="48418BE2" w14:textId="79EC212B" w:rsidR="00680235" w:rsidRDefault="00680235" w:rsidP="009112F2">
            <w:pPr>
              <w:spacing w:line="360" w:lineRule="auto"/>
              <w:jc w:val="center"/>
              <w:rPr>
                <w:szCs w:val="21"/>
              </w:rPr>
            </w:pPr>
            <w:r>
              <w:rPr>
                <w:rFonts w:hint="eastAsia"/>
                <w:szCs w:val="21"/>
              </w:rPr>
              <w:t>工作统筹、会议组织、行业调研、测试验证</w:t>
            </w:r>
          </w:p>
        </w:tc>
      </w:tr>
      <w:tr w:rsidR="0044590D" w14:paraId="093B7675" w14:textId="77777777" w:rsidTr="009112F2">
        <w:trPr>
          <w:jc w:val="center"/>
        </w:trPr>
        <w:tc>
          <w:tcPr>
            <w:tcW w:w="5824" w:type="dxa"/>
            <w:vAlign w:val="center"/>
          </w:tcPr>
          <w:p w14:paraId="209D572E" w14:textId="5D1D4F5A" w:rsidR="0044590D" w:rsidRDefault="0044590D" w:rsidP="009112F2">
            <w:pPr>
              <w:spacing w:line="360" w:lineRule="auto"/>
              <w:jc w:val="center"/>
              <w:rPr>
                <w:szCs w:val="21"/>
              </w:rPr>
            </w:pPr>
            <w:r w:rsidRPr="00095171">
              <w:rPr>
                <w:rFonts w:hint="eastAsia"/>
                <w:szCs w:val="21"/>
              </w:rPr>
              <w:lastRenderedPageBreak/>
              <w:t>中汽院新能源科技有限公司</w:t>
            </w:r>
            <w:r>
              <w:rPr>
                <w:rFonts w:hint="eastAsia"/>
                <w:szCs w:val="21"/>
              </w:rPr>
              <w:t>，</w:t>
            </w:r>
            <w:r w:rsidRPr="00095171">
              <w:rPr>
                <w:rFonts w:hint="eastAsia"/>
                <w:szCs w:val="21"/>
              </w:rPr>
              <w:t>深圳市计量科学研究院</w:t>
            </w:r>
            <w:r>
              <w:rPr>
                <w:rFonts w:hint="eastAsia"/>
                <w:szCs w:val="21"/>
              </w:rPr>
              <w:t>，</w:t>
            </w:r>
            <w:r w:rsidRPr="00414B7F">
              <w:rPr>
                <w:rFonts w:hint="eastAsia"/>
                <w:szCs w:val="21"/>
              </w:rPr>
              <w:t>招商局检测车辆技术研究院有限公司</w:t>
            </w:r>
          </w:p>
        </w:tc>
        <w:tc>
          <w:tcPr>
            <w:tcW w:w="2222" w:type="dxa"/>
            <w:vAlign w:val="center"/>
          </w:tcPr>
          <w:p w14:paraId="4F263E93" w14:textId="3C268775" w:rsidR="0044590D" w:rsidRDefault="0044590D" w:rsidP="009112F2">
            <w:pPr>
              <w:spacing w:line="360" w:lineRule="auto"/>
              <w:jc w:val="center"/>
              <w:rPr>
                <w:szCs w:val="21"/>
              </w:rPr>
            </w:pPr>
            <w:r>
              <w:rPr>
                <w:rFonts w:hint="eastAsia"/>
                <w:szCs w:val="21"/>
              </w:rPr>
              <w:t>技术支撑、测试验证</w:t>
            </w:r>
          </w:p>
        </w:tc>
      </w:tr>
      <w:tr w:rsidR="00680235" w14:paraId="3597E73F" w14:textId="77777777" w:rsidTr="009112F2">
        <w:trPr>
          <w:jc w:val="center"/>
        </w:trPr>
        <w:tc>
          <w:tcPr>
            <w:tcW w:w="5824" w:type="dxa"/>
            <w:vAlign w:val="center"/>
          </w:tcPr>
          <w:p w14:paraId="67598797" w14:textId="51BD9170" w:rsidR="00680235" w:rsidRDefault="0044590D" w:rsidP="009112F2">
            <w:pPr>
              <w:spacing w:line="360" w:lineRule="auto"/>
              <w:jc w:val="center"/>
              <w:rPr>
                <w:szCs w:val="21"/>
              </w:rPr>
            </w:pPr>
            <w:r w:rsidRPr="00095171">
              <w:rPr>
                <w:rFonts w:hint="eastAsia"/>
                <w:szCs w:val="21"/>
              </w:rPr>
              <w:t>广州小鹏汽车科技有限公司</w:t>
            </w:r>
            <w:r>
              <w:rPr>
                <w:rFonts w:hint="eastAsia"/>
                <w:szCs w:val="21"/>
              </w:rPr>
              <w:t>、</w:t>
            </w:r>
            <w:r w:rsidRPr="00095171">
              <w:rPr>
                <w:rFonts w:hint="eastAsia"/>
                <w:szCs w:val="21"/>
              </w:rPr>
              <w:t>北京理想汽车有限公司</w:t>
            </w:r>
            <w:r>
              <w:rPr>
                <w:rFonts w:hint="eastAsia"/>
                <w:szCs w:val="21"/>
              </w:rPr>
              <w:t>、</w:t>
            </w:r>
            <w:r w:rsidRPr="00095171">
              <w:rPr>
                <w:rFonts w:hint="eastAsia"/>
                <w:szCs w:val="21"/>
              </w:rPr>
              <w:t>广汽埃安新能源汽车股份有限公司</w:t>
            </w:r>
            <w:r>
              <w:rPr>
                <w:rFonts w:hint="eastAsia"/>
                <w:szCs w:val="21"/>
              </w:rPr>
              <w:t>、</w:t>
            </w:r>
            <w:r w:rsidRPr="00095171">
              <w:rPr>
                <w:rFonts w:hint="eastAsia"/>
                <w:szCs w:val="21"/>
              </w:rPr>
              <w:t>上海蔚来汽车有限公司</w:t>
            </w:r>
            <w:r>
              <w:rPr>
                <w:rFonts w:hint="eastAsia"/>
                <w:szCs w:val="21"/>
              </w:rPr>
              <w:t>，</w:t>
            </w:r>
            <w:r w:rsidRPr="00095171">
              <w:rPr>
                <w:rFonts w:hint="eastAsia"/>
                <w:szCs w:val="21"/>
              </w:rPr>
              <w:t>华为数字能源技术有限公司</w:t>
            </w:r>
            <w:r>
              <w:rPr>
                <w:rFonts w:hint="eastAsia"/>
                <w:szCs w:val="21"/>
              </w:rPr>
              <w:t>，</w:t>
            </w:r>
            <w:r w:rsidRPr="00414B7F">
              <w:rPr>
                <w:rFonts w:hint="eastAsia"/>
                <w:szCs w:val="21"/>
              </w:rPr>
              <w:t>重庆邮电大学</w:t>
            </w:r>
            <w:r>
              <w:rPr>
                <w:rFonts w:hint="eastAsia"/>
                <w:szCs w:val="21"/>
              </w:rPr>
              <w:t>、</w:t>
            </w:r>
            <w:r w:rsidRPr="00414B7F">
              <w:rPr>
                <w:rFonts w:hint="eastAsia"/>
                <w:szCs w:val="21"/>
              </w:rPr>
              <w:t>阳光电源股份有限公司</w:t>
            </w:r>
            <w:r>
              <w:rPr>
                <w:rFonts w:hint="eastAsia"/>
                <w:szCs w:val="21"/>
              </w:rPr>
              <w:t>、</w:t>
            </w:r>
            <w:r w:rsidRPr="00095171">
              <w:rPr>
                <w:rFonts w:hint="eastAsia"/>
                <w:szCs w:val="21"/>
              </w:rPr>
              <w:t>特来电新能源股份有限公司</w:t>
            </w:r>
            <w:r>
              <w:rPr>
                <w:rFonts w:hint="eastAsia"/>
                <w:szCs w:val="21"/>
              </w:rPr>
              <w:t>、</w:t>
            </w:r>
            <w:r w:rsidRPr="00095171">
              <w:rPr>
                <w:rFonts w:hint="eastAsia"/>
                <w:szCs w:val="21"/>
              </w:rPr>
              <w:t>许继电气股份有限公司</w:t>
            </w:r>
            <w:r>
              <w:rPr>
                <w:rFonts w:hint="eastAsia"/>
                <w:szCs w:val="21"/>
              </w:rPr>
              <w:t>、</w:t>
            </w:r>
            <w:r w:rsidRPr="00095171">
              <w:rPr>
                <w:rFonts w:hint="eastAsia"/>
                <w:szCs w:val="21"/>
              </w:rPr>
              <w:t>北京链宇科技有限责任公司</w:t>
            </w:r>
            <w:r>
              <w:rPr>
                <w:rFonts w:hint="eastAsia"/>
                <w:szCs w:val="21"/>
              </w:rPr>
              <w:t>、</w:t>
            </w:r>
            <w:r w:rsidRPr="00095171">
              <w:rPr>
                <w:rFonts w:hint="eastAsia"/>
                <w:szCs w:val="21"/>
              </w:rPr>
              <w:t>上海控安智科软件有限公司</w:t>
            </w:r>
            <w:r>
              <w:rPr>
                <w:rFonts w:hint="eastAsia"/>
                <w:szCs w:val="21"/>
              </w:rPr>
              <w:t>，</w:t>
            </w:r>
            <w:r w:rsidRPr="00095171">
              <w:rPr>
                <w:rFonts w:hint="eastAsia"/>
                <w:szCs w:val="21"/>
              </w:rPr>
              <w:t>赛力斯集团股份有限公司</w:t>
            </w:r>
            <w:r>
              <w:rPr>
                <w:rFonts w:hint="eastAsia"/>
                <w:szCs w:val="21"/>
              </w:rPr>
              <w:t>、</w:t>
            </w:r>
            <w:r w:rsidRPr="00414B7F">
              <w:rPr>
                <w:rFonts w:hint="eastAsia"/>
                <w:szCs w:val="21"/>
              </w:rPr>
              <w:t>杭州极电电子科技有限公司</w:t>
            </w:r>
            <w:r>
              <w:rPr>
                <w:rFonts w:hint="eastAsia"/>
                <w:szCs w:val="21"/>
              </w:rPr>
              <w:t>，</w:t>
            </w:r>
            <w:r w:rsidRPr="00414B7F">
              <w:rPr>
                <w:rFonts w:hint="eastAsia"/>
                <w:szCs w:val="21"/>
              </w:rPr>
              <w:t>中国</w:t>
            </w:r>
            <w:r>
              <w:rPr>
                <w:rFonts w:hint="eastAsia"/>
                <w:szCs w:val="21"/>
              </w:rPr>
              <w:t>电力科学研究院</w:t>
            </w:r>
          </w:p>
        </w:tc>
        <w:tc>
          <w:tcPr>
            <w:tcW w:w="2222" w:type="dxa"/>
            <w:vAlign w:val="center"/>
          </w:tcPr>
          <w:p w14:paraId="70B39CEB" w14:textId="1CA24F6E" w:rsidR="00680235" w:rsidRDefault="00680235" w:rsidP="009112F2">
            <w:pPr>
              <w:spacing w:line="360" w:lineRule="auto"/>
              <w:jc w:val="center"/>
              <w:rPr>
                <w:szCs w:val="21"/>
              </w:rPr>
            </w:pPr>
            <w:r>
              <w:rPr>
                <w:rFonts w:hint="eastAsia"/>
                <w:szCs w:val="21"/>
              </w:rPr>
              <w:t>技术支撑、预警应用</w:t>
            </w:r>
          </w:p>
        </w:tc>
      </w:tr>
      <w:tr w:rsidR="00680235" w14:paraId="62966682" w14:textId="77777777" w:rsidTr="009112F2">
        <w:trPr>
          <w:jc w:val="center"/>
        </w:trPr>
        <w:tc>
          <w:tcPr>
            <w:tcW w:w="5824" w:type="dxa"/>
            <w:vAlign w:val="center"/>
          </w:tcPr>
          <w:p w14:paraId="23B3DF69" w14:textId="4A7B3646" w:rsidR="00680235" w:rsidRDefault="0044590D" w:rsidP="009112F2">
            <w:pPr>
              <w:spacing w:line="360" w:lineRule="auto"/>
              <w:jc w:val="center"/>
              <w:rPr>
                <w:szCs w:val="21"/>
              </w:rPr>
            </w:pPr>
            <w:r w:rsidRPr="00414B7F">
              <w:rPr>
                <w:rFonts w:hint="eastAsia"/>
                <w:szCs w:val="21"/>
              </w:rPr>
              <w:t>重庆市绿色能源发展有限公司</w:t>
            </w:r>
            <w:r>
              <w:rPr>
                <w:rFonts w:hint="eastAsia"/>
                <w:szCs w:val="21"/>
              </w:rPr>
              <w:t>，</w:t>
            </w:r>
            <w:r w:rsidRPr="00095171">
              <w:rPr>
                <w:rFonts w:hint="eastAsia"/>
                <w:szCs w:val="21"/>
              </w:rPr>
              <w:t>国网智慧车联网技术有限公司</w:t>
            </w:r>
          </w:p>
        </w:tc>
        <w:tc>
          <w:tcPr>
            <w:tcW w:w="2222" w:type="dxa"/>
            <w:vAlign w:val="center"/>
          </w:tcPr>
          <w:p w14:paraId="468E77CA" w14:textId="349DEFAA" w:rsidR="00680235" w:rsidRDefault="00680235" w:rsidP="009112F2">
            <w:pPr>
              <w:spacing w:line="360" w:lineRule="auto"/>
              <w:jc w:val="center"/>
              <w:rPr>
                <w:szCs w:val="21"/>
              </w:rPr>
            </w:pPr>
            <w:r>
              <w:rPr>
                <w:rFonts w:hint="eastAsia"/>
                <w:szCs w:val="21"/>
              </w:rPr>
              <w:t>运营端</w:t>
            </w:r>
            <w:r w:rsidR="0044590D">
              <w:rPr>
                <w:rFonts w:hint="eastAsia"/>
                <w:szCs w:val="21"/>
              </w:rPr>
              <w:t>数据支撑</w:t>
            </w:r>
          </w:p>
        </w:tc>
      </w:tr>
      <w:tr w:rsidR="0044590D" w14:paraId="2A515823" w14:textId="77777777" w:rsidTr="009112F2">
        <w:trPr>
          <w:jc w:val="center"/>
        </w:trPr>
        <w:tc>
          <w:tcPr>
            <w:tcW w:w="5824" w:type="dxa"/>
            <w:vAlign w:val="center"/>
          </w:tcPr>
          <w:p w14:paraId="4D6469A0" w14:textId="2AAFD55D" w:rsidR="0044590D" w:rsidRDefault="0044590D" w:rsidP="009112F2">
            <w:pPr>
              <w:spacing w:line="360" w:lineRule="auto"/>
              <w:jc w:val="center"/>
              <w:rPr>
                <w:szCs w:val="21"/>
              </w:rPr>
            </w:pPr>
            <w:r w:rsidRPr="00095171">
              <w:rPr>
                <w:rFonts w:hint="eastAsia"/>
                <w:szCs w:val="21"/>
              </w:rPr>
              <w:t>中国电动汽车充电基础设施促进联盟</w:t>
            </w:r>
            <w:r>
              <w:rPr>
                <w:rFonts w:hint="eastAsia"/>
                <w:szCs w:val="21"/>
              </w:rPr>
              <w:t>，</w:t>
            </w:r>
            <w:r w:rsidRPr="00414B7F">
              <w:rPr>
                <w:rFonts w:hint="eastAsia"/>
                <w:szCs w:val="21"/>
              </w:rPr>
              <w:t>国家新能源数字监管创新中心</w:t>
            </w:r>
          </w:p>
        </w:tc>
        <w:tc>
          <w:tcPr>
            <w:tcW w:w="2222" w:type="dxa"/>
            <w:vAlign w:val="center"/>
          </w:tcPr>
          <w:p w14:paraId="2034F2BF" w14:textId="533C5CCE" w:rsidR="0044590D" w:rsidRDefault="0044590D" w:rsidP="009112F2">
            <w:pPr>
              <w:spacing w:line="360" w:lineRule="auto"/>
              <w:jc w:val="center"/>
              <w:rPr>
                <w:szCs w:val="21"/>
              </w:rPr>
            </w:pPr>
            <w:r>
              <w:rPr>
                <w:rFonts w:hint="eastAsia"/>
                <w:szCs w:val="21"/>
              </w:rPr>
              <w:t>标准规范性、结构合理性编制支持</w:t>
            </w:r>
          </w:p>
        </w:tc>
      </w:tr>
    </w:tbl>
    <w:p w14:paraId="3C98D531" w14:textId="77777777" w:rsidR="00DB1114" w:rsidRDefault="005208A5" w:rsidP="00603687">
      <w:pPr>
        <w:numPr>
          <w:ilvl w:val="0"/>
          <w:numId w:val="2"/>
        </w:numPr>
        <w:spacing w:beforeLines="50" w:before="156" w:afterLines="50" w:after="156" w:line="360" w:lineRule="auto"/>
        <w:ind w:left="357"/>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标准研讨情况</w:t>
      </w:r>
    </w:p>
    <w:p w14:paraId="46A7FC3D" w14:textId="4C201098" w:rsidR="00DB1114" w:rsidRDefault="00A43F9A" w:rsidP="00A43F9A">
      <w:pPr>
        <w:spacing w:line="360" w:lineRule="auto"/>
        <w:ind w:left="357" w:firstLineChars="200" w:firstLine="420"/>
        <w:rPr>
          <w:szCs w:val="21"/>
        </w:rPr>
      </w:pPr>
      <w:r w:rsidRPr="00A43F9A">
        <w:rPr>
          <w:rFonts w:hint="eastAsia"/>
          <w:szCs w:val="21"/>
        </w:rPr>
        <w:t>本标准</w:t>
      </w:r>
      <w:r>
        <w:rPr>
          <w:rFonts w:hint="eastAsia"/>
          <w:szCs w:val="21"/>
        </w:rPr>
        <w:t>研制主要过程如下：</w:t>
      </w:r>
    </w:p>
    <w:p w14:paraId="1A86D934" w14:textId="043DCECD" w:rsidR="005A027B" w:rsidRPr="00385910" w:rsidRDefault="00A43F9A" w:rsidP="00A43F9A">
      <w:pPr>
        <w:pStyle w:val="a9"/>
        <w:numPr>
          <w:ilvl w:val="0"/>
          <w:numId w:val="4"/>
        </w:numPr>
        <w:spacing w:before="0" w:line="360" w:lineRule="auto"/>
        <w:ind w:left="0" w:firstLine="425"/>
        <w:rPr>
          <w:rFonts w:ascii="Times New Roman" w:hAnsi="Times New Roman"/>
          <w:szCs w:val="21"/>
        </w:rPr>
      </w:pPr>
      <w:r w:rsidRPr="00385910">
        <w:rPr>
          <w:rFonts w:ascii="Times New Roman" w:hAnsi="Times New Roman" w:hint="eastAsia"/>
          <w:szCs w:val="21"/>
        </w:rPr>
        <w:t>2</w:t>
      </w:r>
      <w:r w:rsidRPr="00385910">
        <w:rPr>
          <w:rFonts w:ascii="Times New Roman" w:hAnsi="Times New Roman"/>
          <w:szCs w:val="21"/>
        </w:rPr>
        <w:t>02</w:t>
      </w:r>
      <w:r w:rsidR="005A027B" w:rsidRPr="00385910">
        <w:rPr>
          <w:rFonts w:ascii="Times New Roman" w:hAnsi="Times New Roman" w:hint="eastAsia"/>
          <w:szCs w:val="21"/>
        </w:rPr>
        <w:t>5</w:t>
      </w:r>
      <w:r w:rsidRPr="00385910">
        <w:rPr>
          <w:rFonts w:ascii="Times New Roman" w:hAnsi="Times New Roman" w:hint="eastAsia"/>
          <w:szCs w:val="21"/>
        </w:rPr>
        <w:t>年</w:t>
      </w:r>
      <w:r w:rsidR="005A027B" w:rsidRPr="00385910">
        <w:rPr>
          <w:rFonts w:ascii="Times New Roman" w:hAnsi="Times New Roman" w:hint="eastAsia"/>
          <w:szCs w:val="21"/>
        </w:rPr>
        <w:t>1</w:t>
      </w:r>
      <w:r w:rsidRPr="00385910">
        <w:rPr>
          <w:rFonts w:ascii="Times New Roman" w:hAnsi="Times New Roman" w:hint="eastAsia"/>
          <w:szCs w:val="21"/>
        </w:rPr>
        <w:t>月</w:t>
      </w:r>
      <w:r w:rsidR="00385910" w:rsidRPr="00385910">
        <w:rPr>
          <w:rFonts w:ascii="Times New Roman" w:hAnsi="Times New Roman" w:hint="eastAsia"/>
          <w:szCs w:val="21"/>
        </w:rPr>
        <w:t>，</w:t>
      </w:r>
      <w:r w:rsidR="005A027B" w:rsidRPr="00385910">
        <w:rPr>
          <w:rFonts w:ascii="Times New Roman" w:hAnsi="Times New Roman" w:hint="eastAsia"/>
          <w:szCs w:val="21"/>
        </w:rPr>
        <w:t>中国汽研承接国家召回中心关于超充质量强链项目研究，对大功率充电桩</w:t>
      </w:r>
      <w:r w:rsidR="00385910" w:rsidRPr="00385910">
        <w:rPr>
          <w:rFonts w:ascii="Times New Roman" w:hAnsi="Times New Roman" w:hint="eastAsia"/>
          <w:szCs w:val="21"/>
        </w:rPr>
        <w:t>安全</w:t>
      </w:r>
      <w:r w:rsidR="005A027B" w:rsidRPr="00385910">
        <w:rPr>
          <w:rFonts w:ascii="Times New Roman" w:hAnsi="Times New Roman" w:hint="eastAsia"/>
          <w:szCs w:val="21"/>
        </w:rPr>
        <w:t>预警</w:t>
      </w:r>
      <w:r w:rsidR="00385910" w:rsidRPr="00385910">
        <w:rPr>
          <w:rFonts w:ascii="Times New Roman" w:hAnsi="Times New Roman" w:hint="eastAsia"/>
          <w:szCs w:val="21"/>
        </w:rPr>
        <w:t>及缺陷分析技术进行预研，对大功率充电安全及性能检测设备进行开发。</w:t>
      </w:r>
    </w:p>
    <w:p w14:paraId="1C99EB0E" w14:textId="060E811A" w:rsidR="00385910" w:rsidRPr="00385910" w:rsidRDefault="00385910" w:rsidP="00A43F9A">
      <w:pPr>
        <w:pStyle w:val="a9"/>
        <w:numPr>
          <w:ilvl w:val="0"/>
          <w:numId w:val="4"/>
        </w:numPr>
        <w:spacing w:before="0" w:line="360" w:lineRule="auto"/>
        <w:ind w:left="0" w:firstLine="425"/>
        <w:rPr>
          <w:rFonts w:ascii="Times New Roman" w:hAnsi="Times New Roman"/>
          <w:szCs w:val="21"/>
        </w:rPr>
      </w:pPr>
      <w:r w:rsidRPr="00385910">
        <w:rPr>
          <w:rFonts w:ascii="Times New Roman" w:hAnsi="Times New Roman" w:hint="eastAsia"/>
          <w:szCs w:val="21"/>
        </w:rPr>
        <w:t>2</w:t>
      </w:r>
      <w:r w:rsidRPr="00385910">
        <w:rPr>
          <w:rFonts w:ascii="Times New Roman" w:hAnsi="Times New Roman"/>
          <w:szCs w:val="21"/>
        </w:rPr>
        <w:t>02</w:t>
      </w:r>
      <w:r w:rsidRPr="00385910">
        <w:rPr>
          <w:rFonts w:ascii="Times New Roman" w:hAnsi="Times New Roman" w:hint="eastAsia"/>
          <w:szCs w:val="21"/>
        </w:rPr>
        <w:t>5</w:t>
      </w:r>
      <w:r w:rsidRPr="00385910">
        <w:rPr>
          <w:rFonts w:ascii="Times New Roman" w:hAnsi="Times New Roman" w:hint="eastAsia"/>
          <w:szCs w:val="21"/>
        </w:rPr>
        <w:t>年</w:t>
      </w:r>
      <w:r w:rsidRPr="00385910">
        <w:rPr>
          <w:rFonts w:ascii="Times New Roman" w:hAnsi="Times New Roman" w:hint="eastAsia"/>
          <w:szCs w:val="21"/>
        </w:rPr>
        <w:t>4</w:t>
      </w:r>
      <w:r w:rsidRPr="00385910">
        <w:rPr>
          <w:rFonts w:ascii="Times New Roman" w:hAnsi="Times New Roman" w:hint="eastAsia"/>
          <w:szCs w:val="21"/>
        </w:rPr>
        <w:t>月，中国汽研与召回中心技术人员走访产业链单位并对大功率充电站进行实地考察，确定预警技术方向和功能大类，结合企业</w:t>
      </w:r>
      <w:r>
        <w:rPr>
          <w:rFonts w:ascii="Times New Roman" w:hAnsi="Times New Roman" w:hint="eastAsia"/>
          <w:szCs w:val="21"/>
        </w:rPr>
        <w:t>痛点</w:t>
      </w:r>
      <w:r w:rsidRPr="00385910">
        <w:rPr>
          <w:rFonts w:ascii="Times New Roman" w:hAnsi="Times New Roman" w:hint="eastAsia"/>
          <w:szCs w:val="21"/>
        </w:rPr>
        <w:t>问题，形成《车桩融合大功率充电安全预警技术指南》</w:t>
      </w:r>
      <w:r w:rsidR="000D33AC" w:rsidRPr="001B72E6">
        <w:rPr>
          <w:rFonts w:ascii="Times New Roman" w:hAnsi="Times New Roman" w:hint="eastAsia"/>
          <w:b/>
          <w:bCs/>
          <w:szCs w:val="21"/>
        </w:rPr>
        <w:t>预研草案</w:t>
      </w:r>
      <w:r w:rsidRPr="001B72E6">
        <w:rPr>
          <w:rFonts w:ascii="Times New Roman" w:hAnsi="Times New Roman" w:hint="eastAsia"/>
          <w:b/>
          <w:bCs/>
          <w:szCs w:val="21"/>
        </w:rPr>
        <w:t>。</w:t>
      </w:r>
    </w:p>
    <w:p w14:paraId="5053E655" w14:textId="1DBCEB93" w:rsidR="00A43F9A" w:rsidRPr="00A43F9A" w:rsidRDefault="00A43F9A" w:rsidP="00A43F9A">
      <w:pPr>
        <w:pStyle w:val="a9"/>
        <w:numPr>
          <w:ilvl w:val="0"/>
          <w:numId w:val="4"/>
        </w:numPr>
        <w:spacing w:before="0" w:line="360" w:lineRule="auto"/>
        <w:ind w:left="0" w:firstLine="425"/>
        <w:rPr>
          <w:rFonts w:ascii="Times New Roman" w:hAnsi="Times New Roman"/>
          <w:szCs w:val="21"/>
        </w:rPr>
      </w:pPr>
      <w:r w:rsidRPr="00B712A5">
        <w:rPr>
          <w:rFonts w:ascii="Times New Roman" w:hAnsi="Times New Roman" w:hint="eastAsia"/>
          <w:szCs w:val="21"/>
        </w:rPr>
        <w:t>2</w:t>
      </w:r>
      <w:r w:rsidRPr="00B712A5">
        <w:rPr>
          <w:rFonts w:ascii="Times New Roman" w:hAnsi="Times New Roman"/>
          <w:szCs w:val="21"/>
        </w:rPr>
        <w:t>02</w:t>
      </w:r>
      <w:r>
        <w:rPr>
          <w:rFonts w:ascii="Times New Roman" w:hAnsi="Times New Roman" w:hint="eastAsia"/>
          <w:szCs w:val="21"/>
        </w:rPr>
        <w:t>5</w:t>
      </w:r>
      <w:r w:rsidRPr="00B712A5">
        <w:rPr>
          <w:rFonts w:ascii="Times New Roman" w:hAnsi="Times New Roman" w:hint="eastAsia"/>
          <w:szCs w:val="21"/>
        </w:rPr>
        <w:t>年</w:t>
      </w:r>
      <w:r>
        <w:rPr>
          <w:rFonts w:ascii="Times New Roman" w:hAnsi="Times New Roman" w:hint="eastAsia"/>
          <w:szCs w:val="21"/>
        </w:rPr>
        <w:t>6</w:t>
      </w:r>
      <w:r w:rsidRPr="00B712A5">
        <w:rPr>
          <w:rFonts w:ascii="Times New Roman" w:hAnsi="Times New Roman" w:hint="eastAsia"/>
          <w:szCs w:val="21"/>
        </w:rPr>
        <w:t>月中汽协</w:t>
      </w:r>
      <w:r>
        <w:rPr>
          <w:rFonts w:ascii="Times New Roman" w:hAnsi="Times New Roman" w:hint="eastAsia"/>
          <w:szCs w:val="21"/>
        </w:rPr>
        <w:t>标准法规工作委员会新能源汽车充换电设施专业委员会组织</w:t>
      </w:r>
      <w:r w:rsidRPr="00A43F9A">
        <w:rPr>
          <w:rFonts w:ascii="Times New Roman" w:hAnsi="Times New Roman" w:hint="eastAsia"/>
          <w:szCs w:val="21"/>
        </w:rPr>
        <w:t>专家在</w:t>
      </w:r>
      <w:r>
        <w:rPr>
          <w:rFonts w:ascii="Times New Roman" w:hAnsi="Times New Roman" w:hint="eastAsia"/>
          <w:szCs w:val="21"/>
        </w:rPr>
        <w:t>线上</w:t>
      </w:r>
      <w:r w:rsidRPr="00A43F9A">
        <w:rPr>
          <w:rFonts w:ascii="Times New Roman" w:hAnsi="Times New Roman" w:hint="eastAsia"/>
          <w:szCs w:val="21"/>
        </w:rPr>
        <w:t>完成了</w:t>
      </w:r>
      <w:r>
        <w:rPr>
          <w:rFonts w:ascii="Times New Roman" w:hAnsi="Times New Roman" w:hint="eastAsia"/>
          <w:szCs w:val="21"/>
        </w:rPr>
        <w:t>《</w:t>
      </w:r>
      <w:r w:rsidRPr="00A43F9A">
        <w:rPr>
          <w:rFonts w:ascii="Times New Roman" w:hAnsi="Times New Roman" w:hint="eastAsia"/>
          <w:szCs w:val="21"/>
        </w:rPr>
        <w:t>车桩融合大功率充电安全预警技术指南</w:t>
      </w:r>
      <w:r>
        <w:rPr>
          <w:rFonts w:ascii="Times New Roman" w:hAnsi="Times New Roman" w:hint="eastAsia"/>
          <w:szCs w:val="21"/>
        </w:rPr>
        <w:t>》</w:t>
      </w:r>
      <w:r w:rsidRPr="00A43F9A">
        <w:rPr>
          <w:rFonts w:ascii="Times New Roman" w:hAnsi="Times New Roman" w:hint="eastAsia"/>
          <w:szCs w:val="21"/>
        </w:rPr>
        <w:t>团体标准立项评审会，会议表决</w:t>
      </w:r>
      <w:r w:rsidRPr="001B72E6">
        <w:rPr>
          <w:rFonts w:ascii="Times New Roman" w:hAnsi="Times New Roman" w:hint="eastAsia"/>
          <w:b/>
          <w:bCs/>
          <w:szCs w:val="21"/>
        </w:rPr>
        <w:t>通过立项评审</w:t>
      </w:r>
      <w:r w:rsidR="005A027B">
        <w:rPr>
          <w:rFonts w:ascii="Times New Roman" w:hAnsi="Times New Roman" w:hint="eastAsia"/>
          <w:szCs w:val="21"/>
        </w:rPr>
        <w:t>，同年</w:t>
      </w:r>
      <w:r w:rsidR="005A027B">
        <w:rPr>
          <w:rFonts w:ascii="Times New Roman" w:hAnsi="Times New Roman" w:hint="eastAsia"/>
          <w:szCs w:val="21"/>
        </w:rPr>
        <w:t>7</w:t>
      </w:r>
      <w:r w:rsidR="005A027B">
        <w:rPr>
          <w:rFonts w:ascii="Times New Roman" w:hAnsi="Times New Roman" w:hint="eastAsia"/>
          <w:szCs w:val="21"/>
        </w:rPr>
        <w:t>月进行公示</w:t>
      </w:r>
      <w:r w:rsidRPr="00A43F9A">
        <w:rPr>
          <w:rFonts w:ascii="Times New Roman" w:hAnsi="Times New Roman" w:hint="eastAsia"/>
          <w:szCs w:val="21"/>
        </w:rPr>
        <w:t>。</w:t>
      </w:r>
    </w:p>
    <w:p w14:paraId="5D374F13" w14:textId="0E69F298" w:rsidR="00A43F9A" w:rsidRDefault="00A43F9A" w:rsidP="00A43F9A">
      <w:pPr>
        <w:pStyle w:val="a9"/>
        <w:numPr>
          <w:ilvl w:val="0"/>
          <w:numId w:val="4"/>
        </w:numPr>
        <w:spacing w:before="0" w:line="360" w:lineRule="auto"/>
        <w:ind w:left="0" w:firstLine="425"/>
        <w:rPr>
          <w:rFonts w:ascii="Times New Roman" w:hAnsi="Times New Roman"/>
          <w:szCs w:val="21"/>
        </w:rPr>
      </w:pPr>
      <w:r w:rsidRPr="00B712A5">
        <w:rPr>
          <w:rFonts w:ascii="Times New Roman" w:hAnsi="Times New Roman" w:hint="eastAsia"/>
          <w:szCs w:val="21"/>
        </w:rPr>
        <w:t>20</w:t>
      </w:r>
      <w:r w:rsidRPr="00B712A5">
        <w:rPr>
          <w:rFonts w:ascii="Times New Roman" w:hAnsi="Times New Roman"/>
          <w:szCs w:val="21"/>
        </w:rPr>
        <w:t>2</w:t>
      </w:r>
      <w:r w:rsidR="005A027B">
        <w:rPr>
          <w:rFonts w:ascii="Times New Roman" w:hAnsi="Times New Roman" w:hint="eastAsia"/>
          <w:szCs w:val="21"/>
        </w:rPr>
        <w:t>5</w:t>
      </w:r>
      <w:r w:rsidRPr="00B712A5">
        <w:rPr>
          <w:rFonts w:ascii="Times New Roman" w:hAnsi="Times New Roman" w:hint="eastAsia"/>
          <w:szCs w:val="21"/>
        </w:rPr>
        <w:t>年</w:t>
      </w:r>
      <w:r w:rsidR="005A027B">
        <w:rPr>
          <w:rFonts w:ascii="Times New Roman" w:hAnsi="Times New Roman" w:hint="eastAsia"/>
          <w:szCs w:val="21"/>
        </w:rPr>
        <w:t>8</w:t>
      </w:r>
      <w:r w:rsidRPr="00B712A5">
        <w:rPr>
          <w:rFonts w:ascii="Times New Roman" w:hAnsi="Times New Roman" w:hint="eastAsia"/>
          <w:szCs w:val="21"/>
        </w:rPr>
        <w:t>月</w:t>
      </w:r>
      <w:r w:rsidR="005A027B">
        <w:rPr>
          <w:rFonts w:ascii="Times New Roman" w:hAnsi="Times New Roman" w:hint="eastAsia"/>
          <w:szCs w:val="21"/>
        </w:rPr>
        <w:t>，牵头单位中国汽研和国家召回中心</w:t>
      </w:r>
      <w:r w:rsidRPr="00B712A5">
        <w:rPr>
          <w:rFonts w:ascii="Times New Roman" w:hAnsi="Times New Roman" w:hint="eastAsia"/>
          <w:szCs w:val="21"/>
        </w:rPr>
        <w:t>召开标准制定</w:t>
      </w:r>
      <w:r>
        <w:rPr>
          <w:rFonts w:ascii="Times New Roman" w:hAnsi="Times New Roman" w:hint="eastAsia"/>
          <w:szCs w:val="21"/>
        </w:rPr>
        <w:t>工作</w:t>
      </w:r>
      <w:r w:rsidRPr="00E754A3">
        <w:rPr>
          <w:rFonts w:ascii="Times New Roman" w:hAnsi="Times New Roman" w:hint="eastAsia"/>
          <w:b/>
          <w:bCs/>
          <w:szCs w:val="21"/>
        </w:rPr>
        <w:t>启动会</w:t>
      </w:r>
      <w:r w:rsidRPr="00B712A5">
        <w:rPr>
          <w:rFonts w:ascii="Times New Roman" w:hAnsi="Times New Roman" w:hint="eastAsia"/>
          <w:szCs w:val="21"/>
        </w:rPr>
        <w:t>，简要介绍了</w:t>
      </w:r>
      <w:r>
        <w:rPr>
          <w:rFonts w:ascii="Times New Roman" w:hAnsi="Times New Roman" w:hint="eastAsia"/>
          <w:szCs w:val="21"/>
        </w:rPr>
        <w:t>制定本标准的前期工作</w:t>
      </w:r>
      <w:r w:rsidR="00E754A3">
        <w:rPr>
          <w:rFonts w:ascii="Times New Roman" w:hAnsi="Times New Roman" w:hint="eastAsia"/>
          <w:szCs w:val="21"/>
        </w:rPr>
        <w:t>，并开展</w:t>
      </w:r>
      <w:r w:rsidR="00E754A3" w:rsidRPr="00E754A3">
        <w:rPr>
          <w:rFonts w:ascii="Times New Roman" w:hAnsi="Times New Roman" w:hint="eastAsia"/>
          <w:b/>
          <w:bCs/>
          <w:szCs w:val="21"/>
        </w:rPr>
        <w:t>首轮技术研讨</w:t>
      </w:r>
      <w:r>
        <w:rPr>
          <w:rFonts w:ascii="Times New Roman" w:hAnsi="Times New Roman" w:hint="eastAsia"/>
          <w:szCs w:val="21"/>
        </w:rPr>
        <w:t>。</w:t>
      </w:r>
      <w:r w:rsidR="005A027B">
        <w:rPr>
          <w:rFonts w:ascii="Times New Roman" w:hAnsi="Times New Roman" w:hint="eastAsia"/>
          <w:szCs w:val="21"/>
        </w:rPr>
        <w:t>召回中心领导对本标准的</w:t>
      </w:r>
      <w:r w:rsidR="005A027B" w:rsidRPr="001B72E6">
        <w:rPr>
          <w:rFonts w:ascii="Times New Roman" w:hAnsi="Times New Roman" w:hint="eastAsia"/>
          <w:b/>
          <w:bCs/>
          <w:szCs w:val="21"/>
        </w:rPr>
        <w:t>背景、定位和意义</w:t>
      </w:r>
      <w:r w:rsidR="005A027B">
        <w:rPr>
          <w:rFonts w:ascii="Times New Roman" w:hAnsi="Times New Roman" w:hint="eastAsia"/>
          <w:szCs w:val="21"/>
        </w:rPr>
        <w:t>做了明晰，中国汽研</w:t>
      </w:r>
      <w:r w:rsidR="00E754A3">
        <w:rPr>
          <w:rFonts w:ascii="Times New Roman" w:hAnsi="Times New Roman" w:hint="eastAsia"/>
          <w:szCs w:val="21"/>
        </w:rPr>
        <w:t>组织各参编单位研讨并确定了</w:t>
      </w:r>
      <w:r w:rsidR="005A027B">
        <w:rPr>
          <w:rFonts w:ascii="Times New Roman" w:hAnsi="Times New Roman" w:hint="eastAsia"/>
          <w:szCs w:val="21"/>
        </w:rPr>
        <w:t>本标准的</w:t>
      </w:r>
      <w:r w:rsidR="005A027B" w:rsidRPr="001B72E6">
        <w:rPr>
          <w:rFonts w:ascii="Times New Roman" w:hAnsi="Times New Roman" w:hint="eastAsia"/>
          <w:b/>
          <w:bCs/>
          <w:szCs w:val="21"/>
        </w:rPr>
        <w:t>范围、架构以</w:t>
      </w:r>
      <w:r w:rsidR="00E754A3">
        <w:rPr>
          <w:rFonts w:ascii="Times New Roman" w:hAnsi="Times New Roman" w:hint="eastAsia"/>
          <w:b/>
          <w:bCs/>
          <w:szCs w:val="21"/>
        </w:rPr>
        <w:t>、预警功能、初步阈值设置</w:t>
      </w:r>
      <w:r w:rsidR="005A027B">
        <w:rPr>
          <w:rFonts w:ascii="Times New Roman" w:hAnsi="Times New Roman" w:hint="eastAsia"/>
          <w:szCs w:val="21"/>
        </w:rPr>
        <w:t>，并对</w:t>
      </w:r>
      <w:r w:rsidR="005A027B" w:rsidRPr="001B72E6">
        <w:rPr>
          <w:rFonts w:ascii="Times New Roman" w:hAnsi="Times New Roman" w:hint="eastAsia"/>
          <w:b/>
          <w:bCs/>
          <w:szCs w:val="21"/>
        </w:rPr>
        <w:t>分工</w:t>
      </w:r>
      <w:r w:rsidR="005A027B">
        <w:rPr>
          <w:rFonts w:ascii="Times New Roman" w:hAnsi="Times New Roman" w:hint="eastAsia"/>
          <w:szCs w:val="21"/>
        </w:rPr>
        <w:t>进行了简单描述</w:t>
      </w:r>
      <w:r w:rsidRPr="00B712A5">
        <w:rPr>
          <w:rFonts w:ascii="Times New Roman" w:hAnsi="Times New Roman" w:hint="eastAsia"/>
          <w:szCs w:val="21"/>
        </w:rPr>
        <w:t>。</w:t>
      </w:r>
    </w:p>
    <w:p w14:paraId="6B96D761" w14:textId="56B5B543" w:rsidR="000D33AC" w:rsidRPr="00641586" w:rsidRDefault="000D33AC" w:rsidP="00641586">
      <w:pPr>
        <w:pStyle w:val="a9"/>
        <w:numPr>
          <w:ilvl w:val="0"/>
          <w:numId w:val="4"/>
        </w:numPr>
        <w:spacing w:before="0" w:line="360" w:lineRule="auto"/>
        <w:ind w:left="0" w:firstLine="425"/>
        <w:rPr>
          <w:rFonts w:ascii="Times New Roman" w:hAnsi="Times New Roman"/>
          <w:szCs w:val="21"/>
        </w:rPr>
      </w:pPr>
      <w:r w:rsidRPr="00B712A5">
        <w:rPr>
          <w:rFonts w:ascii="Times New Roman" w:hAnsi="Times New Roman" w:hint="eastAsia"/>
          <w:szCs w:val="21"/>
        </w:rPr>
        <w:t>20</w:t>
      </w:r>
      <w:r w:rsidRPr="00B712A5">
        <w:rPr>
          <w:rFonts w:ascii="Times New Roman" w:hAnsi="Times New Roman"/>
          <w:szCs w:val="21"/>
        </w:rPr>
        <w:t>2</w:t>
      </w:r>
      <w:r>
        <w:rPr>
          <w:rFonts w:ascii="Times New Roman" w:hAnsi="Times New Roman" w:hint="eastAsia"/>
          <w:szCs w:val="21"/>
        </w:rPr>
        <w:t>5</w:t>
      </w:r>
      <w:r w:rsidRPr="00B712A5">
        <w:rPr>
          <w:rFonts w:ascii="Times New Roman" w:hAnsi="Times New Roman" w:hint="eastAsia"/>
          <w:szCs w:val="21"/>
        </w:rPr>
        <w:t>年</w:t>
      </w:r>
      <w:r>
        <w:rPr>
          <w:rFonts w:ascii="Times New Roman" w:hAnsi="Times New Roman" w:hint="eastAsia"/>
          <w:szCs w:val="21"/>
        </w:rPr>
        <w:t>9</w:t>
      </w:r>
      <w:r w:rsidRPr="00B712A5">
        <w:rPr>
          <w:rFonts w:ascii="Times New Roman" w:hAnsi="Times New Roman" w:hint="eastAsia"/>
          <w:szCs w:val="21"/>
        </w:rPr>
        <w:t>月</w:t>
      </w:r>
      <w:r>
        <w:rPr>
          <w:rFonts w:ascii="Times New Roman" w:hAnsi="Times New Roman" w:hint="eastAsia"/>
          <w:szCs w:val="21"/>
        </w:rPr>
        <w:t>，中国汽研牵头对首轮草案稿中提出的预警功能点进行重点企业</w:t>
      </w:r>
      <w:r w:rsidR="001B72E6">
        <w:rPr>
          <w:rFonts w:ascii="Times New Roman" w:hAnsi="Times New Roman" w:hint="eastAsia"/>
          <w:szCs w:val="21"/>
        </w:rPr>
        <w:t>（包含车企、桩企、运营企业）</w:t>
      </w:r>
      <w:r>
        <w:rPr>
          <w:rFonts w:ascii="Times New Roman" w:hAnsi="Times New Roman" w:hint="eastAsia"/>
          <w:szCs w:val="21"/>
        </w:rPr>
        <w:t>点对点交流，深入</w:t>
      </w:r>
      <w:r w:rsidRPr="00E754A3">
        <w:rPr>
          <w:rFonts w:ascii="Times New Roman" w:hAnsi="Times New Roman" w:hint="eastAsia"/>
          <w:b/>
          <w:bCs/>
          <w:szCs w:val="21"/>
        </w:rPr>
        <w:t>分析预警功能实施可行性、阈值设置合理性，</w:t>
      </w:r>
      <w:r w:rsidRPr="00E754A3">
        <w:rPr>
          <w:rFonts w:ascii="Times New Roman" w:hAnsi="Times New Roman" w:hint="eastAsia"/>
          <w:b/>
          <w:bCs/>
          <w:szCs w:val="21"/>
        </w:rPr>
        <w:lastRenderedPageBreak/>
        <w:t>并对</w:t>
      </w:r>
      <w:r w:rsidR="001B72E6" w:rsidRPr="00E754A3">
        <w:rPr>
          <w:rFonts w:ascii="Times New Roman" w:hAnsi="Times New Roman" w:hint="eastAsia"/>
          <w:b/>
          <w:bCs/>
          <w:szCs w:val="21"/>
        </w:rPr>
        <w:t>相应预警功能依托实车实桩进行测试</w:t>
      </w:r>
      <w:r w:rsidR="00E754A3">
        <w:rPr>
          <w:rFonts w:ascii="Times New Roman" w:hAnsi="Times New Roman" w:hint="eastAsia"/>
          <w:szCs w:val="21"/>
        </w:rPr>
        <w:t>，形成了针对本标准的</w:t>
      </w:r>
      <w:r w:rsidR="00E754A3" w:rsidRPr="00E754A3">
        <w:rPr>
          <w:rFonts w:ascii="Times New Roman" w:hAnsi="Times New Roman" w:hint="eastAsia"/>
          <w:b/>
          <w:bCs/>
          <w:szCs w:val="21"/>
        </w:rPr>
        <w:t>首轮线下编制意见</w:t>
      </w:r>
      <w:r w:rsidR="001B72E6">
        <w:rPr>
          <w:rFonts w:ascii="Times New Roman" w:hAnsi="Times New Roman" w:hint="eastAsia"/>
          <w:szCs w:val="21"/>
        </w:rPr>
        <w:t>。</w:t>
      </w:r>
    </w:p>
    <w:p w14:paraId="73F2E06C" w14:textId="5AF128A6" w:rsidR="00641586" w:rsidRDefault="00A43F9A" w:rsidP="00A43F9A">
      <w:pPr>
        <w:pStyle w:val="a9"/>
        <w:numPr>
          <w:ilvl w:val="0"/>
          <w:numId w:val="4"/>
        </w:numPr>
        <w:spacing w:before="0" w:line="360" w:lineRule="auto"/>
        <w:ind w:left="0" w:firstLine="425"/>
        <w:rPr>
          <w:rFonts w:ascii="Times New Roman" w:hAnsi="Times New Roman"/>
          <w:szCs w:val="21"/>
        </w:rPr>
      </w:pPr>
      <w:r w:rsidRPr="00B712A5">
        <w:rPr>
          <w:rFonts w:ascii="Times New Roman" w:hAnsi="Times New Roman"/>
          <w:szCs w:val="21"/>
        </w:rPr>
        <w:t>202</w:t>
      </w:r>
      <w:r w:rsidR="00E754A3">
        <w:rPr>
          <w:rFonts w:ascii="Times New Roman" w:hAnsi="Times New Roman" w:hint="eastAsia"/>
          <w:szCs w:val="21"/>
        </w:rPr>
        <w:t>5</w:t>
      </w:r>
      <w:r w:rsidRPr="00B712A5">
        <w:rPr>
          <w:rFonts w:ascii="Times New Roman" w:hAnsi="Times New Roman" w:hint="eastAsia"/>
          <w:szCs w:val="21"/>
        </w:rPr>
        <w:t>年</w:t>
      </w:r>
      <w:r w:rsidR="00E754A3">
        <w:rPr>
          <w:rFonts w:ascii="Times New Roman" w:hAnsi="Times New Roman" w:hint="eastAsia"/>
          <w:szCs w:val="21"/>
        </w:rPr>
        <w:t>10</w:t>
      </w:r>
      <w:r w:rsidRPr="00B712A5">
        <w:rPr>
          <w:rFonts w:ascii="Times New Roman" w:hAnsi="Times New Roman" w:hint="eastAsia"/>
          <w:szCs w:val="21"/>
        </w:rPr>
        <w:t>月，</w:t>
      </w:r>
      <w:r w:rsidR="00E754A3">
        <w:rPr>
          <w:rFonts w:ascii="Times New Roman" w:hAnsi="Times New Roman" w:hint="eastAsia"/>
          <w:szCs w:val="21"/>
        </w:rPr>
        <w:t>中国汽研牵头组织参编单位，开展</w:t>
      </w:r>
      <w:r w:rsidR="00E754A3" w:rsidRPr="00E754A3">
        <w:rPr>
          <w:rFonts w:ascii="Times New Roman" w:hAnsi="Times New Roman" w:hint="eastAsia"/>
          <w:b/>
          <w:bCs/>
          <w:szCs w:val="21"/>
        </w:rPr>
        <w:t>第二轮全面研讨</w:t>
      </w:r>
      <w:r w:rsidR="00E754A3">
        <w:rPr>
          <w:rFonts w:ascii="Times New Roman" w:hAnsi="Times New Roman" w:hint="eastAsia"/>
          <w:b/>
          <w:bCs/>
          <w:szCs w:val="21"/>
        </w:rPr>
        <w:t>，</w:t>
      </w:r>
      <w:r w:rsidR="00E754A3" w:rsidRPr="00E754A3">
        <w:rPr>
          <w:rFonts w:ascii="Times New Roman" w:hAnsi="Times New Roman" w:hint="eastAsia"/>
          <w:szCs w:val="21"/>
        </w:rPr>
        <w:t>根据</w:t>
      </w:r>
      <w:r w:rsidR="00E754A3" w:rsidRPr="00E754A3">
        <w:rPr>
          <w:rFonts w:ascii="Times New Roman" w:hAnsi="Times New Roman" w:hint="eastAsia"/>
          <w:szCs w:val="21"/>
        </w:rPr>
        <w:t>9</w:t>
      </w:r>
      <w:r w:rsidR="00E754A3" w:rsidRPr="00E754A3">
        <w:rPr>
          <w:rFonts w:ascii="Times New Roman" w:hAnsi="Times New Roman" w:hint="eastAsia"/>
          <w:szCs w:val="21"/>
        </w:rPr>
        <w:t>月线下走访调研和实车实桩测试情况及</w:t>
      </w:r>
      <w:r w:rsidR="00E754A3">
        <w:rPr>
          <w:rFonts w:ascii="Times New Roman" w:hAnsi="Times New Roman" w:hint="eastAsia"/>
          <w:szCs w:val="21"/>
        </w:rPr>
        <w:t>首轮线下</w:t>
      </w:r>
      <w:r w:rsidR="00E754A3" w:rsidRPr="00E754A3">
        <w:rPr>
          <w:rFonts w:ascii="Times New Roman" w:hAnsi="Times New Roman" w:hint="eastAsia"/>
          <w:szCs w:val="21"/>
        </w:rPr>
        <w:t>编制意见，</w:t>
      </w:r>
      <w:r w:rsidRPr="00B712A5">
        <w:rPr>
          <w:rFonts w:ascii="Times New Roman" w:hAnsi="Times New Roman" w:hint="eastAsia"/>
          <w:szCs w:val="21"/>
        </w:rPr>
        <w:t>进行内部</w:t>
      </w:r>
      <w:r w:rsidR="00E754A3">
        <w:rPr>
          <w:rFonts w:ascii="Times New Roman" w:hAnsi="Times New Roman" w:hint="eastAsia"/>
          <w:szCs w:val="21"/>
        </w:rPr>
        <w:t>研讨。</w:t>
      </w:r>
      <w:r w:rsidRPr="00B712A5">
        <w:rPr>
          <w:rFonts w:ascii="Times New Roman" w:hAnsi="Times New Roman" w:hint="eastAsia"/>
          <w:szCs w:val="21"/>
        </w:rPr>
        <w:t>各企业</w:t>
      </w:r>
      <w:r w:rsidR="00641586">
        <w:rPr>
          <w:rFonts w:ascii="Times New Roman" w:hAnsi="Times New Roman" w:hint="eastAsia"/>
          <w:szCs w:val="21"/>
        </w:rPr>
        <w:t>就预警功能设置、阈值选取进行深度讨论并达成一致形成</w:t>
      </w:r>
      <w:r w:rsidR="00641586" w:rsidRPr="00641586">
        <w:rPr>
          <w:rFonts w:ascii="Times New Roman" w:hAnsi="Times New Roman" w:hint="eastAsia"/>
          <w:b/>
          <w:bCs/>
          <w:szCs w:val="21"/>
        </w:rPr>
        <w:t>可供行业意见征集的标准稿案</w:t>
      </w:r>
      <w:r w:rsidR="00641586">
        <w:rPr>
          <w:rFonts w:ascii="Times New Roman" w:hAnsi="Times New Roman" w:hint="eastAsia"/>
          <w:szCs w:val="21"/>
        </w:rPr>
        <w:t>。</w:t>
      </w:r>
    </w:p>
    <w:p w14:paraId="2DE16B5D" w14:textId="34670403" w:rsidR="00A43F9A" w:rsidRPr="00B712A5" w:rsidRDefault="00641586" w:rsidP="00A43F9A">
      <w:pPr>
        <w:pStyle w:val="a9"/>
        <w:numPr>
          <w:ilvl w:val="0"/>
          <w:numId w:val="4"/>
        </w:numPr>
        <w:spacing w:before="0" w:line="360" w:lineRule="auto"/>
        <w:ind w:left="0" w:firstLine="425"/>
        <w:rPr>
          <w:rFonts w:ascii="Times New Roman" w:hAnsi="Times New Roman"/>
          <w:szCs w:val="21"/>
        </w:rPr>
      </w:pPr>
      <w:r w:rsidRPr="00B712A5">
        <w:rPr>
          <w:rFonts w:ascii="Times New Roman" w:hAnsi="Times New Roman"/>
          <w:szCs w:val="21"/>
        </w:rPr>
        <w:t>202</w:t>
      </w:r>
      <w:r>
        <w:rPr>
          <w:rFonts w:ascii="Times New Roman" w:hAnsi="Times New Roman" w:hint="eastAsia"/>
          <w:szCs w:val="21"/>
        </w:rPr>
        <w:t>5</w:t>
      </w:r>
      <w:r w:rsidRPr="00B712A5">
        <w:rPr>
          <w:rFonts w:ascii="Times New Roman" w:hAnsi="Times New Roman" w:hint="eastAsia"/>
          <w:szCs w:val="21"/>
        </w:rPr>
        <w:t>年</w:t>
      </w:r>
      <w:r>
        <w:rPr>
          <w:rFonts w:ascii="Times New Roman" w:hAnsi="Times New Roman" w:hint="eastAsia"/>
          <w:szCs w:val="21"/>
        </w:rPr>
        <w:t>11</w:t>
      </w:r>
      <w:r w:rsidRPr="00B712A5">
        <w:rPr>
          <w:rFonts w:ascii="Times New Roman" w:hAnsi="Times New Roman" w:hint="eastAsia"/>
          <w:szCs w:val="21"/>
        </w:rPr>
        <w:t>月，</w:t>
      </w:r>
      <w:r>
        <w:rPr>
          <w:rFonts w:ascii="Times New Roman" w:hAnsi="Times New Roman" w:hint="eastAsia"/>
          <w:szCs w:val="21"/>
        </w:rPr>
        <w:t>由中汽协会统一组织进行全行业</w:t>
      </w:r>
      <w:r w:rsidRPr="00641586">
        <w:rPr>
          <w:rFonts w:ascii="Times New Roman" w:hAnsi="Times New Roman" w:hint="eastAsia"/>
          <w:b/>
          <w:bCs/>
          <w:szCs w:val="21"/>
        </w:rPr>
        <w:t>意见征集</w:t>
      </w:r>
      <w:r w:rsidR="00A43F9A" w:rsidRPr="00B712A5">
        <w:rPr>
          <w:rFonts w:ascii="Times New Roman" w:hAnsi="Times New Roman" w:hint="eastAsia"/>
          <w:szCs w:val="21"/>
        </w:rPr>
        <w:t>。</w:t>
      </w:r>
    </w:p>
    <w:p w14:paraId="1D26E97E" w14:textId="77777777" w:rsidR="00A43F9A" w:rsidRPr="005625BA" w:rsidRDefault="00A43F9A" w:rsidP="00A43F9A">
      <w:pPr>
        <w:pStyle w:val="a9"/>
        <w:spacing w:before="0" w:line="360" w:lineRule="auto"/>
        <w:ind w:firstLineChars="200" w:firstLine="420"/>
        <w:rPr>
          <w:rFonts w:ascii="Times New Roman" w:hAnsi="Times New Roman"/>
          <w:szCs w:val="21"/>
        </w:rPr>
      </w:pPr>
      <w:r>
        <w:rPr>
          <w:rFonts w:ascii="Times New Roman" w:hAnsi="Times New Roman" w:hint="eastAsia"/>
          <w:szCs w:val="21"/>
        </w:rPr>
        <w:t>除以上重要工作过程时间节点外，</w:t>
      </w:r>
      <w:r w:rsidRPr="005625BA">
        <w:rPr>
          <w:rFonts w:ascii="Times New Roman" w:hAnsi="Times New Roman" w:hint="eastAsia"/>
          <w:szCs w:val="21"/>
        </w:rPr>
        <w:t>在标准制定过程中，项目组</w:t>
      </w:r>
      <w:r>
        <w:rPr>
          <w:rFonts w:ascii="Times New Roman" w:hAnsi="Times New Roman" w:hint="eastAsia"/>
          <w:szCs w:val="21"/>
        </w:rPr>
        <w:t>还</w:t>
      </w:r>
      <w:r w:rsidRPr="005625BA">
        <w:rPr>
          <w:rFonts w:ascii="Times New Roman" w:hAnsi="Times New Roman" w:hint="eastAsia"/>
          <w:szCs w:val="21"/>
        </w:rPr>
        <w:t>多次召开内部</w:t>
      </w:r>
      <w:r>
        <w:rPr>
          <w:rFonts w:ascii="Times New Roman" w:hAnsi="Times New Roman" w:hint="eastAsia"/>
          <w:szCs w:val="21"/>
        </w:rPr>
        <w:t>技术</w:t>
      </w:r>
      <w:r w:rsidRPr="005625BA">
        <w:rPr>
          <w:rFonts w:ascii="Times New Roman" w:hAnsi="Times New Roman" w:hint="eastAsia"/>
          <w:szCs w:val="21"/>
        </w:rPr>
        <w:t>讨论会对标准内容进行研讨和完善。</w:t>
      </w:r>
    </w:p>
    <w:p w14:paraId="39D1469C" w14:textId="23DD0E9B" w:rsidR="00DB1114" w:rsidRDefault="005208A5" w:rsidP="00CE032B">
      <w:pPr>
        <w:numPr>
          <w:ilvl w:val="0"/>
          <w:numId w:val="1"/>
        </w:numPr>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标准编制原则和主要内容</w:t>
      </w:r>
    </w:p>
    <w:p w14:paraId="46C7EAB6" w14:textId="728C1B92" w:rsidR="00603687" w:rsidRPr="00603687" w:rsidRDefault="00603687" w:rsidP="00603687">
      <w:pPr>
        <w:spacing w:line="360" w:lineRule="auto"/>
        <w:ind w:firstLineChars="200" w:firstLine="422"/>
        <w:rPr>
          <w:b/>
          <w:bCs/>
          <w:szCs w:val="21"/>
        </w:rPr>
      </w:pPr>
      <w:r w:rsidRPr="00603687">
        <w:rPr>
          <w:rFonts w:hint="eastAsia"/>
          <w:b/>
          <w:bCs/>
          <w:szCs w:val="21"/>
        </w:rPr>
        <w:t>1.</w:t>
      </w:r>
      <w:r w:rsidRPr="00603687">
        <w:rPr>
          <w:rFonts w:hint="eastAsia"/>
          <w:b/>
          <w:bCs/>
          <w:szCs w:val="21"/>
        </w:rPr>
        <w:t>编制原则</w:t>
      </w:r>
    </w:p>
    <w:p w14:paraId="78AF9214" w14:textId="2F9582E2" w:rsidR="00DB1114" w:rsidRDefault="003C7B78" w:rsidP="00B92E1E">
      <w:pPr>
        <w:spacing w:line="360" w:lineRule="auto"/>
        <w:ind w:firstLineChars="200" w:firstLine="420"/>
        <w:rPr>
          <w:szCs w:val="21"/>
        </w:rPr>
      </w:pPr>
      <w:r>
        <w:rPr>
          <w:rFonts w:hint="eastAsia"/>
          <w:szCs w:val="21"/>
        </w:rPr>
        <w:t>（</w:t>
      </w:r>
      <w:r>
        <w:rPr>
          <w:rFonts w:hint="eastAsia"/>
          <w:szCs w:val="21"/>
        </w:rPr>
        <w:t>1</w:t>
      </w:r>
      <w:r>
        <w:rPr>
          <w:rFonts w:hint="eastAsia"/>
          <w:szCs w:val="21"/>
        </w:rPr>
        <w:t>）</w:t>
      </w:r>
      <w:r w:rsidRPr="00581C8F">
        <w:rPr>
          <w:rFonts w:hint="eastAsia"/>
          <w:b/>
          <w:bCs/>
          <w:szCs w:val="21"/>
        </w:rPr>
        <w:t>总体原则</w:t>
      </w:r>
      <w:r w:rsidR="00CE032B" w:rsidRPr="00581C8F">
        <w:rPr>
          <w:rFonts w:hint="eastAsia"/>
          <w:b/>
          <w:bCs/>
          <w:szCs w:val="21"/>
        </w:rPr>
        <w:t>：</w:t>
      </w:r>
      <w:r w:rsidR="00CE032B" w:rsidRPr="00CE032B">
        <w:rPr>
          <w:rFonts w:hint="eastAsia"/>
          <w:szCs w:val="21"/>
        </w:rPr>
        <w:t>本标准按照</w:t>
      </w:r>
      <w:r w:rsidR="00CE032B" w:rsidRPr="00CE032B">
        <w:rPr>
          <w:rFonts w:hint="eastAsia"/>
          <w:szCs w:val="21"/>
        </w:rPr>
        <w:t>GB/T</w:t>
      </w:r>
      <w:r w:rsidR="00924392">
        <w:rPr>
          <w:rFonts w:hint="eastAsia"/>
          <w:szCs w:val="21"/>
        </w:rPr>
        <w:t xml:space="preserve"> </w:t>
      </w:r>
      <w:r w:rsidR="00CE032B" w:rsidRPr="00CE032B">
        <w:rPr>
          <w:rFonts w:hint="eastAsia"/>
          <w:szCs w:val="21"/>
        </w:rPr>
        <w:t>1.1</w:t>
      </w:r>
      <w:r w:rsidR="00CE032B" w:rsidRPr="00CE032B">
        <w:rPr>
          <w:rFonts w:hint="eastAsia"/>
          <w:szCs w:val="21"/>
        </w:rPr>
        <w:t>―</w:t>
      </w:r>
      <w:r w:rsidR="00CE032B" w:rsidRPr="00CE032B">
        <w:rPr>
          <w:rFonts w:hint="eastAsia"/>
          <w:szCs w:val="21"/>
        </w:rPr>
        <w:t>2020</w:t>
      </w:r>
      <w:r w:rsidR="00CE032B" w:rsidRPr="00CE032B">
        <w:rPr>
          <w:rFonts w:hint="eastAsia"/>
          <w:szCs w:val="21"/>
        </w:rPr>
        <w:t>《标准化工作导则第</w:t>
      </w:r>
      <w:r w:rsidR="00CE032B" w:rsidRPr="00CE032B">
        <w:rPr>
          <w:rFonts w:hint="eastAsia"/>
          <w:szCs w:val="21"/>
        </w:rPr>
        <w:t>1</w:t>
      </w:r>
      <w:r w:rsidR="00CE032B" w:rsidRPr="00CE032B">
        <w:rPr>
          <w:rFonts w:hint="eastAsia"/>
          <w:szCs w:val="21"/>
        </w:rPr>
        <w:t>部分：标准化文件的结构和起草规则》给出的规则起草</w:t>
      </w:r>
      <w:r w:rsidR="00CB41A3">
        <w:rPr>
          <w:rFonts w:hint="eastAsia"/>
          <w:szCs w:val="21"/>
        </w:rPr>
        <w:t>；</w:t>
      </w:r>
    </w:p>
    <w:p w14:paraId="41263FD6" w14:textId="15CAEE1F" w:rsidR="003C7B78" w:rsidRDefault="003C7B78" w:rsidP="00B92E1E">
      <w:pPr>
        <w:spacing w:line="360" w:lineRule="auto"/>
        <w:ind w:firstLineChars="200" w:firstLine="420"/>
        <w:rPr>
          <w:szCs w:val="21"/>
        </w:rPr>
      </w:pPr>
      <w:r>
        <w:rPr>
          <w:rFonts w:hint="eastAsia"/>
          <w:szCs w:val="21"/>
        </w:rPr>
        <w:t>（</w:t>
      </w:r>
      <w:r>
        <w:rPr>
          <w:rFonts w:hint="eastAsia"/>
          <w:szCs w:val="21"/>
        </w:rPr>
        <w:t>2</w:t>
      </w:r>
      <w:r>
        <w:rPr>
          <w:rFonts w:hint="eastAsia"/>
          <w:szCs w:val="21"/>
        </w:rPr>
        <w:t>）</w:t>
      </w:r>
      <w:r w:rsidR="00CE032B" w:rsidRPr="00581C8F">
        <w:rPr>
          <w:rFonts w:hint="eastAsia"/>
          <w:b/>
          <w:bCs/>
          <w:szCs w:val="21"/>
        </w:rPr>
        <w:t>标准</w:t>
      </w:r>
      <w:r w:rsidRPr="00581C8F">
        <w:rPr>
          <w:rFonts w:hint="eastAsia"/>
          <w:b/>
          <w:bCs/>
          <w:szCs w:val="21"/>
        </w:rPr>
        <w:t>协调</w:t>
      </w:r>
      <w:r w:rsidR="00CE032B" w:rsidRPr="00581C8F">
        <w:rPr>
          <w:rFonts w:hint="eastAsia"/>
          <w:b/>
          <w:bCs/>
          <w:szCs w:val="21"/>
        </w:rPr>
        <w:t>：</w:t>
      </w:r>
      <w:r w:rsidR="00653CA8">
        <w:rPr>
          <w:rFonts w:hint="eastAsia"/>
          <w:szCs w:val="21"/>
        </w:rPr>
        <w:t>本标准制定过程中充分考虑了现行国家强制性标准</w:t>
      </w:r>
      <w:r w:rsidR="00653CA8">
        <w:rPr>
          <w:rFonts w:hint="eastAsia"/>
          <w:szCs w:val="21"/>
        </w:rPr>
        <w:t>GB 44263</w:t>
      </w:r>
      <w:r w:rsidR="00653CA8">
        <w:rPr>
          <w:rFonts w:hint="eastAsia"/>
          <w:szCs w:val="21"/>
        </w:rPr>
        <w:t>、</w:t>
      </w:r>
      <w:r w:rsidR="00653CA8">
        <w:rPr>
          <w:rFonts w:hint="eastAsia"/>
          <w:szCs w:val="21"/>
        </w:rPr>
        <w:t>GB 39752</w:t>
      </w:r>
      <w:r w:rsidR="00924392">
        <w:rPr>
          <w:rFonts w:hint="eastAsia"/>
          <w:szCs w:val="21"/>
        </w:rPr>
        <w:t>中安全指标以及形式检测</w:t>
      </w:r>
      <w:r w:rsidR="00924392" w:rsidRPr="00924392">
        <w:rPr>
          <w:szCs w:val="21"/>
        </w:rPr>
        <w:t>GB</w:t>
      </w:r>
      <w:r w:rsidR="00924392">
        <w:rPr>
          <w:rFonts w:hint="eastAsia"/>
          <w:szCs w:val="21"/>
        </w:rPr>
        <w:t>/</w:t>
      </w:r>
      <w:r w:rsidR="00924392" w:rsidRPr="00924392">
        <w:rPr>
          <w:szCs w:val="21"/>
        </w:rPr>
        <w:t>T</w:t>
      </w:r>
      <w:r w:rsidR="00924392">
        <w:rPr>
          <w:rFonts w:hint="eastAsia"/>
          <w:szCs w:val="21"/>
        </w:rPr>
        <w:t xml:space="preserve"> </w:t>
      </w:r>
      <w:r w:rsidR="00924392" w:rsidRPr="00924392">
        <w:rPr>
          <w:szCs w:val="21"/>
        </w:rPr>
        <w:t>18487.1</w:t>
      </w:r>
      <w:r w:rsidR="00924392">
        <w:rPr>
          <w:rFonts w:hint="eastAsia"/>
          <w:szCs w:val="21"/>
        </w:rPr>
        <w:t>中技术要求，同时协调</w:t>
      </w:r>
      <w:r w:rsidR="00924392" w:rsidRPr="00924392">
        <w:rPr>
          <w:szCs w:val="21"/>
        </w:rPr>
        <w:t>GB</w:t>
      </w:r>
      <w:r w:rsidR="00924392">
        <w:rPr>
          <w:rFonts w:hint="eastAsia"/>
          <w:szCs w:val="21"/>
        </w:rPr>
        <w:t>/</w:t>
      </w:r>
      <w:r w:rsidR="00924392" w:rsidRPr="00924392">
        <w:rPr>
          <w:szCs w:val="21"/>
        </w:rPr>
        <w:t>T</w:t>
      </w:r>
      <w:r w:rsidR="00924392">
        <w:rPr>
          <w:rFonts w:hint="eastAsia"/>
          <w:szCs w:val="21"/>
        </w:rPr>
        <w:t xml:space="preserve"> </w:t>
      </w:r>
      <w:r w:rsidR="00924392" w:rsidRPr="00924392">
        <w:rPr>
          <w:szCs w:val="21"/>
        </w:rPr>
        <w:t>27930</w:t>
      </w:r>
      <w:r w:rsidR="00924392">
        <w:rPr>
          <w:rFonts w:hint="eastAsia"/>
          <w:szCs w:val="21"/>
        </w:rPr>
        <w:t>和</w:t>
      </w:r>
      <w:r w:rsidR="00924392" w:rsidRPr="00924392">
        <w:rPr>
          <w:szCs w:val="21"/>
        </w:rPr>
        <w:t>GB</w:t>
      </w:r>
      <w:r w:rsidR="00924392">
        <w:rPr>
          <w:rFonts w:hint="eastAsia"/>
          <w:szCs w:val="21"/>
        </w:rPr>
        <w:t>/</w:t>
      </w:r>
      <w:r w:rsidR="00924392" w:rsidRPr="00924392">
        <w:rPr>
          <w:szCs w:val="21"/>
        </w:rPr>
        <w:t>T</w:t>
      </w:r>
      <w:r w:rsidR="00924392">
        <w:rPr>
          <w:rFonts w:hint="eastAsia"/>
          <w:szCs w:val="21"/>
        </w:rPr>
        <w:t xml:space="preserve"> </w:t>
      </w:r>
      <w:r w:rsidR="00924392" w:rsidRPr="00924392">
        <w:rPr>
          <w:szCs w:val="21"/>
        </w:rPr>
        <w:t>27930</w:t>
      </w:r>
      <w:r w:rsidR="00924392">
        <w:rPr>
          <w:rFonts w:hint="eastAsia"/>
          <w:szCs w:val="21"/>
        </w:rPr>
        <w:t>.2</w:t>
      </w:r>
      <w:r w:rsidR="00924392">
        <w:rPr>
          <w:rFonts w:hint="eastAsia"/>
          <w:szCs w:val="21"/>
        </w:rPr>
        <w:t>中对</w:t>
      </w:r>
      <w:r w:rsidR="00924392">
        <w:rPr>
          <w:rFonts w:hint="eastAsia"/>
          <w:szCs w:val="21"/>
        </w:rPr>
        <w:t>A</w:t>
      </w:r>
      <w:r w:rsidR="00924392">
        <w:rPr>
          <w:rFonts w:hint="eastAsia"/>
          <w:szCs w:val="21"/>
        </w:rPr>
        <w:t>类和</w:t>
      </w:r>
      <w:r w:rsidR="00924392">
        <w:rPr>
          <w:rFonts w:hint="eastAsia"/>
          <w:szCs w:val="21"/>
        </w:rPr>
        <w:t>C</w:t>
      </w:r>
      <w:r w:rsidR="00924392">
        <w:rPr>
          <w:rFonts w:hint="eastAsia"/>
          <w:szCs w:val="21"/>
        </w:rPr>
        <w:t>类充电系统中报文的</w:t>
      </w:r>
      <w:r w:rsidR="00581C8F">
        <w:rPr>
          <w:rFonts w:hint="eastAsia"/>
          <w:szCs w:val="21"/>
        </w:rPr>
        <w:t>格式要求，充分考虑行业产品的兼容性和标准指标的协调性</w:t>
      </w:r>
      <w:r w:rsidR="00CB41A3">
        <w:rPr>
          <w:rFonts w:hint="eastAsia"/>
          <w:szCs w:val="21"/>
        </w:rPr>
        <w:t>；</w:t>
      </w:r>
    </w:p>
    <w:p w14:paraId="2D7C22EB" w14:textId="59D5E083" w:rsidR="003C7B78" w:rsidRDefault="003C7B78" w:rsidP="00B92E1E">
      <w:pPr>
        <w:spacing w:line="360" w:lineRule="auto"/>
        <w:ind w:firstLineChars="200" w:firstLine="420"/>
        <w:rPr>
          <w:szCs w:val="21"/>
        </w:rPr>
      </w:pPr>
      <w:r>
        <w:rPr>
          <w:rFonts w:hint="eastAsia"/>
          <w:szCs w:val="21"/>
        </w:rPr>
        <w:t>（</w:t>
      </w:r>
      <w:r>
        <w:rPr>
          <w:rFonts w:hint="eastAsia"/>
          <w:szCs w:val="21"/>
        </w:rPr>
        <w:t>3</w:t>
      </w:r>
      <w:r>
        <w:rPr>
          <w:rFonts w:hint="eastAsia"/>
          <w:szCs w:val="21"/>
        </w:rPr>
        <w:t>）</w:t>
      </w:r>
      <w:r w:rsidR="00CE032B" w:rsidRPr="00581C8F">
        <w:rPr>
          <w:rFonts w:hint="eastAsia"/>
          <w:b/>
          <w:bCs/>
          <w:szCs w:val="21"/>
        </w:rPr>
        <w:t>应用为主，适度超前：</w:t>
      </w:r>
      <w:r w:rsidR="00CB41A3">
        <w:rPr>
          <w:rFonts w:hint="eastAsia"/>
          <w:szCs w:val="21"/>
        </w:rPr>
        <w:t>本标准充分考虑预警功能执行中的可行性，</w:t>
      </w:r>
      <w:r w:rsidR="00376FB0">
        <w:rPr>
          <w:rFonts w:hint="eastAsia"/>
          <w:szCs w:val="21"/>
        </w:rPr>
        <w:t>摒弃了预警过程中不必要的冗余温度监测、环境适应监测、功能故障监测等，同时引入行业近期深度关注的能效问题、</w:t>
      </w:r>
      <w:r w:rsidR="00376FB0">
        <w:rPr>
          <w:rFonts w:hint="eastAsia"/>
          <w:szCs w:val="21"/>
        </w:rPr>
        <w:t>C</w:t>
      </w:r>
      <w:r w:rsidR="00376FB0">
        <w:rPr>
          <w:rFonts w:hint="eastAsia"/>
          <w:szCs w:val="21"/>
        </w:rPr>
        <w:t>类充电系统报文监测问题、以及信息安全泄露问题，并对部分阈值在未来短期技术可实现的情况下进行适度加严，既满足现有落地应用，又紧贴未来技术发展；</w:t>
      </w:r>
    </w:p>
    <w:p w14:paraId="7A7E6826" w14:textId="6134DCF0" w:rsidR="00CE032B" w:rsidRDefault="00CE032B" w:rsidP="00B92E1E">
      <w:pPr>
        <w:spacing w:line="360" w:lineRule="auto"/>
        <w:ind w:firstLineChars="200" w:firstLine="420"/>
        <w:rPr>
          <w:rFonts w:ascii="仿宋" w:eastAsia="仿宋" w:hAnsi="仿宋" w:hint="eastAsia"/>
          <w:sz w:val="24"/>
        </w:rPr>
      </w:pPr>
      <w:r>
        <w:rPr>
          <w:rFonts w:hint="eastAsia"/>
          <w:szCs w:val="21"/>
        </w:rPr>
        <w:t>（</w:t>
      </w:r>
      <w:r>
        <w:rPr>
          <w:rFonts w:hint="eastAsia"/>
          <w:szCs w:val="21"/>
        </w:rPr>
        <w:t>4</w:t>
      </w:r>
      <w:r>
        <w:rPr>
          <w:rFonts w:hint="eastAsia"/>
          <w:szCs w:val="21"/>
        </w:rPr>
        <w:t>）</w:t>
      </w:r>
      <w:r w:rsidRPr="00581C8F">
        <w:rPr>
          <w:rFonts w:hint="eastAsia"/>
          <w:b/>
          <w:bCs/>
          <w:szCs w:val="21"/>
        </w:rPr>
        <w:t>广泛征求意见：</w:t>
      </w:r>
      <w:r w:rsidR="00CB41A3">
        <w:rPr>
          <w:rFonts w:hint="eastAsia"/>
          <w:szCs w:val="21"/>
        </w:rPr>
        <w:t>本标准的研讨和意见征集过程涵盖车辆端、充电桩端、运营端、检测端和高校研究端，包含研发到应用全链条</w:t>
      </w:r>
      <w:r w:rsidR="00376FB0">
        <w:rPr>
          <w:rFonts w:hint="eastAsia"/>
          <w:szCs w:val="21"/>
        </w:rPr>
        <w:t>，充分考虑了行业意见。</w:t>
      </w:r>
    </w:p>
    <w:p w14:paraId="1AC01C8F" w14:textId="77777777" w:rsidR="00DB1114" w:rsidRDefault="005208A5">
      <w:pPr>
        <w:ind w:firstLineChars="200" w:firstLine="480"/>
        <w:rPr>
          <w:rFonts w:ascii="黑体" w:eastAsia="黑体" w:hAnsi="黑体" w:cs="黑体" w:hint="eastAsia"/>
          <w:color w:val="000000" w:themeColor="text1"/>
          <w:sz w:val="30"/>
          <w:szCs w:val="30"/>
        </w:rPr>
      </w:pPr>
      <w:r>
        <w:rPr>
          <w:rFonts w:ascii="黑体" w:eastAsia="黑体" w:hAnsi="黑体" w:cs="黑体" w:hint="eastAsia"/>
          <w:color w:val="000000" w:themeColor="text1"/>
          <w:sz w:val="24"/>
        </w:rPr>
        <w:t xml:space="preserve">三、采用国际标准和国外先进标准情况  </w:t>
      </w:r>
      <w:r>
        <w:rPr>
          <w:rFonts w:ascii="黑体" w:eastAsia="黑体" w:hAnsi="黑体" w:cs="黑体" w:hint="eastAsia"/>
          <w:color w:val="000000" w:themeColor="text1"/>
          <w:sz w:val="30"/>
          <w:szCs w:val="30"/>
        </w:rPr>
        <w:t xml:space="preserve"> </w:t>
      </w:r>
    </w:p>
    <w:p w14:paraId="4194CFA4" w14:textId="6CB2F779" w:rsidR="00DB1114" w:rsidRPr="00376FB0" w:rsidRDefault="00376FB0">
      <w:pPr>
        <w:ind w:firstLineChars="200" w:firstLine="420"/>
        <w:rPr>
          <w:szCs w:val="21"/>
        </w:rPr>
      </w:pPr>
      <w:r w:rsidRPr="00376FB0">
        <w:rPr>
          <w:rFonts w:hint="eastAsia"/>
          <w:szCs w:val="21"/>
        </w:rPr>
        <w:t>国外尚未发布此类标准，在国际上无对比对象。</w:t>
      </w:r>
    </w:p>
    <w:p w14:paraId="53EE5F20" w14:textId="77777777" w:rsidR="00DB1114" w:rsidRDefault="005208A5">
      <w:pPr>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四、主要关键指标及试验验证情况</w:t>
      </w:r>
    </w:p>
    <w:p w14:paraId="538D60AD" w14:textId="18583AA7" w:rsidR="00DB1114" w:rsidRPr="006E5C65" w:rsidRDefault="006E5C65" w:rsidP="00F03324">
      <w:pPr>
        <w:spacing w:line="360" w:lineRule="auto"/>
        <w:ind w:firstLineChars="200" w:firstLine="420"/>
        <w:rPr>
          <w:szCs w:val="21"/>
        </w:rPr>
      </w:pPr>
      <w:r>
        <w:rPr>
          <w:rFonts w:hint="eastAsia"/>
          <w:szCs w:val="21"/>
        </w:rPr>
        <w:t>本标准中涉及的热安全、电安全、功能安全等维度预警</w:t>
      </w:r>
      <w:r w:rsidR="003606FF">
        <w:rPr>
          <w:rFonts w:hint="eastAsia"/>
          <w:szCs w:val="21"/>
        </w:rPr>
        <w:t>已在众多企业中得到广泛应用，并以此标准功能和阈值为参考进行同步开发，融合端对报文的监测已在多个企业</w:t>
      </w:r>
      <w:r w:rsidRPr="006E5C65">
        <w:rPr>
          <w:rFonts w:hint="eastAsia"/>
          <w:szCs w:val="21"/>
        </w:rPr>
        <w:t>内多</w:t>
      </w:r>
      <w:r w:rsidR="003606FF">
        <w:rPr>
          <w:rFonts w:hint="eastAsia"/>
          <w:szCs w:val="21"/>
        </w:rPr>
        <w:t>开展</w:t>
      </w:r>
      <w:r w:rsidRPr="006E5C65">
        <w:rPr>
          <w:rFonts w:hint="eastAsia"/>
          <w:szCs w:val="21"/>
        </w:rPr>
        <w:t>体系化</w:t>
      </w:r>
      <w:r w:rsidR="003606FF">
        <w:rPr>
          <w:rFonts w:hint="eastAsia"/>
          <w:szCs w:val="21"/>
        </w:rPr>
        <w:t>深度</w:t>
      </w:r>
      <w:r w:rsidRPr="006E5C65">
        <w:rPr>
          <w:rFonts w:hint="eastAsia"/>
          <w:szCs w:val="21"/>
        </w:rPr>
        <w:t>验证。</w:t>
      </w:r>
    </w:p>
    <w:p w14:paraId="71C2AD47" w14:textId="77777777" w:rsidR="00DB1114" w:rsidRDefault="005208A5">
      <w:pPr>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lastRenderedPageBreak/>
        <w:t>五、与现行法律、法规和政策及相关标准的协调性</w:t>
      </w:r>
    </w:p>
    <w:p w14:paraId="5C238259" w14:textId="77777777" w:rsidR="00F03324" w:rsidRPr="00F03324" w:rsidRDefault="00F03324" w:rsidP="00F03324">
      <w:pPr>
        <w:spacing w:after="0" w:line="360" w:lineRule="auto"/>
        <w:ind w:firstLineChars="200" w:firstLine="420"/>
        <w:rPr>
          <w:szCs w:val="21"/>
        </w:rPr>
      </w:pPr>
      <w:r w:rsidRPr="00F03324">
        <w:rPr>
          <w:rFonts w:hint="eastAsia"/>
          <w:szCs w:val="21"/>
        </w:rPr>
        <w:t>a</w:t>
      </w:r>
      <w:r w:rsidRPr="00F03324">
        <w:rPr>
          <w:rFonts w:hint="eastAsia"/>
          <w:szCs w:val="21"/>
        </w:rPr>
        <w:t>）内容的一致性：本标准的内容应与现行法律、法规和政策的规定保持一致，不存在违反相关法律法规和政策。</w:t>
      </w:r>
    </w:p>
    <w:p w14:paraId="594C7D5A" w14:textId="77777777" w:rsidR="00F03324" w:rsidRPr="00F03324" w:rsidRDefault="00F03324" w:rsidP="00F03324">
      <w:pPr>
        <w:spacing w:after="0" w:line="360" w:lineRule="auto"/>
        <w:ind w:firstLineChars="200" w:firstLine="420"/>
        <w:rPr>
          <w:szCs w:val="21"/>
        </w:rPr>
      </w:pPr>
      <w:r w:rsidRPr="00F03324">
        <w:rPr>
          <w:rFonts w:hint="eastAsia"/>
          <w:szCs w:val="21"/>
        </w:rPr>
        <w:t>b</w:t>
      </w:r>
      <w:r w:rsidRPr="00F03324">
        <w:rPr>
          <w:rFonts w:hint="eastAsia"/>
          <w:szCs w:val="21"/>
        </w:rPr>
        <w:t>）标准的更新和维护：随着技术和市场的不断发展，本标准可能需要不断更新和维护。在此过程中，本标准应与现行法律、法规和政策的最新要求保持一致。</w:t>
      </w:r>
    </w:p>
    <w:p w14:paraId="6671CA8C" w14:textId="77777777" w:rsidR="00F03324" w:rsidRPr="00F03324" w:rsidRDefault="00F03324" w:rsidP="00F03324">
      <w:pPr>
        <w:spacing w:after="0" w:line="360" w:lineRule="auto"/>
        <w:ind w:firstLineChars="200" w:firstLine="420"/>
        <w:rPr>
          <w:szCs w:val="21"/>
        </w:rPr>
      </w:pPr>
      <w:r w:rsidRPr="00F03324">
        <w:rPr>
          <w:rFonts w:hint="eastAsia"/>
          <w:szCs w:val="21"/>
        </w:rPr>
        <w:t>c</w:t>
      </w:r>
      <w:r w:rsidRPr="00F03324">
        <w:rPr>
          <w:rFonts w:hint="eastAsia"/>
          <w:szCs w:val="21"/>
        </w:rPr>
        <w:t>）制定程序的透明度：本标准的制定程序始终保持透明度，充分吸收各方意见，确保标准的公正性和客观性。</w:t>
      </w:r>
    </w:p>
    <w:p w14:paraId="232610A4" w14:textId="77777777" w:rsidR="00DB1114" w:rsidRDefault="005208A5">
      <w:pPr>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六、贯彻标准的要求和措施建议</w:t>
      </w:r>
    </w:p>
    <w:p w14:paraId="0659261E" w14:textId="77777777" w:rsidR="00DB1114" w:rsidRDefault="005208A5">
      <w:pPr>
        <w:ind w:firstLineChars="400" w:firstLine="840"/>
        <w:rPr>
          <w:rFonts w:ascii="仿宋" w:eastAsia="仿宋" w:hAnsi="仿宋" w:cs="仿宋" w:hint="eastAsia"/>
          <w:i/>
          <w:iCs/>
          <w:color w:val="000000" w:themeColor="text1"/>
          <w:szCs w:val="21"/>
        </w:rPr>
      </w:pPr>
      <w:r>
        <w:rPr>
          <w:rFonts w:ascii="仿宋" w:eastAsia="仿宋" w:hAnsi="仿宋" w:cs="仿宋" w:hint="eastAsia"/>
          <w:i/>
          <w:iCs/>
          <w:color w:val="000000" w:themeColor="text1"/>
          <w:szCs w:val="21"/>
        </w:rPr>
        <w:t>说明本标准的性质，介绍后期开展宣贯实施的措施、保障等。</w:t>
      </w:r>
    </w:p>
    <w:p w14:paraId="25180BC4" w14:textId="2D53359F" w:rsidR="00DB1114" w:rsidRDefault="00365694">
      <w:pPr>
        <w:ind w:firstLineChars="200" w:firstLine="420"/>
        <w:rPr>
          <w:szCs w:val="21"/>
        </w:rPr>
      </w:pPr>
      <w:r w:rsidRPr="00365694">
        <w:rPr>
          <w:rFonts w:hint="eastAsia"/>
          <w:szCs w:val="21"/>
        </w:rPr>
        <w:t>本标准完成全部制定工作并发布后，拟采用如下策略推进宣贯、应用工作：</w:t>
      </w:r>
    </w:p>
    <w:p w14:paraId="6BEF8FE2" w14:textId="1CA5B9C9" w:rsidR="00365694" w:rsidRPr="00365694" w:rsidRDefault="00365694" w:rsidP="00365694">
      <w:pPr>
        <w:pStyle w:val="a7"/>
        <w:numPr>
          <w:ilvl w:val="0"/>
          <w:numId w:val="5"/>
        </w:numPr>
        <w:ind w:firstLineChars="0"/>
        <w:rPr>
          <w:b/>
          <w:bCs/>
          <w:szCs w:val="21"/>
        </w:rPr>
      </w:pPr>
      <w:r w:rsidRPr="00365694">
        <w:rPr>
          <w:rFonts w:hint="eastAsia"/>
          <w:b/>
          <w:bCs/>
          <w:szCs w:val="21"/>
        </w:rPr>
        <w:t>行业论坛与宣传工作：</w:t>
      </w:r>
    </w:p>
    <w:p w14:paraId="35B1FAD3" w14:textId="77777777" w:rsidR="00365694" w:rsidRPr="00365694" w:rsidRDefault="00365694" w:rsidP="00365694">
      <w:pPr>
        <w:spacing w:after="0" w:line="360" w:lineRule="auto"/>
        <w:ind w:firstLineChars="200" w:firstLine="420"/>
        <w:rPr>
          <w:szCs w:val="21"/>
        </w:rPr>
      </w:pPr>
      <w:r w:rsidRPr="00365694">
        <w:rPr>
          <w:rFonts w:hint="eastAsia"/>
          <w:szCs w:val="21"/>
        </w:rPr>
        <w:t>为推进上述宣贯、应用工作，计划组织两阶段的行业技术交流论坛：</w:t>
      </w:r>
    </w:p>
    <w:p w14:paraId="07F043C0" w14:textId="77777777" w:rsidR="00365694" w:rsidRPr="00365694" w:rsidRDefault="00365694" w:rsidP="00365694">
      <w:pPr>
        <w:spacing w:after="0" w:line="360" w:lineRule="auto"/>
        <w:ind w:firstLineChars="200" w:firstLine="420"/>
        <w:rPr>
          <w:szCs w:val="21"/>
        </w:rPr>
      </w:pPr>
      <w:r w:rsidRPr="00365694">
        <w:rPr>
          <w:rFonts w:hint="eastAsia"/>
          <w:szCs w:val="21"/>
        </w:rPr>
        <w:t>首次论坛聚焦新团标技术规范宣贯、安全预警与示范验证方案培训，以及线上</w:t>
      </w:r>
      <w:r w:rsidRPr="00365694">
        <w:rPr>
          <w:rFonts w:hint="eastAsia"/>
          <w:szCs w:val="21"/>
        </w:rPr>
        <w:t>+</w:t>
      </w:r>
      <w:r w:rsidRPr="00365694">
        <w:rPr>
          <w:rFonts w:hint="eastAsia"/>
          <w:szCs w:val="21"/>
        </w:rPr>
        <w:t>线下示范应用合作邀请，通过标准解读、合作方案培训、平台规划演示等方式，吸引行业内代表性企业加入并合作展开示范应用工作；</w:t>
      </w:r>
    </w:p>
    <w:p w14:paraId="2763E116" w14:textId="77777777" w:rsidR="00365694" w:rsidRPr="00365694" w:rsidRDefault="00365694" w:rsidP="00365694">
      <w:pPr>
        <w:spacing w:after="0" w:line="360" w:lineRule="auto"/>
        <w:ind w:firstLineChars="200" w:firstLine="420"/>
        <w:rPr>
          <w:szCs w:val="21"/>
        </w:rPr>
      </w:pPr>
      <w:r w:rsidRPr="00365694">
        <w:rPr>
          <w:rFonts w:hint="eastAsia"/>
          <w:szCs w:val="21"/>
        </w:rPr>
        <w:t>第二次论坛基于线下场站示范验证结果和线上平台运行数据分析情况，发布示范企业安全绩效表现评价，对线下成绩优异的企业及其产品颁发“超充安全之星”认证证书，对线上成绩优异的企业进行宣传和表扬，并对在示范应用中表现不佳的企业和产品提供专业性优化建议、督促其整改典型安全问题。</w:t>
      </w:r>
    </w:p>
    <w:p w14:paraId="4E93F187" w14:textId="3DBED5A5" w:rsidR="00365694" w:rsidRPr="00365694" w:rsidRDefault="00365694" w:rsidP="00365694">
      <w:pPr>
        <w:spacing w:after="0" w:line="360" w:lineRule="auto"/>
        <w:ind w:firstLineChars="200" w:firstLine="420"/>
        <w:rPr>
          <w:szCs w:val="21"/>
        </w:rPr>
      </w:pPr>
      <w:r w:rsidRPr="00365694">
        <w:rPr>
          <w:rFonts w:hint="eastAsia"/>
          <w:szCs w:val="21"/>
        </w:rPr>
        <w:t>两阶段活动旨在构建标准推广</w:t>
      </w:r>
      <w:r w:rsidRPr="00365694">
        <w:rPr>
          <w:rFonts w:hint="eastAsia"/>
          <w:szCs w:val="21"/>
        </w:rPr>
        <w:t>-</w:t>
      </w:r>
      <w:r w:rsidRPr="00365694">
        <w:rPr>
          <w:rFonts w:hint="eastAsia"/>
          <w:szCs w:val="21"/>
        </w:rPr>
        <w:t>成果展示</w:t>
      </w:r>
      <w:r w:rsidRPr="00365694">
        <w:rPr>
          <w:rFonts w:hint="eastAsia"/>
          <w:szCs w:val="21"/>
        </w:rPr>
        <w:t>-</w:t>
      </w:r>
      <w:r w:rsidRPr="00365694">
        <w:rPr>
          <w:rFonts w:hint="eastAsia"/>
          <w:szCs w:val="21"/>
        </w:rPr>
        <w:t>问题整改的闭环交流机制，帮助成绩优异的企业在行业内树立安全先进标杆形象，促进成绩不佳的企业提升技术合规性和安全责任落实程度，以此实现新团标的推广应用。</w:t>
      </w:r>
    </w:p>
    <w:p w14:paraId="268820E4" w14:textId="576CE7C0" w:rsidR="00DB1114" w:rsidRPr="00365694" w:rsidRDefault="00365694" w:rsidP="00365694">
      <w:pPr>
        <w:pStyle w:val="a7"/>
        <w:numPr>
          <w:ilvl w:val="0"/>
          <w:numId w:val="5"/>
        </w:numPr>
        <w:ind w:firstLineChars="0"/>
        <w:rPr>
          <w:b/>
          <w:bCs/>
          <w:szCs w:val="21"/>
        </w:rPr>
      </w:pPr>
      <w:r w:rsidRPr="00365694">
        <w:rPr>
          <w:rFonts w:hint="eastAsia"/>
          <w:b/>
          <w:bCs/>
          <w:szCs w:val="21"/>
        </w:rPr>
        <w:t>大功率安全预警监测平台建设：</w:t>
      </w:r>
    </w:p>
    <w:p w14:paraId="08FEBCB6" w14:textId="77777777" w:rsidR="00365694" w:rsidRPr="00365694" w:rsidRDefault="00365694" w:rsidP="00365694">
      <w:pPr>
        <w:spacing w:after="0" w:line="360" w:lineRule="auto"/>
        <w:ind w:firstLineChars="200" w:firstLine="420"/>
        <w:rPr>
          <w:szCs w:val="21"/>
        </w:rPr>
      </w:pPr>
      <w:r w:rsidRPr="00365694">
        <w:rPr>
          <w:rFonts w:hint="eastAsia"/>
          <w:szCs w:val="21"/>
        </w:rPr>
        <w:t>邀请、组织行业内代表性企业，整合其各省市充电桩运营数据接口，建立覆盖全国的多层级充电运营大数据融合监测平台，实现对充电服务过程、尤其是大功率充电过程的电压、电流、温升等核心参数实时采集。同时基于新团标制定涵盖大功率充电过程的车桩融合安全预警模型，应用该模型实现对全部接入充电桩的多维度动态监测指标体系构建，部署异常工况识别算法与风险分级预警机制，通过可视化全局监测看板和周期性运行报告的形式，实现线上实时充电融合安全预警监测。同步建立企业安全绩效动态评估机制，依据设备故障率、</w:t>
      </w:r>
      <w:r w:rsidRPr="00365694">
        <w:rPr>
          <w:rFonts w:hint="eastAsia"/>
          <w:szCs w:val="21"/>
        </w:rPr>
        <w:lastRenderedPageBreak/>
        <w:t>告警响应时效、安全预警机制触发情况等指标对示范企业实施分级标识与结果公示，对高风险主体定向推送整改建议。</w:t>
      </w:r>
    </w:p>
    <w:p w14:paraId="3274F4CC" w14:textId="2F9A3F00" w:rsidR="00365694" w:rsidRPr="00365694" w:rsidRDefault="00365694" w:rsidP="00365694">
      <w:pPr>
        <w:spacing w:after="0" w:line="360" w:lineRule="auto"/>
        <w:ind w:firstLineChars="200" w:firstLine="420"/>
        <w:rPr>
          <w:szCs w:val="21"/>
        </w:rPr>
      </w:pPr>
      <w:r w:rsidRPr="00365694">
        <w:rPr>
          <w:rFonts w:hint="eastAsia"/>
          <w:szCs w:val="21"/>
        </w:rPr>
        <w:t>该平台旨在实现充电设备运行状态动态追踪、安全隐患实时预警及安全主体责任闭环管理。</w:t>
      </w:r>
    </w:p>
    <w:p w14:paraId="145FDC4C" w14:textId="49388522" w:rsidR="00DB1114" w:rsidRPr="00121BD3" w:rsidRDefault="005208A5" w:rsidP="00121BD3">
      <w:pPr>
        <w:numPr>
          <w:ilvl w:val="0"/>
          <w:numId w:val="3"/>
        </w:numPr>
        <w:ind w:firstLineChars="200" w:firstLine="480"/>
        <w:rPr>
          <w:rFonts w:ascii="黑体" w:eastAsia="黑体" w:hAnsi="黑体" w:cs="黑体" w:hint="eastAsia"/>
          <w:color w:val="000000" w:themeColor="text1"/>
          <w:sz w:val="24"/>
        </w:rPr>
      </w:pPr>
      <w:r>
        <w:rPr>
          <w:rFonts w:ascii="黑体" w:eastAsia="黑体" w:hAnsi="黑体" w:cs="黑体" w:hint="eastAsia"/>
          <w:color w:val="000000" w:themeColor="text1"/>
          <w:sz w:val="24"/>
        </w:rPr>
        <w:t>其他需要说明的事项</w:t>
      </w:r>
    </w:p>
    <w:p w14:paraId="3380C3F9" w14:textId="6E0EC556" w:rsidR="00365694" w:rsidRPr="00365694" w:rsidRDefault="00365694" w:rsidP="00365694">
      <w:pPr>
        <w:spacing w:after="0" w:line="360" w:lineRule="auto"/>
        <w:ind w:firstLineChars="200" w:firstLine="420"/>
        <w:rPr>
          <w:szCs w:val="21"/>
        </w:rPr>
      </w:pPr>
      <w:r>
        <w:rPr>
          <w:rFonts w:hint="eastAsia"/>
          <w:szCs w:val="21"/>
        </w:rPr>
        <w:t>无</w:t>
      </w:r>
      <w:r w:rsidRPr="00365694">
        <w:rPr>
          <w:rFonts w:hint="eastAsia"/>
          <w:szCs w:val="21"/>
        </w:rPr>
        <w:t>。</w:t>
      </w:r>
    </w:p>
    <w:sectPr w:rsidR="00365694" w:rsidRPr="0036569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D635" w14:textId="77777777" w:rsidR="00FD28A2" w:rsidRDefault="00FD28A2" w:rsidP="00792EE4">
      <w:pPr>
        <w:spacing w:after="0" w:line="240" w:lineRule="auto"/>
      </w:pPr>
      <w:r>
        <w:separator/>
      </w:r>
    </w:p>
  </w:endnote>
  <w:endnote w:type="continuationSeparator" w:id="0">
    <w:p w14:paraId="70986B82" w14:textId="77777777" w:rsidR="00FD28A2" w:rsidRDefault="00FD28A2" w:rsidP="0079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134235"/>
      <w:docPartObj>
        <w:docPartGallery w:val="Page Numbers (Bottom of Page)"/>
        <w:docPartUnique/>
      </w:docPartObj>
    </w:sdtPr>
    <w:sdtContent>
      <w:p w14:paraId="388D407F" w14:textId="0BEA4D86" w:rsidR="00603687" w:rsidRDefault="00603687">
        <w:pPr>
          <w:pStyle w:val="a5"/>
          <w:jc w:val="right"/>
        </w:pPr>
        <w:r>
          <w:fldChar w:fldCharType="begin"/>
        </w:r>
        <w:r>
          <w:instrText>PAGE   \* MERGEFORMAT</w:instrText>
        </w:r>
        <w:r>
          <w:fldChar w:fldCharType="separate"/>
        </w:r>
        <w:r>
          <w:rPr>
            <w:lang w:val="zh-CN"/>
          </w:rPr>
          <w:t>2</w:t>
        </w:r>
        <w:r>
          <w:fldChar w:fldCharType="end"/>
        </w:r>
      </w:p>
    </w:sdtContent>
  </w:sdt>
  <w:p w14:paraId="3089423D" w14:textId="77777777" w:rsidR="00603687" w:rsidRDefault="006036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4F67B" w14:textId="77777777" w:rsidR="00FD28A2" w:rsidRDefault="00FD28A2" w:rsidP="00792EE4">
      <w:pPr>
        <w:spacing w:after="0" w:line="240" w:lineRule="auto"/>
      </w:pPr>
      <w:r>
        <w:separator/>
      </w:r>
    </w:p>
  </w:footnote>
  <w:footnote w:type="continuationSeparator" w:id="0">
    <w:p w14:paraId="1D383F9F" w14:textId="77777777" w:rsidR="00FD28A2" w:rsidRDefault="00FD28A2" w:rsidP="00792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60A38F"/>
    <w:multiLevelType w:val="singleLevel"/>
    <w:tmpl w:val="C760A38F"/>
    <w:lvl w:ilvl="0">
      <w:start w:val="1"/>
      <w:numFmt w:val="chineseCounting"/>
      <w:suff w:val="nothing"/>
      <w:lvlText w:val="%1、"/>
      <w:lvlJc w:val="left"/>
      <w:rPr>
        <w:rFonts w:hint="eastAsia"/>
      </w:rPr>
    </w:lvl>
  </w:abstractNum>
  <w:abstractNum w:abstractNumId="1" w15:restartNumberingAfterBreak="0">
    <w:nsid w:val="E319F839"/>
    <w:multiLevelType w:val="singleLevel"/>
    <w:tmpl w:val="E319F839"/>
    <w:lvl w:ilvl="0">
      <w:start w:val="1"/>
      <w:numFmt w:val="chineseCounting"/>
      <w:suff w:val="nothing"/>
      <w:lvlText w:val="（%1）"/>
      <w:lvlJc w:val="left"/>
      <w:pPr>
        <w:ind w:left="360" w:firstLine="0"/>
      </w:pPr>
      <w:rPr>
        <w:rFonts w:hint="eastAsia"/>
      </w:rPr>
    </w:lvl>
  </w:abstractNum>
  <w:abstractNum w:abstractNumId="2" w15:restartNumberingAfterBreak="0">
    <w:nsid w:val="E3C56D80"/>
    <w:multiLevelType w:val="singleLevel"/>
    <w:tmpl w:val="E3C56D80"/>
    <w:lvl w:ilvl="0">
      <w:start w:val="7"/>
      <w:numFmt w:val="chineseCounting"/>
      <w:suff w:val="nothing"/>
      <w:lvlText w:val="%1、"/>
      <w:lvlJc w:val="left"/>
      <w:rPr>
        <w:rFonts w:hint="eastAsia"/>
      </w:rPr>
    </w:lvl>
  </w:abstractNum>
  <w:abstractNum w:abstractNumId="3" w15:restartNumberingAfterBreak="0">
    <w:nsid w:val="6F776B33"/>
    <w:multiLevelType w:val="hybridMultilevel"/>
    <w:tmpl w:val="4ACAA030"/>
    <w:lvl w:ilvl="0" w:tplc="5CEA0C0A">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7B2E621E"/>
    <w:multiLevelType w:val="hybridMultilevel"/>
    <w:tmpl w:val="92924F5C"/>
    <w:lvl w:ilvl="0" w:tplc="462C5342">
      <w:start w:val="1"/>
      <w:numFmt w:val="decimal"/>
      <w:lvlText w:val="%1)"/>
      <w:lvlJc w:val="left"/>
      <w:pPr>
        <w:ind w:left="785" w:hanging="360"/>
      </w:pPr>
      <w:rPr>
        <w:rFonts w:hint="default"/>
        <w:color w:val="auto"/>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16cid:durableId="592012582">
    <w:abstractNumId w:val="0"/>
  </w:num>
  <w:num w:numId="2" w16cid:durableId="1632860554">
    <w:abstractNumId w:val="1"/>
  </w:num>
  <w:num w:numId="3" w16cid:durableId="1849564427">
    <w:abstractNumId w:val="2"/>
  </w:num>
  <w:num w:numId="4" w16cid:durableId="771439247">
    <w:abstractNumId w:val="4"/>
  </w:num>
  <w:num w:numId="5" w16cid:durableId="1461649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114"/>
    <w:rsid w:val="00095171"/>
    <w:rsid w:val="000D33AC"/>
    <w:rsid w:val="00121BD3"/>
    <w:rsid w:val="001B72E6"/>
    <w:rsid w:val="001E66E3"/>
    <w:rsid w:val="002E24DD"/>
    <w:rsid w:val="003606FF"/>
    <w:rsid w:val="00365694"/>
    <w:rsid w:val="00376FB0"/>
    <w:rsid w:val="00385910"/>
    <w:rsid w:val="003C7B78"/>
    <w:rsid w:val="00414B7F"/>
    <w:rsid w:val="0044590D"/>
    <w:rsid w:val="005208A5"/>
    <w:rsid w:val="00566C80"/>
    <w:rsid w:val="00581C8F"/>
    <w:rsid w:val="005A027B"/>
    <w:rsid w:val="00603687"/>
    <w:rsid w:val="00605C86"/>
    <w:rsid w:val="00640D40"/>
    <w:rsid w:val="00641586"/>
    <w:rsid w:val="00653CA8"/>
    <w:rsid w:val="00680235"/>
    <w:rsid w:val="006E5C65"/>
    <w:rsid w:val="00792EE4"/>
    <w:rsid w:val="00882047"/>
    <w:rsid w:val="009112F2"/>
    <w:rsid w:val="00924392"/>
    <w:rsid w:val="0099535D"/>
    <w:rsid w:val="00A43F9A"/>
    <w:rsid w:val="00B92E1E"/>
    <w:rsid w:val="00BE1DFC"/>
    <w:rsid w:val="00CB41A3"/>
    <w:rsid w:val="00CC584B"/>
    <w:rsid w:val="00CE032B"/>
    <w:rsid w:val="00DB1114"/>
    <w:rsid w:val="00E754A3"/>
    <w:rsid w:val="00F03324"/>
    <w:rsid w:val="00FD28A2"/>
    <w:rsid w:val="17FE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99687"/>
  <w15:docId w15:val="{D6B812B8-B65A-4F7E-A891-B675CE3D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2EE4"/>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792EE4"/>
    <w:rPr>
      <w:kern w:val="2"/>
      <w:sz w:val="18"/>
      <w:szCs w:val="18"/>
    </w:rPr>
  </w:style>
  <w:style w:type="paragraph" w:styleId="a5">
    <w:name w:val="footer"/>
    <w:basedOn w:val="a"/>
    <w:link w:val="a6"/>
    <w:uiPriority w:val="99"/>
    <w:rsid w:val="00792EE4"/>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792EE4"/>
    <w:rPr>
      <w:kern w:val="2"/>
      <w:sz w:val="18"/>
      <w:szCs w:val="18"/>
    </w:rPr>
  </w:style>
  <w:style w:type="paragraph" w:styleId="a7">
    <w:name w:val="List Paragraph"/>
    <w:basedOn w:val="a"/>
    <w:uiPriority w:val="34"/>
    <w:qFormat/>
    <w:rsid w:val="00566C80"/>
    <w:pPr>
      <w:spacing w:after="0" w:line="240" w:lineRule="auto"/>
      <w:ind w:firstLineChars="200" w:firstLine="420"/>
    </w:pPr>
    <w:rPr>
      <w:rFonts w:ascii="Calibri" w:hAnsi="Calibri"/>
      <w:szCs w:val="22"/>
    </w:rPr>
  </w:style>
  <w:style w:type="table" w:styleId="a8">
    <w:name w:val="Table Grid"/>
    <w:basedOn w:val="a1"/>
    <w:rsid w:val="001E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A43F9A"/>
    <w:pPr>
      <w:spacing w:before="120" w:after="0" w:line="240" w:lineRule="auto"/>
      <w:ind w:firstLine="425"/>
    </w:pPr>
    <w:rPr>
      <w:rFonts w:ascii="Arial" w:hAnsi="Arial"/>
      <w:szCs w:val="20"/>
    </w:rPr>
  </w:style>
  <w:style w:type="character" w:customStyle="1" w:styleId="aa">
    <w:name w:val="正文文本缩进 字符"/>
    <w:basedOn w:val="a0"/>
    <w:link w:val="a9"/>
    <w:rsid w:val="00A43F9A"/>
    <w:rPr>
      <w:rFonts w:ascii="Arial" w:hAnsi="Arial"/>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Pages>
  <Words>2148</Words>
  <Characters>2192</Characters>
  <Application>Microsoft Office Word</Application>
  <DocSecurity>0</DocSecurity>
  <Lines>78</Lines>
  <Paragraphs>66</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ZHQ</dc:creator>
  <cp:lastModifiedBy>梦 徐</cp:lastModifiedBy>
  <cp:revision>18</cp:revision>
  <dcterms:created xsi:type="dcterms:W3CDTF">2022-04-24T14:35:00Z</dcterms:created>
  <dcterms:modified xsi:type="dcterms:W3CDTF">2025-12-03T03:48:00Z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