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sz w:val="28"/>
          <w:szCs w:val="28"/>
        </w:rPr>
      </w:pPr>
      <w:r>
        <w:rPr>
          <w:rFonts w:hint="eastAsia" w:asciiTheme="majorEastAsia" w:hAnsiTheme="majorEastAsia" w:eastAsiaTheme="majorEastAsia"/>
          <w:sz w:val="28"/>
          <w:szCs w:val="28"/>
        </w:rPr>
        <w:t>附件4：</w:t>
      </w:r>
    </w:p>
    <w:p>
      <w:pPr>
        <w:widowControl/>
        <w:jc w:val="center"/>
        <w:rPr>
          <w:rFonts w:hint="eastAsia" w:eastAsia="黑体"/>
          <w:sz w:val="28"/>
          <w:szCs w:val="28"/>
        </w:rPr>
      </w:pPr>
      <w:r>
        <w:rPr>
          <w:rFonts w:hint="eastAsia" w:eastAsia="黑体"/>
          <w:sz w:val="28"/>
          <w:szCs w:val="28"/>
        </w:rPr>
        <w:t>中汽协会《电动汽车充电设施及场站测试评价规范》</w:t>
      </w:r>
    </w:p>
    <w:p>
      <w:pPr>
        <w:widowControl/>
        <w:jc w:val="center"/>
        <w:rPr>
          <w:rFonts w:eastAsia="黑体"/>
          <w:sz w:val="28"/>
          <w:szCs w:val="28"/>
        </w:rPr>
      </w:pPr>
      <w:r>
        <w:rPr>
          <w:rFonts w:hint="eastAsia" w:eastAsia="黑体"/>
          <w:sz w:val="28"/>
          <w:szCs w:val="28"/>
          <w:lang w:val="en-US" w:eastAsia="zh-CN"/>
        </w:rPr>
        <w:t>团体</w:t>
      </w:r>
      <w:r>
        <w:rPr>
          <w:rFonts w:hint="eastAsia" w:eastAsia="黑体"/>
          <w:sz w:val="28"/>
          <w:szCs w:val="28"/>
        </w:rPr>
        <w:t>标准编制说明</w:t>
      </w:r>
    </w:p>
    <w:p>
      <w:pPr>
        <w:rPr>
          <w:rFonts w:ascii="黑体" w:hAnsi="黑体" w:eastAsia="黑体" w:cs="黑体"/>
          <w:color w:val="000000" w:themeColor="text1"/>
          <w:sz w:val="30"/>
          <w:szCs w:val="30"/>
          <w14:textFill>
            <w14:solidFill>
              <w14:schemeClr w14:val="tx1"/>
            </w14:solidFill>
          </w14:textFill>
        </w:rPr>
      </w:pPr>
    </w:p>
    <w:p>
      <w:pPr>
        <w:numPr>
          <w:ilvl w:val="0"/>
          <w:numId w:val="1"/>
        </w:num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pPr>
        <w:numPr>
          <w:ilvl w:val="0"/>
          <w:numId w:val="2"/>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任务来源</w:t>
      </w:r>
    </w:p>
    <w:p>
      <w:pPr>
        <w:keepNext w:val="0"/>
        <w:keepLines w:val="0"/>
        <w:pageBreakBefore w:val="0"/>
        <w:widowControl w:val="0"/>
        <w:kinsoku/>
        <w:wordWrap/>
        <w:overflowPunct/>
        <w:topLinePunct w:val="0"/>
        <w:autoSpaceDE/>
        <w:autoSpaceDN/>
        <w:bidi w:val="0"/>
        <w:adjustRightInd/>
        <w:snapToGrid/>
        <w:ind w:left="363" w:firstLine="420" w:firstLineChars="200"/>
        <w:textAlignment w:val="auto"/>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随着新能源汽车规模显著增长，我国充电基础设施建设的步伐也在逐步加快，截止202</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底</w:t>
      </w:r>
      <w:r>
        <w:rPr>
          <w:rFonts w:hint="eastAsia"/>
          <w:color w:val="000000" w:themeColor="text1"/>
          <w:szCs w:val="21"/>
          <w14:textFill>
            <w14:solidFill>
              <w14:schemeClr w14:val="tx1"/>
            </w14:solidFill>
          </w14:textFill>
        </w:rPr>
        <w:t>，我国电动汽车充电设施（充电枪）总数已达到1610万个，其中公共充电设施（充电枪）409.6万个，私人充电设施（充电枪）1200.4万个；充电设施县域覆盖率达到97.08%，乡镇覆盖率达到80.02%。</w:t>
      </w:r>
      <w:r>
        <w:rPr>
          <w:rFonts w:hint="eastAsia"/>
          <w:color w:val="000000" w:themeColor="text1"/>
          <w:szCs w:val="21"/>
          <w:lang w:val="en-US" w:eastAsia="zh-CN"/>
          <w14:textFill>
            <w14:solidFill>
              <w14:schemeClr w14:val="tx1"/>
            </w14:solidFill>
          </w14:textFill>
        </w:rPr>
        <w:t>随着充电基础设施保有量的持续增长，管理端也暴露出大量的问题，僵尸桩、无人维修的坏桩、旧桩等，严重浪费社会资源，一次充电成功率、兼容性等问题频发。自</w:t>
      </w:r>
      <w:r>
        <w:rPr>
          <w:rFonts w:hint="eastAsia"/>
          <w:color w:val="000000" w:themeColor="text1"/>
          <w:szCs w:val="21"/>
          <w14:textFill>
            <w14:solidFill>
              <w14:schemeClr w14:val="tx1"/>
            </w14:solidFill>
          </w14:textFill>
        </w:rPr>
        <w:t>《电动汽车充电设施及场站测试评价规范》</w:t>
      </w:r>
      <w:r>
        <w:rPr>
          <w:rFonts w:hint="eastAsia"/>
          <w:color w:val="000000" w:themeColor="text1"/>
          <w:szCs w:val="21"/>
          <w:lang w:val="en-US" w:eastAsia="zh-CN"/>
          <w14:textFill>
            <w14:solidFill>
              <w14:schemeClr w14:val="tx1"/>
            </w14:solidFill>
          </w14:textFill>
        </w:rPr>
        <w:t>2024年5月11日发布实施以来，截止目前累计完成百余座星级站的评审，不合格的场站根据标准要求积极开展整改行动，体现了场站星级评价标准极好的行业影响作用。根据一年以来的实施经验总结，以及充电技术迭代更新的背景下，开展此次标准修订工作。</w:t>
      </w:r>
    </w:p>
    <w:p>
      <w:pPr>
        <w:ind w:left="360"/>
        <w:rPr>
          <w:rFonts w:hint="default" w:eastAsia="宋体"/>
          <w:color w:val="000000" w:themeColor="text1"/>
          <w:szCs w:val="21"/>
          <w:highlight w:val="none"/>
          <w:lang w:val="en-US" w:eastAsia="zh-CN"/>
          <w14:textFill>
            <w14:solidFill>
              <w14:schemeClr w14:val="tx1"/>
            </w14:solidFill>
          </w14:textFill>
        </w:rPr>
      </w:pPr>
      <w:r>
        <w:rPr>
          <w:rFonts w:hint="eastAsia" w:ascii="仿宋" w:hAnsi="仿宋" w:eastAsia="仿宋" w:cs="仿宋"/>
          <w:i w:val="0"/>
          <w:iCs w:val="0"/>
          <w:color w:val="000000" w:themeColor="text1"/>
          <w:sz w:val="21"/>
          <w:szCs w:val="21"/>
          <w:highlight w:val="none"/>
          <w:lang w:val="en-US" w:eastAsia="zh-CN"/>
          <w14:textFill>
            <w14:solidFill>
              <w14:schemeClr w14:val="tx1"/>
            </w14:solidFill>
          </w14:textFill>
        </w:rPr>
        <w:t>（2025-67）</w:t>
      </w:r>
    </w:p>
    <w:p>
      <w:pPr>
        <w:numPr>
          <w:ilvl w:val="0"/>
          <w:numId w:val="2"/>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主要起草单位及任务分工</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本主要起草单位：</w:t>
      </w:r>
      <w:r>
        <w:rPr>
          <w:rFonts w:hint="eastAsia"/>
          <w:szCs w:val="21"/>
          <w:lang w:val="en-US" w:eastAsia="zh-CN"/>
        </w:rPr>
        <w:t>中汽研新能源汽车检验中心（天津）有限公司、中国电动汽车充电基础设施促进联盟、中汽数据有限公司、中国汽车战略与政策研究中心、华为数字能源技术有限公司、中检能链科技（北京）有限公司、浙江省轨道交通和能源业联合会、湖南京能新能源科技有限公司、深蓝汽车科技有限公司、北京车和家能源科技有限公司、广东电网电动汽车服务有限公司、广州市电动汽车充换电设施行业协会、湖南省充电基础设施协会、广东省佛山市新能源汽车协会、万帮数字能源股份有限公司、特斯拉（上海）有限公司、上海蔚来汽车有限公司、特来电新能源股份有限公司、碧辟（中国）投资有限公司、武汉市新能源汽车产业协会、山西省充电基础设施协会、杭州闪电速能科技有限公司、蚂蚁云创数字科技（北京）有限公司、广汽能源科技有限公司、开迈斯新能源科技有限公司、天津大真电器集团有限公司、蚂蚁金服（杭州）网络技术有限公司、支付宝（中国）网络技术有限公司深圳分公司、中国城市规划设计研究院、中国石化销售股份有限公司、高德软件有限公司、工泰电器有限公司、昆明自动化成套集团股份有限公司、深圳供电局有限公司。</w:t>
      </w:r>
    </w:p>
    <w:p>
      <w:pPr>
        <w:ind w:left="360" w:firstLine="420" w:firstLineChars="200"/>
        <w:rPr>
          <w:rFonts w:ascii="仿宋" w:hAnsi="仿宋" w:eastAsia="仿宋" w:cs="仿宋"/>
          <w:color w:val="000000" w:themeColor="text1"/>
          <w:sz w:val="24"/>
          <w14:textFill>
            <w14:solidFill>
              <w14:schemeClr w14:val="tx1"/>
            </w14:solidFill>
          </w14:textFill>
        </w:rPr>
      </w:pPr>
      <w:r>
        <w:rPr>
          <w:rFonts w:hint="eastAsia"/>
          <w:color w:val="000000" w:themeColor="text1"/>
          <w:szCs w:val="21"/>
          <w:lang w:val="en-US" w:eastAsia="zh-CN"/>
          <w14:textFill>
            <w14:solidFill>
              <w14:schemeClr w14:val="tx1"/>
            </w14:solidFill>
          </w14:textFill>
        </w:rPr>
        <w:t>中汽研新能源汽车检验中心（天津）有限公司负责牵头标准初稿编制，负责组织参与单位专家开展标准研讨，负责开展第1版修订工作并形成修订文件，负责开展验证并形成验证意见汇总，负责开展第2版修订工作并形成修订文件，负责第2版修订文件的企业应用并形成意见汇总，完成终版并发布。中汽数据有限公司负责本标准第3部分：场站服务能力的编撰，中检能链科技（北京）有限公司等参与单位及专家负责初稿研讨，提出修改建议和意见，协助牵头单位完成标准文件的修订、验证及发布工作。</w:t>
      </w:r>
    </w:p>
    <w:p>
      <w:pPr>
        <w:numPr>
          <w:ilvl w:val="0"/>
          <w:numId w:val="2"/>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标准研讨情况</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本标准研讨情况主要包括以下几个方面：</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a）确定标准修订内容：在研讨初期，需要确定标准修订内容的总体框架和主要内容，明确标准修改的主要指标。这包括充电设施及场站的测试评价范围、测试项目、评价方法等方面的具体修订内容。</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b）总结标准实施经验：在标准实施过程中，需要总结实施过程中标准无法覆盖的评级内容和分值不合理指标，按实际调整相应的内容。通过总结分析，可以为制定更加科学、合理、可行的测试评价规范提供参考。</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c）修改测试评价方法：在研讨中，需要根据实施情况修改充电设施及场站的测试评价方法，包括测试设备的选择、测试环境的设置、测试数据的采集与分析等方面的规定。同时，还需要考虑测试评价的可靠性和重复性，确保测试结果的一致性和准确性。</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d）修改评价指标和分值：根据充电设施及场站的特点和实际需求，制定相应的评价等级和指标。增加的评价指标可以包括充电设施的充电能力、充电效率、安全性等方面的内容。</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e）讨论和确定标准实施细则：在研讨过程中，需要讨论和确定标准的实施细则，包括标准的具体操作流程、实施要求、监督与检查等方面的内容。实施细则应该具有可操作性和实用性，方便相关人员进行充电设施及场站的测试评价工作。</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d）汇总意见和建议：在研讨过程中，组织桩企及运营商讨论，将各方面的标准修订意见和建议进行汇总，形成完整的研讨成果。对于一些有争议的问题，需要进行深入的讨论和协商，以求达成共识。</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e）形成修订标准草案：根据研讨成果，形成标准草案。标准草案应该明确、具体，具有可执行性。在形成标准草案的过程中，需要注重文字表达的准确性和条理性，确保标准的内容能够被准确理解和执行。</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f）征求意见和修改完善：将修订标准草案向相关机构和专家征求意见，根据反馈意见进行修改和完善。这个过程可能需要反复进行，直到标准草案达到较为完善的状态。</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g）评审和发布：组织专家对修订标准草案进行评审，确保标准的科学性、合理性和实用性。经过评审通过后，可以发布该团体标准，供相关机构和人员使用和参考。</w:t>
      </w:r>
    </w:p>
    <w:p>
      <w:pPr>
        <w:ind w:left="360"/>
        <w:rPr>
          <w:rFonts w:ascii="仿宋" w:hAnsi="仿宋" w:eastAsia="仿宋" w:cs="仿宋"/>
          <w:color w:val="000000" w:themeColor="text1"/>
          <w:sz w:val="24"/>
          <w14:textFill>
            <w14:solidFill>
              <w14:schemeClr w14:val="tx1"/>
            </w14:solidFill>
          </w14:textFill>
        </w:rPr>
      </w:pPr>
    </w:p>
    <w:p>
      <w:pPr>
        <w:ind w:left="360"/>
        <w:rPr>
          <w:rFonts w:ascii="仿宋" w:hAnsi="仿宋" w:eastAsia="仿宋" w:cs="仿宋"/>
          <w:color w:val="000000" w:themeColor="text1"/>
          <w:sz w:val="24"/>
          <w14:textFill>
            <w14:solidFill>
              <w14:schemeClr w14:val="tx1"/>
            </w14:solidFill>
          </w14:textFill>
        </w:rPr>
      </w:pPr>
    </w:p>
    <w:p>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编制原则</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a）全面性原则：本标准在编制过程中充分考虑了标准的全面性，保证能够覆盖到</w:t>
      </w:r>
      <w:r>
        <w:rPr>
          <w:rFonts w:hint="eastAsia"/>
          <w:szCs w:val="21"/>
        </w:rPr>
        <w:t>电动汽车充电设施及场站</w:t>
      </w:r>
      <w:r>
        <w:rPr>
          <w:rFonts w:hint="eastAsia"/>
          <w:color w:val="000000" w:themeColor="text1"/>
          <w:szCs w:val="21"/>
          <w:lang w:val="en-US" w:eastAsia="zh-CN"/>
          <w14:textFill>
            <w14:solidFill>
              <w14:schemeClr w14:val="tx1"/>
            </w14:solidFill>
          </w14:textFill>
        </w:rPr>
        <w:t>涉及的各个方面， 保证内容的完备性。</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b）实用性原则：本标准充分考虑了</w:t>
      </w:r>
      <w:r>
        <w:rPr>
          <w:rFonts w:hint="eastAsia"/>
          <w:szCs w:val="21"/>
        </w:rPr>
        <w:t>电动汽车充电设施及场站测试评价</w:t>
      </w:r>
      <w:r>
        <w:rPr>
          <w:rFonts w:hint="eastAsia"/>
          <w:color w:val="000000" w:themeColor="text1"/>
          <w:szCs w:val="21"/>
          <w:lang w:val="en-US" w:eastAsia="zh-CN"/>
          <w14:textFill>
            <w14:solidFill>
              <w14:schemeClr w14:val="tx1"/>
            </w14:solidFill>
          </w14:textFill>
        </w:rPr>
        <w:t>实际要求进行标准内容编制，保证</w:t>
      </w:r>
      <w:r>
        <w:rPr>
          <w:rFonts w:hint="eastAsia"/>
          <w:szCs w:val="21"/>
        </w:rPr>
        <w:t>电动汽车充电设施及场站测试评价</w:t>
      </w:r>
      <w:r>
        <w:rPr>
          <w:rFonts w:hint="eastAsia"/>
          <w:color w:val="000000" w:themeColor="text1"/>
          <w:szCs w:val="21"/>
          <w:lang w:val="en-US" w:eastAsia="zh-CN"/>
          <w14:textFill>
            <w14:solidFill>
              <w14:schemeClr w14:val="tx1"/>
            </w14:solidFill>
          </w14:textFill>
        </w:rPr>
        <w:t>标准的实用性。</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c）规范性原则：本标准按照GB/T 1.1―2020《标准化工作导则 第1部分：标准化文件的结构和起草规则》给出的规则起草。</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主要内容</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文件对电动汽车充电设施及场站测试的评价方法和等级划分进行规定，包括对充电设施的功能、性能、安全要求以及充电场站配套等要求，电动汽车充电场站的服务能力相关评价指标、计分规则及评价方式等要求开展测试评价。</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a）对充电设施的功能、性能、安全等要求以及充电场站配套要求进行测试评价，具体参照本系列标准《电动汽车充电设施及场站测试评价规范》第2部分：场站设施。</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b）对电动汽车充电场站的服务能力相关评价指标、评价规则等内容进行规定，具体参照本系列标准《电动汽车充电设施及场站测试评价规范》第3部分：场站服务能力。</w:t>
      </w:r>
    </w:p>
    <w:p>
      <w:pPr>
        <w:ind w:left="360" w:firstLine="420" w:firstLineChars="200"/>
        <w:rPr>
          <w:rFonts w:hint="eastAsia"/>
          <w:color w:val="000000" w:themeColor="text1"/>
          <w:szCs w:val="21"/>
          <w:lang w:val="en-US" w:eastAsia="zh-CN"/>
          <w14:textFill>
            <w14:solidFill>
              <w14:schemeClr w14:val="tx1"/>
            </w14:solidFill>
          </w14:textFill>
        </w:rPr>
      </w:pPr>
    </w:p>
    <w:p>
      <w:pPr>
        <w:ind w:firstLine="48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 xml:space="preserve">三、采用国际标准和国外先进标准情况  </w:t>
      </w:r>
      <w:r>
        <w:rPr>
          <w:rFonts w:hint="eastAsia" w:ascii="黑体" w:hAnsi="黑体" w:eastAsia="黑体" w:cs="黑体"/>
          <w:color w:val="000000" w:themeColor="text1"/>
          <w:sz w:val="30"/>
          <w:szCs w:val="30"/>
          <w14:textFill>
            <w14:solidFill>
              <w14:schemeClr w14:val="tx1"/>
            </w14:solidFill>
          </w14:textFill>
        </w:rPr>
        <w:t xml:space="preserve"> </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国外尚未发布此类标准，在国际上无对比对象。</w:t>
      </w:r>
    </w:p>
    <w:p>
      <w:pPr>
        <w:ind w:firstLine="480" w:firstLineChars="200"/>
        <w:rPr>
          <w:rFonts w:ascii="仿宋" w:hAnsi="仿宋" w:eastAsia="仿宋"/>
          <w:sz w:val="24"/>
        </w:rPr>
      </w:pPr>
    </w:p>
    <w:p>
      <w:pPr>
        <w:ind w:firstLine="420" w:firstLineChars="200"/>
        <w:rPr>
          <w:rFonts w:ascii="仿宋" w:hAnsi="仿宋" w:eastAsia="仿宋" w:cs="仿宋"/>
          <w:color w:val="000000" w:themeColor="text1"/>
          <w:szCs w:val="21"/>
          <w14:textFill>
            <w14:solidFill>
              <w14:schemeClr w14:val="tx1"/>
            </w14:solidFill>
          </w14:textFill>
        </w:rPr>
      </w:pPr>
    </w:p>
    <w:p>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四、主要</w:t>
      </w:r>
      <w:r>
        <w:rPr>
          <w:rFonts w:hint="eastAsia" w:ascii="黑体" w:hAnsi="黑体" w:eastAsia="黑体" w:cs="黑体"/>
          <w:color w:val="000000" w:themeColor="text1"/>
          <w:sz w:val="24"/>
          <w:lang w:val="en-US" w:eastAsia="zh-CN"/>
          <w14:textFill>
            <w14:solidFill>
              <w14:schemeClr w14:val="tx1"/>
            </w14:solidFill>
          </w14:textFill>
        </w:rPr>
        <w:t>关键指标及</w:t>
      </w:r>
      <w:r>
        <w:rPr>
          <w:rFonts w:hint="eastAsia" w:ascii="黑体" w:hAnsi="黑体" w:eastAsia="黑体" w:cs="黑体"/>
          <w:color w:val="000000" w:themeColor="text1"/>
          <w:sz w:val="24"/>
          <w14:textFill>
            <w14:solidFill>
              <w14:schemeClr w14:val="tx1"/>
            </w14:solidFill>
          </w14:textFill>
        </w:rPr>
        <w:t>试验验证情况</w:t>
      </w:r>
    </w:p>
    <w:p>
      <w:pPr>
        <w:ind w:left="360" w:firstLine="420" w:firstLineChars="200"/>
        <w:rPr>
          <w:rFonts w:hint="eastAsia" w:ascii="宋体" w:hAnsi="宋体" w:cs="宋体"/>
          <w:b w:val="0"/>
          <w:bCs w:val="0"/>
          <w:sz w:val="20"/>
          <w:szCs w:val="20"/>
          <w:highlight w:val="none"/>
          <w:shd w:val="clear" w:color="auto" w:fill="auto"/>
          <w:lang w:val="en-US" w:eastAsia="zh-CN"/>
        </w:rPr>
      </w:pPr>
      <w:r>
        <w:rPr>
          <w:rFonts w:hint="eastAsia"/>
          <w:color w:val="000000" w:themeColor="text1"/>
          <w:szCs w:val="21"/>
          <w:lang w:val="en-US" w:eastAsia="zh-CN"/>
          <w14:textFill>
            <w14:solidFill>
              <w14:schemeClr w14:val="tx1"/>
            </w14:solidFill>
          </w14:textFill>
        </w:rPr>
        <w:t>本标准起草牵头单位依据标准文件对天津市某小桔充电站进行测试评价试验，根据标准要求发现，该</w:t>
      </w:r>
      <w:r>
        <w:rPr>
          <w:rFonts w:hint="eastAsia" w:ascii="宋体" w:hAnsi="宋体" w:cs="宋体"/>
          <w:b w:val="0"/>
          <w:bCs w:val="0"/>
          <w:sz w:val="20"/>
          <w:szCs w:val="20"/>
          <w:highlight w:val="none"/>
          <w:shd w:val="clear" w:color="auto" w:fill="auto"/>
          <w:lang w:val="en-US" w:eastAsia="zh-CN"/>
        </w:rPr>
        <w:t>充电场站存在以下问题：</w:t>
      </w:r>
    </w:p>
    <w:p>
      <w:pPr>
        <w:numPr>
          <w:ilvl w:val="0"/>
          <w:numId w:val="3"/>
        </w:numPr>
        <w:ind w:left="360" w:firstLine="400" w:firstLineChars="200"/>
        <w:rPr>
          <w:rFonts w:hint="eastAsia" w:ascii="宋体" w:hAnsi="宋体" w:cs="宋体"/>
          <w:b w:val="0"/>
          <w:bCs w:val="0"/>
          <w:sz w:val="20"/>
          <w:szCs w:val="20"/>
          <w:highlight w:val="none"/>
          <w:shd w:val="clear" w:color="auto" w:fill="auto"/>
          <w:lang w:val="en-US" w:eastAsia="zh-CN"/>
        </w:rPr>
      </w:pPr>
      <w:r>
        <w:rPr>
          <w:rFonts w:hint="eastAsia" w:ascii="宋体" w:hAnsi="宋体" w:cs="宋体"/>
          <w:b w:val="0"/>
          <w:bCs w:val="0"/>
          <w:sz w:val="20"/>
          <w:szCs w:val="20"/>
          <w:highlight w:val="none"/>
          <w:shd w:val="clear" w:color="auto" w:fill="auto"/>
          <w:lang w:val="en-US" w:eastAsia="zh-CN"/>
        </w:rPr>
        <w:t>外围未设置充电站标识牌，建议在场站入口或道路侧设置指引标识；</w:t>
      </w:r>
    </w:p>
    <w:p>
      <w:pPr>
        <w:numPr>
          <w:ilvl w:val="0"/>
          <w:numId w:val="3"/>
        </w:numPr>
        <w:ind w:left="360" w:firstLine="400" w:firstLineChars="200"/>
        <w:rPr>
          <w:rFonts w:hint="default" w:ascii="宋体" w:hAnsi="宋体" w:cs="宋体"/>
          <w:b w:val="0"/>
          <w:bCs w:val="0"/>
          <w:sz w:val="20"/>
          <w:szCs w:val="20"/>
          <w:highlight w:val="none"/>
          <w:shd w:val="clear" w:color="auto" w:fill="auto"/>
          <w:lang w:val="en-US" w:eastAsia="zh-CN"/>
        </w:rPr>
      </w:pPr>
      <w:r>
        <w:rPr>
          <w:rFonts w:hint="eastAsia" w:ascii="宋体" w:hAnsi="宋体"/>
          <w:sz w:val="20"/>
          <w:lang w:val="en-US" w:eastAsia="zh-CN"/>
        </w:rPr>
        <w:t>缺少</w:t>
      </w:r>
      <w:r>
        <w:rPr>
          <w:rFonts w:hint="eastAsia" w:ascii="宋体" w:hAnsi="宋体" w:cs="宋体"/>
          <w:b w:val="0"/>
          <w:bCs w:val="0"/>
          <w:sz w:val="20"/>
          <w:szCs w:val="20"/>
          <w:highlight w:val="none"/>
          <w:shd w:val="clear" w:color="auto" w:fill="auto"/>
          <w:lang w:val="en-US" w:eastAsia="zh-CN"/>
        </w:rPr>
        <w:t>“充电桩故障，禁止使用”警示标语。</w:t>
      </w:r>
    </w:p>
    <w:p>
      <w:pPr>
        <w:numPr>
          <w:ilvl w:val="0"/>
          <w:numId w:val="3"/>
        </w:numPr>
        <w:ind w:left="360" w:firstLine="400" w:firstLineChars="200"/>
        <w:rPr>
          <w:rFonts w:hint="default" w:ascii="宋体" w:hAnsi="宋体" w:cs="宋体"/>
          <w:b w:val="0"/>
          <w:bCs w:val="0"/>
          <w:sz w:val="20"/>
          <w:szCs w:val="20"/>
          <w:highlight w:val="none"/>
          <w:shd w:val="clear" w:color="auto" w:fill="auto"/>
          <w:lang w:val="en-US" w:eastAsia="zh-CN"/>
        </w:rPr>
      </w:pPr>
      <w:r>
        <w:rPr>
          <w:rFonts w:hint="eastAsia" w:ascii="宋体" w:hAnsi="宋体" w:cs="宋体"/>
          <w:b w:val="0"/>
          <w:bCs w:val="0"/>
          <w:sz w:val="20"/>
          <w:szCs w:val="20"/>
          <w:highlight w:val="none"/>
          <w:shd w:val="clear" w:color="auto" w:fill="auto"/>
          <w:lang w:val="en-US" w:eastAsia="zh-CN"/>
        </w:rPr>
        <w:t>场站内仅有灭火设备不符合国家标准要求。</w:t>
      </w:r>
    </w:p>
    <w:p>
      <w:pPr>
        <w:numPr>
          <w:ilvl w:val="0"/>
          <w:numId w:val="3"/>
        </w:numPr>
        <w:ind w:left="360" w:firstLine="400" w:firstLineChars="200"/>
        <w:rPr>
          <w:rFonts w:hint="default" w:ascii="宋体" w:hAnsi="宋体" w:cs="宋体"/>
          <w:b w:val="0"/>
          <w:bCs w:val="0"/>
          <w:sz w:val="20"/>
          <w:szCs w:val="20"/>
          <w:highlight w:val="none"/>
          <w:shd w:val="clear" w:color="auto" w:fill="auto"/>
          <w:lang w:val="en-US" w:eastAsia="zh-CN"/>
        </w:rPr>
      </w:pPr>
      <w:r>
        <w:rPr>
          <w:rFonts w:hint="default" w:ascii="宋体" w:hAnsi="宋体" w:cs="宋体"/>
          <w:b w:val="0"/>
          <w:bCs w:val="0"/>
          <w:sz w:val="20"/>
          <w:szCs w:val="20"/>
          <w:highlight w:val="none"/>
          <w:shd w:val="clear" w:color="auto" w:fill="auto"/>
          <w:lang w:val="en-US" w:eastAsia="zh-CN"/>
        </w:rPr>
        <w:t>场站内无防汛沙袋。</w:t>
      </w:r>
    </w:p>
    <w:p>
      <w:pPr>
        <w:numPr>
          <w:ilvl w:val="0"/>
          <w:numId w:val="0"/>
        </w:numPr>
        <w:ind w:leftChars="200" w:firstLine="400" w:firstLineChars="200"/>
        <w:rPr>
          <w:rFonts w:hint="eastAsia" w:ascii="宋体" w:hAnsi="宋体" w:cs="宋体"/>
          <w:b w:val="0"/>
          <w:bCs w:val="0"/>
          <w:sz w:val="20"/>
          <w:szCs w:val="20"/>
          <w:highlight w:val="none"/>
          <w:shd w:val="clear" w:color="auto" w:fill="auto"/>
          <w:lang w:val="en-US" w:eastAsia="zh-CN"/>
        </w:rPr>
      </w:pPr>
      <w:r>
        <w:rPr>
          <w:rFonts w:hint="eastAsia" w:ascii="宋体" w:hAnsi="宋体" w:cs="宋体"/>
          <w:b w:val="0"/>
          <w:bCs w:val="0"/>
          <w:sz w:val="20"/>
          <w:szCs w:val="20"/>
          <w:highlight w:val="none"/>
          <w:shd w:val="clear" w:color="auto" w:fill="auto"/>
          <w:lang w:val="en-US" w:eastAsia="zh-CN"/>
        </w:rPr>
        <w:t>根据以上问题，充电场站运营商提出了整改意见，并组织专家和技术人员依据本标准对该场站进行了星级评价服务，最终结果为“三星级”。</w:t>
      </w:r>
    </w:p>
    <w:p>
      <w:pPr>
        <w:numPr>
          <w:ilvl w:val="0"/>
          <w:numId w:val="0"/>
        </w:numPr>
        <w:ind w:leftChars="200" w:firstLine="400" w:firstLineChars="200"/>
        <w:rPr>
          <w:rFonts w:hint="default" w:ascii="宋体" w:hAnsi="宋体" w:cs="宋体"/>
          <w:b w:val="0"/>
          <w:bCs w:val="0"/>
          <w:sz w:val="20"/>
          <w:szCs w:val="20"/>
          <w:highlight w:val="none"/>
          <w:shd w:val="clear" w:color="auto" w:fill="auto"/>
          <w:lang w:val="en-US" w:eastAsia="zh-CN"/>
        </w:rPr>
      </w:pPr>
    </w:p>
    <w:p>
      <w:pPr>
        <w:numPr>
          <w:ilvl w:val="0"/>
          <w:numId w:val="0"/>
        </w:numPr>
        <w:ind w:leftChars="200" w:firstLine="560" w:firstLineChars="200"/>
        <w:rPr>
          <w:rFonts w:ascii="黑体" w:hAnsi="黑体" w:eastAsia="黑体" w:cs="黑体"/>
          <w:color w:val="000000" w:themeColor="text1"/>
          <w:sz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a）内容的一致性：本标准的内容应与现行法律、法规和政策的规定保持一致，不存在违反相关法律法规和政策。</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b）政策符合性：政府通过提供财政补贴、税收优惠等政策，鼓励和引导社会资本投入充电基础设施建设，对建设水平提出了高要求、严标准，本标准与政府政策方向相符合，有助于推动充电基础设施建设的高水平发展。</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c）标准的更新和维护：随着技术和市场的不断发展，本标准可能需要不断更新和维护。在这个过程中，本标准应与现行法律、法规和政策的最新要求保持一致，确保其持续的协调性。</w:t>
      </w:r>
    </w:p>
    <w:p>
      <w:pPr>
        <w:ind w:left="360" w:firstLine="420" w:firstLineChars="200"/>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d）制定程序的透明度：本标准的制定程序始终保持透明度，充分吸收各方意见，确保标准的公正性和客观性。</w:t>
      </w:r>
    </w:p>
    <w:p>
      <w:pPr>
        <w:rPr>
          <w:rFonts w:hint="default"/>
          <w:color w:val="000000" w:themeColor="text1"/>
          <w:szCs w:val="21"/>
          <w:lang w:val="en-US" w:eastAsia="zh-CN"/>
          <w14:textFill>
            <w14:solidFill>
              <w14:schemeClr w14:val="tx1"/>
            </w14:solidFill>
          </w14:textFill>
        </w:rPr>
      </w:pPr>
    </w:p>
    <w:p>
      <w:pPr>
        <w:ind w:firstLine="420" w:firstLineChars="200"/>
        <w:rPr>
          <w:rFonts w:ascii="仿宋" w:hAnsi="仿宋" w:eastAsia="仿宋" w:cs="仿宋"/>
          <w:color w:val="000000" w:themeColor="text1"/>
          <w:szCs w:val="21"/>
          <w14:textFill>
            <w14:solidFill>
              <w14:schemeClr w14:val="tx1"/>
            </w14:solidFill>
          </w14:textFill>
        </w:rPr>
      </w:pPr>
    </w:p>
    <w:p>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pPr>
        <w:ind w:left="360" w:firstLine="420" w:firstLineChars="200"/>
        <w:rPr>
          <w:rFonts w:hint="eastAsia"/>
          <w:color w:val="000000" w:themeColor="text1"/>
          <w:szCs w:val="21"/>
          <w:lang w:val="en-US" w:eastAsia="zh-CN"/>
          <w14:textFill>
            <w14:solidFill>
              <w14:schemeClr w14:val="tx1"/>
            </w14:solidFill>
          </w14:textFill>
        </w:rPr>
      </w:pPr>
      <w:bookmarkStart w:id="0" w:name="_GoBack"/>
      <w:bookmarkEnd w:id="0"/>
      <w:r>
        <w:rPr>
          <w:rFonts w:hint="eastAsia"/>
          <w:color w:val="000000" w:themeColor="text1"/>
          <w:szCs w:val="21"/>
          <w:lang w:val="en-US" w:eastAsia="zh-CN"/>
          <w14:textFill>
            <w14:solidFill>
              <w14:schemeClr w14:val="tx1"/>
            </w14:solidFill>
          </w14:textFill>
        </w:rPr>
        <w:t>本标准是政府监管部门和行业对电动汽车充电场站设施及场站服务能力等相关技术能力进行评价的团体标准。</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本标准发布后的宣贯实施将从以下几个方面展开：</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a）</w:t>
      </w:r>
      <w:r>
        <w:rPr>
          <w:rFonts w:hint="default"/>
          <w:color w:val="000000" w:themeColor="text1"/>
          <w:szCs w:val="21"/>
          <w:lang w:val="en-US" w:eastAsia="zh-CN"/>
          <w14:textFill>
            <w14:solidFill>
              <w14:schemeClr w14:val="tx1"/>
            </w14:solidFill>
          </w14:textFill>
        </w:rPr>
        <w:t>完善标准化管理机构：建立健全的标准化管理机构，明确职责，制定合理的工作计划和目标，确保标准的贯彻实施。</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b）</w:t>
      </w:r>
      <w:r>
        <w:rPr>
          <w:rFonts w:hint="default"/>
          <w:color w:val="000000" w:themeColor="text1"/>
          <w:szCs w:val="21"/>
          <w:lang w:val="en-US" w:eastAsia="zh-CN"/>
          <w14:textFill>
            <w14:solidFill>
              <w14:schemeClr w14:val="tx1"/>
            </w14:solidFill>
          </w14:textFill>
        </w:rPr>
        <w:t>加强标准培训：加强标准培训，提高</w:t>
      </w:r>
      <w:r>
        <w:rPr>
          <w:rFonts w:hint="eastAsia"/>
          <w:color w:val="000000" w:themeColor="text1"/>
          <w:szCs w:val="21"/>
          <w:lang w:val="en-US" w:eastAsia="zh-CN"/>
          <w14:textFill>
            <w14:solidFill>
              <w14:schemeClr w14:val="tx1"/>
            </w14:solidFill>
          </w14:textFill>
        </w:rPr>
        <w:t>企业</w:t>
      </w:r>
      <w:r>
        <w:rPr>
          <w:rFonts w:hint="default"/>
          <w:color w:val="000000" w:themeColor="text1"/>
          <w:szCs w:val="21"/>
          <w:lang w:val="en-US" w:eastAsia="zh-CN"/>
          <w14:textFill>
            <w14:solidFill>
              <w14:schemeClr w14:val="tx1"/>
            </w14:solidFill>
          </w14:textFill>
        </w:rPr>
        <w:t>的标准化意识和能力，使</w:t>
      </w:r>
      <w:r>
        <w:rPr>
          <w:rFonts w:hint="eastAsia"/>
          <w:color w:val="000000" w:themeColor="text1"/>
          <w:szCs w:val="21"/>
          <w:lang w:val="en-US" w:eastAsia="zh-CN"/>
          <w14:textFill>
            <w14:solidFill>
              <w14:schemeClr w14:val="tx1"/>
            </w14:solidFill>
          </w14:textFill>
        </w:rPr>
        <w:t>企业</w:t>
      </w:r>
      <w:r>
        <w:rPr>
          <w:rFonts w:hint="default"/>
          <w:color w:val="000000" w:themeColor="text1"/>
          <w:szCs w:val="21"/>
          <w:lang w:val="en-US" w:eastAsia="zh-CN"/>
          <w14:textFill>
            <w14:solidFill>
              <w14:schemeClr w14:val="tx1"/>
            </w14:solidFill>
          </w14:textFill>
        </w:rPr>
        <w:t>能够自觉地遵守标准，执行标准。</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c）</w:t>
      </w:r>
      <w:r>
        <w:rPr>
          <w:rFonts w:hint="default"/>
          <w:color w:val="000000" w:themeColor="text1"/>
          <w:szCs w:val="21"/>
          <w:lang w:val="en-US" w:eastAsia="zh-CN"/>
          <w14:textFill>
            <w14:solidFill>
              <w14:schemeClr w14:val="tx1"/>
            </w14:solidFill>
          </w14:textFill>
        </w:rPr>
        <w:t>强化标准执行：在生产、管理、经营等各个环节中，要严格按照标准要求执行，确保标准的贯彻实施。</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d）</w:t>
      </w:r>
      <w:r>
        <w:rPr>
          <w:rFonts w:hint="default"/>
          <w:color w:val="000000" w:themeColor="text1"/>
          <w:szCs w:val="21"/>
          <w:lang w:val="en-US" w:eastAsia="zh-CN"/>
          <w14:textFill>
            <w14:solidFill>
              <w14:schemeClr w14:val="tx1"/>
            </w14:solidFill>
          </w14:textFill>
        </w:rPr>
        <w:t>持续改进：对标准的实施情况进行定期评估和检查，及时发现问题并采取措施进行改进，不断提高标准的执行效果。</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e）</w:t>
      </w:r>
      <w:r>
        <w:rPr>
          <w:rFonts w:hint="default"/>
          <w:color w:val="000000" w:themeColor="text1"/>
          <w:szCs w:val="21"/>
          <w:lang w:val="en-US" w:eastAsia="zh-CN"/>
          <w14:textFill>
            <w14:solidFill>
              <w14:schemeClr w14:val="tx1"/>
            </w14:solidFill>
          </w14:textFill>
        </w:rPr>
        <w:t>引入第三方认证：通过引入第三方认证机构对企业的标准化工作进行认证，可以提高</w:t>
      </w:r>
      <w:r>
        <w:rPr>
          <w:rFonts w:hint="eastAsia"/>
          <w:color w:val="000000" w:themeColor="text1"/>
          <w:szCs w:val="21"/>
          <w:lang w:val="en-US" w:eastAsia="zh-CN"/>
          <w14:textFill>
            <w14:solidFill>
              <w14:schemeClr w14:val="tx1"/>
            </w14:solidFill>
          </w14:textFill>
        </w:rPr>
        <w:t>标准</w:t>
      </w:r>
      <w:r>
        <w:rPr>
          <w:rFonts w:hint="default"/>
          <w:color w:val="000000" w:themeColor="text1"/>
          <w:szCs w:val="21"/>
          <w:lang w:val="en-US" w:eastAsia="zh-CN"/>
          <w14:textFill>
            <w14:solidFill>
              <w14:schemeClr w14:val="tx1"/>
            </w14:solidFill>
          </w14:textFill>
        </w:rPr>
        <w:t>的知名度和信</w:t>
      </w:r>
      <w:r>
        <w:rPr>
          <w:rFonts w:hint="eastAsia"/>
          <w:color w:val="000000" w:themeColor="text1"/>
          <w:szCs w:val="21"/>
          <w:lang w:val="en-US" w:eastAsia="zh-CN"/>
          <w14:textFill>
            <w14:solidFill>
              <w14:schemeClr w14:val="tx1"/>
            </w14:solidFill>
          </w14:textFill>
        </w:rPr>
        <w:t>公信力</w:t>
      </w:r>
      <w:r>
        <w:rPr>
          <w:rFonts w:hint="default"/>
          <w:color w:val="000000" w:themeColor="text1"/>
          <w:szCs w:val="21"/>
          <w:lang w:val="en-US" w:eastAsia="zh-CN"/>
          <w14:textFill>
            <w14:solidFill>
              <w14:schemeClr w14:val="tx1"/>
            </w14:solidFill>
          </w14:textFill>
        </w:rPr>
        <w:t>，同时也可以促进企业不断改进和提高标准的执行效果。</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f）</w:t>
      </w:r>
      <w:r>
        <w:rPr>
          <w:rFonts w:hint="default"/>
          <w:color w:val="000000" w:themeColor="text1"/>
          <w:szCs w:val="21"/>
          <w:lang w:val="en-US" w:eastAsia="zh-CN"/>
          <w14:textFill>
            <w14:solidFill>
              <w14:schemeClr w14:val="tx1"/>
            </w14:solidFill>
          </w14:textFill>
        </w:rPr>
        <w:t>加强宣传教育：通过加强宣传教育，使</w:t>
      </w:r>
      <w:r>
        <w:rPr>
          <w:rFonts w:hint="eastAsia"/>
          <w:color w:val="000000" w:themeColor="text1"/>
          <w:szCs w:val="21"/>
          <w:lang w:val="en-US" w:eastAsia="zh-CN"/>
          <w14:textFill>
            <w14:solidFill>
              <w14:schemeClr w14:val="tx1"/>
            </w14:solidFill>
          </w14:textFill>
        </w:rPr>
        <w:t>企业</w:t>
      </w:r>
      <w:r>
        <w:rPr>
          <w:rFonts w:hint="default"/>
          <w:color w:val="000000" w:themeColor="text1"/>
          <w:szCs w:val="21"/>
          <w:lang w:val="en-US" w:eastAsia="zh-CN"/>
          <w14:textFill>
            <w14:solidFill>
              <w14:schemeClr w14:val="tx1"/>
            </w14:solidFill>
          </w14:textFill>
        </w:rPr>
        <w:t>充分认识到标准的重要性和作用，增强员工的标准化意识。</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g）</w:t>
      </w:r>
      <w:r>
        <w:rPr>
          <w:rFonts w:hint="default"/>
          <w:color w:val="000000" w:themeColor="text1"/>
          <w:szCs w:val="21"/>
          <w:lang w:val="en-US" w:eastAsia="zh-CN"/>
          <w14:textFill>
            <w14:solidFill>
              <w14:schemeClr w14:val="tx1"/>
            </w14:solidFill>
          </w14:textFill>
        </w:rPr>
        <w:t>积极参与国际标准制定：积极参与国际标准的制定和修订工作，可以提高</w:t>
      </w:r>
      <w:r>
        <w:rPr>
          <w:rFonts w:hint="eastAsia"/>
          <w:color w:val="000000" w:themeColor="text1"/>
          <w:szCs w:val="21"/>
          <w:lang w:val="en-US" w:eastAsia="zh-CN"/>
          <w14:textFill>
            <w14:solidFill>
              <w14:schemeClr w14:val="tx1"/>
            </w14:solidFill>
          </w14:textFill>
        </w:rPr>
        <w:t>行业协会</w:t>
      </w:r>
      <w:r>
        <w:rPr>
          <w:rFonts w:hint="default"/>
          <w:color w:val="000000" w:themeColor="text1"/>
          <w:szCs w:val="21"/>
          <w:lang w:val="en-US" w:eastAsia="zh-CN"/>
          <w14:textFill>
            <w14:solidFill>
              <w14:schemeClr w14:val="tx1"/>
            </w14:solidFill>
          </w14:textFill>
        </w:rPr>
        <w:t>的国际竞争力，同时也可以更好地贯彻执行标准。</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h）</w:t>
      </w:r>
      <w:r>
        <w:rPr>
          <w:rFonts w:hint="default"/>
          <w:color w:val="000000" w:themeColor="text1"/>
          <w:szCs w:val="21"/>
          <w:lang w:val="en-US" w:eastAsia="zh-CN"/>
          <w14:textFill>
            <w14:solidFill>
              <w14:schemeClr w14:val="tx1"/>
            </w14:solidFill>
          </w14:textFill>
        </w:rPr>
        <w:t>加强协作配合：在贯彻执行标准的过程中，</w:t>
      </w:r>
      <w:r>
        <w:rPr>
          <w:rFonts w:hint="eastAsia"/>
          <w:color w:val="000000" w:themeColor="text1"/>
          <w:szCs w:val="21"/>
          <w:lang w:val="en-US" w:eastAsia="zh-CN"/>
          <w14:textFill>
            <w14:solidFill>
              <w14:schemeClr w14:val="tx1"/>
            </w14:solidFill>
          </w14:textFill>
        </w:rPr>
        <w:t>行业组织和企业</w:t>
      </w:r>
      <w:r>
        <w:rPr>
          <w:rFonts w:hint="default"/>
          <w:color w:val="000000" w:themeColor="text1"/>
          <w:szCs w:val="21"/>
          <w:lang w:val="en-US" w:eastAsia="zh-CN"/>
          <w14:textFill>
            <w14:solidFill>
              <w14:schemeClr w14:val="tx1"/>
            </w14:solidFill>
          </w14:textFill>
        </w:rPr>
        <w:t>之间要加强协作配合，形成合力，确保标准的贯彻实施。</w:t>
      </w:r>
    </w:p>
    <w:p>
      <w:pPr>
        <w:ind w:firstLine="420" w:firstLineChars="200"/>
        <w:rPr>
          <w:rFonts w:ascii="仿宋" w:hAnsi="仿宋" w:eastAsia="仿宋" w:cs="仿宋"/>
          <w:color w:val="000000" w:themeColor="text1"/>
          <w:szCs w:val="21"/>
          <w14:textFill>
            <w14:solidFill>
              <w14:schemeClr w14:val="tx1"/>
            </w14:solidFill>
          </w14:textFill>
        </w:rPr>
      </w:pPr>
    </w:p>
    <w:p>
      <w:pPr>
        <w:ind w:firstLine="420" w:firstLineChars="200"/>
        <w:rPr>
          <w:rFonts w:ascii="仿宋" w:hAnsi="仿宋" w:eastAsia="仿宋" w:cs="仿宋"/>
          <w:color w:val="000000" w:themeColor="text1"/>
          <w:szCs w:val="21"/>
          <w14:textFill>
            <w14:solidFill>
              <w14:schemeClr w14:val="tx1"/>
            </w14:solidFill>
          </w14:textFill>
        </w:rPr>
      </w:pPr>
    </w:p>
    <w:p>
      <w:pPr>
        <w:numPr>
          <w:ilvl w:val="0"/>
          <w:numId w:val="4"/>
        </w:num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其他需要说明的事项</w:t>
      </w:r>
    </w:p>
    <w:p>
      <w:pPr>
        <w:ind w:left="360" w:firstLine="420" w:firstLineChars="200"/>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abstractNum w:abstractNumId="3">
    <w:nsid w:val="0444D56C"/>
    <w:multiLevelType w:val="singleLevel"/>
    <w:tmpl w:val="0444D56C"/>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Y2U1NTdiYTg0NzMzNGMyZGEwMjFlODE0N2EyYWEifQ=="/>
  </w:docVars>
  <w:rsids>
    <w:rsidRoot w:val="00000000"/>
    <w:rsid w:val="04BC3FEE"/>
    <w:rsid w:val="08D8717C"/>
    <w:rsid w:val="0A411361"/>
    <w:rsid w:val="0F1862C4"/>
    <w:rsid w:val="12394ECF"/>
    <w:rsid w:val="1458496F"/>
    <w:rsid w:val="17FE211F"/>
    <w:rsid w:val="26EB3B6A"/>
    <w:rsid w:val="292E37CD"/>
    <w:rsid w:val="2D9615B7"/>
    <w:rsid w:val="3107323C"/>
    <w:rsid w:val="3A2F2A0C"/>
    <w:rsid w:val="3E324F16"/>
    <w:rsid w:val="41571CBA"/>
    <w:rsid w:val="471B6F39"/>
    <w:rsid w:val="47AC51A3"/>
    <w:rsid w:val="48D43D0B"/>
    <w:rsid w:val="4A9713EE"/>
    <w:rsid w:val="55704ABA"/>
    <w:rsid w:val="57A03F20"/>
    <w:rsid w:val="633C39DB"/>
    <w:rsid w:val="63A24A04"/>
    <w:rsid w:val="6463123F"/>
    <w:rsid w:val="66560D21"/>
    <w:rsid w:val="66C40DA9"/>
    <w:rsid w:val="68354D4E"/>
    <w:rsid w:val="696E6789"/>
    <w:rsid w:val="69F331D1"/>
    <w:rsid w:val="6CE23447"/>
    <w:rsid w:val="6D905A52"/>
    <w:rsid w:val="6DB87176"/>
    <w:rsid w:val="7E69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zmg15</cp:lastModifiedBy>
  <dcterms:modified xsi:type="dcterms:W3CDTF">2025-10-24T03:45:51Z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45F45440161D4AE7B5FD82D4C3F3A485</vt:lpwstr>
  </property>
</Properties>
</file>