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29FEAF" w14:textId="77777777" w:rsidR="004C5011" w:rsidRDefault="00000000">
      <w:pPr>
        <w:rPr>
          <w:rFonts w:asciiTheme="majorEastAsia" w:eastAsiaTheme="majorEastAsia" w:hAnsiTheme="majorEastAsia" w:hint="eastAsia"/>
          <w:sz w:val="28"/>
          <w:szCs w:val="28"/>
        </w:rPr>
      </w:pPr>
      <w:r>
        <w:rPr>
          <w:rFonts w:asciiTheme="majorEastAsia" w:eastAsiaTheme="majorEastAsia" w:hAnsiTheme="majorEastAsia" w:hint="eastAsia"/>
          <w:sz w:val="28"/>
          <w:szCs w:val="28"/>
        </w:rPr>
        <w:t>附件4：</w:t>
      </w:r>
    </w:p>
    <w:p w14:paraId="4A3F53F9" w14:textId="018999B2" w:rsidR="004C5011" w:rsidRPr="007D3ECF" w:rsidRDefault="00000000" w:rsidP="007D3ECF">
      <w:pPr>
        <w:widowControl/>
        <w:jc w:val="center"/>
        <w:rPr>
          <w:rFonts w:eastAsia="黑体"/>
          <w:sz w:val="28"/>
          <w:szCs w:val="28"/>
        </w:rPr>
      </w:pPr>
      <w:r>
        <w:rPr>
          <w:rFonts w:eastAsia="黑体" w:hint="eastAsia"/>
          <w:sz w:val="28"/>
          <w:szCs w:val="28"/>
        </w:rPr>
        <w:t>中汽协会《</w:t>
      </w:r>
      <w:r w:rsidR="001B0625" w:rsidRPr="001B0625">
        <w:rPr>
          <w:rFonts w:eastAsia="黑体" w:hint="eastAsia"/>
          <w:sz w:val="28"/>
          <w:szCs w:val="28"/>
        </w:rPr>
        <w:t>智能网联汽车</w:t>
      </w:r>
      <w:r w:rsidR="001B0625" w:rsidRPr="001B0625">
        <w:rPr>
          <w:rFonts w:eastAsia="黑体" w:hint="eastAsia"/>
          <w:sz w:val="28"/>
          <w:szCs w:val="28"/>
        </w:rPr>
        <w:t xml:space="preserve"> </w:t>
      </w:r>
      <w:r w:rsidR="001B0625" w:rsidRPr="001B0625">
        <w:rPr>
          <w:rFonts w:eastAsia="黑体" w:hint="eastAsia"/>
          <w:sz w:val="28"/>
          <w:szCs w:val="28"/>
        </w:rPr>
        <w:t>感知功能评价测试设备：</w:t>
      </w:r>
      <w:r w:rsidR="00F0611F">
        <w:rPr>
          <w:rFonts w:eastAsia="黑体" w:hint="eastAsia"/>
          <w:sz w:val="28"/>
          <w:szCs w:val="28"/>
        </w:rPr>
        <w:t>蹲姿儿童</w:t>
      </w:r>
      <w:r w:rsidR="001B0625" w:rsidRPr="001B0625">
        <w:rPr>
          <w:rFonts w:eastAsia="黑体" w:hint="eastAsia"/>
          <w:sz w:val="28"/>
          <w:szCs w:val="28"/>
        </w:rPr>
        <w:t>目标物要求</w:t>
      </w:r>
      <w:r>
        <w:rPr>
          <w:rFonts w:eastAsia="黑体" w:hint="eastAsia"/>
          <w:sz w:val="28"/>
          <w:szCs w:val="28"/>
        </w:rPr>
        <w:t>》团体标准编制说明</w:t>
      </w:r>
    </w:p>
    <w:p w14:paraId="7A854DEC" w14:textId="77777777" w:rsidR="004C5011" w:rsidRDefault="00000000">
      <w:pPr>
        <w:numPr>
          <w:ilvl w:val="0"/>
          <w:numId w:val="1"/>
        </w:numPr>
        <w:ind w:firstLineChars="200" w:firstLine="480"/>
        <w:rPr>
          <w:rFonts w:ascii="黑体" w:eastAsia="黑体" w:hAnsi="黑体" w:cs="黑体" w:hint="eastAsia"/>
          <w:color w:val="000000" w:themeColor="text1"/>
          <w:sz w:val="24"/>
        </w:rPr>
      </w:pPr>
      <w:r>
        <w:rPr>
          <w:rFonts w:ascii="黑体" w:eastAsia="黑体" w:hAnsi="黑体" w:cs="黑体" w:hint="eastAsia"/>
          <w:color w:val="000000" w:themeColor="text1"/>
          <w:sz w:val="24"/>
        </w:rPr>
        <w:t>工作简要过程</w:t>
      </w:r>
    </w:p>
    <w:p w14:paraId="670B4819" w14:textId="77777777" w:rsidR="004C5011" w:rsidRDefault="00000000">
      <w:pPr>
        <w:numPr>
          <w:ilvl w:val="0"/>
          <w:numId w:val="2"/>
        </w:numPr>
        <w:rPr>
          <w:rFonts w:ascii="仿宋" w:eastAsia="仿宋" w:hAnsi="仿宋" w:cs="仿宋" w:hint="eastAsia"/>
          <w:b/>
          <w:bCs/>
          <w:color w:val="000000" w:themeColor="text1"/>
          <w:sz w:val="24"/>
        </w:rPr>
      </w:pPr>
      <w:r>
        <w:rPr>
          <w:rFonts w:ascii="仿宋" w:eastAsia="仿宋" w:hAnsi="仿宋" w:cs="仿宋" w:hint="eastAsia"/>
          <w:b/>
          <w:bCs/>
          <w:color w:val="000000" w:themeColor="text1"/>
          <w:sz w:val="24"/>
        </w:rPr>
        <w:t>任务来源</w:t>
      </w:r>
    </w:p>
    <w:p w14:paraId="4D8185A2" w14:textId="77777777" w:rsidR="00C52E1E" w:rsidRPr="00F35DDA" w:rsidRDefault="00C52E1E" w:rsidP="00C52E1E">
      <w:pPr>
        <w:spacing w:line="360" w:lineRule="auto"/>
        <w:ind w:firstLineChars="200" w:firstLine="480"/>
        <w:rPr>
          <w:rFonts w:asciiTheme="minorEastAsia" w:eastAsiaTheme="minorEastAsia" w:hAnsiTheme="minorEastAsia" w:hint="eastAsia"/>
          <w:noProof/>
          <w:kern w:val="0"/>
          <w:sz w:val="24"/>
        </w:rPr>
      </w:pPr>
      <w:r w:rsidRPr="00F35DDA">
        <w:rPr>
          <w:rFonts w:asciiTheme="minorEastAsia" w:eastAsiaTheme="minorEastAsia" w:hAnsiTheme="minorEastAsia" w:hint="eastAsia"/>
          <w:noProof/>
          <w:kern w:val="0"/>
          <w:sz w:val="24"/>
        </w:rPr>
        <w:t>为落实《</w:t>
      </w:r>
      <w:r w:rsidRPr="00F35DDA">
        <w:rPr>
          <w:rFonts w:asciiTheme="minorEastAsia" w:eastAsiaTheme="minorEastAsia" w:hAnsiTheme="minorEastAsia"/>
          <w:noProof/>
          <w:kern w:val="0"/>
          <w:sz w:val="24"/>
        </w:rPr>
        <w:t>智能汽车创新发展战略》</w:t>
      </w:r>
      <w:r w:rsidRPr="00F35DDA">
        <w:rPr>
          <w:rFonts w:asciiTheme="minorEastAsia" w:eastAsiaTheme="minorEastAsia" w:hAnsiTheme="minorEastAsia" w:hint="eastAsia"/>
          <w:noProof/>
          <w:kern w:val="0"/>
          <w:sz w:val="24"/>
        </w:rPr>
        <w:t>、《智能检测装备产业发展行动计划（2023-2025年）》，</w:t>
      </w:r>
      <w:r w:rsidRPr="00F35DDA">
        <w:rPr>
          <w:rFonts w:asciiTheme="minorEastAsia" w:eastAsiaTheme="minorEastAsia" w:hAnsiTheme="minorEastAsia"/>
          <w:noProof/>
          <w:kern w:val="0"/>
          <w:sz w:val="24"/>
        </w:rPr>
        <w:t>建设中国标准智能汽车和实现智能汽车强国的战略目标，以及构建协同开放的技术创新体系</w:t>
      </w:r>
      <w:r w:rsidRPr="00F35DDA">
        <w:rPr>
          <w:rFonts w:asciiTheme="minorEastAsia" w:eastAsiaTheme="minorEastAsia" w:hAnsiTheme="minorEastAsia" w:hint="eastAsia"/>
          <w:noProof/>
          <w:kern w:val="0"/>
          <w:sz w:val="24"/>
        </w:rPr>
        <w:t>，在广泛征集需求并经专家评审基础上，由中国汽车工业协会下达2025年团体标准制修订计划项目，并委托本标准由中国汽车工程研究院股份有限公司牵头研制。文件号为中汽协函字[2025]122号。</w:t>
      </w:r>
    </w:p>
    <w:p w14:paraId="386D55FB" w14:textId="77777777" w:rsidR="00C52E1E" w:rsidRPr="00F35DDA" w:rsidRDefault="00C52E1E" w:rsidP="00C52E1E">
      <w:pPr>
        <w:pStyle w:val="a8"/>
        <w:spacing w:line="360" w:lineRule="auto"/>
        <w:ind w:firstLine="480"/>
        <w:rPr>
          <w:rFonts w:asciiTheme="minorEastAsia" w:eastAsiaTheme="minorEastAsia" w:hAnsiTheme="minorEastAsia" w:hint="eastAsia"/>
          <w:sz w:val="24"/>
          <w:szCs w:val="24"/>
        </w:rPr>
      </w:pPr>
      <w:bookmarkStart w:id="0" w:name="OLE_LINK1"/>
      <w:r w:rsidRPr="00F35DDA">
        <w:rPr>
          <w:rFonts w:asciiTheme="minorEastAsia" w:eastAsiaTheme="minorEastAsia" w:hAnsiTheme="minorEastAsia" w:hint="eastAsia"/>
          <w:sz w:val="24"/>
          <w:szCs w:val="24"/>
        </w:rPr>
        <w:t>蹲姿儿童源于对智能驾驶系统，尤其是自动紧急制动AEB和行人识别保护功能在复杂、真实场景下性能进行更严格、更贴近实际评估的迫切需求。当前目标物姿态单一，造成了测试场景具有局限性，传统的目标假人通常采用直立行走或站立的姿态。无法模拟现实中儿童可能出现的蹲下、蜷缩、弯腰玩耍等非标准姿势。现实中，儿童在车辆启动或停靠附近，是交通事故高发的危险场景，其蹲姿会显著改变目标的外形轮廓、尺寸，雷达散射面积和激光雷达点云特征，使其更难以被车辆的传感器识别，正确分类成行人或儿童。</w:t>
      </w:r>
    </w:p>
    <w:p w14:paraId="5588497D" w14:textId="77777777" w:rsidR="00C52E1E" w:rsidRPr="00F35DDA" w:rsidRDefault="00C52E1E" w:rsidP="00C52E1E">
      <w:pPr>
        <w:pStyle w:val="a8"/>
        <w:spacing w:line="360" w:lineRule="auto"/>
        <w:ind w:firstLine="480"/>
        <w:rPr>
          <w:rFonts w:asciiTheme="minorEastAsia" w:eastAsiaTheme="minorEastAsia" w:hAnsiTheme="minorEastAsia" w:hint="eastAsia"/>
          <w:sz w:val="24"/>
          <w:szCs w:val="24"/>
        </w:rPr>
      </w:pPr>
      <w:r w:rsidRPr="00F35DDA">
        <w:rPr>
          <w:rFonts w:asciiTheme="minorEastAsia" w:eastAsiaTheme="minorEastAsia" w:hAnsiTheme="minorEastAsia" w:hint="eastAsia"/>
          <w:sz w:val="24"/>
          <w:szCs w:val="24"/>
        </w:rPr>
        <w:t>儿童是道路交通中的弱势群体，安全意识薄弱，行为不可预测，更容易造成更危险的伤害。涉及儿童的交通事故往往后果严重。提升车辆对蹲姿儿童的识别和保护能力，具有重大的社会意义和伦理责任。</w:t>
      </w:r>
    </w:p>
    <w:p w14:paraId="68781FF1" w14:textId="77777777" w:rsidR="00C52E1E" w:rsidRPr="00F35DDA" w:rsidRDefault="00C52E1E" w:rsidP="00C52E1E">
      <w:pPr>
        <w:pStyle w:val="a8"/>
        <w:spacing w:line="360" w:lineRule="auto"/>
        <w:ind w:firstLine="480"/>
        <w:rPr>
          <w:rFonts w:asciiTheme="minorEastAsia" w:eastAsiaTheme="minorEastAsia" w:hAnsiTheme="minorEastAsia" w:hint="eastAsia"/>
          <w:sz w:val="24"/>
          <w:szCs w:val="24"/>
        </w:rPr>
      </w:pPr>
      <w:r w:rsidRPr="00F35DDA">
        <w:rPr>
          <w:rFonts w:asciiTheme="minorEastAsia" w:eastAsiaTheme="minorEastAsia" w:hAnsiTheme="minorEastAsia" w:hint="eastAsia"/>
          <w:sz w:val="24"/>
          <w:szCs w:val="24"/>
        </w:rPr>
        <w:t>同时，随着智能网联汽车的不断进步，尤其对L2级别以上的自动驾驶汽车提出了更加严苛的要求，增加蹲姿儿童这种测试场景，是推动感知算法和传感器技术进步的重要驱动力。</w:t>
      </w:r>
    </w:p>
    <w:p w14:paraId="636E5117" w14:textId="77777777" w:rsidR="00C52E1E" w:rsidRPr="00F35DDA" w:rsidRDefault="00C52E1E" w:rsidP="00C52E1E">
      <w:pPr>
        <w:pStyle w:val="a8"/>
        <w:spacing w:line="360" w:lineRule="auto"/>
        <w:ind w:firstLine="480"/>
        <w:rPr>
          <w:rFonts w:asciiTheme="minorEastAsia" w:eastAsiaTheme="minorEastAsia" w:hAnsiTheme="minorEastAsia" w:hint="eastAsia"/>
          <w:sz w:val="24"/>
          <w:szCs w:val="24"/>
        </w:rPr>
      </w:pPr>
      <w:r w:rsidRPr="00F35DDA">
        <w:rPr>
          <w:rFonts w:asciiTheme="minorEastAsia" w:eastAsiaTheme="minorEastAsia" w:hAnsiTheme="minorEastAsia" w:hint="eastAsia"/>
          <w:sz w:val="24"/>
          <w:szCs w:val="24"/>
        </w:rPr>
        <w:t>本标准从蹲姿儿童的物理特性入手，基于中国特征深入研究中国3-6岁幼儿的物理尺寸、外观结构、RCS反射特性等特点，并建立技术要求和检测方法。通过本标准将建立统一的蹲姿儿童目标物标准，为智能网联汽车感知功能评价及国家及行业提供测试场景、测试设备支撑，帮助主机厂开发更具有效性的感知功能。</w:t>
      </w:r>
    </w:p>
    <w:bookmarkEnd w:id="0"/>
    <w:p w14:paraId="0338E31C" w14:textId="77777777" w:rsidR="00C52E1E" w:rsidRPr="00C52E1E" w:rsidRDefault="00C52E1E" w:rsidP="00C52E1E">
      <w:pPr>
        <w:spacing w:line="360" w:lineRule="auto"/>
        <w:ind w:firstLineChars="200" w:firstLine="480"/>
        <w:rPr>
          <w:rFonts w:ascii="仿宋" w:eastAsia="仿宋" w:hAnsi="仿宋" w:hint="eastAsia"/>
          <w:noProof/>
          <w:kern w:val="0"/>
          <w:sz w:val="24"/>
        </w:rPr>
      </w:pPr>
    </w:p>
    <w:p w14:paraId="097695C8" w14:textId="77777777" w:rsidR="004C5011" w:rsidRPr="007E0DE5" w:rsidRDefault="00000000">
      <w:pPr>
        <w:numPr>
          <w:ilvl w:val="0"/>
          <w:numId w:val="2"/>
        </w:numPr>
        <w:rPr>
          <w:rFonts w:ascii="仿宋" w:eastAsia="仿宋" w:hAnsi="仿宋" w:cs="仿宋" w:hint="eastAsia"/>
          <w:b/>
          <w:bCs/>
          <w:color w:val="000000" w:themeColor="text1"/>
          <w:sz w:val="24"/>
        </w:rPr>
      </w:pPr>
      <w:r w:rsidRPr="007E0DE5">
        <w:rPr>
          <w:rFonts w:ascii="仿宋" w:eastAsia="仿宋" w:hAnsi="仿宋" w:cs="仿宋" w:hint="eastAsia"/>
          <w:b/>
          <w:bCs/>
          <w:color w:val="000000" w:themeColor="text1"/>
          <w:sz w:val="24"/>
        </w:rPr>
        <w:t>主要起草单位及任务分工</w:t>
      </w:r>
    </w:p>
    <w:p w14:paraId="4FEBF67E" w14:textId="7097E1A8" w:rsidR="008A094C" w:rsidRPr="00BB5A59" w:rsidRDefault="008A094C" w:rsidP="008A094C">
      <w:pPr>
        <w:spacing w:line="360" w:lineRule="auto"/>
        <w:ind w:left="360" w:firstLineChars="200" w:firstLine="480"/>
        <w:rPr>
          <w:rFonts w:asciiTheme="minorEastAsia" w:eastAsiaTheme="minorEastAsia" w:hAnsiTheme="minorEastAsia" w:hint="eastAsia"/>
          <w:sz w:val="24"/>
        </w:rPr>
      </w:pPr>
      <w:r w:rsidRPr="00BB5A59">
        <w:rPr>
          <w:rFonts w:asciiTheme="minorEastAsia" w:eastAsiaTheme="minorEastAsia" w:hAnsiTheme="minorEastAsia" w:hint="eastAsia"/>
          <w:sz w:val="24"/>
        </w:rPr>
        <w:t>本标准由中国汽车工业协会提出，中国汽车工程研究院股份有限公司牵头，</w:t>
      </w:r>
      <w:r w:rsidR="00505691" w:rsidRPr="00BB5A59">
        <w:rPr>
          <w:rFonts w:asciiTheme="minorEastAsia" w:eastAsiaTheme="minorEastAsia" w:hAnsiTheme="minorEastAsia" w:hint="eastAsia"/>
          <w:sz w:val="24"/>
        </w:rPr>
        <w:t>北京市计量检测科学研究院、</w:t>
      </w:r>
      <w:r w:rsidRPr="00BB5A59">
        <w:rPr>
          <w:rFonts w:asciiTheme="minorEastAsia" w:eastAsiaTheme="minorEastAsia" w:hAnsiTheme="minorEastAsia" w:hint="eastAsia"/>
          <w:sz w:val="24"/>
        </w:rPr>
        <w:t>浙江省质量科学研究院、中国计量科学研究院</w:t>
      </w:r>
      <w:r w:rsidR="009B5C13" w:rsidRPr="00BB5A59">
        <w:rPr>
          <w:rFonts w:asciiTheme="minorEastAsia" w:eastAsiaTheme="minorEastAsia" w:hAnsiTheme="minorEastAsia" w:hint="eastAsia"/>
          <w:sz w:val="24"/>
        </w:rPr>
        <w:t>、</w:t>
      </w:r>
      <w:r w:rsidRPr="00BB5A59">
        <w:rPr>
          <w:rFonts w:asciiTheme="minorEastAsia" w:eastAsiaTheme="minorEastAsia" w:hAnsiTheme="minorEastAsia" w:hint="eastAsia"/>
          <w:sz w:val="24"/>
        </w:rPr>
        <w:t>湖南大学、北京交通大学、湖南大学、赛力斯汽车有限公司、上汽通用五菱汽车股份有限公司、</w:t>
      </w:r>
      <w:r w:rsidR="001D3AA4">
        <w:rPr>
          <w:rFonts w:asciiTheme="minorEastAsia" w:eastAsiaTheme="minorEastAsia" w:hAnsiTheme="minorEastAsia" w:hint="eastAsia"/>
          <w:sz w:val="24"/>
        </w:rPr>
        <w:t>重庆大学、</w:t>
      </w:r>
      <w:r w:rsidR="00505691" w:rsidRPr="00BB5A59">
        <w:rPr>
          <w:rFonts w:asciiTheme="minorEastAsia" w:eastAsiaTheme="minorEastAsia" w:hAnsiTheme="minorEastAsia" w:hint="eastAsia"/>
          <w:sz w:val="24"/>
        </w:rPr>
        <w:t>长城汽车股份有限公司、重庆长安汽车股份有限公司、奇瑞汽车股份有限公司、重庆交通大学、</w:t>
      </w:r>
      <w:r w:rsidRPr="00BB5A59">
        <w:rPr>
          <w:rFonts w:asciiTheme="minorEastAsia" w:eastAsiaTheme="minorEastAsia" w:hAnsiTheme="minorEastAsia" w:hint="eastAsia"/>
          <w:sz w:val="24"/>
        </w:rPr>
        <w:t>中汽院智能网联科技有限公司、湖南仕博测试技术有限公司、</w:t>
      </w:r>
      <w:r w:rsidR="001D03D9" w:rsidRPr="00BB5A59">
        <w:rPr>
          <w:rFonts w:asciiTheme="minorEastAsia" w:eastAsiaTheme="minorEastAsia" w:hAnsiTheme="minorEastAsia" w:hint="eastAsia"/>
          <w:sz w:val="24"/>
        </w:rPr>
        <w:t>重庆赛力斯凤凰智创科技有限公司、</w:t>
      </w:r>
      <w:r w:rsidRPr="00BB5A59">
        <w:rPr>
          <w:rFonts w:asciiTheme="minorEastAsia" w:eastAsiaTheme="minorEastAsia" w:hAnsiTheme="minorEastAsia" w:hint="eastAsia"/>
          <w:sz w:val="24"/>
        </w:rPr>
        <w:t>深圳市速腾聚创科技有限公司</w:t>
      </w:r>
      <w:r w:rsidR="00C21B05" w:rsidRPr="00BB5A59">
        <w:rPr>
          <w:rFonts w:asciiTheme="minorEastAsia" w:eastAsiaTheme="minorEastAsia" w:hAnsiTheme="minorEastAsia" w:hint="eastAsia"/>
          <w:sz w:val="24"/>
        </w:rPr>
        <w:t>、</w:t>
      </w:r>
      <w:r w:rsidR="00D223EF">
        <w:rPr>
          <w:rFonts w:asciiTheme="minorEastAsia" w:eastAsiaTheme="minorEastAsia" w:hAnsiTheme="minorEastAsia" w:hint="eastAsia"/>
          <w:sz w:val="24"/>
        </w:rPr>
        <w:t>大连理工大学、</w:t>
      </w:r>
      <w:r w:rsidR="00C21B05" w:rsidRPr="00BB5A59">
        <w:rPr>
          <w:rFonts w:asciiTheme="minorEastAsia" w:eastAsiaTheme="minorEastAsia" w:hAnsiTheme="minorEastAsia" w:hint="eastAsia"/>
          <w:sz w:val="24"/>
        </w:rPr>
        <w:t>广东汽车检测中心有限公司</w:t>
      </w:r>
      <w:r w:rsidR="00FB094D">
        <w:rPr>
          <w:rFonts w:asciiTheme="minorEastAsia" w:eastAsiaTheme="minorEastAsia" w:hAnsiTheme="minorEastAsia" w:hint="eastAsia"/>
          <w:sz w:val="24"/>
        </w:rPr>
        <w:t>20</w:t>
      </w:r>
      <w:r w:rsidRPr="00BB5A59">
        <w:rPr>
          <w:rFonts w:asciiTheme="minorEastAsia" w:eastAsiaTheme="minorEastAsia" w:hAnsiTheme="minorEastAsia" w:hint="eastAsia"/>
          <w:sz w:val="24"/>
        </w:rPr>
        <w:t>家单位</w:t>
      </w:r>
      <w:r w:rsidR="008060E0" w:rsidRPr="00BB5A59">
        <w:rPr>
          <w:rFonts w:asciiTheme="minorEastAsia" w:eastAsiaTheme="minorEastAsia" w:hAnsiTheme="minorEastAsia" w:hint="eastAsia"/>
          <w:sz w:val="24"/>
        </w:rPr>
        <w:t>联合编制。</w:t>
      </w:r>
    </w:p>
    <w:p w14:paraId="7F343440" w14:textId="4521CCBE" w:rsidR="004C5011" w:rsidRPr="00F35DDA" w:rsidRDefault="00E1705E" w:rsidP="00E1705E">
      <w:pPr>
        <w:ind w:left="420" w:firstLine="420"/>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本文件的主要起草人及其所做工作简要介绍如表</w:t>
      </w:r>
      <w:r w:rsidRPr="00F35DDA">
        <w:rPr>
          <w:rFonts w:asciiTheme="minorEastAsia" w:eastAsiaTheme="minorEastAsia" w:hAnsiTheme="minorEastAsia" w:cs="仿宋"/>
          <w:color w:val="000000" w:themeColor="text1"/>
          <w:szCs w:val="21"/>
        </w:rPr>
        <w:t>1</w:t>
      </w:r>
      <w:r w:rsidRPr="00F35DDA">
        <w:rPr>
          <w:rFonts w:asciiTheme="minorEastAsia" w:eastAsiaTheme="minorEastAsia" w:hAnsiTheme="minorEastAsia" w:cs="仿宋" w:hint="eastAsia"/>
          <w:color w:val="000000" w:themeColor="text1"/>
          <w:szCs w:val="21"/>
        </w:rPr>
        <w:t>所示：</w:t>
      </w:r>
    </w:p>
    <w:tbl>
      <w:tblPr>
        <w:tblStyle w:val="a9"/>
        <w:tblW w:w="0" w:type="auto"/>
        <w:tblInd w:w="420" w:type="dxa"/>
        <w:tblLook w:val="04A0" w:firstRow="1" w:lastRow="0" w:firstColumn="1" w:lastColumn="0" w:noHBand="0" w:noVBand="1"/>
      </w:tblPr>
      <w:tblGrid>
        <w:gridCol w:w="2705"/>
        <w:gridCol w:w="2692"/>
        <w:gridCol w:w="2705"/>
      </w:tblGrid>
      <w:tr w:rsidR="00E1705E" w:rsidRPr="00F35DDA" w14:paraId="6F0D309D" w14:textId="77777777" w:rsidTr="00994D7F">
        <w:tc>
          <w:tcPr>
            <w:tcW w:w="2705" w:type="dxa"/>
          </w:tcPr>
          <w:p w14:paraId="7CE6D2BD" w14:textId="7C3A9B19" w:rsidR="00E1705E" w:rsidRPr="00F35DDA" w:rsidRDefault="00E1705E" w:rsidP="00E1705E">
            <w:pP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主要起草人</w:t>
            </w:r>
          </w:p>
        </w:tc>
        <w:tc>
          <w:tcPr>
            <w:tcW w:w="2692" w:type="dxa"/>
          </w:tcPr>
          <w:p w14:paraId="3E2F94FF" w14:textId="6189665D" w:rsidR="00E1705E" w:rsidRPr="00F35DDA" w:rsidRDefault="00E1705E" w:rsidP="00E1705E">
            <w:pP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工作单位</w:t>
            </w:r>
          </w:p>
        </w:tc>
        <w:tc>
          <w:tcPr>
            <w:tcW w:w="2705" w:type="dxa"/>
          </w:tcPr>
          <w:p w14:paraId="4273C9B0" w14:textId="0F51CADE" w:rsidR="00E1705E" w:rsidRPr="00F35DDA" w:rsidRDefault="00E1705E" w:rsidP="00E1705E">
            <w:pP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主要工作</w:t>
            </w:r>
          </w:p>
        </w:tc>
      </w:tr>
      <w:tr w:rsidR="00E1705E" w:rsidRPr="00F35DDA" w14:paraId="0C4E0951" w14:textId="77777777" w:rsidTr="00C379F8">
        <w:tc>
          <w:tcPr>
            <w:tcW w:w="2705" w:type="dxa"/>
            <w:vAlign w:val="center"/>
          </w:tcPr>
          <w:p w14:paraId="680EE268" w14:textId="0ECEBFA1" w:rsidR="00E1705E" w:rsidRPr="00F35DDA" w:rsidRDefault="00E1705E"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张鑫、李艺、李立凯、潘登</w:t>
            </w:r>
          </w:p>
        </w:tc>
        <w:tc>
          <w:tcPr>
            <w:tcW w:w="2692" w:type="dxa"/>
            <w:vAlign w:val="center"/>
          </w:tcPr>
          <w:p w14:paraId="1E1094DD" w14:textId="5011CA91" w:rsidR="00E1705E" w:rsidRPr="00F35DDA" w:rsidRDefault="00E1705E"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中国汽车工程研究院股份有限公司</w:t>
            </w:r>
          </w:p>
        </w:tc>
        <w:tc>
          <w:tcPr>
            <w:tcW w:w="2705" w:type="dxa"/>
          </w:tcPr>
          <w:p w14:paraId="7D2B9708" w14:textId="7635F680" w:rsidR="00E1705E" w:rsidRPr="00F35DDA" w:rsidRDefault="00E1705E" w:rsidP="00E1705E">
            <w:pP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总体框架、总体内容和全面把握，</w:t>
            </w:r>
            <w:r w:rsidR="0050542B" w:rsidRPr="00F35DDA">
              <w:rPr>
                <w:rFonts w:asciiTheme="minorEastAsia" w:eastAsiaTheme="minorEastAsia" w:hAnsiTheme="minorEastAsia" w:cs="仿宋" w:hint="eastAsia"/>
                <w:color w:val="000000" w:themeColor="text1"/>
                <w:szCs w:val="21"/>
              </w:rPr>
              <w:t>草案文本编写</w:t>
            </w:r>
            <w:r w:rsidR="0050227D" w:rsidRPr="00F35DDA">
              <w:rPr>
                <w:rFonts w:asciiTheme="minorEastAsia" w:eastAsiaTheme="minorEastAsia" w:hAnsiTheme="minorEastAsia" w:cs="仿宋" w:hint="eastAsia"/>
                <w:color w:val="000000" w:themeColor="text1"/>
                <w:szCs w:val="21"/>
              </w:rPr>
              <w:t>、修改</w:t>
            </w:r>
            <w:r w:rsidR="0050542B" w:rsidRPr="00F35DDA">
              <w:rPr>
                <w:rFonts w:asciiTheme="minorEastAsia" w:eastAsiaTheme="minorEastAsia" w:hAnsiTheme="minorEastAsia" w:cs="仿宋" w:hint="eastAsia"/>
                <w:color w:val="000000" w:themeColor="text1"/>
                <w:szCs w:val="21"/>
              </w:rPr>
              <w:t>，</w:t>
            </w:r>
            <w:r w:rsidRPr="00F35DDA">
              <w:rPr>
                <w:rFonts w:asciiTheme="minorEastAsia" w:eastAsiaTheme="minorEastAsia" w:hAnsiTheme="minorEastAsia" w:cs="仿宋" w:hint="eastAsia"/>
                <w:color w:val="000000" w:themeColor="text1"/>
                <w:szCs w:val="21"/>
              </w:rPr>
              <w:t>对现有国内外相关标准法规、技术路线、指标以及相关联性进行梳理，负责与其他汽车制造商和供应商的沟通协调，并协助组织技术研讨会，参与标准的实际测试和应用，确保标准的实用性和可行性</w:t>
            </w:r>
          </w:p>
        </w:tc>
      </w:tr>
      <w:tr w:rsidR="00E1705E" w:rsidRPr="00F35DDA" w14:paraId="60519025" w14:textId="77777777" w:rsidTr="00C379F8">
        <w:tc>
          <w:tcPr>
            <w:tcW w:w="2705" w:type="dxa"/>
            <w:vAlign w:val="center"/>
          </w:tcPr>
          <w:p w14:paraId="28C82232" w14:textId="1ED73433" w:rsidR="00E1705E" w:rsidRPr="00F35DDA" w:rsidRDefault="00C379F8"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戴金洲、沙硕</w:t>
            </w:r>
          </w:p>
        </w:tc>
        <w:tc>
          <w:tcPr>
            <w:tcW w:w="2692" w:type="dxa"/>
            <w:vAlign w:val="center"/>
          </w:tcPr>
          <w:p w14:paraId="20D4B3BB" w14:textId="553D0DBF" w:rsidR="00E1705E" w:rsidRPr="00F35DDA" w:rsidRDefault="00C379F8"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北京市计量检测科学研究院</w:t>
            </w:r>
          </w:p>
        </w:tc>
        <w:tc>
          <w:tcPr>
            <w:tcW w:w="2705" w:type="dxa"/>
          </w:tcPr>
          <w:p w14:paraId="1AFFBF10" w14:textId="077549B0" w:rsidR="00E1705E" w:rsidRPr="00F35DDA" w:rsidRDefault="00A77307" w:rsidP="00E1705E">
            <w:pP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E1705E" w:rsidRPr="00F35DDA" w14:paraId="069B7DF9" w14:textId="77777777" w:rsidTr="00C379F8">
        <w:tc>
          <w:tcPr>
            <w:tcW w:w="2705" w:type="dxa"/>
            <w:vAlign w:val="center"/>
          </w:tcPr>
          <w:p w14:paraId="3413B249" w14:textId="2B45C045" w:rsidR="00E1705E" w:rsidRPr="00F35DDA" w:rsidRDefault="00C379F8"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邵建文、赵存彬</w:t>
            </w:r>
          </w:p>
        </w:tc>
        <w:tc>
          <w:tcPr>
            <w:tcW w:w="2692" w:type="dxa"/>
            <w:vAlign w:val="center"/>
          </w:tcPr>
          <w:p w14:paraId="72AB6200" w14:textId="6B96E92D" w:rsidR="00E1705E" w:rsidRPr="00F35DDA" w:rsidRDefault="00C379F8"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浙江省质量科学研究院</w:t>
            </w:r>
          </w:p>
        </w:tc>
        <w:tc>
          <w:tcPr>
            <w:tcW w:w="2705" w:type="dxa"/>
          </w:tcPr>
          <w:p w14:paraId="33DB7EC8" w14:textId="0C9A2802" w:rsidR="00E1705E" w:rsidRPr="00F35DDA" w:rsidRDefault="00C379F8" w:rsidP="00E1705E">
            <w:pP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994D7F" w:rsidRPr="00F35DDA" w14:paraId="5C95E669" w14:textId="77777777" w:rsidTr="00C379F8">
        <w:tc>
          <w:tcPr>
            <w:tcW w:w="2705" w:type="dxa"/>
            <w:vAlign w:val="center"/>
          </w:tcPr>
          <w:p w14:paraId="35712ABF" w14:textId="456AB9CD" w:rsidR="00994D7F" w:rsidRPr="00F35DDA" w:rsidRDefault="00C379F8"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杜磊</w:t>
            </w:r>
          </w:p>
        </w:tc>
        <w:tc>
          <w:tcPr>
            <w:tcW w:w="2692" w:type="dxa"/>
            <w:vAlign w:val="center"/>
          </w:tcPr>
          <w:p w14:paraId="5181B66E" w14:textId="3630D9B0" w:rsidR="00994D7F" w:rsidRPr="00F35DDA" w:rsidRDefault="00C379F8"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中国计量科学研究院</w:t>
            </w:r>
          </w:p>
        </w:tc>
        <w:tc>
          <w:tcPr>
            <w:tcW w:w="2705" w:type="dxa"/>
          </w:tcPr>
          <w:p w14:paraId="78407A04" w14:textId="6A089CEE" w:rsidR="00994D7F" w:rsidRPr="00F35DDA" w:rsidRDefault="00C379F8" w:rsidP="00E1705E">
            <w:pP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994D7F" w:rsidRPr="00F35DDA" w14:paraId="66C0D1B9" w14:textId="77777777" w:rsidTr="00C379F8">
        <w:tc>
          <w:tcPr>
            <w:tcW w:w="2705" w:type="dxa"/>
            <w:vAlign w:val="center"/>
          </w:tcPr>
          <w:p w14:paraId="44DBB73A" w14:textId="7BC8173A" w:rsidR="00994D7F" w:rsidRPr="00F35DDA" w:rsidRDefault="00C379F8"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秦兆博</w:t>
            </w:r>
          </w:p>
        </w:tc>
        <w:tc>
          <w:tcPr>
            <w:tcW w:w="2692" w:type="dxa"/>
            <w:vAlign w:val="center"/>
          </w:tcPr>
          <w:p w14:paraId="3C110B74" w14:textId="0C667770" w:rsidR="00994D7F" w:rsidRPr="00F35DDA" w:rsidRDefault="00C379F8"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湖南大学</w:t>
            </w:r>
          </w:p>
        </w:tc>
        <w:tc>
          <w:tcPr>
            <w:tcW w:w="2705" w:type="dxa"/>
          </w:tcPr>
          <w:p w14:paraId="74F143BE" w14:textId="67794940" w:rsidR="00994D7F" w:rsidRPr="00F35DDA" w:rsidRDefault="00C379F8" w:rsidP="00E1705E">
            <w:pP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994D7F" w:rsidRPr="00F35DDA" w14:paraId="0E103349" w14:textId="77777777" w:rsidTr="00C379F8">
        <w:tc>
          <w:tcPr>
            <w:tcW w:w="2705" w:type="dxa"/>
            <w:vAlign w:val="center"/>
          </w:tcPr>
          <w:p w14:paraId="33A2C7B5" w14:textId="44235762" w:rsidR="00994D7F" w:rsidRPr="00F35DDA" w:rsidRDefault="00C379F8"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李鹏辉</w:t>
            </w:r>
          </w:p>
        </w:tc>
        <w:tc>
          <w:tcPr>
            <w:tcW w:w="2692" w:type="dxa"/>
            <w:vAlign w:val="center"/>
          </w:tcPr>
          <w:p w14:paraId="06D44413" w14:textId="7A6B5C74" w:rsidR="00994D7F" w:rsidRPr="00F35DDA" w:rsidRDefault="00C379F8"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北京交通大学</w:t>
            </w:r>
          </w:p>
        </w:tc>
        <w:tc>
          <w:tcPr>
            <w:tcW w:w="2705" w:type="dxa"/>
          </w:tcPr>
          <w:p w14:paraId="184444CD" w14:textId="32FC0095" w:rsidR="00994D7F" w:rsidRPr="00F35DDA" w:rsidRDefault="00C379F8" w:rsidP="00E1705E">
            <w:pP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C379F8" w:rsidRPr="00F35DDA" w14:paraId="459BE691" w14:textId="77777777" w:rsidTr="00C379F8">
        <w:tc>
          <w:tcPr>
            <w:tcW w:w="2705" w:type="dxa"/>
            <w:vAlign w:val="center"/>
          </w:tcPr>
          <w:p w14:paraId="689E8A37" w14:textId="2A0711FF" w:rsidR="00C379F8" w:rsidRPr="00F35DDA" w:rsidRDefault="00C379F8"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lastRenderedPageBreak/>
              <w:t>万鑫、李瑜</w:t>
            </w:r>
          </w:p>
        </w:tc>
        <w:tc>
          <w:tcPr>
            <w:tcW w:w="2692" w:type="dxa"/>
            <w:vAlign w:val="center"/>
          </w:tcPr>
          <w:p w14:paraId="2529529F" w14:textId="639E111B" w:rsidR="00C379F8" w:rsidRPr="00F35DDA" w:rsidRDefault="00C379F8"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赛力斯汽车有限公司</w:t>
            </w:r>
          </w:p>
        </w:tc>
        <w:tc>
          <w:tcPr>
            <w:tcW w:w="2705" w:type="dxa"/>
          </w:tcPr>
          <w:p w14:paraId="3D537428" w14:textId="08AF0FED" w:rsidR="00C379F8" w:rsidRPr="00F35DDA" w:rsidRDefault="00C379F8" w:rsidP="00E1705E">
            <w:pP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C379F8" w:rsidRPr="00F35DDA" w14:paraId="4997F1C7" w14:textId="77777777" w:rsidTr="00C379F8">
        <w:tc>
          <w:tcPr>
            <w:tcW w:w="2705" w:type="dxa"/>
            <w:vAlign w:val="center"/>
          </w:tcPr>
          <w:p w14:paraId="51C2C0F4" w14:textId="563EBFB7" w:rsidR="00C379F8" w:rsidRPr="00F35DDA" w:rsidRDefault="00C379F8"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余天龙</w:t>
            </w:r>
          </w:p>
        </w:tc>
        <w:tc>
          <w:tcPr>
            <w:tcW w:w="2692" w:type="dxa"/>
            <w:vAlign w:val="center"/>
          </w:tcPr>
          <w:p w14:paraId="37712F0D" w14:textId="1C341415" w:rsidR="00C379F8" w:rsidRPr="00F35DDA" w:rsidRDefault="00C379F8"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上汽通用五菱汽车股份有限公司</w:t>
            </w:r>
          </w:p>
        </w:tc>
        <w:tc>
          <w:tcPr>
            <w:tcW w:w="2705" w:type="dxa"/>
          </w:tcPr>
          <w:p w14:paraId="0C26DA78" w14:textId="6F4FBC21" w:rsidR="00C379F8" w:rsidRPr="00F35DDA" w:rsidRDefault="00C379F8" w:rsidP="00E1705E">
            <w:pP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40367A" w:rsidRPr="00F35DDA" w14:paraId="16AFCAF9" w14:textId="77777777" w:rsidTr="00C379F8">
        <w:tc>
          <w:tcPr>
            <w:tcW w:w="2705" w:type="dxa"/>
            <w:vAlign w:val="center"/>
          </w:tcPr>
          <w:p w14:paraId="69EE98D3" w14:textId="488F3226" w:rsidR="0040367A" w:rsidRPr="00F35DDA" w:rsidRDefault="0040367A" w:rsidP="00C379F8">
            <w:pPr>
              <w:jc w:val="center"/>
              <w:rPr>
                <w:rFonts w:asciiTheme="minorEastAsia" w:eastAsiaTheme="minorEastAsia" w:hAnsiTheme="minorEastAsia" w:cs="仿宋" w:hint="eastAsia"/>
                <w:color w:val="000000" w:themeColor="text1"/>
                <w:szCs w:val="21"/>
              </w:rPr>
            </w:pPr>
            <w:r>
              <w:rPr>
                <w:rFonts w:asciiTheme="minorEastAsia" w:eastAsiaTheme="minorEastAsia" w:hAnsiTheme="minorEastAsia" w:cs="仿宋" w:hint="eastAsia"/>
                <w:color w:val="000000" w:themeColor="text1"/>
                <w:szCs w:val="21"/>
              </w:rPr>
              <w:t>赵敏</w:t>
            </w:r>
          </w:p>
        </w:tc>
        <w:tc>
          <w:tcPr>
            <w:tcW w:w="2692" w:type="dxa"/>
            <w:vAlign w:val="center"/>
          </w:tcPr>
          <w:p w14:paraId="0169C5A0" w14:textId="2F220E66" w:rsidR="0040367A" w:rsidRPr="00F35DDA" w:rsidRDefault="0040367A" w:rsidP="00C379F8">
            <w:pPr>
              <w:jc w:val="center"/>
              <w:rPr>
                <w:rFonts w:asciiTheme="minorEastAsia" w:eastAsiaTheme="minorEastAsia" w:hAnsiTheme="minorEastAsia" w:cs="仿宋" w:hint="eastAsia"/>
                <w:color w:val="000000" w:themeColor="text1"/>
                <w:szCs w:val="21"/>
              </w:rPr>
            </w:pPr>
            <w:r>
              <w:rPr>
                <w:rFonts w:asciiTheme="minorEastAsia" w:eastAsiaTheme="minorEastAsia" w:hAnsiTheme="minorEastAsia" w:cs="仿宋" w:hint="eastAsia"/>
                <w:color w:val="000000" w:themeColor="text1"/>
                <w:szCs w:val="21"/>
              </w:rPr>
              <w:t>重庆大学</w:t>
            </w:r>
          </w:p>
        </w:tc>
        <w:tc>
          <w:tcPr>
            <w:tcW w:w="2705" w:type="dxa"/>
          </w:tcPr>
          <w:p w14:paraId="51CF3EFA" w14:textId="557EFEDF" w:rsidR="0040367A" w:rsidRPr="00F35DDA" w:rsidRDefault="0040367A" w:rsidP="00E1705E">
            <w:pP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C379F8" w:rsidRPr="00F35DDA" w14:paraId="0F84B39C" w14:textId="77777777" w:rsidTr="00C379F8">
        <w:tc>
          <w:tcPr>
            <w:tcW w:w="2705" w:type="dxa"/>
            <w:vAlign w:val="center"/>
          </w:tcPr>
          <w:p w14:paraId="723CE7AD" w14:textId="7F70A8D8" w:rsidR="00C379F8" w:rsidRPr="00F35DDA" w:rsidRDefault="00C379F8"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魏宏、万亮亮</w:t>
            </w:r>
          </w:p>
        </w:tc>
        <w:tc>
          <w:tcPr>
            <w:tcW w:w="2692" w:type="dxa"/>
            <w:vAlign w:val="center"/>
          </w:tcPr>
          <w:p w14:paraId="2590D2CF" w14:textId="3FC35156" w:rsidR="00C379F8" w:rsidRPr="00F35DDA" w:rsidRDefault="00C379F8"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长城汽车股份有限公司</w:t>
            </w:r>
          </w:p>
        </w:tc>
        <w:tc>
          <w:tcPr>
            <w:tcW w:w="2705" w:type="dxa"/>
          </w:tcPr>
          <w:p w14:paraId="3FF40586" w14:textId="60F12217" w:rsidR="00C379F8" w:rsidRPr="00F35DDA" w:rsidRDefault="00C379F8" w:rsidP="00E1705E">
            <w:pP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C379F8" w:rsidRPr="00F35DDA" w14:paraId="5EE2DCD6" w14:textId="77777777" w:rsidTr="00C379F8">
        <w:tc>
          <w:tcPr>
            <w:tcW w:w="2705" w:type="dxa"/>
            <w:vAlign w:val="center"/>
          </w:tcPr>
          <w:p w14:paraId="6D7A03ED" w14:textId="62D83D9C" w:rsidR="00C379F8" w:rsidRPr="00F35DDA" w:rsidRDefault="00C379F8"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杨果</w:t>
            </w:r>
          </w:p>
        </w:tc>
        <w:tc>
          <w:tcPr>
            <w:tcW w:w="2692" w:type="dxa"/>
            <w:vAlign w:val="center"/>
          </w:tcPr>
          <w:p w14:paraId="7CF59B99" w14:textId="1FEBE461" w:rsidR="00C379F8" w:rsidRPr="00F35DDA" w:rsidRDefault="00C379F8"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重庆长安汽车股份有限公司</w:t>
            </w:r>
          </w:p>
        </w:tc>
        <w:tc>
          <w:tcPr>
            <w:tcW w:w="2705" w:type="dxa"/>
          </w:tcPr>
          <w:p w14:paraId="755F2A33" w14:textId="1DB5BFF9" w:rsidR="00C379F8" w:rsidRPr="00F35DDA" w:rsidRDefault="00C379F8" w:rsidP="00E1705E">
            <w:pP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C379F8" w:rsidRPr="00F35DDA" w14:paraId="44493D5F" w14:textId="77777777" w:rsidTr="00C379F8">
        <w:tc>
          <w:tcPr>
            <w:tcW w:w="2705" w:type="dxa"/>
            <w:vAlign w:val="center"/>
          </w:tcPr>
          <w:p w14:paraId="3F40660D" w14:textId="010AD7C4" w:rsidR="00C379F8" w:rsidRPr="00F35DDA" w:rsidRDefault="00C379F8"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杜宏建</w:t>
            </w:r>
          </w:p>
        </w:tc>
        <w:tc>
          <w:tcPr>
            <w:tcW w:w="2692" w:type="dxa"/>
            <w:vAlign w:val="center"/>
          </w:tcPr>
          <w:p w14:paraId="2497D7A5" w14:textId="2DED3599" w:rsidR="00C379F8" w:rsidRPr="00F35DDA" w:rsidRDefault="00C379F8"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东风商用车技术中心</w:t>
            </w:r>
          </w:p>
        </w:tc>
        <w:tc>
          <w:tcPr>
            <w:tcW w:w="2705" w:type="dxa"/>
          </w:tcPr>
          <w:p w14:paraId="70388B69" w14:textId="60927159" w:rsidR="00C379F8" w:rsidRPr="00F35DDA" w:rsidRDefault="00C379F8" w:rsidP="00E1705E">
            <w:pP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C379F8" w:rsidRPr="00F35DDA" w14:paraId="21384064" w14:textId="77777777" w:rsidTr="00C379F8">
        <w:tc>
          <w:tcPr>
            <w:tcW w:w="2705" w:type="dxa"/>
            <w:vAlign w:val="center"/>
          </w:tcPr>
          <w:p w14:paraId="5B934E53" w14:textId="41C7091A" w:rsidR="00C379F8" w:rsidRPr="00F35DDA" w:rsidRDefault="00C379F8"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丁彦辰</w:t>
            </w:r>
          </w:p>
        </w:tc>
        <w:tc>
          <w:tcPr>
            <w:tcW w:w="2692" w:type="dxa"/>
            <w:vAlign w:val="center"/>
          </w:tcPr>
          <w:p w14:paraId="3D30ACF4" w14:textId="629DD1F7" w:rsidR="00C379F8" w:rsidRPr="00F35DDA" w:rsidRDefault="00C379F8"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奇瑞汽车股份有限公司</w:t>
            </w:r>
          </w:p>
        </w:tc>
        <w:tc>
          <w:tcPr>
            <w:tcW w:w="2705" w:type="dxa"/>
          </w:tcPr>
          <w:p w14:paraId="0F67EE93" w14:textId="6D133E84" w:rsidR="00C379F8" w:rsidRPr="00F35DDA" w:rsidRDefault="00C379F8" w:rsidP="00E1705E">
            <w:pP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C379F8" w:rsidRPr="00F35DDA" w14:paraId="5D46A28C" w14:textId="77777777" w:rsidTr="00C379F8">
        <w:tc>
          <w:tcPr>
            <w:tcW w:w="2705" w:type="dxa"/>
            <w:vAlign w:val="center"/>
          </w:tcPr>
          <w:p w14:paraId="191AC227" w14:textId="7478563D" w:rsidR="00C379F8" w:rsidRPr="00F35DDA" w:rsidRDefault="00C379F8"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冯莉</w:t>
            </w:r>
          </w:p>
        </w:tc>
        <w:tc>
          <w:tcPr>
            <w:tcW w:w="2692" w:type="dxa"/>
            <w:vAlign w:val="center"/>
          </w:tcPr>
          <w:p w14:paraId="32970173" w14:textId="0018B814" w:rsidR="00C379F8" w:rsidRPr="00F35DDA" w:rsidRDefault="00C379F8"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重庆交通大学</w:t>
            </w:r>
          </w:p>
        </w:tc>
        <w:tc>
          <w:tcPr>
            <w:tcW w:w="2705" w:type="dxa"/>
          </w:tcPr>
          <w:p w14:paraId="661F63DA" w14:textId="16525055" w:rsidR="00C379F8" w:rsidRPr="00F35DDA" w:rsidRDefault="00C379F8" w:rsidP="00E1705E">
            <w:pP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C379F8" w:rsidRPr="00F35DDA" w14:paraId="512234C4" w14:textId="77777777" w:rsidTr="00C379F8">
        <w:tc>
          <w:tcPr>
            <w:tcW w:w="2705" w:type="dxa"/>
            <w:vAlign w:val="center"/>
          </w:tcPr>
          <w:p w14:paraId="74A45373" w14:textId="44424F28" w:rsidR="00C379F8" w:rsidRPr="00F35DDA" w:rsidRDefault="00C379F8"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欧涛</w:t>
            </w:r>
          </w:p>
        </w:tc>
        <w:tc>
          <w:tcPr>
            <w:tcW w:w="2692" w:type="dxa"/>
            <w:vAlign w:val="center"/>
          </w:tcPr>
          <w:p w14:paraId="5F224D2D" w14:textId="663DDD99" w:rsidR="00C379F8" w:rsidRPr="00F35DDA" w:rsidRDefault="00C379F8"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湖南仕博测试技术有限公司</w:t>
            </w:r>
          </w:p>
        </w:tc>
        <w:tc>
          <w:tcPr>
            <w:tcW w:w="2705" w:type="dxa"/>
          </w:tcPr>
          <w:p w14:paraId="41F78E7D" w14:textId="6EE08273" w:rsidR="00C379F8" w:rsidRPr="00F35DDA" w:rsidRDefault="00C379F8" w:rsidP="00E1705E">
            <w:pP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C379F8" w:rsidRPr="00F35DDA" w14:paraId="7B845EC1" w14:textId="77777777" w:rsidTr="00C379F8">
        <w:tc>
          <w:tcPr>
            <w:tcW w:w="2705" w:type="dxa"/>
            <w:vAlign w:val="center"/>
          </w:tcPr>
          <w:p w14:paraId="2D2F52D6" w14:textId="53D21FC0" w:rsidR="00C379F8" w:rsidRPr="00F35DDA" w:rsidRDefault="00C379F8"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骆文婕</w:t>
            </w:r>
          </w:p>
        </w:tc>
        <w:tc>
          <w:tcPr>
            <w:tcW w:w="2692" w:type="dxa"/>
            <w:vAlign w:val="center"/>
          </w:tcPr>
          <w:p w14:paraId="0B89A327" w14:textId="5B39F0B4" w:rsidR="00C379F8" w:rsidRPr="00F35DDA" w:rsidRDefault="00C379F8"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中汽院智能网联科技有限公司</w:t>
            </w:r>
          </w:p>
        </w:tc>
        <w:tc>
          <w:tcPr>
            <w:tcW w:w="2705" w:type="dxa"/>
          </w:tcPr>
          <w:p w14:paraId="3A44C69E" w14:textId="35F9711C" w:rsidR="00C379F8" w:rsidRPr="00F35DDA" w:rsidRDefault="00C379F8" w:rsidP="00E1705E">
            <w:pP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C379F8" w:rsidRPr="00F35DDA" w14:paraId="3905C59C" w14:textId="77777777" w:rsidTr="00C379F8">
        <w:tc>
          <w:tcPr>
            <w:tcW w:w="2705" w:type="dxa"/>
            <w:vAlign w:val="center"/>
          </w:tcPr>
          <w:p w14:paraId="59E97F4A" w14:textId="5AA616CC" w:rsidR="00C379F8" w:rsidRPr="00F35DDA" w:rsidRDefault="00C379F8"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任全森</w:t>
            </w:r>
          </w:p>
        </w:tc>
        <w:tc>
          <w:tcPr>
            <w:tcW w:w="2692" w:type="dxa"/>
            <w:vAlign w:val="center"/>
          </w:tcPr>
          <w:p w14:paraId="6DC52CBF" w14:textId="0D745E07" w:rsidR="00C379F8" w:rsidRPr="00F35DDA" w:rsidRDefault="00C379F8"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重庆赛力斯凤凰智创科技有限公司</w:t>
            </w:r>
          </w:p>
        </w:tc>
        <w:tc>
          <w:tcPr>
            <w:tcW w:w="2705" w:type="dxa"/>
          </w:tcPr>
          <w:p w14:paraId="405286AF" w14:textId="3D751869" w:rsidR="00C379F8" w:rsidRPr="00F35DDA" w:rsidRDefault="00C379F8" w:rsidP="00E1705E">
            <w:pP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C379F8" w:rsidRPr="00F35DDA" w14:paraId="66C2B5A8" w14:textId="77777777" w:rsidTr="00C379F8">
        <w:tc>
          <w:tcPr>
            <w:tcW w:w="2705" w:type="dxa"/>
            <w:vAlign w:val="center"/>
          </w:tcPr>
          <w:p w14:paraId="688694CB" w14:textId="588DFE6B" w:rsidR="00C379F8" w:rsidRPr="00F35DDA" w:rsidRDefault="00C379F8"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王天舒</w:t>
            </w:r>
          </w:p>
        </w:tc>
        <w:tc>
          <w:tcPr>
            <w:tcW w:w="2692" w:type="dxa"/>
            <w:vAlign w:val="center"/>
          </w:tcPr>
          <w:p w14:paraId="0E071CC5" w14:textId="0520E4ED" w:rsidR="00C379F8" w:rsidRPr="00F35DDA" w:rsidRDefault="00C379F8"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深圳市速腾聚创科技有限公司</w:t>
            </w:r>
          </w:p>
        </w:tc>
        <w:tc>
          <w:tcPr>
            <w:tcW w:w="2705" w:type="dxa"/>
          </w:tcPr>
          <w:p w14:paraId="41E7700F" w14:textId="50365ACC" w:rsidR="00C379F8" w:rsidRPr="00F35DDA" w:rsidRDefault="00C379F8" w:rsidP="00E1705E">
            <w:pP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8947D5" w:rsidRPr="00F35DDA" w14:paraId="5C8294A5" w14:textId="77777777" w:rsidTr="00C379F8">
        <w:tc>
          <w:tcPr>
            <w:tcW w:w="2705" w:type="dxa"/>
            <w:vAlign w:val="center"/>
          </w:tcPr>
          <w:p w14:paraId="69513567" w14:textId="173A1B00" w:rsidR="008947D5" w:rsidRPr="00F35DDA" w:rsidRDefault="008947D5" w:rsidP="00C379F8">
            <w:pPr>
              <w:jc w:val="center"/>
              <w:rPr>
                <w:rFonts w:asciiTheme="minorEastAsia" w:eastAsiaTheme="minorEastAsia" w:hAnsiTheme="minorEastAsia" w:cs="仿宋" w:hint="eastAsia"/>
                <w:color w:val="000000" w:themeColor="text1"/>
                <w:szCs w:val="21"/>
              </w:rPr>
            </w:pPr>
            <w:r w:rsidRPr="008947D5">
              <w:rPr>
                <w:rFonts w:asciiTheme="minorEastAsia" w:eastAsiaTheme="minorEastAsia" w:hAnsiTheme="minorEastAsia" w:cs="仿宋" w:hint="eastAsia"/>
                <w:color w:val="000000" w:themeColor="text1"/>
                <w:szCs w:val="21"/>
              </w:rPr>
              <w:t>赵剑</w:t>
            </w:r>
          </w:p>
        </w:tc>
        <w:tc>
          <w:tcPr>
            <w:tcW w:w="2692" w:type="dxa"/>
            <w:vAlign w:val="center"/>
          </w:tcPr>
          <w:p w14:paraId="6B7AAF58" w14:textId="2B2A8C85" w:rsidR="008947D5" w:rsidRPr="00F35DDA" w:rsidRDefault="008947D5" w:rsidP="00C379F8">
            <w:pPr>
              <w:jc w:val="center"/>
              <w:rPr>
                <w:rFonts w:asciiTheme="minorEastAsia" w:eastAsiaTheme="minorEastAsia" w:hAnsiTheme="minorEastAsia" w:cs="仿宋" w:hint="eastAsia"/>
                <w:color w:val="000000" w:themeColor="text1"/>
                <w:szCs w:val="21"/>
              </w:rPr>
            </w:pPr>
            <w:r>
              <w:rPr>
                <w:rFonts w:asciiTheme="minorEastAsia" w:eastAsiaTheme="minorEastAsia" w:hAnsiTheme="minorEastAsia" w:cs="仿宋" w:hint="eastAsia"/>
                <w:color w:val="000000" w:themeColor="text1"/>
                <w:szCs w:val="21"/>
              </w:rPr>
              <w:t>大连理工大学</w:t>
            </w:r>
          </w:p>
        </w:tc>
        <w:tc>
          <w:tcPr>
            <w:tcW w:w="2705" w:type="dxa"/>
          </w:tcPr>
          <w:p w14:paraId="5CA5B7A1" w14:textId="60711327" w:rsidR="008947D5" w:rsidRPr="00F35DDA" w:rsidRDefault="008947D5" w:rsidP="00E1705E">
            <w:pP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r w:rsidR="00C41B06" w:rsidRPr="00F35DDA" w14:paraId="4406D68A" w14:textId="77777777" w:rsidTr="00C379F8">
        <w:tc>
          <w:tcPr>
            <w:tcW w:w="2705" w:type="dxa"/>
            <w:vAlign w:val="center"/>
          </w:tcPr>
          <w:p w14:paraId="287CC905" w14:textId="24266D17" w:rsidR="00C41B06" w:rsidRPr="00F35DDA" w:rsidRDefault="00C41B06"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杨疑、李志峰</w:t>
            </w:r>
          </w:p>
        </w:tc>
        <w:tc>
          <w:tcPr>
            <w:tcW w:w="2692" w:type="dxa"/>
            <w:vAlign w:val="center"/>
          </w:tcPr>
          <w:p w14:paraId="56388FBE" w14:textId="5D39CF46" w:rsidR="00C41B06" w:rsidRPr="00F35DDA" w:rsidRDefault="00C41B06" w:rsidP="00C379F8">
            <w:pPr>
              <w:jc w:val="cente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广东汽车检测中心有限公司</w:t>
            </w:r>
          </w:p>
        </w:tc>
        <w:tc>
          <w:tcPr>
            <w:tcW w:w="2705" w:type="dxa"/>
          </w:tcPr>
          <w:p w14:paraId="52EF5E70" w14:textId="7AFC3427" w:rsidR="00C41B06" w:rsidRPr="00F35DDA" w:rsidRDefault="00C41B06" w:rsidP="00E1705E">
            <w:pPr>
              <w:rPr>
                <w:rFonts w:asciiTheme="minorEastAsia" w:eastAsiaTheme="minorEastAsia" w:hAnsiTheme="minorEastAsia" w:cs="仿宋" w:hint="eastAsia"/>
                <w:color w:val="000000" w:themeColor="text1"/>
                <w:szCs w:val="21"/>
              </w:rPr>
            </w:pPr>
            <w:r w:rsidRPr="00F35DDA">
              <w:rPr>
                <w:rFonts w:asciiTheme="minorEastAsia" w:eastAsiaTheme="minorEastAsia" w:hAnsiTheme="minorEastAsia" w:cs="仿宋" w:hint="eastAsia"/>
                <w:color w:val="000000" w:themeColor="text1"/>
                <w:szCs w:val="21"/>
              </w:rPr>
              <w:t>协助调研分析，提供实际应用需求、 技术建议与反馈，以确保标准制定的科学性</w:t>
            </w:r>
          </w:p>
        </w:tc>
      </w:tr>
    </w:tbl>
    <w:p w14:paraId="423848BC" w14:textId="77777777" w:rsidR="00E1705E" w:rsidRDefault="00E1705E" w:rsidP="00E1705E">
      <w:pPr>
        <w:ind w:left="420" w:firstLine="420"/>
        <w:rPr>
          <w:rFonts w:ascii="仿宋" w:eastAsia="仿宋" w:hAnsi="仿宋" w:cs="仿宋" w:hint="eastAsia"/>
          <w:color w:val="000000" w:themeColor="text1"/>
          <w:sz w:val="24"/>
        </w:rPr>
      </w:pPr>
    </w:p>
    <w:p w14:paraId="10C582CC" w14:textId="77777777" w:rsidR="004C5011" w:rsidRPr="008A0AB1" w:rsidRDefault="00000000">
      <w:pPr>
        <w:numPr>
          <w:ilvl w:val="0"/>
          <w:numId w:val="2"/>
        </w:numPr>
        <w:rPr>
          <w:rFonts w:ascii="仿宋" w:eastAsia="仿宋" w:hAnsi="仿宋" w:cs="仿宋" w:hint="eastAsia"/>
          <w:b/>
          <w:bCs/>
          <w:color w:val="000000" w:themeColor="text1"/>
          <w:sz w:val="24"/>
        </w:rPr>
      </w:pPr>
      <w:r w:rsidRPr="008A0AB1">
        <w:rPr>
          <w:rFonts w:ascii="仿宋" w:eastAsia="仿宋" w:hAnsi="仿宋" w:cs="仿宋" w:hint="eastAsia"/>
          <w:b/>
          <w:bCs/>
          <w:color w:val="000000" w:themeColor="text1"/>
          <w:sz w:val="24"/>
        </w:rPr>
        <w:lastRenderedPageBreak/>
        <w:t>标准研讨情况</w:t>
      </w:r>
    </w:p>
    <w:p w14:paraId="74B082B3" w14:textId="1A70AD0B" w:rsidR="00FE3727" w:rsidRPr="00F35DDA" w:rsidRDefault="00FE3727" w:rsidP="00DB7A01">
      <w:pPr>
        <w:spacing w:line="360" w:lineRule="auto"/>
        <w:ind w:firstLineChars="200" w:firstLine="480"/>
        <w:rPr>
          <w:rFonts w:asciiTheme="minorEastAsia" w:eastAsiaTheme="minorEastAsia" w:hAnsiTheme="minorEastAsia" w:hint="eastAsia"/>
          <w:sz w:val="24"/>
        </w:rPr>
      </w:pPr>
      <w:r w:rsidRPr="00F35DDA">
        <w:rPr>
          <w:rFonts w:asciiTheme="minorEastAsia" w:eastAsiaTheme="minorEastAsia" w:hAnsiTheme="minorEastAsia" w:hint="eastAsia"/>
          <w:sz w:val="24"/>
        </w:rPr>
        <w:t>立项阶段：根据工作组要求，</w:t>
      </w:r>
      <w:r w:rsidR="00DB7A01" w:rsidRPr="00F35DDA">
        <w:rPr>
          <w:rFonts w:asciiTheme="minorEastAsia" w:eastAsiaTheme="minorEastAsia" w:hAnsiTheme="minorEastAsia" w:hint="eastAsia"/>
          <w:sz w:val="24"/>
        </w:rPr>
        <w:t>根据工作组要求，2</w:t>
      </w:r>
      <w:r w:rsidR="00DB7A01" w:rsidRPr="00F35DDA">
        <w:rPr>
          <w:rFonts w:asciiTheme="minorEastAsia" w:eastAsiaTheme="minorEastAsia" w:hAnsiTheme="minorEastAsia"/>
          <w:sz w:val="24"/>
        </w:rPr>
        <w:t>02</w:t>
      </w:r>
      <w:r w:rsidR="00DB7A01" w:rsidRPr="00F35DDA">
        <w:rPr>
          <w:rFonts w:asciiTheme="minorEastAsia" w:eastAsiaTheme="minorEastAsia" w:hAnsiTheme="minorEastAsia" w:hint="eastAsia"/>
          <w:sz w:val="24"/>
        </w:rPr>
        <w:t>4年11月25日组建预研标准工作组，涵盖了整车厂、制造商、高校、检测机构等1</w:t>
      </w:r>
      <w:r w:rsidR="00DB7A01" w:rsidRPr="00F35DDA">
        <w:rPr>
          <w:rFonts w:asciiTheme="minorEastAsia" w:eastAsiaTheme="minorEastAsia" w:hAnsiTheme="minorEastAsia"/>
          <w:sz w:val="24"/>
        </w:rPr>
        <w:t>0</w:t>
      </w:r>
      <w:r w:rsidR="00DB7A01" w:rsidRPr="00F35DDA">
        <w:rPr>
          <w:rFonts w:asciiTheme="minorEastAsia" w:eastAsiaTheme="minorEastAsia" w:hAnsiTheme="minorEastAsia" w:hint="eastAsia"/>
          <w:sz w:val="24"/>
        </w:rPr>
        <w:t>余家单位</w:t>
      </w:r>
      <w:r w:rsidRPr="00F35DDA">
        <w:rPr>
          <w:rFonts w:asciiTheme="minorEastAsia" w:eastAsiaTheme="minorEastAsia" w:hAnsiTheme="minorEastAsia" w:hint="eastAsia"/>
          <w:sz w:val="24"/>
        </w:rPr>
        <w:t>。</w:t>
      </w:r>
      <w:r w:rsidR="00DB7A01" w:rsidRPr="00F35DDA">
        <w:rPr>
          <w:rFonts w:asciiTheme="minorEastAsia" w:eastAsiaTheme="minorEastAsia" w:hAnsiTheme="minorEastAsia" w:hint="eastAsia"/>
          <w:sz w:val="24"/>
        </w:rPr>
        <w:t>经过大量对国内外资料的梳理整理及标准的预研，形成了标准草案的内容及框架结构后，于2024年12月25日进行立项评审，经采纳专家建议及修改草案框架后，于2</w:t>
      </w:r>
      <w:r w:rsidR="00DB7A01" w:rsidRPr="00F35DDA">
        <w:rPr>
          <w:rFonts w:asciiTheme="minorEastAsia" w:eastAsiaTheme="minorEastAsia" w:hAnsiTheme="minorEastAsia"/>
          <w:sz w:val="24"/>
        </w:rPr>
        <w:t>02</w:t>
      </w:r>
      <w:r w:rsidR="00DB7A01" w:rsidRPr="00F35DDA">
        <w:rPr>
          <w:rFonts w:asciiTheme="minorEastAsia" w:eastAsiaTheme="minorEastAsia" w:hAnsiTheme="minorEastAsia" w:hint="eastAsia"/>
          <w:sz w:val="24"/>
        </w:rPr>
        <w:t>5年3月20日通过中国汽车工业协会的评审并下达计划。</w:t>
      </w:r>
    </w:p>
    <w:p w14:paraId="05C151ED" w14:textId="77777777" w:rsidR="00DB7A01" w:rsidRPr="00F35DDA" w:rsidRDefault="00FE3727" w:rsidP="00DB7A01">
      <w:pPr>
        <w:spacing w:line="360" w:lineRule="auto"/>
        <w:ind w:firstLineChars="200" w:firstLine="480"/>
        <w:rPr>
          <w:rFonts w:asciiTheme="minorEastAsia" w:eastAsiaTheme="minorEastAsia" w:hAnsiTheme="minorEastAsia" w:hint="eastAsia"/>
          <w:sz w:val="24"/>
        </w:rPr>
      </w:pPr>
      <w:r w:rsidRPr="00F35DDA">
        <w:rPr>
          <w:rFonts w:asciiTheme="minorEastAsia" w:eastAsiaTheme="minorEastAsia" w:hAnsiTheme="minorEastAsia" w:hint="eastAsia"/>
          <w:sz w:val="24"/>
        </w:rPr>
        <w:t>起草阶段：</w:t>
      </w:r>
      <w:r w:rsidR="00DB7A01" w:rsidRPr="00F35DDA">
        <w:rPr>
          <w:rFonts w:asciiTheme="minorEastAsia" w:eastAsiaTheme="minorEastAsia" w:hAnsiTheme="minorEastAsia" w:hint="eastAsia"/>
          <w:sz w:val="24"/>
        </w:rPr>
        <w:t>本标准的立项信息在中国汽车工业协会平台发布后，又有多家单位积极报名参加到本标准工作组，标准工作组收集新加入成员单位的反馈意见和建议，从</w:t>
      </w:r>
      <w:r w:rsidR="00DB7A01" w:rsidRPr="00F35DDA">
        <w:rPr>
          <w:rFonts w:asciiTheme="minorEastAsia" w:eastAsiaTheme="minorEastAsia" w:hAnsiTheme="minorEastAsia"/>
          <w:sz w:val="24"/>
        </w:rPr>
        <w:t>202</w:t>
      </w:r>
      <w:r w:rsidR="00DB7A01" w:rsidRPr="00F35DDA">
        <w:rPr>
          <w:rFonts w:asciiTheme="minorEastAsia" w:eastAsiaTheme="minorEastAsia" w:hAnsiTheme="minorEastAsia" w:hint="eastAsia"/>
          <w:sz w:val="24"/>
        </w:rPr>
        <w:t>5年3月20日至2</w:t>
      </w:r>
      <w:r w:rsidR="00DB7A01" w:rsidRPr="00F35DDA">
        <w:rPr>
          <w:rFonts w:asciiTheme="minorEastAsia" w:eastAsiaTheme="minorEastAsia" w:hAnsiTheme="minorEastAsia"/>
          <w:sz w:val="24"/>
        </w:rPr>
        <w:t>02</w:t>
      </w:r>
      <w:r w:rsidR="00DB7A01" w:rsidRPr="00F35DDA">
        <w:rPr>
          <w:rFonts w:asciiTheme="minorEastAsia" w:eastAsiaTheme="minorEastAsia" w:hAnsiTheme="minorEastAsia" w:hint="eastAsia"/>
          <w:sz w:val="24"/>
        </w:rPr>
        <w:t>5年8月15日，召开2次工作组研讨会议，达成共识，收集意见34条，采纳24条，部分采纳4条，不采纳6条，完善标准草案形成征集意见稿。2</w:t>
      </w:r>
      <w:r w:rsidR="00DB7A01" w:rsidRPr="00F35DDA">
        <w:rPr>
          <w:rFonts w:asciiTheme="minorEastAsia" w:eastAsiaTheme="minorEastAsia" w:hAnsiTheme="minorEastAsia"/>
          <w:sz w:val="24"/>
        </w:rPr>
        <w:t>02</w:t>
      </w:r>
      <w:r w:rsidR="00DB7A01" w:rsidRPr="00F35DDA">
        <w:rPr>
          <w:rFonts w:asciiTheme="minorEastAsia" w:eastAsiaTheme="minorEastAsia" w:hAnsiTheme="minorEastAsia" w:hint="eastAsia"/>
          <w:sz w:val="24"/>
        </w:rPr>
        <w:t>5年8月向中国汽车工业协会，提出进行公开征求意见的申请。计划2</w:t>
      </w:r>
      <w:r w:rsidR="00DB7A01" w:rsidRPr="00F35DDA">
        <w:rPr>
          <w:rFonts w:asciiTheme="minorEastAsia" w:eastAsiaTheme="minorEastAsia" w:hAnsiTheme="minorEastAsia"/>
          <w:sz w:val="24"/>
        </w:rPr>
        <w:t>02</w:t>
      </w:r>
      <w:r w:rsidR="00DB7A01" w:rsidRPr="00F35DDA">
        <w:rPr>
          <w:rFonts w:asciiTheme="minorEastAsia" w:eastAsiaTheme="minorEastAsia" w:hAnsiTheme="minorEastAsia" w:hint="eastAsia"/>
          <w:sz w:val="24"/>
        </w:rPr>
        <w:t>5年9月对汇总的征求意见进行处理。</w:t>
      </w:r>
    </w:p>
    <w:p w14:paraId="019CE842" w14:textId="6470A47F" w:rsidR="00635871" w:rsidRPr="00F35DDA" w:rsidRDefault="00635871" w:rsidP="00DB7A01">
      <w:pPr>
        <w:spacing w:line="360" w:lineRule="auto"/>
        <w:ind w:firstLineChars="200" w:firstLine="480"/>
        <w:rPr>
          <w:rFonts w:asciiTheme="minorEastAsia" w:eastAsiaTheme="minorEastAsia" w:hAnsiTheme="minorEastAsia" w:hint="eastAsia"/>
          <w:sz w:val="24"/>
        </w:rPr>
      </w:pPr>
      <w:r w:rsidRPr="00F35DDA">
        <w:rPr>
          <w:rFonts w:asciiTheme="minorEastAsia" w:eastAsiaTheme="minorEastAsia" w:hAnsiTheme="minorEastAsia" w:hint="eastAsia"/>
          <w:sz w:val="24"/>
        </w:rPr>
        <w:t>全文修改描述如下：</w:t>
      </w:r>
    </w:p>
    <w:p w14:paraId="68326C49" w14:textId="77777777" w:rsidR="00250B70" w:rsidRPr="00F35DDA" w:rsidRDefault="00250B70" w:rsidP="00250B70">
      <w:pPr>
        <w:pStyle w:val="aa"/>
        <w:numPr>
          <w:ilvl w:val="0"/>
          <w:numId w:val="4"/>
        </w:numPr>
        <w:ind w:firstLineChars="0"/>
        <w:rPr>
          <w:rFonts w:asciiTheme="minorEastAsia" w:eastAsiaTheme="minorEastAsia" w:hAnsiTheme="minorEastAsia" w:hint="eastAsia"/>
          <w:sz w:val="24"/>
          <w:szCs w:val="24"/>
        </w:rPr>
      </w:pPr>
      <w:r w:rsidRPr="00F35DDA">
        <w:rPr>
          <w:rFonts w:asciiTheme="minorEastAsia" w:eastAsiaTheme="minorEastAsia" w:hAnsiTheme="minorEastAsia" w:hint="eastAsia"/>
          <w:sz w:val="24"/>
          <w:szCs w:val="24"/>
        </w:rPr>
        <w:t>3.1“用于测试主动安全系统的蹲姿儿童测试设备。”与标准名称一致，调整为“用于测试智能网联汽车感知功能的测试设备，模拟交通场景中的蹲姿儿童。”</w:t>
      </w:r>
    </w:p>
    <w:p w14:paraId="71711A5D" w14:textId="77777777" w:rsidR="00250B70" w:rsidRPr="00F35DDA" w:rsidRDefault="00250B70" w:rsidP="00250B70">
      <w:pPr>
        <w:pStyle w:val="aa"/>
        <w:numPr>
          <w:ilvl w:val="0"/>
          <w:numId w:val="4"/>
        </w:numPr>
        <w:ind w:firstLineChars="0"/>
        <w:rPr>
          <w:rFonts w:asciiTheme="minorEastAsia" w:eastAsiaTheme="minorEastAsia" w:hAnsiTheme="minorEastAsia" w:hint="eastAsia"/>
          <w:sz w:val="24"/>
          <w:szCs w:val="24"/>
        </w:rPr>
      </w:pPr>
      <w:r w:rsidRPr="00F35DDA">
        <w:rPr>
          <w:rFonts w:asciiTheme="minorEastAsia" w:eastAsiaTheme="minorEastAsia" w:hAnsiTheme="minorEastAsia" w:hint="eastAsia"/>
          <w:sz w:val="24"/>
          <w:szCs w:val="24"/>
        </w:rPr>
        <w:t>3.2“试验车辆”术语定义与现行国标</w:t>
      </w:r>
      <w:r w:rsidRPr="00F35DDA">
        <w:rPr>
          <w:rFonts w:asciiTheme="minorEastAsia" w:eastAsiaTheme="minorEastAsia" w:hAnsiTheme="minorEastAsia"/>
          <w:sz w:val="24"/>
          <w:szCs w:val="24"/>
        </w:rPr>
        <w:t>GB/T 41798-2022</w:t>
      </w:r>
      <w:r w:rsidRPr="00F35DDA">
        <w:rPr>
          <w:rFonts w:asciiTheme="minorEastAsia" w:eastAsiaTheme="minorEastAsia" w:hAnsiTheme="minorEastAsia" w:hint="eastAsia"/>
          <w:sz w:val="24"/>
          <w:szCs w:val="24"/>
        </w:rPr>
        <w:t>保持一致。</w:t>
      </w:r>
    </w:p>
    <w:p w14:paraId="1B0D4691" w14:textId="77777777" w:rsidR="00250B70" w:rsidRPr="00F35DDA" w:rsidRDefault="00250B70" w:rsidP="00250B70">
      <w:pPr>
        <w:pStyle w:val="aa"/>
        <w:numPr>
          <w:ilvl w:val="0"/>
          <w:numId w:val="4"/>
        </w:numPr>
        <w:ind w:firstLineChars="0"/>
        <w:rPr>
          <w:rFonts w:asciiTheme="minorEastAsia" w:eastAsiaTheme="minorEastAsia" w:hAnsiTheme="minorEastAsia" w:hint="eastAsia"/>
          <w:sz w:val="24"/>
          <w:szCs w:val="24"/>
        </w:rPr>
      </w:pPr>
      <w:r w:rsidRPr="00F35DDA">
        <w:rPr>
          <w:rFonts w:asciiTheme="minorEastAsia" w:eastAsiaTheme="minorEastAsia" w:hAnsiTheme="minorEastAsia" w:hint="eastAsia"/>
          <w:sz w:val="24"/>
          <w:szCs w:val="24"/>
        </w:rPr>
        <w:t>4.1增加P50解释。</w:t>
      </w:r>
    </w:p>
    <w:p w14:paraId="6758E7FD" w14:textId="77777777" w:rsidR="00250B70" w:rsidRPr="00F35DDA" w:rsidRDefault="00250B70" w:rsidP="00250B70">
      <w:pPr>
        <w:pStyle w:val="aa"/>
        <w:numPr>
          <w:ilvl w:val="0"/>
          <w:numId w:val="4"/>
        </w:numPr>
        <w:ind w:firstLineChars="0"/>
        <w:rPr>
          <w:rFonts w:asciiTheme="minorEastAsia" w:eastAsiaTheme="minorEastAsia" w:hAnsiTheme="minorEastAsia" w:hint="eastAsia"/>
          <w:sz w:val="24"/>
          <w:szCs w:val="24"/>
        </w:rPr>
      </w:pPr>
      <w:r w:rsidRPr="00F35DDA">
        <w:rPr>
          <w:rFonts w:asciiTheme="minorEastAsia" w:eastAsiaTheme="minorEastAsia" w:hAnsiTheme="minorEastAsia" w:hint="eastAsia"/>
          <w:sz w:val="24"/>
          <w:szCs w:val="24"/>
        </w:rPr>
        <w:t>4.3“主车辆”与术语定义描述一致，调整为“试验车辆”。</w:t>
      </w:r>
    </w:p>
    <w:p w14:paraId="58C8C168" w14:textId="77777777" w:rsidR="00250B70" w:rsidRPr="00F35DDA" w:rsidRDefault="00250B70" w:rsidP="00250B70">
      <w:pPr>
        <w:pStyle w:val="aa"/>
        <w:numPr>
          <w:ilvl w:val="0"/>
          <w:numId w:val="4"/>
        </w:numPr>
        <w:ind w:firstLineChars="0"/>
        <w:rPr>
          <w:rFonts w:asciiTheme="minorEastAsia" w:eastAsiaTheme="minorEastAsia" w:hAnsiTheme="minorEastAsia" w:hint="eastAsia"/>
          <w:sz w:val="24"/>
          <w:szCs w:val="24"/>
        </w:rPr>
      </w:pPr>
      <w:r w:rsidRPr="00F35DDA">
        <w:rPr>
          <w:rFonts w:asciiTheme="minorEastAsia" w:eastAsiaTheme="minorEastAsia" w:hAnsiTheme="minorEastAsia" w:hint="eastAsia"/>
          <w:sz w:val="24"/>
          <w:szCs w:val="24"/>
        </w:rPr>
        <w:t>4.4将可承受车辆碰撞速度提高到“30km/h</w:t>
      </w:r>
      <w:r w:rsidRPr="00F35DDA">
        <w:rPr>
          <w:rFonts w:asciiTheme="minorEastAsia" w:eastAsiaTheme="minorEastAsia" w:hAnsiTheme="minorEastAsia"/>
          <w:sz w:val="24"/>
          <w:szCs w:val="24"/>
        </w:rPr>
        <w:t>”</w:t>
      </w:r>
      <w:r w:rsidRPr="00F35DDA">
        <w:rPr>
          <w:rFonts w:asciiTheme="minorEastAsia" w:eastAsiaTheme="minorEastAsia" w:hAnsiTheme="minorEastAsia" w:hint="eastAsia"/>
          <w:sz w:val="24"/>
          <w:szCs w:val="24"/>
        </w:rPr>
        <w:t>。</w:t>
      </w:r>
    </w:p>
    <w:p w14:paraId="28B08D39" w14:textId="77777777" w:rsidR="00250B70" w:rsidRPr="00F35DDA" w:rsidRDefault="00250B70" w:rsidP="00250B70">
      <w:pPr>
        <w:pStyle w:val="aa"/>
        <w:numPr>
          <w:ilvl w:val="0"/>
          <w:numId w:val="4"/>
        </w:numPr>
        <w:ind w:firstLineChars="0"/>
        <w:rPr>
          <w:rFonts w:asciiTheme="minorEastAsia" w:eastAsiaTheme="minorEastAsia" w:hAnsiTheme="minorEastAsia" w:hint="eastAsia"/>
          <w:sz w:val="24"/>
          <w:szCs w:val="24"/>
        </w:rPr>
      </w:pPr>
      <w:r w:rsidRPr="00F35DDA">
        <w:rPr>
          <w:rFonts w:asciiTheme="minorEastAsia" w:eastAsiaTheme="minorEastAsia" w:hAnsiTheme="minorEastAsia" w:hint="eastAsia"/>
          <w:sz w:val="24"/>
          <w:szCs w:val="24"/>
        </w:rPr>
        <w:t>4.6.1使用场景根据目标物的真实可能出现的场景进行定义，不受限与指数规程设备。</w:t>
      </w:r>
    </w:p>
    <w:p w14:paraId="18268067" w14:textId="77777777" w:rsidR="00250B70" w:rsidRPr="00F35DDA" w:rsidRDefault="00250B70" w:rsidP="00250B70">
      <w:pPr>
        <w:pStyle w:val="aa"/>
        <w:numPr>
          <w:ilvl w:val="0"/>
          <w:numId w:val="4"/>
        </w:numPr>
        <w:ind w:firstLineChars="0"/>
        <w:rPr>
          <w:rFonts w:asciiTheme="minorEastAsia" w:eastAsiaTheme="minorEastAsia" w:hAnsiTheme="minorEastAsia" w:hint="eastAsia"/>
          <w:sz w:val="24"/>
          <w:szCs w:val="24"/>
        </w:rPr>
      </w:pPr>
      <w:r w:rsidRPr="00F35DDA">
        <w:rPr>
          <w:rFonts w:asciiTheme="minorEastAsia" w:eastAsiaTheme="minorEastAsia" w:hAnsiTheme="minorEastAsia" w:hint="eastAsia"/>
          <w:sz w:val="24"/>
          <w:szCs w:val="24"/>
        </w:rPr>
        <w:t>4.6.2 a）RCS目前无法溯源，将“校准和标定”调整为“测试和验证”；b)将“准确性”改为“保真度”；c）“定期”进行时间约束为1年；d）文字编辑错误修改，“完成”改为“完整”。</w:t>
      </w:r>
    </w:p>
    <w:p w14:paraId="1818A7D7" w14:textId="77777777" w:rsidR="00250B70" w:rsidRPr="00F35DDA" w:rsidRDefault="00250B70" w:rsidP="00250B70">
      <w:pPr>
        <w:pStyle w:val="aa"/>
        <w:numPr>
          <w:ilvl w:val="0"/>
          <w:numId w:val="4"/>
        </w:numPr>
        <w:ind w:firstLineChars="0"/>
        <w:rPr>
          <w:rFonts w:asciiTheme="minorEastAsia" w:eastAsiaTheme="minorEastAsia" w:hAnsiTheme="minorEastAsia" w:hint="eastAsia"/>
          <w:sz w:val="24"/>
          <w:szCs w:val="24"/>
        </w:rPr>
      </w:pPr>
      <w:r w:rsidRPr="00F35DDA">
        <w:rPr>
          <w:rFonts w:asciiTheme="minorEastAsia" w:eastAsiaTheme="minorEastAsia" w:hAnsiTheme="minorEastAsia" w:hint="eastAsia"/>
          <w:sz w:val="24"/>
          <w:szCs w:val="24"/>
        </w:rPr>
        <w:t>4.6.7 表1 “数值/单位”列，数值与单位之间空一格。</w:t>
      </w:r>
    </w:p>
    <w:p w14:paraId="04EBB455" w14:textId="77777777" w:rsidR="00250B70" w:rsidRPr="00F35DDA" w:rsidRDefault="00250B70" w:rsidP="00250B70">
      <w:pPr>
        <w:pStyle w:val="aa"/>
        <w:numPr>
          <w:ilvl w:val="0"/>
          <w:numId w:val="4"/>
        </w:numPr>
        <w:ind w:firstLineChars="0"/>
        <w:rPr>
          <w:rFonts w:asciiTheme="minorEastAsia" w:eastAsiaTheme="minorEastAsia" w:hAnsiTheme="minorEastAsia" w:hint="eastAsia"/>
          <w:sz w:val="24"/>
          <w:szCs w:val="24"/>
        </w:rPr>
      </w:pPr>
      <w:r w:rsidRPr="00F35DDA">
        <w:rPr>
          <w:rFonts w:asciiTheme="minorEastAsia" w:eastAsiaTheme="minorEastAsia" w:hAnsiTheme="minorEastAsia" w:hint="eastAsia"/>
          <w:sz w:val="24"/>
          <w:szCs w:val="24"/>
        </w:rPr>
        <w:t>5.1.3 对应增加附录C内容。</w:t>
      </w:r>
    </w:p>
    <w:p w14:paraId="6171D075" w14:textId="58FC4FB2" w:rsidR="00250B70" w:rsidRPr="00F35DDA" w:rsidRDefault="00250B70" w:rsidP="00250B70">
      <w:pPr>
        <w:pStyle w:val="aa"/>
        <w:numPr>
          <w:ilvl w:val="0"/>
          <w:numId w:val="4"/>
        </w:numPr>
        <w:ind w:firstLineChars="0"/>
        <w:rPr>
          <w:rFonts w:asciiTheme="minorEastAsia" w:eastAsiaTheme="minorEastAsia" w:hAnsiTheme="minorEastAsia" w:hint="eastAsia"/>
          <w:sz w:val="24"/>
          <w:szCs w:val="24"/>
        </w:rPr>
      </w:pPr>
      <w:r w:rsidRPr="00F35DDA">
        <w:rPr>
          <w:rFonts w:asciiTheme="minorEastAsia" w:eastAsiaTheme="minorEastAsia" w:hAnsiTheme="minorEastAsia" w:hint="eastAsia"/>
          <w:sz w:val="24"/>
          <w:szCs w:val="24"/>
        </w:rPr>
        <w:t>5.1.4 “850至950nm的波长”格式统一为“850 nm</w:t>
      </w:r>
      <w:r w:rsidR="004C09A7" w:rsidRPr="00F35DDA">
        <w:rPr>
          <w:rFonts w:asciiTheme="minorEastAsia" w:eastAsiaTheme="minorEastAsia" w:hAnsiTheme="minorEastAsia" w:hint="eastAsia"/>
          <w:sz w:val="24"/>
          <w:szCs w:val="24"/>
        </w:rPr>
        <w:t xml:space="preserve"> ～ </w:t>
      </w:r>
      <w:r w:rsidRPr="00F35DDA">
        <w:rPr>
          <w:rFonts w:asciiTheme="minorEastAsia" w:eastAsiaTheme="minorEastAsia" w:hAnsiTheme="minorEastAsia" w:hint="eastAsia"/>
          <w:sz w:val="24"/>
          <w:szCs w:val="24"/>
        </w:rPr>
        <w:t>950 nm”。</w:t>
      </w:r>
    </w:p>
    <w:p w14:paraId="6656FF74" w14:textId="77777777" w:rsidR="00250B70" w:rsidRPr="00F35DDA" w:rsidRDefault="00250B70" w:rsidP="00250B70">
      <w:pPr>
        <w:pStyle w:val="aa"/>
        <w:numPr>
          <w:ilvl w:val="0"/>
          <w:numId w:val="4"/>
        </w:numPr>
        <w:ind w:firstLineChars="0"/>
        <w:rPr>
          <w:rFonts w:asciiTheme="minorEastAsia" w:eastAsiaTheme="minorEastAsia" w:hAnsiTheme="minorEastAsia" w:hint="eastAsia"/>
          <w:sz w:val="24"/>
          <w:szCs w:val="24"/>
        </w:rPr>
      </w:pPr>
      <w:r w:rsidRPr="00F35DDA">
        <w:rPr>
          <w:rFonts w:asciiTheme="minorEastAsia" w:eastAsiaTheme="minorEastAsia" w:hAnsiTheme="minorEastAsia" w:hint="eastAsia"/>
          <w:sz w:val="24"/>
          <w:szCs w:val="24"/>
        </w:rPr>
        <w:t>5.2.2细化反射特性描述。</w:t>
      </w:r>
    </w:p>
    <w:p w14:paraId="3292F502" w14:textId="77777777" w:rsidR="00250B70" w:rsidRPr="00F35DDA" w:rsidRDefault="00250B70" w:rsidP="00250B70">
      <w:pPr>
        <w:pStyle w:val="aa"/>
        <w:numPr>
          <w:ilvl w:val="0"/>
          <w:numId w:val="4"/>
        </w:numPr>
        <w:ind w:firstLineChars="0"/>
        <w:rPr>
          <w:rFonts w:asciiTheme="minorEastAsia" w:eastAsiaTheme="minorEastAsia" w:hAnsiTheme="minorEastAsia" w:hint="eastAsia"/>
          <w:sz w:val="24"/>
          <w:szCs w:val="24"/>
        </w:rPr>
      </w:pPr>
      <w:r w:rsidRPr="00F35DDA">
        <w:rPr>
          <w:rFonts w:asciiTheme="minorEastAsia" w:eastAsiaTheme="minorEastAsia" w:hAnsiTheme="minorEastAsia" w:hint="eastAsia"/>
          <w:sz w:val="24"/>
          <w:szCs w:val="24"/>
        </w:rPr>
        <w:t>附录B2.1中补充B.3.2。</w:t>
      </w:r>
    </w:p>
    <w:p w14:paraId="4ACE2ED5" w14:textId="77777777" w:rsidR="00250B70" w:rsidRPr="00F35DDA" w:rsidRDefault="00250B70" w:rsidP="00250B70">
      <w:pPr>
        <w:pStyle w:val="aa"/>
        <w:numPr>
          <w:ilvl w:val="0"/>
          <w:numId w:val="4"/>
        </w:numPr>
        <w:ind w:firstLineChars="0"/>
        <w:rPr>
          <w:rFonts w:asciiTheme="minorEastAsia" w:eastAsiaTheme="minorEastAsia" w:hAnsiTheme="minorEastAsia" w:hint="eastAsia"/>
          <w:sz w:val="24"/>
          <w:szCs w:val="24"/>
        </w:rPr>
      </w:pPr>
      <w:r w:rsidRPr="00F35DDA">
        <w:rPr>
          <w:rFonts w:asciiTheme="minorEastAsia" w:eastAsiaTheme="minorEastAsia" w:hAnsiTheme="minorEastAsia" w:hint="eastAsia"/>
          <w:sz w:val="24"/>
          <w:szCs w:val="24"/>
        </w:rPr>
        <w:t>附录B2.2.4“角反安装高度”使用全程，调整为“角形雷达反射器安</w:t>
      </w:r>
      <w:r w:rsidRPr="00F35DDA">
        <w:rPr>
          <w:rFonts w:asciiTheme="minorEastAsia" w:eastAsiaTheme="minorEastAsia" w:hAnsiTheme="minorEastAsia" w:hint="eastAsia"/>
          <w:sz w:val="24"/>
          <w:szCs w:val="24"/>
        </w:rPr>
        <w:lastRenderedPageBreak/>
        <w:t>装角度”。</w:t>
      </w:r>
    </w:p>
    <w:p w14:paraId="62E78ACD" w14:textId="77777777" w:rsidR="00250B70" w:rsidRPr="00F35DDA" w:rsidRDefault="00250B70" w:rsidP="00250B70">
      <w:pPr>
        <w:pStyle w:val="aa"/>
        <w:numPr>
          <w:ilvl w:val="0"/>
          <w:numId w:val="4"/>
        </w:numPr>
        <w:ind w:firstLineChars="0"/>
        <w:rPr>
          <w:rFonts w:asciiTheme="minorEastAsia" w:eastAsiaTheme="minorEastAsia" w:hAnsiTheme="minorEastAsia" w:hint="eastAsia"/>
          <w:sz w:val="24"/>
          <w:szCs w:val="24"/>
        </w:rPr>
      </w:pPr>
      <w:r w:rsidRPr="00F35DDA">
        <w:rPr>
          <w:rFonts w:asciiTheme="minorEastAsia" w:eastAsiaTheme="minorEastAsia" w:hAnsiTheme="minorEastAsia" w:hint="eastAsia"/>
          <w:sz w:val="24"/>
          <w:szCs w:val="24"/>
        </w:rPr>
        <w:t>目前主流泊车传感器，含短距超声波雷达（40kHz），新增“可以被超声波雷达探测”的定性描述。</w:t>
      </w:r>
    </w:p>
    <w:p w14:paraId="5B9886C4" w14:textId="77777777" w:rsidR="004C5011" w:rsidRDefault="00000000">
      <w:pPr>
        <w:ind w:firstLineChars="200" w:firstLine="480"/>
        <w:rPr>
          <w:rFonts w:ascii="黑体" w:eastAsia="黑体" w:hAnsi="黑体" w:cs="黑体" w:hint="eastAsia"/>
          <w:color w:val="000000" w:themeColor="text1"/>
          <w:sz w:val="24"/>
        </w:rPr>
      </w:pPr>
      <w:r>
        <w:rPr>
          <w:rFonts w:ascii="黑体" w:eastAsia="黑体" w:hAnsi="黑体" w:cs="黑体" w:hint="eastAsia"/>
          <w:color w:val="000000" w:themeColor="text1"/>
          <w:sz w:val="24"/>
        </w:rPr>
        <w:t>二、标准编制原则和主要内容</w:t>
      </w:r>
    </w:p>
    <w:p w14:paraId="77B51751" w14:textId="77777777" w:rsidR="00166AF3" w:rsidRPr="00F35DDA" w:rsidRDefault="00166AF3" w:rsidP="00166AF3">
      <w:pPr>
        <w:pStyle w:val="a7"/>
        <w:spacing w:line="360" w:lineRule="auto"/>
        <w:ind w:firstLine="480"/>
        <w:rPr>
          <w:rFonts w:asciiTheme="minorEastAsia" w:hAnsiTheme="minorEastAsia" w:hint="eastAsia"/>
          <w:sz w:val="24"/>
          <w:szCs w:val="24"/>
        </w:rPr>
      </w:pPr>
      <w:r w:rsidRPr="00F35DDA">
        <w:rPr>
          <w:rFonts w:asciiTheme="minorEastAsia" w:hAnsiTheme="minorEastAsia" w:hint="eastAsia"/>
          <w:sz w:val="24"/>
          <w:szCs w:val="24"/>
        </w:rPr>
        <w:t>本标准遵循以下原则：</w:t>
      </w:r>
    </w:p>
    <w:p w14:paraId="2686D2FB" w14:textId="2CDC819C" w:rsidR="00166AF3" w:rsidRPr="00F35DDA" w:rsidRDefault="00166AF3" w:rsidP="00166AF3">
      <w:pPr>
        <w:pStyle w:val="a7"/>
        <w:spacing w:line="360" w:lineRule="auto"/>
        <w:ind w:firstLine="480"/>
        <w:rPr>
          <w:rFonts w:asciiTheme="minorEastAsia" w:hAnsiTheme="minorEastAsia" w:hint="eastAsia"/>
          <w:sz w:val="24"/>
          <w:szCs w:val="24"/>
        </w:rPr>
      </w:pPr>
      <w:r w:rsidRPr="00F35DDA">
        <w:rPr>
          <w:rFonts w:asciiTheme="minorEastAsia" w:hAnsiTheme="minorEastAsia" w:hint="eastAsia"/>
          <w:sz w:val="24"/>
          <w:szCs w:val="24"/>
        </w:rPr>
        <w:t>目的性原则：</w:t>
      </w:r>
      <w:r w:rsidR="00187BB3" w:rsidRPr="00F35DDA">
        <w:rPr>
          <w:rFonts w:asciiTheme="minorEastAsia" w:hAnsiTheme="minorEastAsia" w:hint="eastAsia"/>
          <w:sz w:val="24"/>
          <w:szCs w:val="24"/>
        </w:rPr>
        <w:t>蹲姿儿童</w:t>
      </w:r>
      <w:r w:rsidRPr="00F35DDA">
        <w:rPr>
          <w:rFonts w:asciiTheme="minorEastAsia" w:hAnsiTheme="minorEastAsia" w:hint="eastAsia"/>
          <w:sz w:val="24"/>
          <w:szCs w:val="24"/>
        </w:rPr>
        <w:t>目标物有助于实现促进贸易、保证质量、提高效率、实现兼容、促进技术交流等目标。</w:t>
      </w:r>
    </w:p>
    <w:p w14:paraId="1D58BAE2" w14:textId="7E09C159" w:rsidR="00166AF3" w:rsidRPr="00F35DDA" w:rsidRDefault="00166AF3" w:rsidP="00166AF3">
      <w:pPr>
        <w:pStyle w:val="a7"/>
        <w:spacing w:line="360" w:lineRule="auto"/>
        <w:ind w:firstLine="480"/>
        <w:rPr>
          <w:rFonts w:asciiTheme="minorEastAsia" w:hAnsiTheme="minorEastAsia" w:hint="eastAsia"/>
          <w:sz w:val="24"/>
          <w:szCs w:val="24"/>
        </w:rPr>
      </w:pPr>
      <w:r w:rsidRPr="00F35DDA">
        <w:rPr>
          <w:rFonts w:asciiTheme="minorEastAsia" w:hAnsiTheme="minorEastAsia" w:hint="eastAsia"/>
          <w:sz w:val="24"/>
          <w:szCs w:val="24"/>
        </w:rPr>
        <w:t>科学性原则：本标准基于科学理论、充分的技术验证、可靠的数据分析和实践经验。</w:t>
      </w:r>
    </w:p>
    <w:p w14:paraId="70061F74" w14:textId="77777777" w:rsidR="00166AF3" w:rsidRPr="00F35DDA" w:rsidRDefault="00166AF3" w:rsidP="00166AF3">
      <w:pPr>
        <w:pStyle w:val="a7"/>
        <w:spacing w:line="360" w:lineRule="auto"/>
        <w:ind w:firstLine="480"/>
        <w:rPr>
          <w:rFonts w:asciiTheme="minorEastAsia" w:hAnsiTheme="minorEastAsia" w:hint="eastAsia"/>
          <w:sz w:val="24"/>
          <w:szCs w:val="24"/>
        </w:rPr>
      </w:pPr>
      <w:r w:rsidRPr="00F35DDA">
        <w:rPr>
          <w:rFonts w:asciiTheme="minorEastAsia" w:hAnsiTheme="minorEastAsia" w:hint="eastAsia"/>
          <w:sz w:val="24"/>
          <w:szCs w:val="24"/>
        </w:rPr>
        <w:t>统一性原则：对标准化对象进行统一规定，消除不必要的多样性。</w:t>
      </w:r>
    </w:p>
    <w:p w14:paraId="35F19D8D" w14:textId="77777777" w:rsidR="00166AF3" w:rsidRPr="00F35DDA" w:rsidRDefault="00166AF3" w:rsidP="00166AF3">
      <w:pPr>
        <w:pStyle w:val="a7"/>
        <w:spacing w:line="360" w:lineRule="auto"/>
        <w:ind w:firstLine="480"/>
        <w:rPr>
          <w:rFonts w:asciiTheme="minorEastAsia" w:hAnsiTheme="minorEastAsia" w:hint="eastAsia"/>
          <w:sz w:val="24"/>
          <w:szCs w:val="24"/>
        </w:rPr>
      </w:pPr>
      <w:r w:rsidRPr="00F35DDA">
        <w:rPr>
          <w:rFonts w:asciiTheme="minorEastAsia" w:hAnsiTheme="minorEastAsia" w:hint="eastAsia"/>
          <w:sz w:val="24"/>
          <w:szCs w:val="24"/>
        </w:rPr>
        <w:t>协调性原则：与相关现有的法律法规保持一致，与上级相关标准协调一致。</w:t>
      </w:r>
    </w:p>
    <w:p w14:paraId="1136002B" w14:textId="77777777" w:rsidR="00166AF3" w:rsidRPr="00F35DDA" w:rsidRDefault="00166AF3" w:rsidP="00166AF3">
      <w:pPr>
        <w:pStyle w:val="a7"/>
        <w:spacing w:line="360" w:lineRule="auto"/>
        <w:ind w:firstLine="480"/>
        <w:rPr>
          <w:rFonts w:asciiTheme="minorEastAsia" w:hAnsiTheme="minorEastAsia" w:hint="eastAsia"/>
          <w:sz w:val="24"/>
          <w:szCs w:val="24"/>
        </w:rPr>
      </w:pPr>
      <w:r w:rsidRPr="00F35DDA">
        <w:rPr>
          <w:rFonts w:asciiTheme="minorEastAsia" w:hAnsiTheme="minorEastAsia" w:hint="eastAsia"/>
          <w:sz w:val="24"/>
          <w:szCs w:val="24"/>
        </w:rPr>
        <w:t>开放透明原则：制定公开透明，涵盖所有相关方参与制定，广泛征求意见，充分考虑各方面的观点和利益。</w:t>
      </w:r>
    </w:p>
    <w:p w14:paraId="5276D849" w14:textId="39ED85CF" w:rsidR="008B0BF2" w:rsidRPr="00F35DDA" w:rsidRDefault="008B0BF2" w:rsidP="001905D8">
      <w:pPr>
        <w:spacing w:line="360" w:lineRule="auto"/>
        <w:ind w:firstLine="420"/>
        <w:rPr>
          <w:rFonts w:asciiTheme="minorEastAsia" w:eastAsiaTheme="minorEastAsia" w:hAnsiTheme="minorEastAsia" w:hint="eastAsia"/>
          <w:sz w:val="24"/>
        </w:rPr>
      </w:pPr>
      <w:r w:rsidRPr="00F35DDA">
        <w:rPr>
          <w:rFonts w:asciiTheme="minorEastAsia" w:eastAsiaTheme="minorEastAsia" w:hAnsiTheme="minorEastAsia" w:hint="eastAsia"/>
          <w:sz w:val="24"/>
        </w:rPr>
        <w:t>指导性原则：</w:t>
      </w:r>
      <w:r w:rsidR="001905D8" w:rsidRPr="00F35DDA">
        <w:rPr>
          <w:rFonts w:asciiTheme="minorEastAsia" w:eastAsiaTheme="minorEastAsia" w:hAnsiTheme="minorEastAsia" w:hint="eastAsia"/>
          <w:sz w:val="24"/>
        </w:rPr>
        <w:t>本标准提出了功能和性能指标，并详细给出了关键参数的测试方法，对蹲姿儿童目标物的开发及验证评价具有指导作用。目前国内缺乏汽车行业蹲姿儿童目标物的规范标准，本标准率先联合业内各相关方专家，实现了对蹲姿儿童目标物标准的研究与制定。</w:t>
      </w:r>
    </w:p>
    <w:p w14:paraId="275E16E6" w14:textId="0FA00E1A" w:rsidR="008B0BF2" w:rsidRPr="00F35DDA" w:rsidRDefault="008B0BF2" w:rsidP="001905D8">
      <w:pPr>
        <w:spacing w:line="360" w:lineRule="auto"/>
        <w:ind w:firstLineChars="200" w:firstLine="480"/>
        <w:rPr>
          <w:rFonts w:asciiTheme="minorEastAsia" w:eastAsiaTheme="minorEastAsia" w:hAnsiTheme="minorEastAsia" w:hint="eastAsia"/>
          <w:sz w:val="24"/>
        </w:rPr>
      </w:pPr>
      <w:r w:rsidRPr="00F35DDA">
        <w:rPr>
          <w:rFonts w:asciiTheme="minorEastAsia" w:eastAsiaTheme="minorEastAsia" w:hAnsiTheme="minorEastAsia" w:hint="eastAsia"/>
          <w:sz w:val="24"/>
        </w:rPr>
        <w:t>可操作性：</w:t>
      </w:r>
      <w:r w:rsidR="001905D8" w:rsidRPr="00F35DDA">
        <w:rPr>
          <w:rFonts w:asciiTheme="minorEastAsia" w:eastAsiaTheme="minorEastAsia" w:hAnsiTheme="minorEastAsia" w:hint="eastAsia"/>
          <w:sz w:val="24"/>
        </w:rPr>
        <w:t>本标准的编制过程中，尽可能考虑相关方开发、测试验证使用的实际情况，以及技术人员的水平与测试周期，多采用国内外类似的先进标准中的检测方法进行实验验证，保证良好的操作性与实用性。</w:t>
      </w:r>
    </w:p>
    <w:p w14:paraId="2B9B3F7D" w14:textId="77777777" w:rsidR="001905D8" w:rsidRPr="00F35DDA" w:rsidRDefault="004360F8" w:rsidP="001905D8">
      <w:pPr>
        <w:spacing w:line="360" w:lineRule="auto"/>
        <w:ind w:firstLineChars="200" w:firstLine="480"/>
        <w:rPr>
          <w:rFonts w:asciiTheme="minorEastAsia" w:eastAsiaTheme="minorEastAsia" w:hAnsiTheme="minorEastAsia" w:hint="eastAsia"/>
          <w:sz w:val="24"/>
        </w:rPr>
      </w:pPr>
      <w:r w:rsidRPr="00F35DDA">
        <w:rPr>
          <w:rFonts w:asciiTheme="minorEastAsia" w:eastAsiaTheme="minorEastAsia" w:hAnsiTheme="minorEastAsia" w:hint="eastAsia"/>
          <w:sz w:val="24"/>
        </w:rPr>
        <w:t>先进性：</w:t>
      </w:r>
      <w:r w:rsidR="001905D8" w:rsidRPr="00F35DDA">
        <w:rPr>
          <w:rFonts w:asciiTheme="minorEastAsia" w:eastAsiaTheme="minorEastAsia" w:hAnsiTheme="minorEastAsia" w:hint="eastAsia"/>
          <w:sz w:val="24"/>
        </w:rPr>
        <w:t>标准制定充分考虑了蹲姿儿童目标物的中国属地特征，参考由中国标准化研究院出具的中国人体特征数据库中的标准尺寸要求及真实蹲姿儿童的物理特征如红外、雷达特性等，综合国内实际情况，在满足相关法律法规的同时，提升产品的品质要求，使标准能够反映行业的技术现状，推动智能网联汽车行业测评技术高质量发展。</w:t>
      </w:r>
    </w:p>
    <w:p w14:paraId="6FAC25FE" w14:textId="7DDF5EC5" w:rsidR="00994D7F" w:rsidRPr="00F35DDA" w:rsidRDefault="001E2E6B" w:rsidP="001E2E6B">
      <w:pPr>
        <w:spacing w:line="360" w:lineRule="auto"/>
        <w:ind w:firstLineChars="200" w:firstLine="482"/>
        <w:rPr>
          <w:rFonts w:asciiTheme="minorEastAsia" w:eastAsiaTheme="minorEastAsia" w:hAnsiTheme="minorEastAsia" w:hint="eastAsia"/>
          <w:b/>
          <w:bCs/>
          <w:sz w:val="24"/>
        </w:rPr>
      </w:pPr>
      <w:r w:rsidRPr="00F35DDA">
        <w:rPr>
          <w:rFonts w:asciiTheme="minorEastAsia" w:eastAsiaTheme="minorEastAsia" w:hAnsiTheme="minorEastAsia" w:hint="eastAsia"/>
          <w:b/>
          <w:bCs/>
          <w:sz w:val="24"/>
        </w:rPr>
        <w:t>标准主要技术内容：</w:t>
      </w:r>
    </w:p>
    <w:p w14:paraId="4172A50C" w14:textId="77777777" w:rsidR="004533A9" w:rsidRPr="00F35DDA" w:rsidRDefault="004533A9" w:rsidP="004533A9">
      <w:pPr>
        <w:spacing w:line="360" w:lineRule="auto"/>
        <w:ind w:firstLineChars="200" w:firstLine="480"/>
        <w:rPr>
          <w:rFonts w:asciiTheme="minorEastAsia" w:eastAsiaTheme="minorEastAsia" w:hAnsiTheme="minorEastAsia" w:cstheme="minorBidi" w:hint="eastAsia"/>
          <w:sz w:val="24"/>
        </w:rPr>
      </w:pPr>
      <w:r w:rsidRPr="00F35DDA">
        <w:rPr>
          <w:rFonts w:asciiTheme="minorEastAsia" w:eastAsiaTheme="minorEastAsia" w:hAnsiTheme="minorEastAsia" w:cstheme="minorBidi" w:hint="eastAsia"/>
          <w:sz w:val="24"/>
        </w:rPr>
        <w:t>本标准提出了蹲姿儿童目标物的规格要求及被感知特性。在规格要求中约束了类别、尺寸、姿势、布料、安全事项、可修复性、环境条件和使用要求。在被</w:t>
      </w:r>
      <w:r w:rsidRPr="00F35DDA">
        <w:rPr>
          <w:rFonts w:asciiTheme="minorEastAsia" w:eastAsiaTheme="minorEastAsia" w:hAnsiTheme="minorEastAsia" w:cstheme="minorBidi" w:hint="eastAsia"/>
          <w:sz w:val="24"/>
        </w:rPr>
        <w:lastRenderedPageBreak/>
        <w:t>感知特性中，约束了光学要求、雷达要求。</w:t>
      </w:r>
    </w:p>
    <w:p w14:paraId="0652364A" w14:textId="77777777" w:rsidR="00994D7F" w:rsidRPr="00F35DDA" w:rsidRDefault="00667AA8" w:rsidP="00667AA8">
      <w:pPr>
        <w:pStyle w:val="a8"/>
        <w:spacing w:line="360" w:lineRule="auto"/>
        <w:ind w:firstLine="482"/>
        <w:rPr>
          <w:rFonts w:asciiTheme="minorEastAsia" w:eastAsiaTheme="minorEastAsia" w:hAnsiTheme="minorEastAsia" w:hint="eastAsia"/>
          <w:b/>
          <w:bCs/>
          <w:sz w:val="24"/>
          <w:szCs w:val="24"/>
        </w:rPr>
      </w:pPr>
      <w:r w:rsidRPr="00F35DDA">
        <w:rPr>
          <w:rFonts w:asciiTheme="minorEastAsia" w:eastAsiaTheme="minorEastAsia" w:hAnsiTheme="minorEastAsia" w:hint="eastAsia"/>
          <w:b/>
          <w:bCs/>
          <w:sz w:val="24"/>
          <w:szCs w:val="24"/>
        </w:rPr>
        <w:t>关键技术问题说明：</w:t>
      </w:r>
    </w:p>
    <w:p w14:paraId="072EAC24" w14:textId="77777777" w:rsidR="004533A9" w:rsidRPr="00F35DDA" w:rsidRDefault="004533A9" w:rsidP="004533A9">
      <w:pPr>
        <w:pStyle w:val="a8"/>
        <w:spacing w:line="360" w:lineRule="auto"/>
        <w:ind w:firstLine="480"/>
        <w:rPr>
          <w:rFonts w:asciiTheme="minorEastAsia" w:eastAsiaTheme="minorEastAsia" w:hAnsiTheme="minorEastAsia" w:hint="eastAsia"/>
          <w:noProof w:val="0"/>
          <w:kern w:val="2"/>
          <w:sz w:val="24"/>
          <w:szCs w:val="24"/>
        </w:rPr>
      </w:pPr>
      <w:r w:rsidRPr="00F35DDA">
        <w:rPr>
          <w:rFonts w:asciiTheme="minorEastAsia" w:eastAsiaTheme="minorEastAsia" w:hAnsiTheme="minorEastAsia" w:hint="eastAsia"/>
          <w:noProof w:val="0"/>
          <w:kern w:val="2"/>
          <w:sz w:val="24"/>
          <w:szCs w:val="24"/>
        </w:rPr>
        <w:t>本标准中涉及到的关键技术问题主要包括蹲姿儿童尺寸、雷达散射截面（RCS）等主要参数。其中蹲姿儿童尺寸基于《中国人体形态特征数据库》及《第五次国民体质监测公报》中3-6岁幼儿的中位数，并以实际7名与之相符的幼儿进行姿态采集，获取蹲姿玩耍姿态的模型。</w:t>
      </w:r>
    </w:p>
    <w:p w14:paraId="248E989A" w14:textId="77777777" w:rsidR="004533A9" w:rsidRPr="004533A9" w:rsidRDefault="004533A9" w:rsidP="004533A9">
      <w:pPr>
        <w:pStyle w:val="a8"/>
        <w:spacing w:line="360" w:lineRule="auto"/>
        <w:ind w:firstLine="480"/>
        <w:jc w:val="center"/>
        <w:rPr>
          <w:rFonts w:ascii="仿宋" w:eastAsia="仿宋" w:hAnsi="仿宋" w:hint="eastAsia"/>
          <w:noProof w:val="0"/>
          <w:kern w:val="2"/>
          <w:sz w:val="24"/>
          <w:szCs w:val="24"/>
        </w:rPr>
      </w:pPr>
      <w:r w:rsidRPr="004533A9">
        <w:rPr>
          <w:rFonts w:ascii="仿宋" w:eastAsia="仿宋" w:hAnsi="仿宋"/>
          <w:kern w:val="2"/>
          <w:sz w:val="24"/>
          <w:szCs w:val="24"/>
        </w:rPr>
        <w:drawing>
          <wp:inline distT="0" distB="0" distL="0" distR="0" wp14:anchorId="3689E16A" wp14:editId="62997274">
            <wp:extent cx="3604404" cy="2150952"/>
            <wp:effectExtent l="0" t="0" r="0" b="1905"/>
            <wp:docPr id="5" name="图片 4">
              <a:extLst xmlns:a="http://schemas.openxmlformats.org/drawingml/2006/main">
                <a:ext uri="{FF2B5EF4-FFF2-40B4-BE49-F238E27FC236}">
                  <a16:creationId xmlns:a16="http://schemas.microsoft.com/office/drawing/2014/main" id="{595B6F28-3F5C-521E-8564-D75F40DB6C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595B6F28-3F5C-521E-8564-D75F40DB6C84}"/>
                        </a:ext>
                      </a:extLst>
                    </pic:cNvPr>
                    <pic:cNvPicPr>
                      <a:picLocks noChangeAspect="1"/>
                    </pic:cNvPicPr>
                  </pic:nvPicPr>
                  <pic:blipFill>
                    <a:blip r:embed="rId8"/>
                    <a:stretch>
                      <a:fillRect/>
                    </a:stretch>
                  </pic:blipFill>
                  <pic:spPr>
                    <a:xfrm>
                      <a:off x="0" y="0"/>
                      <a:ext cx="3604404" cy="2150952"/>
                    </a:xfrm>
                    <a:prstGeom prst="rect">
                      <a:avLst/>
                    </a:prstGeom>
                  </pic:spPr>
                </pic:pic>
              </a:graphicData>
            </a:graphic>
          </wp:inline>
        </w:drawing>
      </w:r>
    </w:p>
    <w:p w14:paraId="0D811647" w14:textId="77777777" w:rsidR="004533A9" w:rsidRPr="002B22C7" w:rsidRDefault="004533A9" w:rsidP="004533A9">
      <w:pPr>
        <w:pStyle w:val="a8"/>
        <w:spacing w:line="360" w:lineRule="auto"/>
        <w:ind w:firstLine="480"/>
        <w:rPr>
          <w:rFonts w:asciiTheme="minorEastAsia" w:eastAsiaTheme="minorEastAsia" w:hAnsiTheme="minorEastAsia" w:hint="eastAsia"/>
          <w:noProof w:val="0"/>
          <w:kern w:val="2"/>
          <w:sz w:val="24"/>
          <w:szCs w:val="24"/>
        </w:rPr>
      </w:pPr>
      <w:r w:rsidRPr="002B22C7">
        <w:rPr>
          <w:rFonts w:asciiTheme="minorEastAsia" w:eastAsiaTheme="minorEastAsia" w:hAnsiTheme="minorEastAsia" w:hint="eastAsia"/>
          <w:noProof w:val="0"/>
          <w:kern w:val="2"/>
          <w:sz w:val="24"/>
          <w:szCs w:val="24"/>
        </w:rPr>
        <w:t>雷达散射截面取自真实蹲姿儿童进行取样。RCS范围可供标准使用者进行参考。因雷达的多路径反射，具体的RCS边界和使用场景相关，但差异不会很大，此边界满足大部分的空旷场地测试结果。</w:t>
      </w:r>
    </w:p>
    <w:p w14:paraId="2C405C77" w14:textId="77777777" w:rsidR="004533A9" w:rsidRPr="002B22C7" w:rsidRDefault="004533A9" w:rsidP="004533A9">
      <w:pPr>
        <w:pStyle w:val="a8"/>
        <w:spacing w:line="360" w:lineRule="auto"/>
        <w:ind w:firstLine="480"/>
        <w:rPr>
          <w:rFonts w:asciiTheme="minorEastAsia" w:eastAsiaTheme="minorEastAsia" w:hAnsiTheme="minorEastAsia" w:hint="eastAsia"/>
          <w:noProof w:val="0"/>
          <w:kern w:val="2"/>
          <w:sz w:val="24"/>
          <w:szCs w:val="24"/>
        </w:rPr>
      </w:pPr>
      <w:r w:rsidRPr="002B22C7">
        <w:rPr>
          <w:rFonts w:asciiTheme="minorEastAsia" w:eastAsiaTheme="minorEastAsia" w:hAnsiTheme="minorEastAsia" w:hint="eastAsia"/>
          <w:noProof w:val="0"/>
          <w:kern w:val="2"/>
          <w:sz w:val="24"/>
          <w:szCs w:val="24"/>
        </w:rPr>
        <w:t>在毫米波雷达性能评价中，可采用76GHz～79GHz的毫米波雷达及92GHz～94GHz路侧雷达，对目标物采用多角度采集，也可以使用360°的方式进行探测，因76GHz～79GHz的毫米波车载雷达与92GHz～94GHz路侧雷达的安装高度不同，本标准测试方法中建议只用76GHz～79GHz的毫米波车载雷达进行测量校准目标物。对92GHz～94GHz路侧雷达，其安装高度约5米～8米，隧道场景高于3.5米。路侧雷达建议参考固定点对目标物360°校准的方式来分析与真实物体之间的反射偏离进行评价，具体方法可参考即将发布的ISO 19206-3转化的国标标准，本标准参考目标物国标相关标准暂只考虑车载雷达频段。</w:t>
      </w:r>
    </w:p>
    <w:p w14:paraId="3C27FD53" w14:textId="77777777" w:rsidR="004533A9" w:rsidRPr="002B22C7" w:rsidRDefault="004533A9" w:rsidP="004533A9">
      <w:pPr>
        <w:pStyle w:val="a8"/>
        <w:spacing w:line="360" w:lineRule="auto"/>
        <w:ind w:firstLine="480"/>
        <w:jc w:val="left"/>
        <w:rPr>
          <w:rFonts w:asciiTheme="minorEastAsia" w:eastAsiaTheme="minorEastAsia" w:hAnsiTheme="minorEastAsia" w:hint="eastAsia"/>
          <w:noProof w:val="0"/>
          <w:kern w:val="2"/>
          <w:sz w:val="24"/>
          <w:szCs w:val="24"/>
        </w:rPr>
      </w:pPr>
      <w:r w:rsidRPr="002B22C7">
        <w:rPr>
          <w:rFonts w:asciiTheme="minorEastAsia" w:eastAsiaTheme="minorEastAsia" w:hAnsiTheme="minorEastAsia" w:hint="eastAsia"/>
          <w:noProof w:val="0"/>
          <w:kern w:val="2"/>
          <w:sz w:val="24"/>
          <w:szCs w:val="24"/>
        </w:rPr>
        <w:t>在激光雷达性能评价中，需对探测对象进行点云扫描，经过分析目标物不同区域的反射率，进而与真实物体进行比对，分析偏离程度，进行评价。本标准中提到相关测试要求，但因样本量有限，不做明确指标要求，由标准使用方根据真实儿童与蹲姿儿童目标物不同区域根据反射点颜色代表的反射率，确定反射范围，对比做判断。</w:t>
      </w:r>
    </w:p>
    <w:p w14:paraId="652E268D" w14:textId="77777777" w:rsidR="004533A9" w:rsidRPr="002B22C7" w:rsidRDefault="004533A9" w:rsidP="004533A9">
      <w:pPr>
        <w:pStyle w:val="a8"/>
        <w:spacing w:line="360" w:lineRule="auto"/>
        <w:ind w:firstLine="480"/>
        <w:jc w:val="left"/>
        <w:rPr>
          <w:rFonts w:asciiTheme="minorEastAsia" w:eastAsiaTheme="minorEastAsia" w:hAnsiTheme="minorEastAsia" w:hint="eastAsia"/>
          <w:noProof w:val="0"/>
          <w:kern w:val="2"/>
          <w:sz w:val="24"/>
          <w:szCs w:val="24"/>
        </w:rPr>
      </w:pPr>
      <w:r w:rsidRPr="002B22C7">
        <w:rPr>
          <w:rFonts w:asciiTheme="minorEastAsia" w:eastAsiaTheme="minorEastAsia" w:hAnsiTheme="minorEastAsia" w:hint="eastAsia"/>
          <w:noProof w:val="0"/>
          <w:kern w:val="2"/>
          <w:sz w:val="24"/>
          <w:szCs w:val="24"/>
        </w:rPr>
        <w:lastRenderedPageBreak/>
        <w:t>关于温度适应范围，取自ISO 19206-3转化的国标范围做参考。引用至少满足，做了最低要求的限制。</w:t>
      </w:r>
    </w:p>
    <w:p w14:paraId="5FE6D739" w14:textId="5FF93A94" w:rsidR="00B936E8" w:rsidRPr="002B22C7" w:rsidRDefault="00B936E8" w:rsidP="009C33EC">
      <w:pPr>
        <w:spacing w:line="360" w:lineRule="auto"/>
        <w:ind w:firstLineChars="200" w:firstLine="480"/>
        <w:rPr>
          <w:rFonts w:asciiTheme="minorEastAsia" w:eastAsiaTheme="minorEastAsia" w:hAnsiTheme="minorEastAsia" w:hint="eastAsia"/>
          <w:sz w:val="24"/>
        </w:rPr>
      </w:pPr>
      <w:r w:rsidRPr="002B22C7">
        <w:rPr>
          <w:rFonts w:asciiTheme="minorEastAsia" w:eastAsiaTheme="minorEastAsia" w:hAnsiTheme="minorEastAsia" w:hint="eastAsia"/>
          <w:sz w:val="24"/>
        </w:rPr>
        <w:t>主要内容依据：本标准中主要内容的依据有：参考国内已有的法律法规、实车行业标准、检测机构的实际经验，听取了各相关方需求所制定。使用要求由国内外主流评价标准E-NCAP、C-NCAP、IVISTA中借鉴。</w:t>
      </w:r>
    </w:p>
    <w:p w14:paraId="305AED7D" w14:textId="77777777" w:rsidR="004C5011" w:rsidRDefault="00000000">
      <w:pPr>
        <w:ind w:firstLineChars="200" w:firstLine="480"/>
        <w:rPr>
          <w:rFonts w:ascii="黑体" w:eastAsia="黑体" w:hAnsi="黑体" w:cs="黑体" w:hint="eastAsia"/>
          <w:color w:val="000000" w:themeColor="text1"/>
          <w:sz w:val="30"/>
          <w:szCs w:val="30"/>
        </w:rPr>
      </w:pPr>
      <w:r>
        <w:rPr>
          <w:rFonts w:ascii="黑体" w:eastAsia="黑体" w:hAnsi="黑体" w:cs="黑体" w:hint="eastAsia"/>
          <w:color w:val="000000" w:themeColor="text1"/>
          <w:sz w:val="24"/>
        </w:rPr>
        <w:t xml:space="preserve">三、采用国际标准和国外先进标准情况  </w:t>
      </w:r>
      <w:r>
        <w:rPr>
          <w:rFonts w:ascii="黑体" w:eastAsia="黑体" w:hAnsi="黑体" w:cs="黑体" w:hint="eastAsia"/>
          <w:color w:val="000000" w:themeColor="text1"/>
          <w:sz w:val="30"/>
          <w:szCs w:val="30"/>
        </w:rPr>
        <w:t xml:space="preserve"> </w:t>
      </w:r>
    </w:p>
    <w:p w14:paraId="7B72B6DD" w14:textId="77777777" w:rsidR="00AA2C4C" w:rsidRPr="002B22C7" w:rsidRDefault="00AA2C4C" w:rsidP="00AA2C4C">
      <w:pPr>
        <w:pStyle w:val="a8"/>
        <w:spacing w:line="360" w:lineRule="auto"/>
        <w:ind w:firstLine="480"/>
        <w:rPr>
          <w:rFonts w:asciiTheme="minorEastAsia" w:eastAsiaTheme="minorEastAsia" w:hAnsiTheme="minorEastAsia" w:hint="eastAsia"/>
          <w:noProof w:val="0"/>
          <w:kern w:val="2"/>
          <w:sz w:val="24"/>
          <w:szCs w:val="24"/>
        </w:rPr>
      </w:pPr>
      <w:r w:rsidRPr="002B22C7">
        <w:rPr>
          <w:rFonts w:asciiTheme="minorEastAsia" w:eastAsiaTheme="minorEastAsia" w:hAnsiTheme="minorEastAsia" w:hint="eastAsia"/>
          <w:noProof w:val="0"/>
          <w:kern w:val="2"/>
          <w:sz w:val="24"/>
          <w:szCs w:val="24"/>
        </w:rPr>
        <w:t>本标准</w:t>
      </w:r>
      <w:r w:rsidRPr="002B22C7">
        <w:rPr>
          <w:rFonts w:asciiTheme="minorEastAsia" w:eastAsiaTheme="minorEastAsia" w:hAnsiTheme="minorEastAsia"/>
          <w:noProof w:val="0"/>
          <w:kern w:val="2"/>
          <w:sz w:val="24"/>
          <w:szCs w:val="24"/>
        </w:rPr>
        <w:t>主要依据和参考的主要法律法规、相关标准和文献包括：</w:t>
      </w:r>
      <w:r w:rsidRPr="002B22C7">
        <w:rPr>
          <w:rFonts w:asciiTheme="minorEastAsia" w:eastAsiaTheme="minorEastAsia" w:hAnsiTheme="minorEastAsia" w:hint="eastAsia"/>
          <w:noProof w:val="0"/>
          <w:kern w:val="2"/>
          <w:sz w:val="24"/>
          <w:szCs w:val="24"/>
        </w:rPr>
        <w:t>GB/T 41798-2022 《智能网联汽车 自动驾驶功能场地试验方法及要求》、</w:t>
      </w:r>
      <w:r w:rsidRPr="002B22C7">
        <w:rPr>
          <w:rFonts w:asciiTheme="minorEastAsia" w:eastAsiaTheme="minorEastAsia" w:hAnsiTheme="minorEastAsia"/>
          <w:noProof w:val="0"/>
          <w:kern w:val="2"/>
          <w:sz w:val="24"/>
          <w:szCs w:val="24"/>
        </w:rPr>
        <w:t xml:space="preserve">GB/T 20608 </w:t>
      </w:r>
      <w:r w:rsidRPr="002B22C7">
        <w:rPr>
          <w:rFonts w:asciiTheme="minorEastAsia" w:eastAsiaTheme="minorEastAsia" w:hAnsiTheme="minorEastAsia" w:hint="eastAsia"/>
          <w:noProof w:val="0"/>
          <w:kern w:val="2"/>
          <w:sz w:val="24"/>
          <w:szCs w:val="24"/>
        </w:rPr>
        <w:t>《智能运输系统 自适应巡航控制系统 性能要求及检测方法》、</w:t>
      </w:r>
      <w:r w:rsidRPr="002B22C7">
        <w:rPr>
          <w:rFonts w:asciiTheme="minorEastAsia" w:eastAsiaTheme="minorEastAsia" w:hAnsiTheme="minorEastAsia"/>
          <w:noProof w:val="0"/>
          <w:kern w:val="2"/>
          <w:sz w:val="24"/>
          <w:szCs w:val="24"/>
        </w:rPr>
        <w:t xml:space="preserve">GB/T 41630 </w:t>
      </w:r>
      <w:r w:rsidRPr="002B22C7">
        <w:rPr>
          <w:rFonts w:asciiTheme="minorEastAsia" w:eastAsiaTheme="minorEastAsia" w:hAnsiTheme="minorEastAsia" w:hint="eastAsia"/>
          <w:noProof w:val="0"/>
          <w:kern w:val="2"/>
          <w:sz w:val="24"/>
          <w:szCs w:val="24"/>
        </w:rPr>
        <w:t>泊车辅助系统性能要求及试验方法、G</w:t>
      </w:r>
      <w:r w:rsidRPr="002B22C7">
        <w:rPr>
          <w:rFonts w:asciiTheme="minorEastAsia" w:eastAsiaTheme="minorEastAsia" w:hAnsiTheme="minorEastAsia"/>
          <w:noProof w:val="0"/>
          <w:kern w:val="2"/>
          <w:sz w:val="24"/>
          <w:szCs w:val="24"/>
        </w:rPr>
        <w:t xml:space="preserve">B/T </w:t>
      </w:r>
      <w:r w:rsidRPr="002B22C7">
        <w:rPr>
          <w:rFonts w:asciiTheme="minorEastAsia" w:eastAsiaTheme="minorEastAsia" w:hAnsiTheme="minorEastAsia" w:hint="eastAsia"/>
          <w:noProof w:val="0"/>
          <w:kern w:val="2"/>
          <w:sz w:val="24"/>
          <w:szCs w:val="24"/>
        </w:rPr>
        <w:t>44373—2024</w:t>
      </w:r>
      <w:r w:rsidRPr="002B22C7">
        <w:rPr>
          <w:rFonts w:asciiTheme="minorEastAsia" w:eastAsiaTheme="minorEastAsia" w:hAnsiTheme="minorEastAsia"/>
          <w:noProof w:val="0"/>
          <w:kern w:val="2"/>
          <w:sz w:val="24"/>
          <w:szCs w:val="24"/>
        </w:rPr>
        <w:t xml:space="preserve"> </w:t>
      </w:r>
      <w:r w:rsidRPr="002B22C7">
        <w:rPr>
          <w:rFonts w:asciiTheme="minorEastAsia" w:eastAsiaTheme="minorEastAsia" w:hAnsiTheme="minorEastAsia" w:hint="eastAsia"/>
          <w:noProof w:val="0"/>
          <w:kern w:val="2"/>
          <w:sz w:val="24"/>
          <w:szCs w:val="24"/>
        </w:rPr>
        <w:t>《智能网联汽车 术语和定义》、ISO 19206-2 《Road vehicles —</w:t>
      </w:r>
      <w:r w:rsidRPr="002B22C7">
        <w:rPr>
          <w:rFonts w:asciiTheme="minorEastAsia" w:eastAsiaTheme="minorEastAsia" w:hAnsiTheme="minorEastAsia"/>
          <w:noProof w:val="0"/>
          <w:kern w:val="2"/>
          <w:sz w:val="24"/>
          <w:szCs w:val="24"/>
        </w:rPr>
        <w:t>Test devices for assessing the perceptual function of  intelligent connected vehicles — Part 2: Requirements for pedestrian targets</w:t>
      </w:r>
      <w:r w:rsidRPr="002B22C7">
        <w:rPr>
          <w:rFonts w:asciiTheme="minorEastAsia" w:eastAsiaTheme="minorEastAsia" w:hAnsiTheme="minorEastAsia" w:hint="eastAsia"/>
          <w:noProof w:val="0"/>
          <w:kern w:val="2"/>
          <w:sz w:val="24"/>
          <w:szCs w:val="24"/>
        </w:rPr>
        <w:t>》、IVISTA （</w:t>
      </w:r>
      <w:r w:rsidRPr="002B22C7">
        <w:rPr>
          <w:rFonts w:asciiTheme="minorEastAsia" w:eastAsiaTheme="minorEastAsia" w:hAnsiTheme="minorEastAsia"/>
          <w:noProof w:val="0"/>
          <w:kern w:val="2"/>
          <w:sz w:val="24"/>
          <w:szCs w:val="24"/>
        </w:rPr>
        <w:t>I</w:t>
      </w:r>
      <w:r w:rsidRPr="002B22C7">
        <w:rPr>
          <w:rFonts w:asciiTheme="minorEastAsia" w:eastAsiaTheme="minorEastAsia" w:hAnsiTheme="minorEastAsia" w:hint="eastAsia"/>
          <w:noProof w:val="0"/>
          <w:kern w:val="2"/>
          <w:sz w:val="24"/>
          <w:szCs w:val="24"/>
        </w:rPr>
        <w:t>ntelligent</w:t>
      </w:r>
      <w:r w:rsidRPr="002B22C7">
        <w:rPr>
          <w:rFonts w:asciiTheme="minorEastAsia" w:eastAsiaTheme="minorEastAsia" w:hAnsiTheme="minorEastAsia"/>
          <w:noProof w:val="0"/>
          <w:kern w:val="2"/>
          <w:sz w:val="24"/>
          <w:szCs w:val="24"/>
        </w:rPr>
        <w:t xml:space="preserve"> V</w:t>
      </w:r>
      <w:r w:rsidRPr="002B22C7">
        <w:rPr>
          <w:rFonts w:asciiTheme="minorEastAsia" w:eastAsiaTheme="minorEastAsia" w:hAnsiTheme="minorEastAsia" w:hint="eastAsia"/>
          <w:noProof w:val="0"/>
          <w:kern w:val="2"/>
          <w:sz w:val="24"/>
          <w:szCs w:val="24"/>
        </w:rPr>
        <w:t>ehicle</w:t>
      </w:r>
      <w:r w:rsidRPr="002B22C7">
        <w:rPr>
          <w:rFonts w:asciiTheme="minorEastAsia" w:eastAsiaTheme="minorEastAsia" w:hAnsiTheme="minorEastAsia"/>
          <w:noProof w:val="0"/>
          <w:kern w:val="2"/>
          <w:sz w:val="24"/>
          <w:szCs w:val="24"/>
        </w:rPr>
        <w:t xml:space="preserve"> I</w:t>
      </w:r>
      <w:r w:rsidRPr="002B22C7">
        <w:rPr>
          <w:rFonts w:asciiTheme="minorEastAsia" w:eastAsiaTheme="minorEastAsia" w:hAnsiTheme="minorEastAsia" w:hint="eastAsia"/>
          <w:noProof w:val="0"/>
          <w:kern w:val="2"/>
          <w:sz w:val="24"/>
          <w:szCs w:val="24"/>
        </w:rPr>
        <w:t>ntegrated</w:t>
      </w:r>
      <w:r w:rsidRPr="002B22C7">
        <w:rPr>
          <w:rFonts w:asciiTheme="minorEastAsia" w:eastAsiaTheme="minorEastAsia" w:hAnsiTheme="minorEastAsia"/>
          <w:noProof w:val="0"/>
          <w:kern w:val="2"/>
          <w:sz w:val="24"/>
          <w:szCs w:val="24"/>
        </w:rPr>
        <w:t xml:space="preserve"> S</w:t>
      </w:r>
      <w:r w:rsidRPr="002B22C7">
        <w:rPr>
          <w:rFonts w:asciiTheme="minorEastAsia" w:eastAsiaTheme="minorEastAsia" w:hAnsiTheme="minorEastAsia" w:hint="eastAsia"/>
          <w:noProof w:val="0"/>
          <w:kern w:val="2"/>
          <w:sz w:val="24"/>
          <w:szCs w:val="24"/>
        </w:rPr>
        <w:t>ystems</w:t>
      </w:r>
      <w:r w:rsidRPr="002B22C7">
        <w:rPr>
          <w:rFonts w:asciiTheme="minorEastAsia" w:eastAsiaTheme="minorEastAsia" w:hAnsiTheme="minorEastAsia"/>
          <w:noProof w:val="0"/>
          <w:kern w:val="2"/>
          <w:sz w:val="24"/>
          <w:szCs w:val="24"/>
        </w:rPr>
        <w:t xml:space="preserve"> T</w:t>
      </w:r>
      <w:r w:rsidRPr="002B22C7">
        <w:rPr>
          <w:rFonts w:asciiTheme="minorEastAsia" w:eastAsiaTheme="minorEastAsia" w:hAnsiTheme="minorEastAsia" w:hint="eastAsia"/>
          <w:noProof w:val="0"/>
          <w:kern w:val="2"/>
          <w:sz w:val="24"/>
          <w:szCs w:val="24"/>
        </w:rPr>
        <w:t>est</w:t>
      </w:r>
      <w:r w:rsidRPr="002B22C7">
        <w:rPr>
          <w:rFonts w:asciiTheme="minorEastAsia" w:eastAsiaTheme="minorEastAsia" w:hAnsiTheme="minorEastAsia"/>
          <w:noProof w:val="0"/>
          <w:kern w:val="2"/>
          <w:sz w:val="24"/>
          <w:szCs w:val="24"/>
        </w:rPr>
        <w:t xml:space="preserve"> A</w:t>
      </w:r>
      <w:r w:rsidRPr="002B22C7">
        <w:rPr>
          <w:rFonts w:asciiTheme="minorEastAsia" w:eastAsiaTheme="minorEastAsia" w:hAnsiTheme="minorEastAsia" w:hint="eastAsia"/>
          <w:noProof w:val="0"/>
          <w:kern w:val="2"/>
          <w:sz w:val="24"/>
          <w:szCs w:val="24"/>
        </w:rPr>
        <w:t>rea）中国智能汽车指数评价规程。</w:t>
      </w:r>
    </w:p>
    <w:p w14:paraId="49AC73D8" w14:textId="77777777" w:rsidR="004C5011" w:rsidRDefault="00000000">
      <w:pPr>
        <w:ind w:firstLineChars="200" w:firstLine="480"/>
        <w:rPr>
          <w:rFonts w:ascii="黑体" w:eastAsia="黑体" w:hAnsi="黑体" w:cs="黑体" w:hint="eastAsia"/>
          <w:color w:val="000000" w:themeColor="text1"/>
          <w:sz w:val="24"/>
        </w:rPr>
      </w:pPr>
      <w:r>
        <w:rPr>
          <w:rFonts w:ascii="黑体" w:eastAsia="黑体" w:hAnsi="黑体" w:cs="黑体" w:hint="eastAsia"/>
          <w:color w:val="000000" w:themeColor="text1"/>
          <w:sz w:val="24"/>
        </w:rPr>
        <w:t>四、主要关键指标及试验验证情况</w:t>
      </w:r>
    </w:p>
    <w:p w14:paraId="5F77C0EC" w14:textId="77777777" w:rsidR="00C04A9E" w:rsidRDefault="00C04A9E" w:rsidP="00C04A9E">
      <w:pPr>
        <w:pStyle w:val="a7"/>
        <w:spacing w:line="360" w:lineRule="auto"/>
        <w:ind w:firstLineChars="187" w:firstLine="449"/>
        <w:rPr>
          <w:rFonts w:ascii="宋体" w:eastAsia="宋体" w:hAnsi="宋体" w:hint="eastAsia"/>
          <w:sz w:val="24"/>
          <w:szCs w:val="24"/>
        </w:rPr>
      </w:pPr>
      <w:r>
        <w:rPr>
          <w:rFonts w:ascii="宋体" w:eastAsia="宋体" w:hAnsi="宋体" w:hint="eastAsia"/>
          <w:sz w:val="24"/>
          <w:szCs w:val="24"/>
        </w:rPr>
        <w:t>对该标准的关键特性性能评价指标和方法中主要的毫米波雷达及激光雷达特性进行了试验验证。</w:t>
      </w:r>
    </w:p>
    <w:p w14:paraId="10311074" w14:textId="77777777" w:rsidR="00C04A9E" w:rsidRDefault="00C04A9E" w:rsidP="00C04A9E">
      <w:pPr>
        <w:pStyle w:val="a7"/>
        <w:spacing w:line="360" w:lineRule="auto"/>
        <w:ind w:firstLineChars="187" w:firstLine="449"/>
        <w:rPr>
          <w:rFonts w:ascii="宋体" w:eastAsia="宋体" w:hAnsi="宋体" w:hint="eastAsia"/>
          <w:sz w:val="24"/>
          <w:szCs w:val="24"/>
        </w:rPr>
      </w:pPr>
      <w:r>
        <w:rPr>
          <w:rFonts w:ascii="宋体" w:eastAsia="宋体" w:hAnsi="宋体" w:hint="eastAsia"/>
          <w:sz w:val="24"/>
          <w:szCs w:val="24"/>
        </w:rPr>
        <w:t>毫米波雷达方面，</w:t>
      </w:r>
      <w:bookmarkStart w:id="1" w:name="OLE_LINK3"/>
      <w:r>
        <w:rPr>
          <w:rFonts w:ascii="宋体" w:eastAsia="宋体" w:hAnsi="宋体" w:hint="eastAsia"/>
          <w:sz w:val="24"/>
          <w:szCs w:val="24"/>
        </w:rPr>
        <w:t>使用77Ghz大陆毫米波雷达对真实蹲姿儿童及目标物儿童进行0°、30°、60°、90°、120°、150°、180°进行对比验证均符合真实蹲姿儿童的3</w:t>
      </w:r>
      <w:r w:rsidRPr="00F96A48">
        <w:rPr>
          <w:rFonts w:ascii="宋体" w:eastAsia="宋体" w:hAnsi="宋体"/>
          <w:sz w:val="24"/>
          <w:szCs w:val="24"/>
        </w:rPr>
        <w:t>σ</w:t>
      </w:r>
      <w:r>
        <w:rPr>
          <w:rFonts w:ascii="宋体" w:eastAsia="宋体" w:hAnsi="宋体" w:hint="eastAsia"/>
          <w:sz w:val="24"/>
          <w:szCs w:val="24"/>
        </w:rPr>
        <w:t>的包络线范围。该品牌蹲姿儿童目标物各角度均符合包络线范围</w:t>
      </w:r>
      <w:bookmarkEnd w:id="1"/>
      <w:r>
        <w:rPr>
          <w:rFonts w:ascii="宋体" w:eastAsia="宋体" w:hAnsi="宋体" w:hint="eastAsia"/>
          <w:sz w:val="24"/>
          <w:szCs w:val="24"/>
        </w:rPr>
        <w:t xml:space="preserve">。 </w:t>
      </w:r>
    </w:p>
    <w:p w14:paraId="4550E923" w14:textId="77777777" w:rsidR="00C04A9E" w:rsidRDefault="00C04A9E" w:rsidP="00C04A9E">
      <w:pPr>
        <w:pStyle w:val="a7"/>
        <w:spacing w:line="360" w:lineRule="auto"/>
        <w:ind w:firstLineChars="687" w:firstLine="1443"/>
        <w:rPr>
          <w:rFonts w:ascii="宋体" w:eastAsia="宋体" w:hAnsi="宋体" w:hint="eastAsia"/>
          <w:sz w:val="24"/>
          <w:szCs w:val="24"/>
        </w:rPr>
      </w:pPr>
      <w:r>
        <w:rPr>
          <w:noProof/>
        </w:rPr>
        <w:drawing>
          <wp:inline distT="0" distB="0" distL="0" distR="0" wp14:anchorId="6C0AD8E1" wp14:editId="772F1BEF">
            <wp:extent cx="1502796" cy="1383255"/>
            <wp:effectExtent l="0" t="0" r="2540" b="7620"/>
            <wp:docPr id="13682148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14844" name=""/>
                    <pic:cNvPicPr/>
                  </pic:nvPicPr>
                  <pic:blipFill>
                    <a:blip r:embed="rId9"/>
                    <a:stretch>
                      <a:fillRect/>
                    </a:stretch>
                  </pic:blipFill>
                  <pic:spPr>
                    <a:xfrm>
                      <a:off x="0" y="0"/>
                      <a:ext cx="1514392" cy="1393929"/>
                    </a:xfrm>
                    <a:prstGeom prst="rect">
                      <a:avLst/>
                    </a:prstGeom>
                  </pic:spPr>
                </pic:pic>
              </a:graphicData>
            </a:graphic>
          </wp:inline>
        </w:drawing>
      </w:r>
      <w:r>
        <w:rPr>
          <w:rFonts w:ascii="宋体" w:eastAsia="宋体" w:hAnsi="宋体" w:hint="eastAsia"/>
          <w:sz w:val="24"/>
          <w:szCs w:val="24"/>
        </w:rPr>
        <w:t xml:space="preserve">        </w:t>
      </w:r>
      <w:r w:rsidRPr="007E4363">
        <w:rPr>
          <w:rFonts w:ascii="宋体" w:eastAsia="宋体" w:hAnsi="宋体"/>
          <w:noProof/>
          <w:sz w:val="24"/>
          <w:szCs w:val="24"/>
        </w:rPr>
        <w:drawing>
          <wp:inline distT="0" distB="0" distL="0" distR="0" wp14:anchorId="654F84C0" wp14:editId="36A4AD5E">
            <wp:extent cx="1524538" cy="1391478"/>
            <wp:effectExtent l="0" t="0" r="0" b="0"/>
            <wp:docPr id="7" name="图片 6">
              <a:extLst xmlns:a="http://schemas.openxmlformats.org/drawingml/2006/main">
                <a:ext uri="{FF2B5EF4-FFF2-40B4-BE49-F238E27FC236}">
                  <a16:creationId xmlns:a16="http://schemas.microsoft.com/office/drawing/2014/main" id="{509F681E-3A53-6AB0-3231-616D55BD6B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509F681E-3A53-6AB0-3231-616D55BD6B6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23270" r="21190" b="22803"/>
                    <a:stretch/>
                  </pic:blipFill>
                  <pic:spPr bwMode="auto">
                    <a:xfrm>
                      <a:off x="0" y="0"/>
                      <a:ext cx="1528228" cy="1394846"/>
                    </a:xfrm>
                    <a:prstGeom prst="rect">
                      <a:avLst/>
                    </a:prstGeom>
                    <a:noFill/>
                    <a:ln>
                      <a:noFill/>
                    </a:ln>
                    <a:extLst>
                      <a:ext uri="{53640926-AAD7-44D8-BBD7-CCE9431645EC}">
                        <a14:shadowObscured xmlns:a14="http://schemas.microsoft.com/office/drawing/2010/main"/>
                      </a:ext>
                    </a:extLst>
                  </pic:spPr>
                </pic:pic>
              </a:graphicData>
            </a:graphic>
          </wp:inline>
        </w:drawing>
      </w:r>
    </w:p>
    <w:p w14:paraId="4C0CC9FE" w14:textId="77777777" w:rsidR="00C04A9E" w:rsidRPr="0034785B" w:rsidRDefault="00C04A9E" w:rsidP="0034785B">
      <w:pPr>
        <w:spacing w:line="360" w:lineRule="auto"/>
        <w:ind w:firstLineChars="199" w:firstLine="418"/>
        <w:jc w:val="center"/>
        <w:rPr>
          <w:rFonts w:ascii="宋体" w:hAnsi="宋体" w:hint="eastAsia"/>
          <w:szCs w:val="21"/>
        </w:rPr>
      </w:pPr>
      <w:r w:rsidRPr="0034785B">
        <w:rPr>
          <w:rFonts w:ascii="宋体" w:hAnsi="宋体" w:hint="eastAsia"/>
          <w:szCs w:val="21"/>
        </w:rPr>
        <w:t>蹲姿儿童RCS采集</w:t>
      </w:r>
    </w:p>
    <w:p w14:paraId="21ADECCB" w14:textId="77777777" w:rsidR="00C04A9E" w:rsidRPr="00144497" w:rsidRDefault="00C04A9E" w:rsidP="00C04A9E">
      <w:pPr>
        <w:pStyle w:val="a7"/>
        <w:spacing w:line="360" w:lineRule="auto"/>
        <w:ind w:firstLineChars="187" w:firstLine="449"/>
        <w:rPr>
          <w:rFonts w:ascii="宋体" w:eastAsia="宋体" w:hAnsi="宋体" w:hint="eastAsia"/>
          <w:sz w:val="24"/>
          <w:szCs w:val="24"/>
        </w:rPr>
      </w:pPr>
      <w:r>
        <w:rPr>
          <w:rFonts w:ascii="宋体" w:eastAsia="宋体" w:hAnsi="宋体" w:hint="eastAsia"/>
          <w:sz w:val="24"/>
          <w:szCs w:val="24"/>
        </w:rPr>
        <w:t>激光雷达方面，使用32线禾赛激光雷达对蹲姿儿童目标物进行360°的点云进行分析，研究的反射率范围。证明该项是可以做为对比试验进行验证的。</w:t>
      </w:r>
    </w:p>
    <w:p w14:paraId="2861E138" w14:textId="77777777" w:rsidR="00C04A9E" w:rsidRDefault="00C04A9E" w:rsidP="00C04A9E">
      <w:pPr>
        <w:spacing w:line="360" w:lineRule="auto"/>
        <w:jc w:val="center"/>
        <w:rPr>
          <w:noProof/>
          <w:sz w:val="18"/>
          <w:szCs w:val="20"/>
        </w:rPr>
      </w:pPr>
      <w:r w:rsidRPr="00360E37">
        <w:rPr>
          <w:rFonts w:hAnsi="宋体"/>
          <w:noProof/>
          <w:sz w:val="24"/>
        </w:rPr>
        <w:lastRenderedPageBreak/>
        <w:drawing>
          <wp:inline distT="0" distB="0" distL="0" distR="0" wp14:anchorId="669BAD0A" wp14:editId="7D4A33D1">
            <wp:extent cx="1539543" cy="1154657"/>
            <wp:effectExtent l="0" t="0" r="3810" b="7620"/>
            <wp:docPr id="1795426827" name="图片 6">
              <a:extLst xmlns:a="http://schemas.openxmlformats.org/drawingml/2006/main">
                <a:ext uri="{FF2B5EF4-FFF2-40B4-BE49-F238E27FC236}">
                  <a16:creationId xmlns:a16="http://schemas.microsoft.com/office/drawing/2014/main" id="{F2AA8D32-C2C2-9E60-A954-772A88D239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F2AA8D32-C2C2-9E60-A954-772A88D239B2}"/>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3461" cy="1165095"/>
                    </a:xfrm>
                    <a:prstGeom prst="rect">
                      <a:avLst/>
                    </a:prstGeom>
                  </pic:spPr>
                </pic:pic>
              </a:graphicData>
            </a:graphic>
          </wp:inline>
        </w:drawing>
      </w:r>
      <w:r w:rsidRPr="00360E37">
        <w:rPr>
          <w:rFonts w:hAnsi="宋体"/>
          <w:noProof/>
          <w:sz w:val="24"/>
        </w:rPr>
        <w:drawing>
          <wp:inline distT="0" distB="0" distL="0" distR="0" wp14:anchorId="22B2DB4E" wp14:editId="4293F4E9">
            <wp:extent cx="1852654" cy="1157854"/>
            <wp:effectExtent l="0" t="0" r="0" b="4445"/>
            <wp:docPr id="1708597808" name="图片 2">
              <a:extLst xmlns:a="http://schemas.openxmlformats.org/drawingml/2006/main">
                <a:ext uri="{FF2B5EF4-FFF2-40B4-BE49-F238E27FC236}">
                  <a16:creationId xmlns:a16="http://schemas.microsoft.com/office/drawing/2014/main" id="{2717C33E-B8AE-EC51-EF23-90DA1EC033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2717C33E-B8AE-EC51-EF23-90DA1EC033E9}"/>
                        </a:ext>
                      </a:extLst>
                    </pic:cNvPr>
                    <pic:cNvPicPr>
                      <a:picLocks noChangeAspect="1"/>
                    </pic:cNvPicPr>
                  </pic:nvPicPr>
                  <pic:blipFill>
                    <a:blip r:embed="rId12"/>
                    <a:stretch>
                      <a:fillRect/>
                    </a:stretch>
                  </pic:blipFill>
                  <pic:spPr>
                    <a:xfrm>
                      <a:off x="0" y="0"/>
                      <a:ext cx="1878720" cy="1174145"/>
                    </a:xfrm>
                    <a:prstGeom prst="rect">
                      <a:avLst/>
                    </a:prstGeom>
                  </pic:spPr>
                </pic:pic>
              </a:graphicData>
            </a:graphic>
          </wp:inline>
        </w:drawing>
      </w:r>
      <w:r w:rsidRPr="00360E37">
        <w:rPr>
          <w:rFonts w:hAnsi="宋体"/>
          <w:noProof/>
          <w:sz w:val="24"/>
        </w:rPr>
        <w:drawing>
          <wp:inline distT="0" distB="0" distL="0" distR="0" wp14:anchorId="4127639D" wp14:editId="1F255721">
            <wp:extent cx="1536109" cy="1168842"/>
            <wp:effectExtent l="0" t="0" r="6985" b="0"/>
            <wp:docPr id="1743696421" name="图片 4">
              <a:extLst xmlns:a="http://schemas.openxmlformats.org/drawingml/2006/main">
                <a:ext uri="{FF2B5EF4-FFF2-40B4-BE49-F238E27FC236}">
                  <a16:creationId xmlns:a16="http://schemas.microsoft.com/office/drawing/2014/main" id="{401B1785-5A60-60DF-B77D-9BB91514ED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401B1785-5A60-60DF-B77D-9BB91514ED06}"/>
                        </a:ext>
                      </a:extLst>
                    </pic:cNvPr>
                    <pic:cNvPicPr>
                      <a:picLocks noChangeAspect="1"/>
                    </pic:cNvPicPr>
                  </pic:nvPicPr>
                  <pic:blipFill>
                    <a:blip r:embed="rId13"/>
                    <a:stretch>
                      <a:fillRect/>
                    </a:stretch>
                  </pic:blipFill>
                  <pic:spPr>
                    <a:xfrm>
                      <a:off x="0" y="0"/>
                      <a:ext cx="1550592" cy="1179862"/>
                    </a:xfrm>
                    <a:prstGeom prst="rect">
                      <a:avLst/>
                    </a:prstGeom>
                  </pic:spPr>
                </pic:pic>
              </a:graphicData>
            </a:graphic>
          </wp:inline>
        </w:drawing>
      </w:r>
    </w:p>
    <w:p w14:paraId="53324E2A" w14:textId="3349A6BE" w:rsidR="009774AB" w:rsidRPr="00FA756D" w:rsidRDefault="00C04A9E" w:rsidP="00FA756D">
      <w:pPr>
        <w:pStyle w:val="a7"/>
        <w:spacing w:line="360" w:lineRule="auto"/>
        <w:ind w:firstLineChars="687" w:firstLine="1443"/>
        <w:jc w:val="center"/>
        <w:rPr>
          <w:rFonts w:ascii="宋体" w:eastAsia="宋体" w:hAnsi="宋体" w:hint="eastAsia"/>
          <w:szCs w:val="21"/>
        </w:rPr>
      </w:pPr>
      <w:r w:rsidRPr="007E4363">
        <w:rPr>
          <w:rFonts w:ascii="宋体" w:eastAsia="宋体" w:hAnsi="宋体" w:hint="eastAsia"/>
          <w:szCs w:val="21"/>
        </w:rPr>
        <w:t>蹲姿儿童</w:t>
      </w:r>
      <w:r>
        <w:rPr>
          <w:rFonts w:ascii="宋体" w:eastAsia="宋体" w:hAnsi="宋体" w:hint="eastAsia"/>
          <w:szCs w:val="21"/>
        </w:rPr>
        <w:t>激光雷达反射率验证</w:t>
      </w:r>
    </w:p>
    <w:p w14:paraId="549254FF" w14:textId="357E8EA0" w:rsidR="004C5011" w:rsidRDefault="00000000" w:rsidP="009774AB">
      <w:pPr>
        <w:ind w:firstLineChars="200" w:firstLine="480"/>
        <w:rPr>
          <w:rFonts w:ascii="黑体" w:eastAsia="黑体" w:hAnsi="黑体" w:cs="黑体" w:hint="eastAsia"/>
          <w:color w:val="000000" w:themeColor="text1"/>
          <w:sz w:val="24"/>
        </w:rPr>
      </w:pPr>
      <w:r>
        <w:rPr>
          <w:rFonts w:ascii="黑体" w:eastAsia="黑体" w:hAnsi="黑体" w:cs="黑体" w:hint="eastAsia"/>
          <w:color w:val="000000" w:themeColor="text1"/>
          <w:sz w:val="24"/>
        </w:rPr>
        <w:t>五、与现行法律、法规和政策及相关标准的协调性</w:t>
      </w:r>
    </w:p>
    <w:p w14:paraId="5D0674F6" w14:textId="6532F1E0" w:rsidR="004C5011" w:rsidRPr="00F35DDA" w:rsidRDefault="006F5CEB" w:rsidP="006F5CEB">
      <w:pPr>
        <w:pStyle w:val="a7"/>
        <w:spacing w:line="360" w:lineRule="auto"/>
        <w:ind w:firstLine="480"/>
        <w:jc w:val="left"/>
        <w:rPr>
          <w:rFonts w:asciiTheme="minorEastAsia" w:hAnsiTheme="minorEastAsia" w:hint="eastAsia"/>
          <w:sz w:val="24"/>
          <w:szCs w:val="24"/>
        </w:rPr>
      </w:pPr>
      <w:r w:rsidRPr="00F35DDA">
        <w:rPr>
          <w:rFonts w:asciiTheme="minorEastAsia" w:hAnsiTheme="minorEastAsia" w:hint="eastAsia"/>
          <w:sz w:val="24"/>
          <w:szCs w:val="24"/>
        </w:rPr>
        <w:t>本标准符合国家有关法律、法规和相关强制性标准的要求，与现行的国家标准、行业标准相协调，不矛盾。</w:t>
      </w:r>
    </w:p>
    <w:p w14:paraId="5BC1F7AD" w14:textId="77777777" w:rsidR="004C5011" w:rsidRDefault="00000000">
      <w:pPr>
        <w:ind w:firstLineChars="200" w:firstLine="480"/>
        <w:rPr>
          <w:rFonts w:ascii="黑体" w:eastAsia="黑体" w:hAnsi="黑体" w:cs="黑体" w:hint="eastAsia"/>
          <w:color w:val="000000" w:themeColor="text1"/>
          <w:sz w:val="24"/>
        </w:rPr>
      </w:pPr>
      <w:r>
        <w:rPr>
          <w:rFonts w:ascii="黑体" w:eastAsia="黑体" w:hAnsi="黑体" w:cs="黑体" w:hint="eastAsia"/>
          <w:color w:val="000000" w:themeColor="text1"/>
          <w:sz w:val="24"/>
        </w:rPr>
        <w:t>六、贯彻标准的要求和措施建议</w:t>
      </w:r>
    </w:p>
    <w:p w14:paraId="222DF8B0" w14:textId="2B78065A" w:rsidR="004C5011" w:rsidRPr="00F35DDA" w:rsidRDefault="006F5CEB" w:rsidP="006F5CEB">
      <w:pPr>
        <w:pStyle w:val="a7"/>
        <w:spacing w:line="360" w:lineRule="auto"/>
        <w:ind w:firstLineChars="175"/>
        <w:jc w:val="left"/>
        <w:rPr>
          <w:rFonts w:asciiTheme="minorEastAsia" w:hAnsiTheme="minorEastAsia" w:hint="eastAsia"/>
          <w:sz w:val="24"/>
          <w:szCs w:val="24"/>
        </w:rPr>
      </w:pPr>
      <w:r w:rsidRPr="00F35DDA">
        <w:rPr>
          <w:rFonts w:asciiTheme="minorEastAsia" w:hAnsiTheme="minorEastAsia" w:hint="eastAsia"/>
          <w:sz w:val="24"/>
          <w:szCs w:val="24"/>
        </w:rPr>
        <w:t>标准自公布实施后，尽快组织标准宣贯。标准一经发布，建议各方按照标准的要求执行，共同推进</w:t>
      </w:r>
      <w:r w:rsidR="006F0B3E" w:rsidRPr="00F35DDA">
        <w:rPr>
          <w:rFonts w:asciiTheme="minorEastAsia" w:hAnsiTheme="minorEastAsia" w:hint="eastAsia"/>
          <w:sz w:val="24"/>
          <w:szCs w:val="24"/>
        </w:rPr>
        <w:t>蹲姿儿童</w:t>
      </w:r>
      <w:r w:rsidRPr="00F35DDA">
        <w:rPr>
          <w:rFonts w:asciiTheme="minorEastAsia" w:hAnsiTheme="minorEastAsia" w:hint="eastAsia"/>
          <w:sz w:val="24"/>
          <w:szCs w:val="24"/>
        </w:rPr>
        <w:t>目标物标准化工作。</w:t>
      </w:r>
    </w:p>
    <w:p w14:paraId="58AA482F" w14:textId="77777777" w:rsidR="004C5011" w:rsidRDefault="00000000">
      <w:pPr>
        <w:numPr>
          <w:ilvl w:val="0"/>
          <w:numId w:val="3"/>
        </w:numPr>
        <w:ind w:firstLineChars="200" w:firstLine="480"/>
        <w:rPr>
          <w:rFonts w:ascii="黑体" w:eastAsia="黑体" w:hAnsi="黑体" w:cs="黑体" w:hint="eastAsia"/>
          <w:color w:val="000000" w:themeColor="text1"/>
          <w:sz w:val="24"/>
        </w:rPr>
      </w:pPr>
      <w:r>
        <w:rPr>
          <w:rFonts w:ascii="黑体" w:eastAsia="黑体" w:hAnsi="黑体" w:cs="黑体" w:hint="eastAsia"/>
          <w:color w:val="000000" w:themeColor="text1"/>
          <w:sz w:val="24"/>
        </w:rPr>
        <w:t>其他需要说明的事项</w:t>
      </w:r>
    </w:p>
    <w:p w14:paraId="17A02185" w14:textId="07EE6D8E" w:rsidR="004C5011" w:rsidRPr="00F35DDA" w:rsidRDefault="006F5CEB" w:rsidP="006F5CEB">
      <w:pPr>
        <w:ind w:left="420"/>
        <w:rPr>
          <w:rFonts w:asciiTheme="minorEastAsia" w:eastAsiaTheme="minorEastAsia" w:hAnsiTheme="minorEastAsia" w:hint="eastAsia"/>
          <w:sz w:val="24"/>
        </w:rPr>
      </w:pPr>
      <w:r w:rsidRPr="00F35DDA">
        <w:rPr>
          <w:rFonts w:asciiTheme="minorEastAsia" w:eastAsiaTheme="minorEastAsia" w:hAnsiTheme="minorEastAsia" w:cs="仿宋" w:hint="eastAsia"/>
          <w:color w:val="000000" w:themeColor="text1"/>
          <w:sz w:val="24"/>
        </w:rPr>
        <w:t>无</w:t>
      </w:r>
    </w:p>
    <w:sectPr w:rsidR="004C5011" w:rsidRPr="00F35DD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4E4C90" w14:textId="77777777" w:rsidR="003B3218" w:rsidRDefault="003B3218" w:rsidP="001B0625">
      <w:pPr>
        <w:spacing w:after="0" w:line="240" w:lineRule="auto"/>
      </w:pPr>
      <w:r>
        <w:separator/>
      </w:r>
    </w:p>
  </w:endnote>
  <w:endnote w:type="continuationSeparator" w:id="0">
    <w:p w14:paraId="10C0BFE3" w14:textId="77777777" w:rsidR="003B3218" w:rsidRDefault="003B3218" w:rsidP="001B0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auto"/>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ED430" w14:textId="77777777" w:rsidR="003B3218" w:rsidRDefault="003B3218" w:rsidP="001B0625">
      <w:pPr>
        <w:spacing w:after="0" w:line="240" w:lineRule="auto"/>
      </w:pPr>
      <w:r>
        <w:separator/>
      </w:r>
    </w:p>
  </w:footnote>
  <w:footnote w:type="continuationSeparator" w:id="0">
    <w:p w14:paraId="5821DA2F" w14:textId="77777777" w:rsidR="003B3218" w:rsidRDefault="003B3218" w:rsidP="001B06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760A38F"/>
    <w:multiLevelType w:val="singleLevel"/>
    <w:tmpl w:val="C760A38F"/>
    <w:lvl w:ilvl="0">
      <w:start w:val="1"/>
      <w:numFmt w:val="chineseCounting"/>
      <w:suff w:val="nothing"/>
      <w:lvlText w:val="%1、"/>
      <w:lvlJc w:val="left"/>
      <w:rPr>
        <w:rFonts w:hint="eastAsia"/>
      </w:rPr>
    </w:lvl>
  </w:abstractNum>
  <w:abstractNum w:abstractNumId="1" w15:restartNumberingAfterBreak="0">
    <w:nsid w:val="E319F839"/>
    <w:multiLevelType w:val="singleLevel"/>
    <w:tmpl w:val="E319F839"/>
    <w:lvl w:ilvl="0">
      <w:start w:val="1"/>
      <w:numFmt w:val="chineseCounting"/>
      <w:suff w:val="nothing"/>
      <w:lvlText w:val="（%1）"/>
      <w:lvlJc w:val="left"/>
      <w:pPr>
        <w:ind w:left="360" w:firstLine="0"/>
      </w:pPr>
      <w:rPr>
        <w:rFonts w:hint="eastAsia"/>
      </w:rPr>
    </w:lvl>
  </w:abstractNum>
  <w:abstractNum w:abstractNumId="2" w15:restartNumberingAfterBreak="0">
    <w:nsid w:val="E3C56D80"/>
    <w:multiLevelType w:val="singleLevel"/>
    <w:tmpl w:val="E3C56D80"/>
    <w:lvl w:ilvl="0">
      <w:start w:val="7"/>
      <w:numFmt w:val="chineseCounting"/>
      <w:suff w:val="nothing"/>
      <w:lvlText w:val="%1、"/>
      <w:lvlJc w:val="left"/>
      <w:rPr>
        <w:rFonts w:hint="eastAsia"/>
      </w:rPr>
    </w:lvl>
  </w:abstractNum>
  <w:abstractNum w:abstractNumId="3" w15:restartNumberingAfterBreak="0">
    <w:nsid w:val="3DE11112"/>
    <w:multiLevelType w:val="hybridMultilevel"/>
    <w:tmpl w:val="642AFC0E"/>
    <w:lvl w:ilvl="0" w:tplc="ED683E3C">
      <w:start w:val="1"/>
      <w:numFmt w:val="decimal"/>
      <w:suff w:val="nothing"/>
      <w:lvlText w:val="%1）"/>
      <w:lvlJc w:val="left"/>
      <w:pPr>
        <w:ind w:left="920" w:hanging="44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num w:numId="1" w16cid:durableId="618727597">
    <w:abstractNumId w:val="0"/>
  </w:num>
  <w:num w:numId="2" w16cid:durableId="1055008073">
    <w:abstractNumId w:val="1"/>
  </w:num>
  <w:num w:numId="3" w16cid:durableId="485244179">
    <w:abstractNumId w:val="2"/>
  </w:num>
  <w:num w:numId="4" w16cid:durableId="5382489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5011"/>
    <w:rsid w:val="000D3505"/>
    <w:rsid w:val="00166AF3"/>
    <w:rsid w:val="00187BB3"/>
    <w:rsid w:val="001905D8"/>
    <w:rsid w:val="001A49A2"/>
    <w:rsid w:val="001B0625"/>
    <w:rsid w:val="001C30C7"/>
    <w:rsid w:val="001D03D9"/>
    <w:rsid w:val="001D3AA4"/>
    <w:rsid w:val="001E2E6B"/>
    <w:rsid w:val="00250B70"/>
    <w:rsid w:val="00263627"/>
    <w:rsid w:val="002A5032"/>
    <w:rsid w:val="002A6CCF"/>
    <w:rsid w:val="002B22C7"/>
    <w:rsid w:val="0034785B"/>
    <w:rsid w:val="003B3218"/>
    <w:rsid w:val="0040367A"/>
    <w:rsid w:val="004360F8"/>
    <w:rsid w:val="004533A9"/>
    <w:rsid w:val="004C09A7"/>
    <w:rsid w:val="004C5011"/>
    <w:rsid w:val="004D5F35"/>
    <w:rsid w:val="004F13F3"/>
    <w:rsid w:val="0050227D"/>
    <w:rsid w:val="0050542B"/>
    <w:rsid w:val="00505691"/>
    <w:rsid w:val="005E58E3"/>
    <w:rsid w:val="006336DE"/>
    <w:rsid w:val="00635871"/>
    <w:rsid w:val="00667AA8"/>
    <w:rsid w:val="00680F00"/>
    <w:rsid w:val="0069090F"/>
    <w:rsid w:val="006A3FE7"/>
    <w:rsid w:val="006E7974"/>
    <w:rsid w:val="006F0B3E"/>
    <w:rsid w:val="006F5CEB"/>
    <w:rsid w:val="007D073E"/>
    <w:rsid w:val="007D3ECF"/>
    <w:rsid w:val="007E0DE5"/>
    <w:rsid w:val="008060E0"/>
    <w:rsid w:val="008947D5"/>
    <w:rsid w:val="008A094C"/>
    <w:rsid w:val="008A0AB1"/>
    <w:rsid w:val="008B0BF2"/>
    <w:rsid w:val="009774AB"/>
    <w:rsid w:val="00994D7F"/>
    <w:rsid w:val="009B5C13"/>
    <w:rsid w:val="009C33EC"/>
    <w:rsid w:val="00A77307"/>
    <w:rsid w:val="00A87138"/>
    <w:rsid w:val="00AA2C4C"/>
    <w:rsid w:val="00AB07BB"/>
    <w:rsid w:val="00B235AE"/>
    <w:rsid w:val="00B618E0"/>
    <w:rsid w:val="00B62894"/>
    <w:rsid w:val="00B936E8"/>
    <w:rsid w:val="00BB5A59"/>
    <w:rsid w:val="00BF6320"/>
    <w:rsid w:val="00C04A9E"/>
    <w:rsid w:val="00C21B05"/>
    <w:rsid w:val="00C379F8"/>
    <w:rsid w:val="00C41B06"/>
    <w:rsid w:val="00C52E1E"/>
    <w:rsid w:val="00CA53FE"/>
    <w:rsid w:val="00D223EF"/>
    <w:rsid w:val="00DB7A01"/>
    <w:rsid w:val="00DC567B"/>
    <w:rsid w:val="00E154EF"/>
    <w:rsid w:val="00E1705E"/>
    <w:rsid w:val="00EC11B0"/>
    <w:rsid w:val="00EF10AE"/>
    <w:rsid w:val="00EF6210"/>
    <w:rsid w:val="00F0611F"/>
    <w:rsid w:val="00F35DDA"/>
    <w:rsid w:val="00FA756D"/>
    <w:rsid w:val="00FB094D"/>
    <w:rsid w:val="00FE3727"/>
    <w:rsid w:val="17FE21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413641"/>
  <w15:docId w15:val="{6F58FDC2-2458-47B8-9862-A9CEAE6CC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pPr>
        <w:spacing w:after="160" w:line="278"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B0625"/>
    <w:pPr>
      <w:tabs>
        <w:tab w:val="center" w:pos="4153"/>
        <w:tab w:val="right" w:pos="8306"/>
      </w:tabs>
      <w:snapToGrid w:val="0"/>
      <w:spacing w:line="240" w:lineRule="auto"/>
      <w:jc w:val="center"/>
    </w:pPr>
    <w:rPr>
      <w:sz w:val="18"/>
      <w:szCs w:val="18"/>
    </w:rPr>
  </w:style>
  <w:style w:type="character" w:customStyle="1" w:styleId="a4">
    <w:name w:val="页眉 字符"/>
    <w:basedOn w:val="a0"/>
    <w:link w:val="a3"/>
    <w:rsid w:val="001B0625"/>
    <w:rPr>
      <w:kern w:val="2"/>
      <w:sz w:val="18"/>
      <w:szCs w:val="18"/>
    </w:rPr>
  </w:style>
  <w:style w:type="paragraph" w:styleId="a5">
    <w:name w:val="footer"/>
    <w:basedOn w:val="a"/>
    <w:link w:val="a6"/>
    <w:rsid w:val="001B0625"/>
    <w:pPr>
      <w:tabs>
        <w:tab w:val="center" w:pos="4153"/>
        <w:tab w:val="right" w:pos="8306"/>
      </w:tabs>
      <w:snapToGrid w:val="0"/>
      <w:spacing w:line="240" w:lineRule="auto"/>
      <w:jc w:val="left"/>
    </w:pPr>
    <w:rPr>
      <w:sz w:val="18"/>
      <w:szCs w:val="18"/>
    </w:rPr>
  </w:style>
  <w:style w:type="character" w:customStyle="1" w:styleId="a6">
    <w:name w:val="页脚 字符"/>
    <w:basedOn w:val="a0"/>
    <w:link w:val="a5"/>
    <w:rsid w:val="001B0625"/>
    <w:rPr>
      <w:kern w:val="2"/>
      <w:sz w:val="18"/>
      <w:szCs w:val="18"/>
    </w:rPr>
  </w:style>
  <w:style w:type="paragraph" w:styleId="a7">
    <w:name w:val="List Paragraph"/>
    <w:basedOn w:val="a"/>
    <w:uiPriority w:val="34"/>
    <w:qFormat/>
    <w:rsid w:val="00E154EF"/>
    <w:pPr>
      <w:spacing w:after="0" w:line="240" w:lineRule="auto"/>
      <w:ind w:firstLineChars="200" w:firstLine="420"/>
    </w:pPr>
    <w:rPr>
      <w:rFonts w:asciiTheme="minorHAnsi" w:eastAsiaTheme="minorEastAsia" w:hAnsiTheme="minorHAnsi" w:cstheme="minorBidi"/>
      <w:szCs w:val="22"/>
    </w:rPr>
  </w:style>
  <w:style w:type="paragraph" w:customStyle="1" w:styleId="a8">
    <w:name w:val="标准文件_段"/>
    <w:link w:val="Char"/>
    <w:qFormat/>
    <w:rsid w:val="00A87138"/>
    <w:pPr>
      <w:autoSpaceDE w:val="0"/>
      <w:autoSpaceDN w:val="0"/>
      <w:spacing w:after="0" w:line="240" w:lineRule="auto"/>
      <w:ind w:firstLineChars="200" w:firstLine="200"/>
      <w:jc w:val="both"/>
    </w:pPr>
    <w:rPr>
      <w:rFonts w:ascii="宋体"/>
      <w:noProof/>
      <w:sz w:val="21"/>
    </w:rPr>
  </w:style>
  <w:style w:type="character" w:customStyle="1" w:styleId="Char">
    <w:name w:val="标准文件_段 Char"/>
    <w:link w:val="a8"/>
    <w:qFormat/>
    <w:rsid w:val="00A87138"/>
    <w:rPr>
      <w:rFonts w:ascii="宋体"/>
      <w:noProof/>
      <w:sz w:val="21"/>
    </w:rPr>
  </w:style>
  <w:style w:type="table" w:styleId="a9">
    <w:name w:val="Table Grid"/>
    <w:basedOn w:val="a1"/>
    <w:rsid w:val="00E170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qFormat/>
    <w:rsid w:val="00250B70"/>
    <w:pPr>
      <w:spacing w:after="120" w:line="240" w:lineRule="auto"/>
      <w:ind w:firstLineChars="200" w:firstLine="723"/>
    </w:pPr>
    <w:rPr>
      <w:rFonts w:eastAsia="仿宋_GB2312" w:cstheme="minorBidi"/>
      <w:sz w:val="32"/>
      <w:szCs w:val="32"/>
    </w:rPr>
  </w:style>
  <w:style w:type="character" w:customStyle="1" w:styleId="ab">
    <w:name w:val="正文文本 字符"/>
    <w:basedOn w:val="a0"/>
    <w:link w:val="aa"/>
    <w:rsid w:val="00250B70"/>
    <w:rPr>
      <w:rFonts w:eastAsia="仿宋_GB2312" w:cstheme="minorBidi"/>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8</Pages>
  <Words>2641</Words>
  <Characters>2879</Characters>
  <Application>Microsoft Office Word</Application>
  <DocSecurity>0</DocSecurity>
  <Lines>151</Lines>
  <Paragraphs>128</Paragraphs>
  <ScaleCrop>false</ScaleCrop>
  <Company/>
  <LinksUpToDate>false</LinksUpToDate>
  <CharactersWithSpaces>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ZHQ</dc:creator>
  <cp:lastModifiedBy>张鑫</cp:lastModifiedBy>
  <cp:revision>57</cp:revision>
  <dcterms:created xsi:type="dcterms:W3CDTF">2022-04-24T14:35:00Z</dcterms:created>
  <dcterms:modified xsi:type="dcterms:W3CDTF">2025-08-22T08:13:00Z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