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FEAF" w14:textId="77777777" w:rsidR="004C5011" w:rsidRDefault="00000000">
      <w:pP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附件4：</w:t>
      </w:r>
    </w:p>
    <w:p w14:paraId="4A3F53F9" w14:textId="535FE358" w:rsidR="004C5011" w:rsidRPr="007D3ECF" w:rsidRDefault="00000000" w:rsidP="007D3ECF">
      <w:pPr>
        <w:widowControl/>
        <w:jc w:val="center"/>
        <w:rPr>
          <w:rFonts w:eastAsia="黑体"/>
          <w:sz w:val="28"/>
          <w:szCs w:val="28"/>
        </w:rPr>
      </w:pPr>
      <w:r>
        <w:rPr>
          <w:rFonts w:eastAsia="黑体" w:hint="eastAsia"/>
          <w:sz w:val="28"/>
          <w:szCs w:val="28"/>
        </w:rPr>
        <w:t>中汽协会《</w:t>
      </w:r>
      <w:r w:rsidR="001B0625" w:rsidRPr="001B0625">
        <w:rPr>
          <w:rFonts w:eastAsia="黑体" w:hint="eastAsia"/>
          <w:sz w:val="28"/>
          <w:szCs w:val="28"/>
        </w:rPr>
        <w:t>智能网联汽车</w:t>
      </w:r>
      <w:r w:rsidR="001B0625" w:rsidRPr="001B0625">
        <w:rPr>
          <w:rFonts w:eastAsia="黑体" w:hint="eastAsia"/>
          <w:sz w:val="28"/>
          <w:szCs w:val="28"/>
        </w:rPr>
        <w:t xml:space="preserve"> </w:t>
      </w:r>
      <w:r w:rsidR="001B0625" w:rsidRPr="001B0625">
        <w:rPr>
          <w:rFonts w:eastAsia="黑体" w:hint="eastAsia"/>
          <w:sz w:val="28"/>
          <w:szCs w:val="28"/>
        </w:rPr>
        <w:t>感知功能评价测试设备：快递三轮车目标物要求</w:t>
      </w:r>
      <w:r>
        <w:rPr>
          <w:rFonts w:eastAsia="黑体" w:hint="eastAsia"/>
          <w:sz w:val="28"/>
          <w:szCs w:val="28"/>
        </w:rPr>
        <w:t>》团体标准编制说明</w:t>
      </w:r>
    </w:p>
    <w:p w14:paraId="7A854DEC" w14:textId="77777777" w:rsidR="004C5011" w:rsidRDefault="00000000">
      <w:pPr>
        <w:numPr>
          <w:ilvl w:val="0"/>
          <w:numId w:val="1"/>
        </w:num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工作简要过程</w:t>
      </w:r>
    </w:p>
    <w:p w14:paraId="670B4819" w14:textId="77777777" w:rsidR="004C5011" w:rsidRDefault="00000000">
      <w:pPr>
        <w:numPr>
          <w:ilvl w:val="0"/>
          <w:numId w:val="2"/>
        </w:numP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任务来源</w:t>
      </w:r>
    </w:p>
    <w:p w14:paraId="4CF840C5" w14:textId="77777777" w:rsidR="00A87138" w:rsidRPr="00A414FA" w:rsidRDefault="00E154EF" w:rsidP="00A87138">
      <w:pPr>
        <w:pStyle w:val="a8"/>
        <w:spacing w:line="360" w:lineRule="auto"/>
        <w:ind w:firstLine="480"/>
        <w:rPr>
          <w:rFonts w:asciiTheme="minorEastAsia" w:eastAsiaTheme="minorEastAsia" w:hAnsiTheme="minorEastAsia" w:hint="eastAsia"/>
          <w:sz w:val="24"/>
          <w:szCs w:val="24"/>
        </w:rPr>
      </w:pPr>
      <w:r w:rsidRPr="00A414FA">
        <w:rPr>
          <w:rFonts w:asciiTheme="minorEastAsia" w:eastAsiaTheme="minorEastAsia" w:hAnsiTheme="minorEastAsia" w:hint="eastAsia"/>
          <w:sz w:val="24"/>
          <w:szCs w:val="24"/>
        </w:rPr>
        <w:t>为落实《</w:t>
      </w:r>
      <w:r w:rsidRPr="00A414FA">
        <w:rPr>
          <w:rFonts w:asciiTheme="minorEastAsia" w:eastAsiaTheme="minorEastAsia" w:hAnsiTheme="minorEastAsia"/>
          <w:sz w:val="24"/>
          <w:szCs w:val="24"/>
        </w:rPr>
        <w:t>智能汽车创新发展战略》</w:t>
      </w:r>
      <w:r w:rsidRPr="00A414FA">
        <w:rPr>
          <w:rFonts w:asciiTheme="minorEastAsia" w:eastAsiaTheme="minorEastAsia" w:hAnsiTheme="minorEastAsia" w:hint="eastAsia"/>
          <w:sz w:val="24"/>
          <w:szCs w:val="24"/>
        </w:rPr>
        <w:t>，</w:t>
      </w:r>
      <w:r w:rsidRPr="00A414FA">
        <w:rPr>
          <w:rFonts w:asciiTheme="minorEastAsia" w:eastAsiaTheme="minorEastAsia" w:hAnsiTheme="minorEastAsia"/>
          <w:sz w:val="24"/>
          <w:szCs w:val="24"/>
        </w:rPr>
        <w:t>建设中国标准智能汽车和实现智能汽车强国的战略目标，以及构建协同开放的技术创新体系</w:t>
      </w:r>
      <w:r w:rsidRPr="00A414FA">
        <w:rPr>
          <w:rFonts w:asciiTheme="minorEastAsia" w:eastAsiaTheme="minorEastAsia" w:hAnsiTheme="minorEastAsia" w:hint="eastAsia"/>
          <w:sz w:val="24"/>
          <w:szCs w:val="24"/>
        </w:rPr>
        <w:t>，在广泛征集需求并经专家评审基础上，由中国汽车工业协会下达2025年团体标准制修订计划项目，并委托本标准由中国汽车工程研究院股份有限公司牵头研制。文件号为中汽协函字[2025]206号。</w:t>
      </w:r>
    </w:p>
    <w:p w14:paraId="43656D56" w14:textId="795BAC91" w:rsidR="00A87138" w:rsidRPr="00A414FA" w:rsidRDefault="00A87138" w:rsidP="00A87138">
      <w:pPr>
        <w:pStyle w:val="a8"/>
        <w:spacing w:line="360" w:lineRule="auto"/>
        <w:ind w:firstLine="480"/>
        <w:rPr>
          <w:rFonts w:asciiTheme="minorEastAsia" w:eastAsiaTheme="minorEastAsia" w:hAnsiTheme="minorEastAsia" w:hint="eastAsia"/>
          <w:noProof w:val="0"/>
          <w:kern w:val="2"/>
          <w:sz w:val="24"/>
          <w:szCs w:val="24"/>
        </w:rPr>
      </w:pPr>
      <w:r w:rsidRPr="00A414FA">
        <w:rPr>
          <w:rFonts w:asciiTheme="minorEastAsia" w:eastAsiaTheme="minorEastAsia" w:hAnsiTheme="minorEastAsia"/>
          <w:sz w:val="24"/>
          <w:szCs w:val="24"/>
        </w:rPr>
        <w:t>快递三轮车是中国道路场景中极其普遍且独特的弱势交通参与者（VRU - Vulnerable Road User）。尤其在城区、小区、商业区末端配送场景中，其数量庞大，行为模式复杂（如逆行、突然转弯、占用机动车道、夜间行驶等）</w:t>
      </w:r>
      <w:r w:rsidRPr="00A414FA">
        <w:rPr>
          <w:rFonts w:asciiTheme="minorEastAsia" w:eastAsiaTheme="minorEastAsia" w:hAnsiTheme="minorEastAsia" w:hint="eastAsia"/>
          <w:sz w:val="24"/>
          <w:szCs w:val="24"/>
        </w:rPr>
        <w:t>。动态行为也与其他车辆或行人存在明显差异。现有的感知系统在检测和识别快递三轮车的尺寸形状、反射特性、动态行为等对智能网联车辆算法功能提出挑战。现在的测试规程中，专门对快递三轮车目标物的测试场景也有所缺失。随着自动驾驶级别提升和商业化的加速落地，确保智能网联汽车可以安全的、可靠的处理与快递三轮车之间的交互至关重要，需要对此类目标进行测试来降低相关的交通事故概率，加速智能网联汽车发展进程。</w:t>
      </w:r>
    </w:p>
    <w:p w14:paraId="7E61D007" w14:textId="716154D6" w:rsidR="004C5011" w:rsidRPr="00A414FA" w:rsidRDefault="008A094C" w:rsidP="00CA53FE">
      <w:pPr>
        <w:pStyle w:val="a8"/>
        <w:spacing w:line="360" w:lineRule="auto"/>
        <w:ind w:firstLine="480"/>
        <w:rPr>
          <w:rFonts w:asciiTheme="minorEastAsia" w:eastAsiaTheme="minorEastAsia" w:hAnsiTheme="minorEastAsia" w:hint="eastAsia"/>
          <w:noProof w:val="0"/>
          <w:kern w:val="2"/>
          <w:sz w:val="24"/>
          <w:szCs w:val="24"/>
        </w:rPr>
      </w:pPr>
      <w:r w:rsidRPr="00A414FA">
        <w:rPr>
          <w:rFonts w:asciiTheme="minorEastAsia" w:eastAsiaTheme="minorEastAsia" w:hAnsiTheme="minorEastAsia" w:hint="eastAsia"/>
          <w:noProof w:val="0"/>
          <w:kern w:val="2"/>
          <w:sz w:val="24"/>
          <w:szCs w:val="24"/>
        </w:rPr>
        <w:t>本标准从快递三轮车的物理特性入手，深入研究快递三轮车的物理尺寸、外观结构、RCS反射特性等特点，并建立技术要求和检测方法。通过本标准将建立统一的快递三轮车目标物标准，为智能网联汽车感知功能评价及国家及行业提供测试场景、测试设备支撑，帮助主机厂开发更具有效性的感知功能。</w:t>
      </w:r>
    </w:p>
    <w:p w14:paraId="097695C8" w14:textId="77777777" w:rsidR="004C5011" w:rsidRDefault="00000000">
      <w:pPr>
        <w:numPr>
          <w:ilvl w:val="0"/>
          <w:numId w:val="2"/>
        </w:numP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主要起草单位及任务分工</w:t>
      </w:r>
    </w:p>
    <w:p w14:paraId="4FEBF67E" w14:textId="3424B771" w:rsidR="008A094C" w:rsidRPr="00A414FA" w:rsidRDefault="008A094C" w:rsidP="008A094C">
      <w:pPr>
        <w:spacing w:line="360" w:lineRule="auto"/>
        <w:ind w:left="360"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本标准由中国汽车工业协会提出，中国汽车工程研究院股份有限公司牵头，北京市计量检测科学研究院、浙江省质量科学研究院</w:t>
      </w:r>
      <w:r w:rsidR="0086313C" w:rsidRPr="00A414FA">
        <w:rPr>
          <w:rFonts w:asciiTheme="minorEastAsia" w:eastAsiaTheme="minorEastAsia" w:hAnsiTheme="minorEastAsia" w:hint="eastAsia"/>
          <w:sz w:val="24"/>
        </w:rPr>
        <w:t>、北京市质量监督检验研究院</w:t>
      </w:r>
      <w:r w:rsidR="00715B14">
        <w:rPr>
          <w:rFonts w:asciiTheme="minorEastAsia" w:eastAsiaTheme="minorEastAsia" w:hAnsiTheme="minorEastAsia" w:hint="eastAsia"/>
          <w:sz w:val="24"/>
        </w:rPr>
        <w:t>、</w:t>
      </w:r>
      <w:r w:rsidRPr="00A414FA">
        <w:rPr>
          <w:rFonts w:asciiTheme="minorEastAsia" w:eastAsiaTheme="minorEastAsia" w:hAnsiTheme="minorEastAsia" w:hint="eastAsia"/>
          <w:sz w:val="24"/>
        </w:rPr>
        <w:t>中国计量科学研究院、湖南大学、北京交通大学</w:t>
      </w:r>
      <w:r w:rsidR="00FE0A21">
        <w:rPr>
          <w:rFonts w:asciiTheme="minorEastAsia" w:eastAsiaTheme="minorEastAsia" w:hAnsiTheme="minorEastAsia" w:hint="eastAsia"/>
          <w:sz w:val="24"/>
        </w:rPr>
        <w:t>、</w:t>
      </w:r>
      <w:r w:rsidR="00FE0A21" w:rsidRPr="00A414FA">
        <w:rPr>
          <w:rFonts w:asciiTheme="minorEastAsia" w:eastAsiaTheme="minorEastAsia" w:hAnsiTheme="minorEastAsia" w:hint="eastAsia"/>
          <w:sz w:val="24"/>
        </w:rPr>
        <w:t>重庆大学</w:t>
      </w:r>
      <w:r w:rsidRPr="00A414FA">
        <w:rPr>
          <w:rFonts w:asciiTheme="minorEastAsia" w:eastAsiaTheme="minorEastAsia" w:hAnsiTheme="minorEastAsia" w:hint="eastAsia"/>
          <w:sz w:val="24"/>
        </w:rPr>
        <w:t>、</w:t>
      </w:r>
      <w:r w:rsidRPr="00A414FA">
        <w:rPr>
          <w:rFonts w:asciiTheme="minorEastAsia" w:eastAsiaTheme="minorEastAsia" w:hAnsiTheme="minorEastAsia" w:hint="eastAsia"/>
          <w:sz w:val="24"/>
        </w:rPr>
        <w:lastRenderedPageBreak/>
        <w:t>湖南大学、赛力斯汽车有限公司、上汽通用五菱汽车股份有限公司、</w:t>
      </w:r>
      <w:r w:rsidR="00225AE6" w:rsidRPr="00A414FA">
        <w:rPr>
          <w:rFonts w:asciiTheme="minorEastAsia" w:eastAsiaTheme="minorEastAsia" w:hAnsiTheme="minorEastAsia" w:hint="eastAsia"/>
          <w:sz w:val="24"/>
        </w:rPr>
        <w:t>长城汽车股份有限公司、重庆长安汽车股份有限公司、</w:t>
      </w:r>
      <w:r w:rsidR="00225AE6" w:rsidRPr="00225AE6">
        <w:rPr>
          <w:rFonts w:asciiTheme="minorEastAsia" w:eastAsiaTheme="minorEastAsia" w:hAnsiTheme="minorEastAsia" w:hint="eastAsia"/>
          <w:sz w:val="24"/>
        </w:rPr>
        <w:t>北京汽车研究总院有限公司</w:t>
      </w:r>
      <w:r w:rsidR="00225AE6">
        <w:rPr>
          <w:rFonts w:asciiTheme="minorEastAsia" w:eastAsiaTheme="minorEastAsia" w:hAnsiTheme="minorEastAsia" w:hint="eastAsia"/>
          <w:sz w:val="24"/>
        </w:rPr>
        <w:t>、</w:t>
      </w:r>
      <w:r w:rsidR="00A44E61" w:rsidRPr="00A414FA">
        <w:rPr>
          <w:rFonts w:asciiTheme="minorEastAsia" w:eastAsiaTheme="minorEastAsia" w:hAnsiTheme="minorEastAsia" w:hint="eastAsia"/>
          <w:sz w:val="24"/>
        </w:rPr>
        <w:t>奇瑞汽车股份有限公司、</w:t>
      </w:r>
      <w:r w:rsidRPr="00A414FA">
        <w:rPr>
          <w:rFonts w:asciiTheme="minorEastAsia" w:eastAsiaTheme="minorEastAsia" w:hAnsiTheme="minorEastAsia" w:hint="eastAsia"/>
          <w:sz w:val="24"/>
        </w:rPr>
        <w:t>云南交通职业技术学院、江苏大学</w:t>
      </w:r>
      <w:r w:rsidR="00A44E61" w:rsidRPr="00A414FA">
        <w:rPr>
          <w:rFonts w:asciiTheme="minorEastAsia" w:eastAsiaTheme="minorEastAsia" w:hAnsiTheme="minorEastAsia" w:hint="eastAsia"/>
          <w:sz w:val="24"/>
        </w:rPr>
        <w:t>、湖南仕博测试技术有限公司</w:t>
      </w:r>
      <w:r w:rsidR="00A44E61">
        <w:rPr>
          <w:rFonts w:asciiTheme="minorEastAsia" w:eastAsiaTheme="minorEastAsia" w:hAnsiTheme="minorEastAsia" w:hint="eastAsia"/>
          <w:sz w:val="24"/>
        </w:rPr>
        <w:t>、</w:t>
      </w:r>
      <w:r w:rsidRPr="00A414FA">
        <w:rPr>
          <w:rFonts w:asciiTheme="minorEastAsia" w:eastAsiaTheme="minorEastAsia" w:hAnsiTheme="minorEastAsia" w:hint="eastAsia"/>
          <w:sz w:val="24"/>
        </w:rPr>
        <w:t>深圳市速腾聚创科技有限公司</w:t>
      </w:r>
      <w:r w:rsidR="008B4022" w:rsidRPr="00A414FA">
        <w:rPr>
          <w:rFonts w:asciiTheme="minorEastAsia" w:eastAsiaTheme="minorEastAsia" w:hAnsiTheme="minorEastAsia" w:hint="eastAsia"/>
          <w:sz w:val="24"/>
        </w:rPr>
        <w:t>、</w:t>
      </w:r>
      <w:r w:rsidR="0064438A" w:rsidRPr="00A414FA">
        <w:rPr>
          <w:rFonts w:asciiTheme="minorEastAsia" w:eastAsiaTheme="minorEastAsia" w:hAnsiTheme="minorEastAsia" w:hint="eastAsia"/>
          <w:sz w:val="24"/>
        </w:rPr>
        <w:t>中汽院智能网联科技有限公司</w:t>
      </w:r>
      <w:r w:rsidR="005A7152" w:rsidRPr="00A414FA">
        <w:rPr>
          <w:rFonts w:asciiTheme="minorEastAsia" w:eastAsiaTheme="minorEastAsia" w:hAnsiTheme="minorEastAsia" w:hint="eastAsia"/>
          <w:sz w:val="24"/>
        </w:rPr>
        <w:t>、</w:t>
      </w:r>
      <w:r w:rsidR="00844BCE">
        <w:rPr>
          <w:rFonts w:asciiTheme="minorEastAsia" w:eastAsiaTheme="minorEastAsia" w:hAnsiTheme="minorEastAsia" w:hint="eastAsia"/>
          <w:sz w:val="24"/>
        </w:rPr>
        <w:t>大连理工大学、</w:t>
      </w:r>
      <w:r w:rsidR="005A7152" w:rsidRPr="00A414FA">
        <w:rPr>
          <w:rFonts w:asciiTheme="minorEastAsia" w:eastAsiaTheme="minorEastAsia" w:hAnsiTheme="minorEastAsia" w:hint="eastAsia"/>
          <w:sz w:val="24"/>
        </w:rPr>
        <w:t>广东汽车检测中心有限公司</w:t>
      </w:r>
      <w:r w:rsidR="002E7E56" w:rsidRPr="00A414FA">
        <w:rPr>
          <w:rFonts w:asciiTheme="minorEastAsia" w:eastAsiaTheme="minorEastAsia" w:hAnsiTheme="minorEastAsia" w:hint="eastAsia"/>
          <w:sz w:val="24"/>
        </w:rPr>
        <w:t>2</w:t>
      </w:r>
      <w:r w:rsidR="00467596">
        <w:rPr>
          <w:rFonts w:asciiTheme="minorEastAsia" w:eastAsiaTheme="minorEastAsia" w:hAnsiTheme="minorEastAsia" w:hint="eastAsia"/>
          <w:sz w:val="24"/>
        </w:rPr>
        <w:t>1</w:t>
      </w:r>
      <w:r w:rsidRPr="00A414FA">
        <w:rPr>
          <w:rFonts w:asciiTheme="minorEastAsia" w:eastAsiaTheme="minorEastAsia" w:hAnsiTheme="minorEastAsia" w:hint="eastAsia"/>
          <w:sz w:val="24"/>
        </w:rPr>
        <w:t>家单位</w:t>
      </w:r>
      <w:r w:rsidR="008060E0" w:rsidRPr="00A414FA">
        <w:rPr>
          <w:rFonts w:asciiTheme="minorEastAsia" w:eastAsiaTheme="minorEastAsia" w:hAnsiTheme="minorEastAsia" w:hint="eastAsia"/>
          <w:sz w:val="24"/>
        </w:rPr>
        <w:t>联合编制。</w:t>
      </w:r>
    </w:p>
    <w:p w14:paraId="7F343440" w14:textId="4521CCBE" w:rsidR="004C5011" w:rsidRPr="00A414FA" w:rsidRDefault="00E1705E" w:rsidP="00E1705E">
      <w:pPr>
        <w:ind w:left="420" w:firstLine="42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本文件的主要起草人及其所做工作简要介绍如表</w:t>
      </w:r>
      <w:r w:rsidRPr="00A414FA">
        <w:rPr>
          <w:rFonts w:asciiTheme="minorEastAsia" w:eastAsiaTheme="minorEastAsia" w:hAnsiTheme="minorEastAsia" w:cs="仿宋"/>
          <w:color w:val="000000" w:themeColor="text1"/>
          <w:sz w:val="24"/>
        </w:rPr>
        <w:t>1</w:t>
      </w:r>
      <w:r w:rsidRPr="00A414FA">
        <w:rPr>
          <w:rFonts w:asciiTheme="minorEastAsia" w:eastAsiaTheme="minorEastAsia" w:hAnsiTheme="minorEastAsia" w:cs="仿宋" w:hint="eastAsia"/>
          <w:color w:val="000000" w:themeColor="text1"/>
          <w:sz w:val="24"/>
        </w:rPr>
        <w:t>所示：</w:t>
      </w:r>
    </w:p>
    <w:tbl>
      <w:tblPr>
        <w:tblStyle w:val="a9"/>
        <w:tblW w:w="0" w:type="auto"/>
        <w:tblInd w:w="420" w:type="dxa"/>
        <w:tblLook w:val="04A0" w:firstRow="1" w:lastRow="0" w:firstColumn="1" w:lastColumn="0" w:noHBand="0" w:noVBand="1"/>
      </w:tblPr>
      <w:tblGrid>
        <w:gridCol w:w="2705"/>
        <w:gridCol w:w="2692"/>
        <w:gridCol w:w="2705"/>
      </w:tblGrid>
      <w:tr w:rsidR="00E1705E" w:rsidRPr="00A414FA" w14:paraId="6F0D309D" w14:textId="77777777" w:rsidTr="00994D7F">
        <w:tc>
          <w:tcPr>
            <w:tcW w:w="2705" w:type="dxa"/>
          </w:tcPr>
          <w:p w14:paraId="7CE6D2BD" w14:textId="7C3A9B19" w:rsidR="00E1705E" w:rsidRPr="00A414FA" w:rsidRDefault="00E1705E"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主要起草人</w:t>
            </w:r>
          </w:p>
        </w:tc>
        <w:tc>
          <w:tcPr>
            <w:tcW w:w="2692" w:type="dxa"/>
          </w:tcPr>
          <w:p w14:paraId="3E2F94FF" w14:textId="6189665D" w:rsidR="00E1705E" w:rsidRPr="00A414FA" w:rsidRDefault="00E1705E"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工作单位</w:t>
            </w:r>
          </w:p>
        </w:tc>
        <w:tc>
          <w:tcPr>
            <w:tcW w:w="2705" w:type="dxa"/>
          </w:tcPr>
          <w:p w14:paraId="4273C9B0" w14:textId="0F51CADE" w:rsidR="00E1705E" w:rsidRPr="00A414FA" w:rsidRDefault="00E1705E"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主要工作</w:t>
            </w:r>
          </w:p>
        </w:tc>
      </w:tr>
      <w:tr w:rsidR="00E1705E" w:rsidRPr="00A414FA" w14:paraId="0C4E0951" w14:textId="77777777" w:rsidTr="00776CA5">
        <w:tc>
          <w:tcPr>
            <w:tcW w:w="2705" w:type="dxa"/>
            <w:vAlign w:val="center"/>
          </w:tcPr>
          <w:p w14:paraId="680EE268" w14:textId="0ECEBFA1" w:rsidR="00E1705E" w:rsidRPr="00A414FA" w:rsidRDefault="00E1705E"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张鑫、李艺、李立凯、潘登</w:t>
            </w:r>
          </w:p>
        </w:tc>
        <w:tc>
          <w:tcPr>
            <w:tcW w:w="2692" w:type="dxa"/>
            <w:vAlign w:val="center"/>
          </w:tcPr>
          <w:p w14:paraId="1E1094DD" w14:textId="5011CA91" w:rsidR="00E1705E" w:rsidRPr="00A414FA" w:rsidRDefault="00E1705E"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中国汽车工程研究院股份有限公司</w:t>
            </w:r>
          </w:p>
        </w:tc>
        <w:tc>
          <w:tcPr>
            <w:tcW w:w="2705" w:type="dxa"/>
          </w:tcPr>
          <w:p w14:paraId="7D2B9708" w14:textId="7635F680" w:rsidR="00E1705E" w:rsidRPr="00A414FA" w:rsidRDefault="00E1705E"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总体框架、总体内容和全面把握，</w:t>
            </w:r>
            <w:r w:rsidR="0050542B" w:rsidRPr="00A414FA">
              <w:rPr>
                <w:rFonts w:asciiTheme="minorEastAsia" w:eastAsiaTheme="minorEastAsia" w:hAnsiTheme="minorEastAsia" w:cs="仿宋" w:hint="eastAsia"/>
                <w:color w:val="000000" w:themeColor="text1"/>
                <w:szCs w:val="21"/>
              </w:rPr>
              <w:t>草案文本编写</w:t>
            </w:r>
            <w:r w:rsidR="0050227D" w:rsidRPr="00A414FA">
              <w:rPr>
                <w:rFonts w:asciiTheme="minorEastAsia" w:eastAsiaTheme="minorEastAsia" w:hAnsiTheme="minorEastAsia" w:cs="仿宋" w:hint="eastAsia"/>
                <w:color w:val="000000" w:themeColor="text1"/>
                <w:szCs w:val="21"/>
              </w:rPr>
              <w:t>、修改</w:t>
            </w:r>
            <w:r w:rsidR="0050542B" w:rsidRPr="00A414FA">
              <w:rPr>
                <w:rFonts w:asciiTheme="minorEastAsia" w:eastAsiaTheme="minorEastAsia" w:hAnsiTheme="minorEastAsia" w:cs="仿宋" w:hint="eastAsia"/>
                <w:color w:val="000000" w:themeColor="text1"/>
                <w:szCs w:val="21"/>
              </w:rPr>
              <w:t>，</w:t>
            </w:r>
            <w:r w:rsidRPr="00A414FA">
              <w:rPr>
                <w:rFonts w:asciiTheme="minorEastAsia" w:eastAsiaTheme="minorEastAsia" w:hAnsiTheme="minorEastAsia" w:cs="仿宋" w:hint="eastAsia"/>
                <w:color w:val="000000" w:themeColor="text1"/>
                <w:szCs w:val="21"/>
              </w:rPr>
              <w:t>对现有国内外相关标准法规、技术路线、指标以及相关联性进行梳理，负责与其他汽车制造商和供应商的沟通协调，并协助组织技术研讨会，参与标准的实际测试和应用，确保标准的实用性和可行性</w:t>
            </w:r>
          </w:p>
        </w:tc>
      </w:tr>
      <w:tr w:rsidR="00E1705E" w:rsidRPr="00A414FA" w14:paraId="60519025" w14:textId="77777777" w:rsidTr="00776CA5">
        <w:tc>
          <w:tcPr>
            <w:tcW w:w="2705" w:type="dxa"/>
            <w:vAlign w:val="center"/>
          </w:tcPr>
          <w:p w14:paraId="28C82232" w14:textId="63B4E794" w:rsidR="00E1705E"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戴金洲</w:t>
            </w:r>
          </w:p>
        </w:tc>
        <w:tc>
          <w:tcPr>
            <w:tcW w:w="2692" w:type="dxa"/>
            <w:vAlign w:val="center"/>
          </w:tcPr>
          <w:p w14:paraId="20D4B3BB" w14:textId="0BB4D3C1" w:rsidR="00E1705E"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北京市计量检测科学研究院</w:t>
            </w:r>
          </w:p>
        </w:tc>
        <w:tc>
          <w:tcPr>
            <w:tcW w:w="2705" w:type="dxa"/>
          </w:tcPr>
          <w:p w14:paraId="1AFFBF10" w14:textId="077549B0" w:rsidR="00E1705E" w:rsidRPr="00A414FA" w:rsidRDefault="00A77307" w:rsidP="00E1705E">
            <w:pPr>
              <w:rPr>
                <w:rFonts w:asciiTheme="minorEastAsia" w:eastAsiaTheme="minorEastAsia" w:hAnsiTheme="minorEastAsia" w:cs="仿宋" w:hint="eastAsia"/>
                <w:color w:val="000000" w:themeColor="text1"/>
                <w:sz w:val="24"/>
              </w:rPr>
            </w:pPr>
            <w:bookmarkStart w:id="0" w:name="OLE_LINK1"/>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bookmarkEnd w:id="0"/>
          </w:p>
        </w:tc>
      </w:tr>
      <w:tr w:rsidR="00E1705E" w:rsidRPr="00A414FA" w14:paraId="069B7DF9" w14:textId="77777777" w:rsidTr="00776CA5">
        <w:tc>
          <w:tcPr>
            <w:tcW w:w="2705" w:type="dxa"/>
            <w:vAlign w:val="center"/>
          </w:tcPr>
          <w:p w14:paraId="3413B249" w14:textId="429BBD55" w:rsidR="00E1705E"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邵建文、赵存彬</w:t>
            </w:r>
          </w:p>
        </w:tc>
        <w:tc>
          <w:tcPr>
            <w:tcW w:w="2692" w:type="dxa"/>
            <w:vAlign w:val="center"/>
          </w:tcPr>
          <w:p w14:paraId="72AB6200" w14:textId="41E919B5" w:rsidR="00E1705E"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浙江省质量科学研究院</w:t>
            </w:r>
          </w:p>
        </w:tc>
        <w:tc>
          <w:tcPr>
            <w:tcW w:w="2705" w:type="dxa"/>
          </w:tcPr>
          <w:p w14:paraId="33DB7EC8" w14:textId="373775B8" w:rsidR="00E1705E"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E1705E" w:rsidRPr="00A414FA" w14:paraId="2CAD16C2" w14:textId="77777777" w:rsidTr="00776CA5">
        <w:tc>
          <w:tcPr>
            <w:tcW w:w="2705" w:type="dxa"/>
            <w:vAlign w:val="center"/>
          </w:tcPr>
          <w:p w14:paraId="163C7F98" w14:textId="1740DF97" w:rsidR="00E1705E"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方哲</w:t>
            </w:r>
          </w:p>
        </w:tc>
        <w:tc>
          <w:tcPr>
            <w:tcW w:w="2692" w:type="dxa"/>
            <w:vAlign w:val="center"/>
          </w:tcPr>
          <w:p w14:paraId="29F79E4C" w14:textId="57F31C1F" w:rsidR="00E1705E"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北京市质量监督检验研究院</w:t>
            </w:r>
          </w:p>
        </w:tc>
        <w:tc>
          <w:tcPr>
            <w:tcW w:w="2705" w:type="dxa"/>
          </w:tcPr>
          <w:p w14:paraId="1B80864E" w14:textId="7C7AF5D8" w:rsidR="00E1705E"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94D7F" w:rsidRPr="00A414FA" w14:paraId="5C95E669" w14:textId="77777777" w:rsidTr="00776CA5">
        <w:tc>
          <w:tcPr>
            <w:tcW w:w="2705" w:type="dxa"/>
            <w:vAlign w:val="center"/>
          </w:tcPr>
          <w:p w14:paraId="35712ABF" w14:textId="163CB10E" w:rsidR="00994D7F"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杜磊</w:t>
            </w:r>
          </w:p>
        </w:tc>
        <w:tc>
          <w:tcPr>
            <w:tcW w:w="2692" w:type="dxa"/>
            <w:vAlign w:val="center"/>
          </w:tcPr>
          <w:p w14:paraId="5181B66E" w14:textId="2342E916" w:rsidR="00994D7F"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中国计量科学研究院</w:t>
            </w:r>
          </w:p>
        </w:tc>
        <w:tc>
          <w:tcPr>
            <w:tcW w:w="2705" w:type="dxa"/>
          </w:tcPr>
          <w:p w14:paraId="78407A04" w14:textId="10988DCE" w:rsidR="00994D7F"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94D7F" w:rsidRPr="00A414FA" w14:paraId="66C0D1B9" w14:textId="77777777" w:rsidTr="00776CA5">
        <w:tc>
          <w:tcPr>
            <w:tcW w:w="2705" w:type="dxa"/>
            <w:vAlign w:val="center"/>
          </w:tcPr>
          <w:p w14:paraId="44DBB73A" w14:textId="315F1889" w:rsidR="00994D7F"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秦兆博</w:t>
            </w:r>
          </w:p>
        </w:tc>
        <w:tc>
          <w:tcPr>
            <w:tcW w:w="2692" w:type="dxa"/>
            <w:vAlign w:val="center"/>
          </w:tcPr>
          <w:p w14:paraId="3C110B74" w14:textId="1A28067D" w:rsidR="00994D7F"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湖南大学</w:t>
            </w:r>
          </w:p>
        </w:tc>
        <w:tc>
          <w:tcPr>
            <w:tcW w:w="2705" w:type="dxa"/>
          </w:tcPr>
          <w:p w14:paraId="74F143BE" w14:textId="208A7868" w:rsidR="00994D7F"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94D7F" w:rsidRPr="00A414FA" w14:paraId="0E103349" w14:textId="77777777" w:rsidTr="00776CA5">
        <w:tc>
          <w:tcPr>
            <w:tcW w:w="2705" w:type="dxa"/>
            <w:vAlign w:val="center"/>
          </w:tcPr>
          <w:p w14:paraId="33A2C7B5" w14:textId="28220FBB" w:rsidR="00994D7F"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李鹏辉</w:t>
            </w:r>
          </w:p>
        </w:tc>
        <w:tc>
          <w:tcPr>
            <w:tcW w:w="2692" w:type="dxa"/>
            <w:vAlign w:val="center"/>
          </w:tcPr>
          <w:p w14:paraId="06D44413" w14:textId="20812B5B" w:rsidR="00994D7F"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北京交通大学</w:t>
            </w:r>
          </w:p>
        </w:tc>
        <w:tc>
          <w:tcPr>
            <w:tcW w:w="2705" w:type="dxa"/>
          </w:tcPr>
          <w:p w14:paraId="184444CD" w14:textId="61B72FA7" w:rsidR="00994D7F"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666138" w:rsidRPr="00A414FA" w14:paraId="48CFB42D" w14:textId="77777777" w:rsidTr="00776CA5">
        <w:tc>
          <w:tcPr>
            <w:tcW w:w="2705" w:type="dxa"/>
            <w:vAlign w:val="center"/>
          </w:tcPr>
          <w:p w14:paraId="34D1D9AE" w14:textId="6EE942DD" w:rsidR="00666138" w:rsidRPr="00A414FA" w:rsidRDefault="00666138" w:rsidP="00666138">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陈刚</w:t>
            </w:r>
          </w:p>
        </w:tc>
        <w:tc>
          <w:tcPr>
            <w:tcW w:w="2692" w:type="dxa"/>
            <w:vAlign w:val="center"/>
          </w:tcPr>
          <w:p w14:paraId="7198C784" w14:textId="05B708C2" w:rsidR="00666138" w:rsidRPr="00A414FA" w:rsidRDefault="00666138" w:rsidP="00666138">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重庆大学</w:t>
            </w:r>
          </w:p>
        </w:tc>
        <w:tc>
          <w:tcPr>
            <w:tcW w:w="2705" w:type="dxa"/>
          </w:tcPr>
          <w:p w14:paraId="0D2B14F5" w14:textId="59D7A050" w:rsidR="00666138" w:rsidRPr="00A414FA" w:rsidRDefault="00666138" w:rsidP="00666138">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rsidRPr="00A414FA" w14:paraId="7350CDFD" w14:textId="77777777" w:rsidTr="00776CA5">
        <w:tc>
          <w:tcPr>
            <w:tcW w:w="2705" w:type="dxa"/>
            <w:vAlign w:val="center"/>
          </w:tcPr>
          <w:p w14:paraId="2F06A932" w14:textId="73AA5C37"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万鑫、李瑜</w:t>
            </w:r>
          </w:p>
        </w:tc>
        <w:tc>
          <w:tcPr>
            <w:tcW w:w="2692" w:type="dxa"/>
            <w:vAlign w:val="center"/>
          </w:tcPr>
          <w:p w14:paraId="2D95A57A" w14:textId="720E5A1F"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赛力斯汽车有限公司</w:t>
            </w:r>
          </w:p>
        </w:tc>
        <w:tc>
          <w:tcPr>
            <w:tcW w:w="2705" w:type="dxa"/>
          </w:tcPr>
          <w:p w14:paraId="60FA09A4" w14:textId="142F85E9" w:rsidR="00776CA5"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w:t>
            </w:r>
            <w:r w:rsidRPr="00A414FA">
              <w:rPr>
                <w:rFonts w:asciiTheme="minorEastAsia" w:eastAsiaTheme="minorEastAsia" w:hAnsiTheme="minorEastAsia" w:cs="仿宋" w:hint="eastAsia"/>
                <w:color w:val="000000" w:themeColor="text1"/>
                <w:szCs w:val="21"/>
              </w:rPr>
              <w:lastRenderedPageBreak/>
              <w:t>以确保标准制定的科学性</w:t>
            </w:r>
          </w:p>
        </w:tc>
      </w:tr>
      <w:tr w:rsidR="00776CA5" w:rsidRPr="00A414FA" w14:paraId="5DEF8F12" w14:textId="77777777" w:rsidTr="00776CA5">
        <w:tc>
          <w:tcPr>
            <w:tcW w:w="2705" w:type="dxa"/>
            <w:vAlign w:val="center"/>
          </w:tcPr>
          <w:p w14:paraId="034C6436" w14:textId="0EE91C3B" w:rsidR="00776CA5" w:rsidRPr="00A414FA" w:rsidRDefault="00E2333C"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lastRenderedPageBreak/>
              <w:t>王哲</w:t>
            </w:r>
            <w:r w:rsidR="00B22599" w:rsidRPr="00A414FA">
              <w:rPr>
                <w:rFonts w:asciiTheme="minorEastAsia" w:eastAsiaTheme="minorEastAsia" w:hAnsiTheme="minorEastAsia" w:cs="仿宋" w:hint="eastAsia"/>
                <w:color w:val="000000" w:themeColor="text1"/>
                <w:szCs w:val="21"/>
              </w:rPr>
              <w:t>、</w:t>
            </w:r>
            <w:r w:rsidRPr="00A414FA">
              <w:rPr>
                <w:rFonts w:asciiTheme="minorEastAsia" w:eastAsiaTheme="minorEastAsia" w:hAnsiTheme="minorEastAsia" w:cs="仿宋" w:hint="eastAsia"/>
                <w:color w:val="000000" w:themeColor="text1"/>
                <w:szCs w:val="21"/>
              </w:rPr>
              <w:t>付广</w:t>
            </w:r>
          </w:p>
        </w:tc>
        <w:tc>
          <w:tcPr>
            <w:tcW w:w="2692" w:type="dxa"/>
            <w:vAlign w:val="center"/>
          </w:tcPr>
          <w:p w14:paraId="24AD11D5" w14:textId="4F2CC704"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上汽通用五菱汽车股份有限公司</w:t>
            </w:r>
          </w:p>
        </w:tc>
        <w:tc>
          <w:tcPr>
            <w:tcW w:w="2705" w:type="dxa"/>
          </w:tcPr>
          <w:p w14:paraId="1E91E449" w14:textId="5D3CC923" w:rsidR="00776CA5"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19F8C2A4" w14:textId="77777777" w:rsidTr="00776CA5">
        <w:tc>
          <w:tcPr>
            <w:tcW w:w="2705" w:type="dxa"/>
            <w:vAlign w:val="center"/>
          </w:tcPr>
          <w:p w14:paraId="0AFFFC89" w14:textId="44AB3338"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魏宏、万亮亮</w:t>
            </w:r>
          </w:p>
        </w:tc>
        <w:tc>
          <w:tcPr>
            <w:tcW w:w="2692" w:type="dxa"/>
            <w:vAlign w:val="center"/>
          </w:tcPr>
          <w:p w14:paraId="1987CF44" w14:textId="2B6C9B68"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长城汽车股份有限公司</w:t>
            </w:r>
          </w:p>
        </w:tc>
        <w:tc>
          <w:tcPr>
            <w:tcW w:w="2705" w:type="dxa"/>
          </w:tcPr>
          <w:p w14:paraId="0A271FB9" w14:textId="66CC2818" w:rsidR="00776CA5"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53CD2C0B" w14:textId="77777777" w:rsidTr="00776CA5">
        <w:tc>
          <w:tcPr>
            <w:tcW w:w="2705" w:type="dxa"/>
            <w:vAlign w:val="center"/>
          </w:tcPr>
          <w:p w14:paraId="2565BDAB" w14:textId="3E363D89"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杨果</w:t>
            </w:r>
          </w:p>
        </w:tc>
        <w:tc>
          <w:tcPr>
            <w:tcW w:w="2692" w:type="dxa"/>
            <w:vAlign w:val="center"/>
          </w:tcPr>
          <w:p w14:paraId="4B2A1120" w14:textId="6F1B50B0"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重庆长安汽车股份有限公司</w:t>
            </w:r>
          </w:p>
        </w:tc>
        <w:tc>
          <w:tcPr>
            <w:tcW w:w="2705" w:type="dxa"/>
          </w:tcPr>
          <w:p w14:paraId="27DFE7D2" w14:textId="40C4E6D8" w:rsidR="00776CA5" w:rsidRPr="00A414FA" w:rsidRDefault="00776CA5" w:rsidP="00E1705E">
            <w:pPr>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7F98E1E8" w14:textId="77777777" w:rsidTr="00776CA5">
        <w:tc>
          <w:tcPr>
            <w:tcW w:w="2705" w:type="dxa"/>
            <w:vAlign w:val="center"/>
          </w:tcPr>
          <w:p w14:paraId="79A72684" w14:textId="6B63F290"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王孔龙、马宽健</w:t>
            </w:r>
          </w:p>
        </w:tc>
        <w:tc>
          <w:tcPr>
            <w:tcW w:w="2692" w:type="dxa"/>
            <w:vAlign w:val="center"/>
          </w:tcPr>
          <w:p w14:paraId="1C7D81DA" w14:textId="06B228AA"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北京汽车研究总院有限公司</w:t>
            </w:r>
          </w:p>
        </w:tc>
        <w:tc>
          <w:tcPr>
            <w:tcW w:w="2705" w:type="dxa"/>
          </w:tcPr>
          <w:p w14:paraId="15EB5141" w14:textId="5B5D1715"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75093459" w14:textId="77777777" w:rsidTr="00776CA5">
        <w:tc>
          <w:tcPr>
            <w:tcW w:w="2705" w:type="dxa"/>
            <w:vAlign w:val="center"/>
          </w:tcPr>
          <w:p w14:paraId="042E3230" w14:textId="5F954B6D"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丁彦辰</w:t>
            </w:r>
          </w:p>
        </w:tc>
        <w:tc>
          <w:tcPr>
            <w:tcW w:w="2692" w:type="dxa"/>
            <w:vAlign w:val="center"/>
          </w:tcPr>
          <w:p w14:paraId="7B4818BA" w14:textId="1BB6BE87"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奇瑞汽车股份有限公司</w:t>
            </w:r>
          </w:p>
        </w:tc>
        <w:tc>
          <w:tcPr>
            <w:tcW w:w="2705" w:type="dxa"/>
          </w:tcPr>
          <w:p w14:paraId="17E987BE" w14:textId="6A718ED7"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20238337" w14:textId="77777777" w:rsidTr="00776CA5">
        <w:tc>
          <w:tcPr>
            <w:tcW w:w="2705" w:type="dxa"/>
            <w:vAlign w:val="center"/>
          </w:tcPr>
          <w:p w14:paraId="65A662AB" w14:textId="5AB01735"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李祎承</w:t>
            </w:r>
          </w:p>
        </w:tc>
        <w:tc>
          <w:tcPr>
            <w:tcW w:w="2692" w:type="dxa"/>
            <w:vAlign w:val="center"/>
          </w:tcPr>
          <w:p w14:paraId="3B241C0E" w14:textId="1D09BB89"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江苏大学</w:t>
            </w:r>
          </w:p>
        </w:tc>
        <w:tc>
          <w:tcPr>
            <w:tcW w:w="2705" w:type="dxa"/>
          </w:tcPr>
          <w:p w14:paraId="73550812" w14:textId="7BF51533"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522D430F" w14:textId="77777777" w:rsidTr="00776CA5">
        <w:tc>
          <w:tcPr>
            <w:tcW w:w="2705" w:type="dxa"/>
            <w:vAlign w:val="center"/>
          </w:tcPr>
          <w:p w14:paraId="18D0BD51" w14:textId="08EB83B9"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张华伟</w:t>
            </w:r>
          </w:p>
        </w:tc>
        <w:tc>
          <w:tcPr>
            <w:tcW w:w="2692" w:type="dxa"/>
            <w:vAlign w:val="center"/>
          </w:tcPr>
          <w:p w14:paraId="1AFB8633" w14:textId="61AEF600"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云南交通运输职业学院</w:t>
            </w:r>
          </w:p>
        </w:tc>
        <w:tc>
          <w:tcPr>
            <w:tcW w:w="2705" w:type="dxa"/>
          </w:tcPr>
          <w:p w14:paraId="3E5807BA" w14:textId="5114F3B4"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48DE9DCF" w14:textId="77777777" w:rsidTr="00776CA5">
        <w:tc>
          <w:tcPr>
            <w:tcW w:w="2705" w:type="dxa"/>
            <w:vAlign w:val="center"/>
          </w:tcPr>
          <w:p w14:paraId="74DFC2CA" w14:textId="66C3CCEA"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欧涛</w:t>
            </w:r>
          </w:p>
        </w:tc>
        <w:tc>
          <w:tcPr>
            <w:tcW w:w="2692" w:type="dxa"/>
            <w:vAlign w:val="center"/>
          </w:tcPr>
          <w:p w14:paraId="4740B9D1" w14:textId="757309D0"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湖南仕博测试技术有限公司</w:t>
            </w:r>
          </w:p>
        </w:tc>
        <w:tc>
          <w:tcPr>
            <w:tcW w:w="2705" w:type="dxa"/>
          </w:tcPr>
          <w:p w14:paraId="19255946" w14:textId="15904788"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3807E1BC" w14:textId="77777777" w:rsidTr="00776CA5">
        <w:tc>
          <w:tcPr>
            <w:tcW w:w="2705" w:type="dxa"/>
            <w:vAlign w:val="center"/>
          </w:tcPr>
          <w:p w14:paraId="3C8BE944" w14:textId="3F85D3D7"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王天舒</w:t>
            </w:r>
          </w:p>
        </w:tc>
        <w:tc>
          <w:tcPr>
            <w:tcW w:w="2692" w:type="dxa"/>
            <w:vAlign w:val="center"/>
          </w:tcPr>
          <w:p w14:paraId="5E80B695" w14:textId="0C6F1DE6"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深圳速腾聚创科技有限公司</w:t>
            </w:r>
          </w:p>
        </w:tc>
        <w:tc>
          <w:tcPr>
            <w:tcW w:w="2705" w:type="dxa"/>
          </w:tcPr>
          <w:p w14:paraId="0AE96D04" w14:textId="17FD045C"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776CA5" w14:paraId="678C556F" w14:textId="77777777" w:rsidTr="00776CA5">
        <w:tc>
          <w:tcPr>
            <w:tcW w:w="2705" w:type="dxa"/>
            <w:vAlign w:val="center"/>
          </w:tcPr>
          <w:p w14:paraId="6B360B1C" w14:textId="141D8C57"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骆文婕</w:t>
            </w:r>
          </w:p>
        </w:tc>
        <w:tc>
          <w:tcPr>
            <w:tcW w:w="2692" w:type="dxa"/>
            <w:vAlign w:val="center"/>
          </w:tcPr>
          <w:p w14:paraId="13550EFC" w14:textId="736334D2" w:rsidR="00776CA5" w:rsidRPr="00A414FA" w:rsidRDefault="00776CA5"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中汽院智能网联科技有限公司</w:t>
            </w:r>
          </w:p>
        </w:tc>
        <w:tc>
          <w:tcPr>
            <w:tcW w:w="2705" w:type="dxa"/>
          </w:tcPr>
          <w:p w14:paraId="412C9CE8" w14:textId="76CAD00B" w:rsidR="00776CA5" w:rsidRPr="00A414FA" w:rsidRDefault="00776CA5"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114261" w14:paraId="7BA599EC" w14:textId="77777777" w:rsidTr="00DF74A2">
        <w:tc>
          <w:tcPr>
            <w:tcW w:w="2705" w:type="dxa"/>
            <w:vAlign w:val="center"/>
          </w:tcPr>
          <w:p w14:paraId="13DDE56F" w14:textId="099DCE5B" w:rsidR="00114261" w:rsidRPr="00A414FA" w:rsidRDefault="009A4188" w:rsidP="00DF74A2">
            <w:pPr>
              <w:jc w:val="center"/>
              <w:rPr>
                <w:rFonts w:asciiTheme="minorEastAsia" w:eastAsiaTheme="minorEastAsia" w:hAnsiTheme="minorEastAsia" w:cs="仿宋" w:hint="eastAsia"/>
                <w:color w:val="000000" w:themeColor="text1"/>
                <w:szCs w:val="21"/>
              </w:rPr>
            </w:pPr>
            <w:r w:rsidRPr="009A4188">
              <w:rPr>
                <w:rFonts w:hint="eastAsia"/>
              </w:rPr>
              <w:t>李琳辉</w:t>
            </w:r>
          </w:p>
        </w:tc>
        <w:tc>
          <w:tcPr>
            <w:tcW w:w="2692" w:type="dxa"/>
            <w:vAlign w:val="center"/>
          </w:tcPr>
          <w:p w14:paraId="42B7860D" w14:textId="615D5A81" w:rsidR="00114261" w:rsidRPr="00A414FA" w:rsidRDefault="00114261" w:rsidP="00DF74A2">
            <w:pPr>
              <w:jc w:val="center"/>
              <w:rPr>
                <w:rFonts w:asciiTheme="minorEastAsia" w:eastAsiaTheme="minorEastAsia" w:hAnsiTheme="minorEastAsia" w:cs="仿宋" w:hint="eastAsia"/>
                <w:color w:val="000000" w:themeColor="text1"/>
                <w:szCs w:val="21"/>
              </w:rPr>
            </w:pPr>
            <w:r>
              <w:rPr>
                <w:rFonts w:hint="eastAsia"/>
              </w:rPr>
              <w:t>大连理工大学</w:t>
            </w:r>
          </w:p>
        </w:tc>
        <w:tc>
          <w:tcPr>
            <w:tcW w:w="2705" w:type="dxa"/>
            <w:vAlign w:val="center"/>
          </w:tcPr>
          <w:p w14:paraId="159E7971" w14:textId="2325BCBE" w:rsidR="00114261" w:rsidRPr="00A414FA" w:rsidRDefault="00114261" w:rsidP="00DF74A2">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67DA1" w14:paraId="68E6736D" w14:textId="77777777" w:rsidTr="00776CA5">
        <w:tc>
          <w:tcPr>
            <w:tcW w:w="2705" w:type="dxa"/>
            <w:vAlign w:val="center"/>
          </w:tcPr>
          <w:p w14:paraId="1CB70FA2" w14:textId="14273D60" w:rsidR="00967DA1" w:rsidRPr="00A414FA" w:rsidRDefault="00967DA1"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杨疑、莫炜杰</w:t>
            </w:r>
          </w:p>
        </w:tc>
        <w:tc>
          <w:tcPr>
            <w:tcW w:w="2692" w:type="dxa"/>
            <w:vAlign w:val="center"/>
          </w:tcPr>
          <w:p w14:paraId="35DF7891" w14:textId="52486C7D" w:rsidR="00967DA1" w:rsidRPr="00A414FA" w:rsidRDefault="00967DA1" w:rsidP="00776CA5">
            <w:pPr>
              <w:jc w:val="cente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广东汽车检测中心有限公司</w:t>
            </w:r>
          </w:p>
        </w:tc>
        <w:tc>
          <w:tcPr>
            <w:tcW w:w="2705" w:type="dxa"/>
          </w:tcPr>
          <w:p w14:paraId="59212DCA" w14:textId="465A21BF" w:rsidR="00967DA1" w:rsidRPr="00A414FA" w:rsidRDefault="00967DA1" w:rsidP="00E1705E">
            <w:pPr>
              <w:rPr>
                <w:rFonts w:asciiTheme="minorEastAsia" w:eastAsiaTheme="minorEastAsia" w:hAnsiTheme="minorEastAsia" w:cs="仿宋" w:hint="eastAsia"/>
                <w:color w:val="000000" w:themeColor="text1"/>
                <w:szCs w:val="21"/>
              </w:rPr>
            </w:pPr>
            <w:r w:rsidRPr="00A414F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bl>
    <w:p w14:paraId="423848BC" w14:textId="77777777" w:rsidR="00E1705E" w:rsidRDefault="00E1705E" w:rsidP="00E1705E">
      <w:pPr>
        <w:ind w:left="420" w:firstLine="420"/>
        <w:rPr>
          <w:rFonts w:ascii="仿宋" w:eastAsia="仿宋" w:hAnsi="仿宋" w:cs="仿宋" w:hint="eastAsia"/>
          <w:color w:val="000000" w:themeColor="text1"/>
          <w:sz w:val="24"/>
        </w:rPr>
      </w:pPr>
    </w:p>
    <w:p w14:paraId="10C582CC" w14:textId="77777777" w:rsidR="004C5011" w:rsidRDefault="00000000">
      <w:pPr>
        <w:numPr>
          <w:ilvl w:val="0"/>
          <w:numId w:val="2"/>
        </w:numP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标准研讨情况</w:t>
      </w:r>
    </w:p>
    <w:p w14:paraId="74B082B3" w14:textId="7195C3CC" w:rsidR="00FE3727" w:rsidRPr="00A414FA" w:rsidRDefault="00FE3727" w:rsidP="00FE3727">
      <w:pPr>
        <w:spacing w:line="360" w:lineRule="auto"/>
        <w:ind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立项阶段：根据工作组要求，2</w:t>
      </w:r>
      <w:r w:rsidRPr="00A414FA">
        <w:rPr>
          <w:rFonts w:asciiTheme="minorEastAsia" w:eastAsiaTheme="minorEastAsia" w:hAnsiTheme="minorEastAsia"/>
          <w:sz w:val="24"/>
        </w:rPr>
        <w:t>02</w:t>
      </w:r>
      <w:r w:rsidRPr="00A414FA">
        <w:rPr>
          <w:rFonts w:asciiTheme="minorEastAsia" w:eastAsiaTheme="minorEastAsia" w:hAnsiTheme="minorEastAsia" w:hint="eastAsia"/>
          <w:sz w:val="24"/>
        </w:rPr>
        <w:t>5年1月13日组建预研标准工作组，涵盖了整车厂、制造商、高校、检测机构等1</w:t>
      </w:r>
      <w:r w:rsidRPr="00A414FA">
        <w:rPr>
          <w:rFonts w:asciiTheme="minorEastAsia" w:eastAsiaTheme="minorEastAsia" w:hAnsiTheme="minorEastAsia"/>
          <w:sz w:val="24"/>
        </w:rPr>
        <w:t>0</w:t>
      </w:r>
      <w:r w:rsidRPr="00A414FA">
        <w:rPr>
          <w:rFonts w:asciiTheme="minorEastAsia" w:eastAsiaTheme="minorEastAsia" w:hAnsiTheme="minorEastAsia" w:hint="eastAsia"/>
          <w:sz w:val="24"/>
        </w:rPr>
        <w:t>余家单位。经过大量对国内外资料的</w:t>
      </w:r>
      <w:r w:rsidRPr="00A414FA">
        <w:rPr>
          <w:rFonts w:asciiTheme="minorEastAsia" w:eastAsiaTheme="minorEastAsia" w:hAnsiTheme="minorEastAsia" w:hint="eastAsia"/>
          <w:sz w:val="24"/>
        </w:rPr>
        <w:lastRenderedPageBreak/>
        <w:t>梳理整理及标准的预研，形成了标准草案的内容及框架结构后，于2025年5月16日进行立项评审，经采纳专家建议及修改草案框架后，于2</w:t>
      </w:r>
      <w:r w:rsidRPr="00A414FA">
        <w:rPr>
          <w:rFonts w:asciiTheme="minorEastAsia" w:eastAsiaTheme="minorEastAsia" w:hAnsiTheme="minorEastAsia"/>
          <w:sz w:val="24"/>
        </w:rPr>
        <w:t>02</w:t>
      </w:r>
      <w:r w:rsidRPr="00A414FA">
        <w:rPr>
          <w:rFonts w:asciiTheme="minorEastAsia" w:eastAsiaTheme="minorEastAsia" w:hAnsiTheme="minorEastAsia" w:hint="eastAsia"/>
          <w:sz w:val="24"/>
        </w:rPr>
        <w:t>5年5月</w:t>
      </w:r>
      <w:r w:rsidRPr="00A414FA">
        <w:rPr>
          <w:rFonts w:asciiTheme="minorEastAsia" w:eastAsiaTheme="minorEastAsia" w:hAnsiTheme="minorEastAsia"/>
          <w:sz w:val="24"/>
        </w:rPr>
        <w:t>2</w:t>
      </w:r>
      <w:r w:rsidRPr="00A414FA">
        <w:rPr>
          <w:rFonts w:asciiTheme="minorEastAsia" w:eastAsiaTheme="minorEastAsia" w:hAnsiTheme="minorEastAsia" w:hint="eastAsia"/>
          <w:sz w:val="24"/>
        </w:rPr>
        <w:t>9日通过中国汽车工业协会的评审并下达计划。</w:t>
      </w:r>
    </w:p>
    <w:p w14:paraId="21859100" w14:textId="1D1AE750" w:rsidR="00FE3727" w:rsidRPr="00A414FA" w:rsidRDefault="00FE3727" w:rsidP="00FE3727">
      <w:pPr>
        <w:spacing w:line="360" w:lineRule="auto"/>
        <w:ind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起草阶段：本标准的立项信息在中国汽车工业协会平台发布后，又有多家单位积极报名参加到本标准工作组，标准工作组收集新加入成员单位的反馈意见和建议，从</w:t>
      </w:r>
      <w:r w:rsidRPr="00A414FA">
        <w:rPr>
          <w:rFonts w:asciiTheme="minorEastAsia" w:eastAsiaTheme="minorEastAsia" w:hAnsiTheme="minorEastAsia"/>
          <w:sz w:val="24"/>
        </w:rPr>
        <w:t>202</w:t>
      </w:r>
      <w:r w:rsidRPr="00A414FA">
        <w:rPr>
          <w:rFonts w:asciiTheme="minorEastAsia" w:eastAsiaTheme="minorEastAsia" w:hAnsiTheme="minorEastAsia" w:hint="eastAsia"/>
          <w:sz w:val="24"/>
        </w:rPr>
        <w:t>5年5月29日至2</w:t>
      </w:r>
      <w:r w:rsidRPr="00A414FA">
        <w:rPr>
          <w:rFonts w:asciiTheme="minorEastAsia" w:eastAsiaTheme="minorEastAsia" w:hAnsiTheme="minorEastAsia"/>
          <w:sz w:val="24"/>
        </w:rPr>
        <w:t>02</w:t>
      </w:r>
      <w:r w:rsidRPr="00A414FA">
        <w:rPr>
          <w:rFonts w:asciiTheme="minorEastAsia" w:eastAsiaTheme="minorEastAsia" w:hAnsiTheme="minorEastAsia" w:hint="eastAsia"/>
          <w:sz w:val="24"/>
        </w:rPr>
        <w:t>5年8月15日，召开1次工作组研讨会议，达成共识，收集意见28条，采纳21条，部分采纳2条，不采纳5条，完善标准草案形成征集意见稿。2</w:t>
      </w:r>
      <w:r w:rsidRPr="00A414FA">
        <w:rPr>
          <w:rFonts w:asciiTheme="minorEastAsia" w:eastAsiaTheme="minorEastAsia" w:hAnsiTheme="minorEastAsia"/>
          <w:sz w:val="24"/>
        </w:rPr>
        <w:t>02</w:t>
      </w:r>
      <w:r w:rsidRPr="00A414FA">
        <w:rPr>
          <w:rFonts w:asciiTheme="minorEastAsia" w:eastAsiaTheme="minorEastAsia" w:hAnsiTheme="minorEastAsia" w:hint="eastAsia"/>
          <w:sz w:val="24"/>
        </w:rPr>
        <w:t>5年8月向中国汽车工业协会，提出进行公开征求意见的申请。</w:t>
      </w:r>
    </w:p>
    <w:p w14:paraId="019CE842" w14:textId="13860621" w:rsidR="00635871" w:rsidRPr="00A414FA" w:rsidRDefault="00635871" w:rsidP="00635871">
      <w:pPr>
        <w:spacing w:line="360" w:lineRule="auto"/>
        <w:rPr>
          <w:rFonts w:asciiTheme="minorEastAsia" w:eastAsiaTheme="minorEastAsia" w:hAnsiTheme="minorEastAsia" w:hint="eastAsia"/>
          <w:sz w:val="24"/>
        </w:rPr>
      </w:pPr>
      <w:r w:rsidRPr="00A414FA">
        <w:rPr>
          <w:rFonts w:asciiTheme="minorEastAsia" w:eastAsiaTheme="minorEastAsia" w:hAnsiTheme="minorEastAsia" w:hint="eastAsia"/>
          <w:sz w:val="24"/>
        </w:rPr>
        <w:t>全文修改描述如下：</w:t>
      </w:r>
    </w:p>
    <w:p w14:paraId="6A8639D7" w14:textId="736657B6"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1）4.5 部分采纳修改“快递三轮车目标物应适用于-40℃至﹢85℃范围 内。目标物性能在-40℃至﹢95℃的存储温度下不应降低。” 此条参考国标，高低温对用胶连接等影响较大，快递三轮车目标物应至少适用于-5℃～﹢45℃范围内。目标物性能在-40℃～﹢80℃的存储温度下不应降低</w:t>
      </w:r>
      <w:r w:rsidR="00B235AE" w:rsidRPr="00A414FA">
        <w:rPr>
          <w:rFonts w:asciiTheme="minorEastAsia" w:eastAsiaTheme="minorEastAsia" w:hAnsiTheme="minorEastAsia" w:cs="仿宋" w:hint="eastAsia"/>
          <w:color w:val="000000" w:themeColor="text1"/>
          <w:sz w:val="24"/>
        </w:rPr>
        <w:t>；</w:t>
      </w:r>
    </w:p>
    <w:p w14:paraId="71B2B3DD" w14:textId="03AEBB90"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2）4.7 色牢度增加</w:t>
      </w:r>
      <w:r w:rsidR="00B235AE" w:rsidRPr="00A414FA">
        <w:rPr>
          <w:rFonts w:asciiTheme="minorEastAsia" w:eastAsiaTheme="minorEastAsia" w:hAnsiTheme="minorEastAsia" w:cs="仿宋" w:hint="eastAsia"/>
          <w:color w:val="000000" w:themeColor="text1"/>
          <w:sz w:val="24"/>
        </w:rPr>
        <w:t>；</w:t>
      </w:r>
    </w:p>
    <w:p w14:paraId="100CC94D" w14:textId="51FDF386"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 xml:space="preserve">3）增加快递三轮车角度示意图 </w:t>
      </w:r>
      <w:r w:rsidR="00B235AE" w:rsidRPr="00A414FA">
        <w:rPr>
          <w:rFonts w:asciiTheme="minorEastAsia" w:eastAsiaTheme="minorEastAsia" w:hAnsiTheme="minorEastAsia" w:cs="仿宋" w:hint="eastAsia"/>
          <w:color w:val="000000" w:themeColor="text1"/>
          <w:sz w:val="24"/>
        </w:rPr>
        <w:t>；</w:t>
      </w:r>
    </w:p>
    <w:p w14:paraId="0E20FF2D" w14:textId="4575C471"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4）双闪灯闪烁频次参考 GB4785-2019《汽车及挂车外部照明和光信号装置的安装规定》5.5.9 90±30 次/min</w:t>
      </w:r>
      <w:r w:rsidR="00B235AE" w:rsidRPr="00A414FA">
        <w:rPr>
          <w:rFonts w:asciiTheme="minorEastAsia" w:eastAsiaTheme="minorEastAsia" w:hAnsiTheme="minorEastAsia" w:cs="仿宋" w:hint="eastAsia"/>
          <w:color w:val="000000" w:themeColor="text1"/>
          <w:sz w:val="24"/>
        </w:rPr>
        <w:t>；</w:t>
      </w:r>
    </w:p>
    <w:p w14:paraId="09D46CD4" w14:textId="50024224"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5）5.2.1.1“车载毫米波雷达使用 76 GHz～81 GHz 频率段，更为76</w:t>
      </w:r>
      <w:r w:rsidR="001C30C7" w:rsidRPr="00A414FA">
        <w:rPr>
          <w:rFonts w:asciiTheme="minorEastAsia" w:eastAsiaTheme="minorEastAsia" w:hAnsiTheme="minorEastAsia" w:cs="仿宋" w:hint="eastAsia"/>
          <w:color w:val="000000" w:themeColor="text1"/>
          <w:sz w:val="24"/>
        </w:rPr>
        <w:t xml:space="preserve"> </w:t>
      </w:r>
      <w:r w:rsidRPr="00A414FA">
        <w:rPr>
          <w:rFonts w:asciiTheme="minorEastAsia" w:eastAsiaTheme="minorEastAsia" w:hAnsiTheme="minorEastAsia" w:cs="仿宋" w:hint="eastAsia"/>
          <w:color w:val="000000" w:themeColor="text1"/>
          <w:sz w:val="24"/>
        </w:rPr>
        <w:t>GHz～79</w:t>
      </w:r>
      <w:r w:rsidR="001C30C7" w:rsidRPr="00A414FA">
        <w:rPr>
          <w:rFonts w:asciiTheme="minorEastAsia" w:eastAsiaTheme="minorEastAsia" w:hAnsiTheme="minorEastAsia" w:cs="仿宋" w:hint="eastAsia"/>
          <w:color w:val="000000" w:themeColor="text1"/>
          <w:sz w:val="24"/>
        </w:rPr>
        <w:t xml:space="preserve"> </w:t>
      </w:r>
      <w:r w:rsidRPr="00A414FA">
        <w:rPr>
          <w:rFonts w:asciiTheme="minorEastAsia" w:eastAsiaTheme="minorEastAsia" w:hAnsiTheme="minorEastAsia" w:cs="仿宋" w:hint="eastAsia"/>
          <w:color w:val="000000" w:themeColor="text1"/>
          <w:sz w:val="24"/>
        </w:rPr>
        <w:t>GHz</w:t>
      </w:r>
      <w:r w:rsidR="00B235AE" w:rsidRPr="00A414FA">
        <w:rPr>
          <w:rFonts w:asciiTheme="minorEastAsia" w:eastAsiaTheme="minorEastAsia" w:hAnsiTheme="minorEastAsia" w:cs="仿宋" w:hint="eastAsia"/>
          <w:color w:val="000000" w:themeColor="text1"/>
          <w:sz w:val="24"/>
        </w:rPr>
        <w:t>；</w:t>
      </w:r>
    </w:p>
    <w:p w14:paraId="3237A77C" w14:textId="0BAAA37A"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6）对部分文字描述进行修改</w:t>
      </w:r>
      <w:r w:rsidR="00B235AE" w:rsidRPr="00A414FA">
        <w:rPr>
          <w:rFonts w:asciiTheme="minorEastAsia" w:eastAsiaTheme="minorEastAsia" w:hAnsiTheme="minorEastAsia" w:cs="仿宋" w:hint="eastAsia"/>
          <w:color w:val="000000" w:themeColor="text1"/>
          <w:sz w:val="24"/>
        </w:rPr>
        <w:t>；</w:t>
      </w:r>
    </w:p>
    <w:p w14:paraId="38F158EB" w14:textId="60D61C78" w:rsidR="0063587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7）增加耐撞性/鲁棒性要求，参考国标乘用车3D目标物要求，能承受 M1 类车辆 60km/h 至少50次以上</w:t>
      </w:r>
      <w:r w:rsidR="00B235AE" w:rsidRPr="00A414FA">
        <w:rPr>
          <w:rFonts w:asciiTheme="minorEastAsia" w:eastAsiaTheme="minorEastAsia" w:hAnsiTheme="minorEastAsia" w:cs="仿宋" w:hint="eastAsia"/>
          <w:color w:val="000000" w:themeColor="text1"/>
          <w:sz w:val="24"/>
        </w:rPr>
        <w:t>；</w:t>
      </w:r>
    </w:p>
    <w:p w14:paraId="549462A0" w14:textId="5200E147" w:rsidR="004C5011" w:rsidRPr="00A414FA" w:rsidRDefault="00635871">
      <w:pPr>
        <w:ind w:left="360"/>
        <w:rPr>
          <w:rFonts w:asciiTheme="minorEastAsia" w:eastAsiaTheme="minorEastAsia" w:hAnsiTheme="minorEastAsia" w:cs="仿宋" w:hint="eastAsia"/>
          <w:color w:val="000000" w:themeColor="text1"/>
          <w:sz w:val="24"/>
        </w:rPr>
      </w:pPr>
      <w:r w:rsidRPr="00A414FA">
        <w:rPr>
          <w:rFonts w:asciiTheme="minorEastAsia" w:eastAsiaTheme="minorEastAsia" w:hAnsiTheme="minorEastAsia" w:cs="仿宋" w:hint="eastAsia"/>
          <w:color w:val="000000" w:themeColor="text1"/>
          <w:sz w:val="24"/>
        </w:rPr>
        <w:t>8）采纳修改“当设备无法修复至可应用状态，其结构不完整或物理（红外、雷达）反射特性无法符合本文件要求时，应及时报废。</w:t>
      </w:r>
    </w:p>
    <w:p w14:paraId="5B9886C4" w14:textId="77777777" w:rsidR="004C5011" w:rsidRDefault="00000000">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二、标准编制原则和主要内容</w:t>
      </w:r>
    </w:p>
    <w:p w14:paraId="77B51751" w14:textId="77777777" w:rsidR="00166AF3" w:rsidRPr="00A414FA" w:rsidRDefault="00166AF3"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t>本标准遵循以下原则：</w:t>
      </w:r>
    </w:p>
    <w:p w14:paraId="2686D2FB" w14:textId="6139B60B" w:rsidR="00166AF3" w:rsidRPr="00A414FA" w:rsidRDefault="00166AF3"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t>目的性原则：快递三轮车目标物有助于实现促进贸易、保证质量、提高效率、实现兼容、促进技术交流等目标。</w:t>
      </w:r>
    </w:p>
    <w:p w14:paraId="1D58BAE2" w14:textId="7E09C159" w:rsidR="00166AF3" w:rsidRPr="00A414FA" w:rsidRDefault="00166AF3"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lastRenderedPageBreak/>
        <w:t>科学性原则：本标准基于科学理论、充分的技术验证、可靠的数据分析和实践经验。</w:t>
      </w:r>
    </w:p>
    <w:p w14:paraId="70061F74" w14:textId="77777777" w:rsidR="00166AF3" w:rsidRPr="00A414FA" w:rsidRDefault="00166AF3"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t>统一性原则：对标准化对象进行统一规定，消除不必要的多样性。</w:t>
      </w:r>
    </w:p>
    <w:p w14:paraId="35F19D8D" w14:textId="77777777" w:rsidR="00166AF3" w:rsidRPr="00A414FA" w:rsidRDefault="00166AF3"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t>协调性原则：与相关现有的法律法规保持一致，与上级相关标准协调一致。</w:t>
      </w:r>
    </w:p>
    <w:p w14:paraId="1136002B" w14:textId="77777777" w:rsidR="00166AF3" w:rsidRPr="00A414FA" w:rsidRDefault="00166AF3"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t>开放透明原则：制定公开透明，涵盖所有相关方参与制定，广泛征求意见，充分考虑各方面的观点和利益。</w:t>
      </w:r>
    </w:p>
    <w:p w14:paraId="5276D849" w14:textId="7C0A9A97" w:rsidR="008B0BF2" w:rsidRPr="00A414FA" w:rsidRDefault="008B0BF2" w:rsidP="00166AF3">
      <w:pPr>
        <w:pStyle w:val="a7"/>
        <w:spacing w:line="360" w:lineRule="auto"/>
        <w:ind w:firstLine="480"/>
        <w:rPr>
          <w:rFonts w:asciiTheme="minorEastAsia" w:hAnsiTheme="minorEastAsia" w:hint="eastAsia"/>
          <w:sz w:val="24"/>
          <w:szCs w:val="24"/>
        </w:rPr>
      </w:pPr>
      <w:r w:rsidRPr="00A414FA">
        <w:rPr>
          <w:rFonts w:asciiTheme="minorEastAsia" w:hAnsiTheme="minorEastAsia" w:hint="eastAsia"/>
          <w:sz w:val="24"/>
          <w:szCs w:val="24"/>
        </w:rPr>
        <w:t>指导性原则：本标准提出了功能和性能指标，并详细给出了关键参数的测试方法，对快递三轮车目标物的开发及验证评价具有指导作用。目前国内缺乏汽车行业快递三轮车目标物的规范标准，本标准率先联合业内各相关方专家，实现了对快递三轮车目标物标准的研究与制定。</w:t>
      </w:r>
    </w:p>
    <w:p w14:paraId="275E16E6" w14:textId="7921266B" w:rsidR="008B0BF2" w:rsidRPr="00A414FA" w:rsidRDefault="008B0BF2" w:rsidP="008B0BF2">
      <w:pPr>
        <w:spacing w:line="360" w:lineRule="auto"/>
        <w:ind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可操作性：本标准的编制过程中，尽可能考虑相关方开发、测试验证使用的实际情况，以及技术人员的水平与测试周期，多采用国内外类似的先进标准中的检测方法进行实验验证，保证良好的操作性与实用性。</w:t>
      </w:r>
    </w:p>
    <w:p w14:paraId="658D925E" w14:textId="77777777" w:rsidR="004360F8" w:rsidRPr="00A414FA" w:rsidRDefault="004360F8" w:rsidP="004360F8">
      <w:pPr>
        <w:spacing w:line="360" w:lineRule="auto"/>
        <w:ind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先进性：标准制定充分考虑了快递三轮车目标物的中国属地特征，参考行业标准尺寸要求及真实快递三轮车的物理特征如红外、雷达特性等，综合国内实际情况，在满足相关法律法规的同时，提升产品的品质要求，使标准能够反映行业的技术现状，推动智能网联汽车行业测评技术高质量发展。</w:t>
      </w:r>
    </w:p>
    <w:p w14:paraId="6FAC25FE" w14:textId="77777777" w:rsidR="00994D7F" w:rsidRPr="00A414FA" w:rsidRDefault="001E2E6B" w:rsidP="001E2E6B">
      <w:pPr>
        <w:spacing w:line="360" w:lineRule="auto"/>
        <w:ind w:firstLineChars="200" w:firstLine="482"/>
        <w:rPr>
          <w:rFonts w:asciiTheme="minorEastAsia" w:eastAsiaTheme="minorEastAsia" w:hAnsiTheme="minorEastAsia" w:hint="eastAsia"/>
          <w:b/>
          <w:bCs/>
          <w:sz w:val="24"/>
        </w:rPr>
      </w:pPr>
      <w:r w:rsidRPr="00A414FA">
        <w:rPr>
          <w:rFonts w:asciiTheme="minorEastAsia" w:eastAsiaTheme="minorEastAsia" w:hAnsiTheme="minorEastAsia" w:hint="eastAsia"/>
          <w:b/>
          <w:bCs/>
          <w:sz w:val="24"/>
        </w:rPr>
        <w:t>标准主要技术内容：</w:t>
      </w:r>
    </w:p>
    <w:p w14:paraId="0E82D2F9" w14:textId="1AF97938" w:rsidR="001E2E6B" w:rsidRPr="00A414FA" w:rsidRDefault="001E2E6B" w:rsidP="001E2E6B">
      <w:pPr>
        <w:spacing w:line="360" w:lineRule="auto"/>
        <w:ind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本标准提出了快递三轮车目标物的规格要求及被感知特性。在规格要求中约束了类别、尺寸、姿势及状态、布料、安全事项、可修复性、环境条件和使用要求。在被感知特性中，约束了光学要求、雷达要求。</w:t>
      </w:r>
    </w:p>
    <w:p w14:paraId="0652364A" w14:textId="77777777" w:rsidR="00994D7F" w:rsidRPr="00A414FA" w:rsidRDefault="00667AA8" w:rsidP="00667AA8">
      <w:pPr>
        <w:pStyle w:val="a8"/>
        <w:spacing w:line="360" w:lineRule="auto"/>
        <w:ind w:firstLine="482"/>
        <w:rPr>
          <w:rFonts w:asciiTheme="minorEastAsia" w:eastAsiaTheme="minorEastAsia" w:hAnsiTheme="minorEastAsia" w:hint="eastAsia"/>
          <w:b/>
          <w:bCs/>
          <w:sz w:val="24"/>
          <w:szCs w:val="24"/>
        </w:rPr>
      </w:pPr>
      <w:r w:rsidRPr="00A414FA">
        <w:rPr>
          <w:rFonts w:asciiTheme="minorEastAsia" w:eastAsiaTheme="minorEastAsia" w:hAnsiTheme="minorEastAsia" w:hint="eastAsia"/>
          <w:b/>
          <w:bCs/>
          <w:sz w:val="24"/>
          <w:szCs w:val="24"/>
        </w:rPr>
        <w:t>关键技术问题说明：</w:t>
      </w:r>
    </w:p>
    <w:p w14:paraId="499CAAC7" w14:textId="41A587A9" w:rsidR="00667AA8" w:rsidRPr="00A414FA" w:rsidRDefault="00667AA8" w:rsidP="00667AA8">
      <w:pPr>
        <w:pStyle w:val="a8"/>
        <w:spacing w:line="360" w:lineRule="auto"/>
        <w:ind w:firstLine="480"/>
        <w:rPr>
          <w:rFonts w:asciiTheme="minorEastAsia" w:eastAsiaTheme="minorEastAsia" w:hAnsiTheme="minorEastAsia" w:cstheme="minorBidi" w:hint="eastAsia"/>
          <w:noProof w:val="0"/>
          <w:kern w:val="2"/>
          <w:sz w:val="24"/>
          <w:szCs w:val="24"/>
        </w:rPr>
      </w:pPr>
      <w:r w:rsidRPr="00A414FA">
        <w:rPr>
          <w:rFonts w:asciiTheme="minorEastAsia" w:eastAsiaTheme="minorEastAsia" w:hAnsiTheme="minorEastAsia" w:cstheme="minorBidi" w:hint="eastAsia"/>
          <w:noProof w:val="0"/>
          <w:kern w:val="2"/>
          <w:sz w:val="24"/>
          <w:szCs w:val="24"/>
        </w:rPr>
        <w:t>本标准中涉及到的关键技术问题主要包括快递三轮车尺寸、雷达散射截面（RCS）等主要参数。其中快递三轮车尺寸以符合行标《YZ/T 0136-2014 快递专用电动三轮车技术要求》的约束，并以实际顺丰的车辆的尺寸作为典型值可供标准使用者进行参考。雷达散射截面取自2辆顺丰快递三轮车和1辆中通快递三轮车进行取样。RCS范围可供标准使用者进行参考。因雷达的多路径反射，具体的RCS边界和使用场景相关，但差异不会很大，此边界满足大部分的空旷场地测试需求。</w:t>
      </w:r>
    </w:p>
    <w:p w14:paraId="1A506CF0" w14:textId="77777777" w:rsidR="00667AA8" w:rsidRPr="00A414FA" w:rsidRDefault="00667AA8" w:rsidP="00667AA8">
      <w:pPr>
        <w:pStyle w:val="a8"/>
        <w:spacing w:line="360" w:lineRule="auto"/>
        <w:ind w:firstLine="480"/>
        <w:rPr>
          <w:rFonts w:asciiTheme="minorEastAsia" w:eastAsiaTheme="minorEastAsia" w:hAnsiTheme="minorEastAsia" w:hint="eastAsia"/>
          <w:sz w:val="24"/>
          <w:szCs w:val="24"/>
        </w:rPr>
      </w:pPr>
      <w:r w:rsidRPr="00A414FA">
        <w:rPr>
          <w:rFonts w:asciiTheme="minorEastAsia" w:eastAsiaTheme="minorEastAsia" w:hAnsiTheme="minorEastAsia" w:hint="eastAsia"/>
          <w:sz w:val="24"/>
          <w:szCs w:val="24"/>
        </w:rPr>
        <w:lastRenderedPageBreak/>
        <w:t>在毫米波雷达性能评价中，可采用76GHz～79GHz的毫米波雷达及92GHz～94GHz路侧雷达，对目标物采用多角度采集，也可以使用360°的方式进行探测，因76GHz～79GHz的毫米波车载雷达与92GHz～94GHz路侧雷达的安装高度不同，本标准测试方法中建议只用76GHz～79GHz的毫米波车载雷达进行测量校准目标物。对92GHz～94GHz路侧雷达，其安装高度约5米～8米，隧道场景高于3.5米。路侧雷达建议参考固定点对目标物360°校准的方式来分析与真实物体之间的反射偏离进行评价，具体方法可参考即将发布的ISO 19206-3转化的国标标准。</w:t>
      </w:r>
    </w:p>
    <w:p w14:paraId="1A6FE218" w14:textId="77777777" w:rsidR="00667AA8" w:rsidRPr="00A414FA" w:rsidRDefault="00667AA8" w:rsidP="00667AA8">
      <w:pPr>
        <w:pStyle w:val="a8"/>
        <w:spacing w:line="360" w:lineRule="auto"/>
        <w:ind w:firstLine="480"/>
        <w:jc w:val="left"/>
        <w:rPr>
          <w:rFonts w:asciiTheme="minorEastAsia" w:eastAsiaTheme="minorEastAsia" w:hAnsiTheme="minorEastAsia" w:hint="eastAsia"/>
          <w:sz w:val="24"/>
          <w:szCs w:val="24"/>
        </w:rPr>
      </w:pPr>
      <w:r w:rsidRPr="00A414FA">
        <w:rPr>
          <w:rFonts w:asciiTheme="minorEastAsia" w:eastAsiaTheme="minorEastAsia" w:hAnsiTheme="minorEastAsia" w:hint="eastAsia"/>
          <w:sz w:val="24"/>
          <w:szCs w:val="24"/>
        </w:rPr>
        <w:t>在激光雷达性能评价中，通常对探测对象进行点云扫描，经过分析目标物不同区域的反射率，进而与真实物体进行比对，分析偏离程度，进行评价。本标准中提到相关测试要求，但因样本量有限，不做明确指标要求，由标准使用方根据真实车辆与快递三轮车目标物不同区域根据反射点颜色代表的反射率，划定反射范围，对比做判断。样例如下：</w:t>
      </w:r>
    </w:p>
    <w:p w14:paraId="51418151" w14:textId="77777777" w:rsidR="00667AA8" w:rsidRDefault="00667AA8" w:rsidP="00667AA8">
      <w:pPr>
        <w:pStyle w:val="a8"/>
        <w:spacing w:line="360" w:lineRule="auto"/>
        <w:ind w:firstLine="480"/>
        <w:jc w:val="left"/>
        <w:rPr>
          <w:rFonts w:hAnsi="宋体" w:hint="eastAsia"/>
          <w:sz w:val="24"/>
          <w:szCs w:val="24"/>
        </w:rPr>
      </w:pPr>
      <w:r w:rsidRPr="008833E2">
        <w:rPr>
          <w:rFonts w:hAnsi="宋体"/>
          <w:sz w:val="24"/>
          <w:szCs w:val="24"/>
        </w:rPr>
        <w:drawing>
          <wp:inline distT="0" distB="0" distL="0" distR="0" wp14:anchorId="268AE56D" wp14:editId="39905B0B">
            <wp:extent cx="1005885" cy="914400"/>
            <wp:effectExtent l="0" t="0" r="3810" b="0"/>
            <wp:docPr id="15" name="图片 14" descr="企业微信截图_17329492253011">
              <a:extLst xmlns:a="http://schemas.openxmlformats.org/drawingml/2006/main">
                <a:ext uri="{FF2B5EF4-FFF2-40B4-BE49-F238E27FC236}">
                  <a16:creationId xmlns:a16="http://schemas.microsoft.com/office/drawing/2014/main" id="{833BDECC-BDA5-C45A-986F-BE5D58620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企业微信截图_17329492253011">
                      <a:extLst>
                        <a:ext uri="{FF2B5EF4-FFF2-40B4-BE49-F238E27FC236}">
                          <a16:creationId xmlns:a16="http://schemas.microsoft.com/office/drawing/2014/main" id="{833BDECC-BDA5-C45A-986F-BE5D58620C8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10080" cy="918214"/>
                    </a:xfrm>
                    <a:prstGeom prst="rect">
                      <a:avLst/>
                    </a:prstGeom>
                    <a:noFill/>
                    <a:ln>
                      <a:noFill/>
                    </a:ln>
                  </pic:spPr>
                </pic:pic>
              </a:graphicData>
            </a:graphic>
          </wp:inline>
        </w:drawing>
      </w:r>
      <w:r>
        <w:rPr>
          <w:rFonts w:hAnsi="宋体" w:hint="eastAsia"/>
          <w:sz w:val="24"/>
          <w:szCs w:val="24"/>
        </w:rPr>
        <w:t xml:space="preserve"> </w:t>
      </w:r>
      <w:r w:rsidRPr="008833E2">
        <w:rPr>
          <w:rFonts w:hAnsi="宋体"/>
          <w:sz w:val="24"/>
          <w:szCs w:val="24"/>
        </w:rPr>
        <w:drawing>
          <wp:inline distT="0" distB="0" distL="0" distR="0" wp14:anchorId="720183AB" wp14:editId="692AB6BF">
            <wp:extent cx="1208405" cy="918144"/>
            <wp:effectExtent l="0" t="0" r="0" b="0"/>
            <wp:docPr id="20" name="图片 19" descr="5398765b3313ef01d1f48f17eddb549c_compress">
              <a:extLst xmlns:a="http://schemas.openxmlformats.org/drawingml/2006/main">
                <a:ext uri="{FF2B5EF4-FFF2-40B4-BE49-F238E27FC236}">
                  <a16:creationId xmlns:a16="http://schemas.microsoft.com/office/drawing/2014/main" id="{4D0671A8-D9A6-D8EC-ABEF-FB1CE7E0B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5398765b3313ef01d1f48f17eddb549c_compress">
                      <a:extLst>
                        <a:ext uri="{FF2B5EF4-FFF2-40B4-BE49-F238E27FC236}">
                          <a16:creationId xmlns:a16="http://schemas.microsoft.com/office/drawing/2014/main" id="{4D0671A8-D9A6-D8EC-ABEF-FB1CE7E0B35C}"/>
                        </a:ext>
                      </a:extLst>
                    </pic:cNvPr>
                    <pic:cNvPicPr>
                      <a:picLocks noChangeAspect="1"/>
                    </pic:cNvPicPr>
                  </pic:nvPicPr>
                  <pic:blipFill>
                    <a:blip r:embed="rId9" cstate="print">
                      <a:extLst>
                        <a:ext uri="{28A0092B-C50C-407E-A947-70E740481C1C}">
                          <a14:useLocalDpi xmlns:a14="http://schemas.microsoft.com/office/drawing/2010/main" val="0"/>
                        </a:ext>
                      </a:extLst>
                    </a:blip>
                    <a:srcRect l="19045" t="12945" r="13151" b="46925"/>
                    <a:stretch/>
                  </pic:blipFill>
                  <pic:spPr>
                    <a:xfrm>
                      <a:off x="0" y="0"/>
                      <a:ext cx="1211405" cy="920423"/>
                    </a:xfrm>
                    <a:prstGeom prst="rect">
                      <a:avLst/>
                    </a:prstGeom>
                    <a:noFill/>
                    <a:ln>
                      <a:noFill/>
                    </a:ln>
                  </pic:spPr>
                </pic:pic>
              </a:graphicData>
            </a:graphic>
          </wp:inline>
        </w:drawing>
      </w:r>
      <w:r>
        <w:rPr>
          <w:rFonts w:hAnsi="宋体" w:hint="eastAsia"/>
          <w:sz w:val="24"/>
          <w:szCs w:val="24"/>
        </w:rPr>
        <w:t xml:space="preserve"> </w:t>
      </w:r>
      <w:r w:rsidRPr="008833E2">
        <w:rPr>
          <w:rFonts w:hAnsi="宋体"/>
          <w:sz w:val="24"/>
          <w:szCs w:val="24"/>
        </w:rPr>
        <w:drawing>
          <wp:inline distT="0" distB="0" distL="0" distR="0" wp14:anchorId="10300F44" wp14:editId="1EC66771">
            <wp:extent cx="1023378" cy="930302"/>
            <wp:effectExtent l="0" t="0" r="5715" b="3175"/>
            <wp:docPr id="16" name="图片 15" descr="企业微信截图_17329334442266">
              <a:extLst xmlns:a="http://schemas.openxmlformats.org/drawingml/2006/main">
                <a:ext uri="{FF2B5EF4-FFF2-40B4-BE49-F238E27FC236}">
                  <a16:creationId xmlns:a16="http://schemas.microsoft.com/office/drawing/2014/main" id="{AA20716B-36D0-911E-8115-25CE0102B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企业微信截图_17329334442266">
                      <a:extLst>
                        <a:ext uri="{FF2B5EF4-FFF2-40B4-BE49-F238E27FC236}">
                          <a16:creationId xmlns:a16="http://schemas.microsoft.com/office/drawing/2014/main" id="{AA20716B-36D0-911E-8115-25CE0102B65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28665" cy="935108"/>
                    </a:xfrm>
                    <a:prstGeom prst="rect">
                      <a:avLst/>
                    </a:prstGeom>
                    <a:noFill/>
                    <a:ln>
                      <a:noFill/>
                    </a:ln>
                  </pic:spPr>
                </pic:pic>
              </a:graphicData>
            </a:graphic>
          </wp:inline>
        </w:drawing>
      </w:r>
      <w:r>
        <w:rPr>
          <w:rFonts w:hAnsi="宋体" w:hint="eastAsia"/>
          <w:sz w:val="24"/>
          <w:szCs w:val="24"/>
        </w:rPr>
        <w:t xml:space="preserve"> </w:t>
      </w:r>
      <w:r w:rsidRPr="008833E2">
        <w:rPr>
          <w:rFonts w:hAnsi="宋体"/>
          <w:sz w:val="24"/>
          <w:szCs w:val="24"/>
        </w:rPr>
        <w:drawing>
          <wp:inline distT="0" distB="0" distL="0" distR="0" wp14:anchorId="3C7B1552" wp14:editId="10BE3933">
            <wp:extent cx="1335974" cy="777240"/>
            <wp:effectExtent l="0" t="0" r="0" b="3810"/>
            <wp:docPr id="19" name="图片 18" descr="9943c6a036ef07f7c55694daedd28bf6_compress">
              <a:extLst xmlns:a="http://schemas.openxmlformats.org/drawingml/2006/main">
                <a:ext uri="{FF2B5EF4-FFF2-40B4-BE49-F238E27FC236}">
                  <a16:creationId xmlns:a16="http://schemas.microsoft.com/office/drawing/2014/main" id="{BE50B29C-5EB2-0CC9-8424-214024E33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9943c6a036ef07f7c55694daedd28bf6_compress">
                      <a:extLst>
                        <a:ext uri="{FF2B5EF4-FFF2-40B4-BE49-F238E27FC236}">
                          <a16:creationId xmlns:a16="http://schemas.microsoft.com/office/drawing/2014/main" id="{BE50B29C-5EB2-0CC9-8424-214024E3331F}"/>
                        </a:ext>
                      </a:extLst>
                    </pic:cNvPr>
                    <pic:cNvPicPr>
                      <a:picLocks noChangeAspect="1"/>
                    </pic:cNvPicPr>
                  </pic:nvPicPr>
                  <pic:blipFill>
                    <a:blip r:embed="rId11" cstate="print">
                      <a:extLst>
                        <a:ext uri="{28A0092B-C50C-407E-A947-70E740481C1C}">
                          <a14:useLocalDpi xmlns:a14="http://schemas.microsoft.com/office/drawing/2010/main" val="0"/>
                        </a:ext>
                      </a:extLst>
                    </a:blip>
                    <a:srcRect l="1" t="22668" r="62" b="40788"/>
                    <a:stretch/>
                  </pic:blipFill>
                  <pic:spPr>
                    <a:xfrm>
                      <a:off x="0" y="0"/>
                      <a:ext cx="1371993" cy="798195"/>
                    </a:xfrm>
                    <a:prstGeom prst="rect">
                      <a:avLst/>
                    </a:prstGeom>
                    <a:noFill/>
                    <a:ln>
                      <a:noFill/>
                    </a:ln>
                  </pic:spPr>
                </pic:pic>
              </a:graphicData>
            </a:graphic>
          </wp:inline>
        </w:drawing>
      </w:r>
    </w:p>
    <w:p w14:paraId="590AEF05" w14:textId="77777777" w:rsidR="00667AA8" w:rsidRPr="00A414FA" w:rsidRDefault="00667AA8" w:rsidP="00667AA8">
      <w:pPr>
        <w:pStyle w:val="a8"/>
        <w:spacing w:line="360" w:lineRule="auto"/>
        <w:ind w:firstLine="420"/>
        <w:jc w:val="center"/>
        <w:rPr>
          <w:rFonts w:asciiTheme="minorEastAsia" w:eastAsiaTheme="minorEastAsia" w:hAnsiTheme="minorEastAsia" w:hint="eastAsia"/>
          <w:szCs w:val="21"/>
        </w:rPr>
      </w:pPr>
      <w:r w:rsidRPr="00A414FA">
        <w:rPr>
          <w:rFonts w:asciiTheme="minorEastAsia" w:eastAsiaTheme="minorEastAsia" w:hAnsiTheme="minorEastAsia" w:hint="eastAsia"/>
          <w:szCs w:val="21"/>
        </w:rPr>
        <w:t>禾赛32线激光雷达对目标物及真车比对</w:t>
      </w:r>
    </w:p>
    <w:p w14:paraId="1380708E" w14:textId="77777777" w:rsidR="00667AA8" w:rsidRPr="00A414FA" w:rsidRDefault="00667AA8" w:rsidP="00667AA8">
      <w:pPr>
        <w:pStyle w:val="a8"/>
        <w:spacing w:line="360" w:lineRule="auto"/>
        <w:ind w:firstLine="480"/>
        <w:jc w:val="left"/>
        <w:rPr>
          <w:rFonts w:asciiTheme="minorEastAsia" w:eastAsiaTheme="minorEastAsia" w:hAnsiTheme="minorEastAsia" w:hint="eastAsia"/>
          <w:sz w:val="24"/>
          <w:szCs w:val="24"/>
        </w:rPr>
      </w:pPr>
      <w:r w:rsidRPr="00A414FA">
        <w:rPr>
          <w:rFonts w:asciiTheme="minorEastAsia" w:eastAsiaTheme="minorEastAsia" w:hAnsiTheme="minorEastAsia" w:hint="eastAsia"/>
          <w:sz w:val="24"/>
          <w:szCs w:val="24"/>
        </w:rPr>
        <w:t>关于温度适应范围，取自ISO 19206-3转化的国标范围做参考。引用至少满足，做了最低要求的限制。</w:t>
      </w:r>
    </w:p>
    <w:p w14:paraId="30510C8B" w14:textId="4210AB6F" w:rsidR="004C5011" w:rsidRPr="00A414FA" w:rsidRDefault="00667AA8" w:rsidP="00B936E8">
      <w:pPr>
        <w:pStyle w:val="a8"/>
        <w:spacing w:line="360" w:lineRule="auto"/>
        <w:ind w:firstLine="480"/>
        <w:jc w:val="left"/>
        <w:rPr>
          <w:rFonts w:asciiTheme="minorEastAsia" w:eastAsiaTheme="minorEastAsia" w:hAnsiTheme="minorEastAsia" w:hint="eastAsia"/>
          <w:sz w:val="24"/>
          <w:szCs w:val="24"/>
        </w:rPr>
      </w:pPr>
      <w:r w:rsidRPr="00A414FA">
        <w:rPr>
          <w:rFonts w:asciiTheme="minorEastAsia" w:eastAsiaTheme="minorEastAsia" w:hAnsiTheme="minorEastAsia" w:hint="eastAsia"/>
          <w:sz w:val="24"/>
          <w:szCs w:val="24"/>
        </w:rPr>
        <w:t>双闪灯的闪烁频次，取自GB4785-2019《汽车及挂车外部照明和光信号装置的安装规定》5.5.9。考虑实现技术及当前目标物可实现状态，兼容稳定性可靠性等测试要求，暂无前灯等约束。</w:t>
      </w:r>
    </w:p>
    <w:p w14:paraId="5FE6D739" w14:textId="5FF93A94" w:rsidR="00B936E8" w:rsidRPr="00A414FA" w:rsidRDefault="00B936E8" w:rsidP="009C33EC">
      <w:pPr>
        <w:spacing w:line="360" w:lineRule="auto"/>
        <w:ind w:firstLineChars="200" w:firstLine="480"/>
        <w:rPr>
          <w:rFonts w:asciiTheme="minorEastAsia" w:eastAsiaTheme="minorEastAsia" w:hAnsiTheme="minorEastAsia" w:hint="eastAsia"/>
          <w:sz w:val="24"/>
        </w:rPr>
      </w:pPr>
      <w:r w:rsidRPr="00A414FA">
        <w:rPr>
          <w:rFonts w:asciiTheme="minorEastAsia" w:eastAsiaTheme="minorEastAsia" w:hAnsiTheme="minorEastAsia" w:hint="eastAsia"/>
          <w:sz w:val="24"/>
        </w:rPr>
        <w:t>主要内容依据：本标准中主要内容的依据有：参考国内已有的法律法规、实车行业标准、检测机构的实际经验，听取了各相关方需求所制定。使用要求由国内外主流评价标准E-NCAP、C-NCAP、IVISTA中借鉴。</w:t>
      </w:r>
    </w:p>
    <w:p w14:paraId="305AED7D" w14:textId="77777777" w:rsidR="004C5011" w:rsidRDefault="00000000">
      <w:pPr>
        <w:ind w:firstLineChars="200" w:firstLine="480"/>
        <w:rPr>
          <w:rFonts w:ascii="黑体" w:eastAsia="黑体" w:hAnsi="黑体" w:cs="黑体" w:hint="eastAsia"/>
          <w:color w:val="000000" w:themeColor="text1"/>
          <w:sz w:val="30"/>
          <w:szCs w:val="30"/>
        </w:rPr>
      </w:pPr>
      <w:r>
        <w:rPr>
          <w:rFonts w:ascii="黑体" w:eastAsia="黑体" w:hAnsi="黑体" w:cs="黑体" w:hint="eastAsia"/>
          <w:color w:val="000000" w:themeColor="text1"/>
          <w:sz w:val="24"/>
        </w:rPr>
        <w:t xml:space="preserve">三、采用国际标准和国外先进标准情况  </w:t>
      </w:r>
      <w:r>
        <w:rPr>
          <w:rFonts w:ascii="黑体" w:eastAsia="黑体" w:hAnsi="黑体" w:cs="黑体" w:hint="eastAsia"/>
          <w:color w:val="000000" w:themeColor="text1"/>
          <w:sz w:val="30"/>
          <w:szCs w:val="30"/>
        </w:rPr>
        <w:t xml:space="preserve"> </w:t>
      </w:r>
    </w:p>
    <w:p w14:paraId="743C3F01" w14:textId="77777777" w:rsidR="00EF10AE" w:rsidRPr="00A414FA" w:rsidRDefault="00EF10AE" w:rsidP="00EF10AE">
      <w:pPr>
        <w:pStyle w:val="a8"/>
        <w:spacing w:line="360" w:lineRule="auto"/>
        <w:ind w:firstLine="480"/>
        <w:rPr>
          <w:rFonts w:asciiTheme="minorEastAsia" w:eastAsiaTheme="minorEastAsia" w:hAnsiTheme="minorEastAsia" w:cstheme="minorBidi" w:hint="eastAsia"/>
          <w:noProof w:val="0"/>
          <w:kern w:val="2"/>
          <w:sz w:val="24"/>
          <w:szCs w:val="24"/>
        </w:rPr>
      </w:pPr>
      <w:r w:rsidRPr="00A414FA">
        <w:rPr>
          <w:rFonts w:asciiTheme="minorEastAsia" w:eastAsiaTheme="minorEastAsia" w:hAnsiTheme="minorEastAsia" w:cstheme="minorBidi" w:hint="eastAsia"/>
          <w:noProof w:val="0"/>
          <w:kern w:val="2"/>
          <w:sz w:val="24"/>
          <w:szCs w:val="24"/>
        </w:rPr>
        <w:t>本标准</w:t>
      </w:r>
      <w:r w:rsidRPr="00A414FA">
        <w:rPr>
          <w:rFonts w:asciiTheme="minorEastAsia" w:eastAsiaTheme="minorEastAsia" w:hAnsiTheme="minorEastAsia" w:cstheme="minorBidi"/>
          <w:noProof w:val="0"/>
          <w:kern w:val="2"/>
          <w:sz w:val="24"/>
          <w:szCs w:val="24"/>
        </w:rPr>
        <w:t>主要依据和参考的主要法律法规、相关标准和文献包括：</w:t>
      </w:r>
      <w:r w:rsidRPr="00A414FA">
        <w:rPr>
          <w:rFonts w:asciiTheme="minorEastAsia" w:eastAsiaTheme="minorEastAsia" w:hAnsiTheme="minorEastAsia" w:cstheme="minorBidi" w:hint="eastAsia"/>
          <w:noProof w:val="0"/>
          <w:kern w:val="2"/>
          <w:sz w:val="24"/>
          <w:szCs w:val="24"/>
        </w:rPr>
        <w:t>GB/T 41798-2022 《智能网联汽车 自动驾驶功能场地试验方法及要求》、YZ/T 0136-2014 《快递专用电动三轮车技术要求》、</w:t>
      </w:r>
      <w:r w:rsidRPr="00A414FA">
        <w:rPr>
          <w:rFonts w:asciiTheme="minorEastAsia" w:eastAsiaTheme="minorEastAsia" w:hAnsiTheme="minorEastAsia" w:cstheme="minorBidi"/>
          <w:noProof w:val="0"/>
          <w:kern w:val="2"/>
          <w:sz w:val="24"/>
          <w:szCs w:val="24"/>
        </w:rPr>
        <w:t xml:space="preserve">GB/T 20608 </w:t>
      </w:r>
      <w:r w:rsidRPr="00A414FA">
        <w:rPr>
          <w:rFonts w:asciiTheme="minorEastAsia" w:eastAsiaTheme="minorEastAsia" w:hAnsiTheme="minorEastAsia" w:cstheme="minorBidi" w:hint="eastAsia"/>
          <w:noProof w:val="0"/>
          <w:kern w:val="2"/>
          <w:sz w:val="24"/>
          <w:szCs w:val="24"/>
        </w:rPr>
        <w:t xml:space="preserve">《智能运输系统 自适应巡航控制系统 性能要求及检测方法》、GB/T 39901-2021 </w:t>
      </w:r>
      <w:bookmarkStart w:id="1" w:name="OLE_LINK8"/>
      <w:r w:rsidRPr="00A414FA">
        <w:rPr>
          <w:rFonts w:asciiTheme="minorEastAsia" w:eastAsiaTheme="minorEastAsia" w:hAnsiTheme="minorEastAsia" w:cstheme="minorBidi" w:hint="eastAsia"/>
          <w:noProof w:val="0"/>
          <w:kern w:val="2"/>
          <w:sz w:val="24"/>
          <w:szCs w:val="24"/>
        </w:rPr>
        <w:t>《乘用车自动紧急</w:t>
      </w:r>
      <w:r w:rsidRPr="00A414FA">
        <w:rPr>
          <w:rFonts w:asciiTheme="minorEastAsia" w:eastAsiaTheme="minorEastAsia" w:hAnsiTheme="minorEastAsia" w:cstheme="minorBidi" w:hint="eastAsia"/>
          <w:noProof w:val="0"/>
          <w:kern w:val="2"/>
          <w:sz w:val="24"/>
          <w:szCs w:val="24"/>
        </w:rPr>
        <w:lastRenderedPageBreak/>
        <w:t>制动系统（AEBS）性能要求及试验方法》</w:t>
      </w:r>
      <w:bookmarkEnd w:id="1"/>
      <w:r w:rsidRPr="00A414FA">
        <w:rPr>
          <w:rFonts w:asciiTheme="minorEastAsia" w:eastAsiaTheme="minorEastAsia" w:hAnsiTheme="minorEastAsia" w:cstheme="minorBidi" w:hint="eastAsia"/>
          <w:noProof w:val="0"/>
          <w:kern w:val="2"/>
          <w:sz w:val="24"/>
          <w:szCs w:val="24"/>
        </w:rPr>
        <w:t>、G</w:t>
      </w:r>
      <w:r w:rsidRPr="00A414FA">
        <w:rPr>
          <w:rFonts w:asciiTheme="minorEastAsia" w:eastAsiaTheme="minorEastAsia" w:hAnsiTheme="minorEastAsia" w:cstheme="minorBidi"/>
          <w:noProof w:val="0"/>
          <w:kern w:val="2"/>
          <w:sz w:val="24"/>
          <w:szCs w:val="24"/>
        </w:rPr>
        <w:t xml:space="preserve">B/T </w:t>
      </w:r>
      <w:r w:rsidRPr="00A414FA">
        <w:rPr>
          <w:rFonts w:asciiTheme="minorEastAsia" w:eastAsiaTheme="minorEastAsia" w:hAnsiTheme="minorEastAsia" w:cstheme="minorBidi" w:hint="eastAsia"/>
          <w:noProof w:val="0"/>
          <w:kern w:val="2"/>
          <w:sz w:val="24"/>
          <w:szCs w:val="24"/>
        </w:rPr>
        <w:t>44373—2024</w:t>
      </w:r>
      <w:r w:rsidRPr="00A414FA">
        <w:rPr>
          <w:rFonts w:asciiTheme="minorEastAsia" w:eastAsiaTheme="minorEastAsia" w:hAnsiTheme="minorEastAsia" w:cstheme="minorBidi"/>
          <w:noProof w:val="0"/>
          <w:kern w:val="2"/>
          <w:sz w:val="24"/>
          <w:szCs w:val="24"/>
        </w:rPr>
        <w:t xml:space="preserve"> </w:t>
      </w:r>
      <w:r w:rsidRPr="00A414FA">
        <w:rPr>
          <w:rFonts w:asciiTheme="minorEastAsia" w:eastAsiaTheme="minorEastAsia" w:hAnsiTheme="minorEastAsia" w:cstheme="minorBidi" w:hint="eastAsia"/>
          <w:noProof w:val="0"/>
          <w:kern w:val="2"/>
          <w:sz w:val="24"/>
          <w:szCs w:val="24"/>
        </w:rPr>
        <w:t>《智能网联汽车 术语和定义》、ISO 19206-2 《Road vehicles —</w:t>
      </w:r>
      <w:r w:rsidRPr="00A414FA">
        <w:rPr>
          <w:rFonts w:asciiTheme="minorEastAsia" w:eastAsiaTheme="minorEastAsia" w:hAnsiTheme="minorEastAsia" w:cstheme="minorBidi"/>
          <w:noProof w:val="0"/>
          <w:kern w:val="2"/>
          <w:sz w:val="24"/>
          <w:szCs w:val="24"/>
        </w:rPr>
        <w:t>Test devices for assessing the perceptual function of  intelligent connected vehicles — Part 2: Requirements for pedestrian targets</w:t>
      </w:r>
      <w:r w:rsidRPr="00A414FA">
        <w:rPr>
          <w:rFonts w:asciiTheme="minorEastAsia" w:eastAsiaTheme="minorEastAsia" w:hAnsiTheme="minorEastAsia" w:cstheme="minorBidi" w:hint="eastAsia"/>
          <w:noProof w:val="0"/>
          <w:kern w:val="2"/>
          <w:sz w:val="24"/>
          <w:szCs w:val="24"/>
        </w:rPr>
        <w:t>》。</w:t>
      </w:r>
    </w:p>
    <w:p w14:paraId="7F250136" w14:textId="69F38080" w:rsidR="004C5011" w:rsidRPr="00A414FA" w:rsidRDefault="00EF10AE" w:rsidP="00EF10AE">
      <w:pPr>
        <w:pStyle w:val="a8"/>
        <w:spacing w:line="360" w:lineRule="auto"/>
        <w:ind w:firstLine="480"/>
        <w:rPr>
          <w:rFonts w:asciiTheme="minorEastAsia" w:eastAsiaTheme="minorEastAsia" w:hAnsiTheme="minorEastAsia" w:cstheme="minorBidi" w:hint="eastAsia"/>
          <w:noProof w:val="0"/>
          <w:kern w:val="2"/>
          <w:sz w:val="24"/>
          <w:szCs w:val="24"/>
        </w:rPr>
      </w:pPr>
      <w:r w:rsidRPr="00A414FA">
        <w:rPr>
          <w:rFonts w:asciiTheme="minorEastAsia" w:eastAsiaTheme="minorEastAsia" w:hAnsiTheme="minorEastAsia" w:cstheme="minorBidi" w:hint="eastAsia"/>
          <w:noProof w:val="0"/>
          <w:kern w:val="2"/>
          <w:sz w:val="24"/>
          <w:szCs w:val="24"/>
        </w:rPr>
        <w:t>现市面主要有两类目标物，标准以更高保真度的快递三轮车目标物和更贴近真实快递三轮车物理特性的要求进行制定，符合当前生产制造水平。</w:t>
      </w:r>
    </w:p>
    <w:p w14:paraId="49AC73D8" w14:textId="77777777" w:rsidR="004C5011" w:rsidRDefault="00000000">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四、主要关键指标及试验验证情况</w:t>
      </w:r>
    </w:p>
    <w:p w14:paraId="3AF726BA" w14:textId="77777777" w:rsidR="009774AB" w:rsidRPr="00A414FA" w:rsidRDefault="009774AB" w:rsidP="009774AB">
      <w:pPr>
        <w:pStyle w:val="a7"/>
        <w:spacing w:line="360" w:lineRule="auto"/>
        <w:ind w:firstLineChars="187" w:firstLine="449"/>
        <w:rPr>
          <w:rFonts w:asciiTheme="minorEastAsia" w:hAnsiTheme="minorEastAsia" w:hint="eastAsia"/>
          <w:sz w:val="24"/>
          <w:szCs w:val="24"/>
        </w:rPr>
      </w:pPr>
      <w:r w:rsidRPr="00A414FA">
        <w:rPr>
          <w:rFonts w:asciiTheme="minorEastAsia" w:hAnsiTheme="minorEastAsia" w:hint="eastAsia"/>
          <w:sz w:val="24"/>
          <w:szCs w:val="24"/>
        </w:rPr>
        <w:t>对该标准的关键特性性能评价指标和方法中主要的毫米波雷达及激光雷达特性进行了试验验证，快递三轮车目标物，快递三轮车目标物代表偏大型的目标物，均具有典型特征。</w:t>
      </w:r>
    </w:p>
    <w:p w14:paraId="3695840A" w14:textId="77777777" w:rsidR="009774AB" w:rsidRPr="00A414FA" w:rsidRDefault="009774AB" w:rsidP="009774AB">
      <w:pPr>
        <w:pStyle w:val="a7"/>
        <w:spacing w:line="360" w:lineRule="auto"/>
        <w:ind w:firstLineChars="187" w:firstLine="449"/>
        <w:rPr>
          <w:rFonts w:asciiTheme="minorEastAsia" w:hAnsiTheme="minorEastAsia" w:hint="eastAsia"/>
          <w:sz w:val="24"/>
          <w:szCs w:val="24"/>
        </w:rPr>
      </w:pPr>
      <w:r w:rsidRPr="00A414FA">
        <w:rPr>
          <w:rFonts w:asciiTheme="minorEastAsia" w:hAnsiTheme="minorEastAsia" w:hint="eastAsia"/>
          <w:sz w:val="24"/>
          <w:szCs w:val="24"/>
        </w:rPr>
        <w:t>毫米波雷达方面对目标物快递三轮车进行0°、30°、60°、90°、120°、150°、180°进行对比验证均符合真实快递三轮车的3</w:t>
      </w:r>
      <w:r w:rsidRPr="00A414FA">
        <w:rPr>
          <w:rFonts w:asciiTheme="minorEastAsia" w:hAnsiTheme="minorEastAsia"/>
          <w:sz w:val="24"/>
          <w:szCs w:val="24"/>
        </w:rPr>
        <w:t>σ</w:t>
      </w:r>
      <w:r w:rsidRPr="00A414FA">
        <w:rPr>
          <w:rFonts w:asciiTheme="minorEastAsia" w:hAnsiTheme="minorEastAsia" w:hint="eastAsia"/>
          <w:sz w:val="24"/>
          <w:szCs w:val="24"/>
        </w:rPr>
        <w:t>的包络线范围。</w:t>
      </w:r>
    </w:p>
    <w:p w14:paraId="20F73EA3" w14:textId="77777777" w:rsidR="009774AB" w:rsidRDefault="009774AB" w:rsidP="009774AB">
      <w:pPr>
        <w:pStyle w:val="a7"/>
        <w:spacing w:line="360" w:lineRule="auto"/>
        <w:ind w:firstLineChars="387" w:firstLine="929"/>
        <w:jc w:val="center"/>
        <w:rPr>
          <w:rFonts w:ascii="宋体" w:eastAsia="宋体" w:hAnsi="宋体" w:hint="eastAsia"/>
          <w:sz w:val="24"/>
          <w:szCs w:val="24"/>
        </w:rPr>
      </w:pPr>
      <w:r w:rsidRPr="002E7596">
        <w:rPr>
          <w:rFonts w:ascii="宋体" w:eastAsia="宋体" w:hAnsi="宋体"/>
          <w:noProof/>
          <w:sz w:val="24"/>
          <w:szCs w:val="24"/>
        </w:rPr>
        <w:drawing>
          <wp:inline distT="0" distB="0" distL="0" distR="0" wp14:anchorId="1127D98E" wp14:editId="40D1DAB4">
            <wp:extent cx="1305222" cy="748222"/>
            <wp:effectExtent l="0" t="0" r="0" b="0"/>
            <wp:docPr id="2118774149" name="图片 18" descr="9943c6a036ef07f7c55694daedd28bf6_compress">
              <a:extLst xmlns:a="http://schemas.openxmlformats.org/drawingml/2006/main">
                <a:ext uri="{FF2B5EF4-FFF2-40B4-BE49-F238E27FC236}">
                  <a16:creationId xmlns:a16="http://schemas.microsoft.com/office/drawing/2014/main" id="{9845EF57-265D-DBBD-F9D0-9500EDA3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9943c6a036ef07f7c55694daedd28bf6_compress">
                      <a:extLst>
                        <a:ext uri="{FF2B5EF4-FFF2-40B4-BE49-F238E27FC236}">
                          <a16:creationId xmlns:a16="http://schemas.microsoft.com/office/drawing/2014/main" id="{9845EF57-265D-DBBD-F9D0-9500EDA3F61B}"/>
                        </a:ext>
                      </a:extLst>
                    </pic:cNvPr>
                    <pic:cNvPicPr>
                      <a:picLocks noChangeAspect="1"/>
                    </pic:cNvPicPr>
                  </pic:nvPicPr>
                  <pic:blipFill>
                    <a:blip r:embed="rId12"/>
                    <a:srcRect l="1" t="22668" r="62" b="40788"/>
                    <a:stretch/>
                  </pic:blipFill>
                  <pic:spPr>
                    <a:xfrm>
                      <a:off x="0" y="0"/>
                      <a:ext cx="1305222" cy="748222"/>
                    </a:xfrm>
                    <a:prstGeom prst="rect">
                      <a:avLst/>
                    </a:prstGeom>
                    <a:noFill/>
                    <a:ln>
                      <a:noFill/>
                    </a:ln>
                  </pic:spPr>
                </pic:pic>
              </a:graphicData>
            </a:graphic>
          </wp:inline>
        </w:drawing>
      </w:r>
      <w:r>
        <w:rPr>
          <w:rFonts w:hint="eastAsia"/>
          <w:noProof/>
        </w:rPr>
        <w:t xml:space="preserve">         </w:t>
      </w:r>
      <w:r>
        <w:rPr>
          <w:noProof/>
        </w:rPr>
        <w:drawing>
          <wp:inline distT="0" distB="0" distL="0" distR="0" wp14:anchorId="4DBFF51F" wp14:editId="0ADCF384">
            <wp:extent cx="676490" cy="798130"/>
            <wp:effectExtent l="0" t="0" r="0" b="2540"/>
            <wp:docPr id="269835705" name="图片 1" descr="cd759904d3f00ed4245a06152f08f316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d759904d3f00ed4245a06152f08f316_compress"/>
                    <pic:cNvPicPr>
                      <a:picLocks noChangeAspect="1" noChangeArrowheads="1"/>
                    </pic:cNvPicPr>
                  </pic:nvPicPr>
                  <pic:blipFill>
                    <a:blip r:embed="rId13" cstate="print">
                      <a:extLst>
                        <a:ext uri="{28A0092B-C50C-407E-A947-70E740481C1C}">
                          <a14:useLocalDpi xmlns:a14="http://schemas.microsoft.com/office/drawing/2010/main" val="0"/>
                        </a:ext>
                      </a:extLst>
                    </a:blip>
                    <a:srcRect l="8868" t="8357" r="18774" b="22577"/>
                    <a:stretch>
                      <a:fillRect/>
                    </a:stretch>
                  </pic:blipFill>
                  <pic:spPr bwMode="auto">
                    <a:xfrm>
                      <a:off x="0" y="0"/>
                      <a:ext cx="693949" cy="818729"/>
                    </a:xfrm>
                    <a:prstGeom prst="rect">
                      <a:avLst/>
                    </a:prstGeom>
                    <a:noFill/>
                    <a:ln>
                      <a:noFill/>
                    </a:ln>
                    <a:effectLst/>
                  </pic:spPr>
                </pic:pic>
              </a:graphicData>
            </a:graphic>
          </wp:inline>
        </w:drawing>
      </w:r>
    </w:p>
    <w:p w14:paraId="482AC63C" w14:textId="2383B528" w:rsidR="009774AB" w:rsidRPr="008F374C" w:rsidRDefault="009774AB" w:rsidP="009774AB">
      <w:pPr>
        <w:spacing w:line="360" w:lineRule="auto"/>
        <w:rPr>
          <w:rFonts w:asciiTheme="minorEastAsia" w:eastAsiaTheme="minorEastAsia" w:hAnsiTheme="minorEastAsia" w:hint="eastAsia"/>
          <w:sz w:val="24"/>
        </w:rPr>
      </w:pPr>
      <w:r>
        <w:rPr>
          <w:rFonts w:hint="eastAsia"/>
          <w:noProof/>
          <w:sz w:val="18"/>
          <w:szCs w:val="20"/>
        </w:rPr>
        <w:t xml:space="preserve">                               </w:t>
      </w:r>
      <w:r w:rsidRPr="008F374C">
        <w:rPr>
          <w:rFonts w:asciiTheme="minorEastAsia" w:eastAsiaTheme="minorEastAsia" w:hAnsiTheme="minorEastAsia" w:hint="eastAsia"/>
          <w:noProof/>
          <w:sz w:val="18"/>
          <w:szCs w:val="20"/>
        </w:rPr>
        <w:t xml:space="preserve">       快递三轮车目标物</w:t>
      </w:r>
      <w:r w:rsidR="00A414FA" w:rsidRPr="008F374C">
        <w:rPr>
          <w:rFonts w:asciiTheme="minorEastAsia" w:eastAsiaTheme="minorEastAsia" w:hAnsiTheme="minorEastAsia" w:hint="eastAsia"/>
          <w:noProof/>
          <w:sz w:val="18"/>
          <w:szCs w:val="20"/>
        </w:rPr>
        <w:t>RCS</w:t>
      </w:r>
      <w:r w:rsidRPr="008F374C">
        <w:rPr>
          <w:rFonts w:asciiTheme="minorEastAsia" w:eastAsiaTheme="minorEastAsia" w:hAnsiTheme="minorEastAsia" w:hint="eastAsia"/>
          <w:noProof/>
          <w:sz w:val="18"/>
          <w:szCs w:val="20"/>
        </w:rPr>
        <w:t>采集</w:t>
      </w:r>
    </w:p>
    <w:p w14:paraId="2C03CF87" w14:textId="77777777" w:rsidR="009774AB" w:rsidRDefault="009774AB" w:rsidP="009774AB">
      <w:pPr>
        <w:spacing w:line="360" w:lineRule="auto"/>
        <w:jc w:val="center"/>
        <w:rPr>
          <w:noProof/>
        </w:rPr>
      </w:pPr>
      <w:r>
        <w:rPr>
          <w:noProof/>
        </w:rPr>
        <w:drawing>
          <wp:inline distT="0" distB="0" distL="0" distR="0" wp14:anchorId="165748B5" wp14:editId="2D8D1229">
            <wp:extent cx="1142954" cy="863912"/>
            <wp:effectExtent l="0" t="0" r="635" b="0"/>
            <wp:docPr id="808617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17727" name=""/>
                    <pic:cNvPicPr/>
                  </pic:nvPicPr>
                  <pic:blipFill>
                    <a:blip r:embed="rId14"/>
                    <a:stretch>
                      <a:fillRect/>
                    </a:stretch>
                  </pic:blipFill>
                  <pic:spPr>
                    <a:xfrm>
                      <a:off x="0" y="0"/>
                      <a:ext cx="1160572" cy="877229"/>
                    </a:xfrm>
                    <a:prstGeom prst="rect">
                      <a:avLst/>
                    </a:prstGeom>
                  </pic:spPr>
                </pic:pic>
              </a:graphicData>
            </a:graphic>
          </wp:inline>
        </w:drawing>
      </w:r>
      <w:r>
        <w:rPr>
          <w:noProof/>
        </w:rPr>
        <w:drawing>
          <wp:inline distT="0" distB="0" distL="0" distR="0" wp14:anchorId="17FE7089" wp14:editId="172FEFBE">
            <wp:extent cx="1099524" cy="846656"/>
            <wp:effectExtent l="0" t="0" r="5715" b="0"/>
            <wp:docPr id="932086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86344" name=""/>
                    <pic:cNvPicPr/>
                  </pic:nvPicPr>
                  <pic:blipFill>
                    <a:blip r:embed="rId15"/>
                    <a:stretch>
                      <a:fillRect/>
                    </a:stretch>
                  </pic:blipFill>
                  <pic:spPr>
                    <a:xfrm>
                      <a:off x="0" y="0"/>
                      <a:ext cx="1109102" cy="854031"/>
                    </a:xfrm>
                    <a:prstGeom prst="rect">
                      <a:avLst/>
                    </a:prstGeom>
                  </pic:spPr>
                </pic:pic>
              </a:graphicData>
            </a:graphic>
          </wp:inline>
        </w:drawing>
      </w:r>
      <w:r>
        <w:rPr>
          <w:noProof/>
        </w:rPr>
        <w:drawing>
          <wp:inline distT="0" distB="0" distL="0" distR="0" wp14:anchorId="250D19CD" wp14:editId="02A395C8">
            <wp:extent cx="1089650" cy="858302"/>
            <wp:effectExtent l="0" t="0" r="0" b="0"/>
            <wp:docPr id="1792038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8770" name=""/>
                    <pic:cNvPicPr/>
                  </pic:nvPicPr>
                  <pic:blipFill>
                    <a:blip r:embed="rId16"/>
                    <a:stretch>
                      <a:fillRect/>
                    </a:stretch>
                  </pic:blipFill>
                  <pic:spPr>
                    <a:xfrm>
                      <a:off x="0" y="0"/>
                      <a:ext cx="1106241" cy="871370"/>
                    </a:xfrm>
                    <a:prstGeom prst="rect">
                      <a:avLst/>
                    </a:prstGeom>
                  </pic:spPr>
                </pic:pic>
              </a:graphicData>
            </a:graphic>
          </wp:inline>
        </w:drawing>
      </w:r>
    </w:p>
    <w:p w14:paraId="293D3ED1" w14:textId="77777777" w:rsidR="009774AB" w:rsidRDefault="009774AB" w:rsidP="009774AB">
      <w:pPr>
        <w:spacing w:line="360" w:lineRule="auto"/>
        <w:jc w:val="center"/>
        <w:rPr>
          <w:noProof/>
          <w:sz w:val="18"/>
          <w:szCs w:val="20"/>
        </w:rPr>
      </w:pPr>
      <w:r w:rsidRPr="00D70140">
        <w:rPr>
          <w:rFonts w:hint="eastAsia"/>
          <w:noProof/>
          <w:sz w:val="18"/>
          <w:szCs w:val="20"/>
        </w:rPr>
        <w:t>0</w:t>
      </w:r>
      <w:r w:rsidRPr="00D70140">
        <w:rPr>
          <w:rFonts w:hint="eastAsia"/>
          <w:noProof/>
          <w:sz w:val="18"/>
          <w:szCs w:val="20"/>
        </w:rPr>
        <w:t>°</w:t>
      </w:r>
      <w:r>
        <w:rPr>
          <w:rFonts w:hint="eastAsia"/>
          <w:noProof/>
          <w:sz w:val="18"/>
          <w:szCs w:val="20"/>
        </w:rPr>
        <w:t>、</w:t>
      </w:r>
      <w:r>
        <w:rPr>
          <w:rFonts w:hint="eastAsia"/>
          <w:noProof/>
          <w:sz w:val="18"/>
          <w:szCs w:val="20"/>
        </w:rPr>
        <w:t>30</w:t>
      </w:r>
      <w:r>
        <w:rPr>
          <w:rFonts w:hint="eastAsia"/>
          <w:noProof/>
          <w:sz w:val="18"/>
          <w:szCs w:val="20"/>
        </w:rPr>
        <w:t>°、</w:t>
      </w:r>
      <w:r>
        <w:rPr>
          <w:rFonts w:hint="eastAsia"/>
          <w:noProof/>
          <w:sz w:val="18"/>
          <w:szCs w:val="20"/>
        </w:rPr>
        <w:t>60</w:t>
      </w:r>
      <w:r>
        <w:rPr>
          <w:rFonts w:hint="eastAsia"/>
          <w:noProof/>
          <w:sz w:val="18"/>
          <w:szCs w:val="20"/>
        </w:rPr>
        <w:t>°</w:t>
      </w:r>
    </w:p>
    <w:p w14:paraId="2D9FAA6C" w14:textId="77777777" w:rsidR="009774AB" w:rsidRDefault="009774AB" w:rsidP="009774AB">
      <w:pPr>
        <w:spacing w:line="360" w:lineRule="auto"/>
        <w:jc w:val="center"/>
        <w:rPr>
          <w:noProof/>
          <w:sz w:val="18"/>
          <w:szCs w:val="20"/>
        </w:rPr>
      </w:pPr>
      <w:r>
        <w:rPr>
          <w:noProof/>
        </w:rPr>
        <w:drawing>
          <wp:inline distT="0" distB="0" distL="0" distR="0" wp14:anchorId="58B5D7FF" wp14:editId="532C3046">
            <wp:extent cx="1181198" cy="932398"/>
            <wp:effectExtent l="0" t="0" r="0" b="1270"/>
            <wp:docPr id="1560153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53813" name=""/>
                    <pic:cNvPicPr/>
                  </pic:nvPicPr>
                  <pic:blipFill>
                    <a:blip r:embed="rId17"/>
                    <a:stretch>
                      <a:fillRect/>
                    </a:stretch>
                  </pic:blipFill>
                  <pic:spPr>
                    <a:xfrm>
                      <a:off x="0" y="0"/>
                      <a:ext cx="1190657" cy="939865"/>
                    </a:xfrm>
                    <a:prstGeom prst="rect">
                      <a:avLst/>
                    </a:prstGeom>
                  </pic:spPr>
                </pic:pic>
              </a:graphicData>
            </a:graphic>
          </wp:inline>
        </w:drawing>
      </w:r>
      <w:r>
        <w:rPr>
          <w:noProof/>
        </w:rPr>
        <w:drawing>
          <wp:inline distT="0" distB="0" distL="0" distR="0" wp14:anchorId="6144C7B7" wp14:editId="26AEB2F7">
            <wp:extent cx="1166198" cy="902786"/>
            <wp:effectExtent l="0" t="0" r="0" b="0"/>
            <wp:docPr id="258061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1420" name=""/>
                    <pic:cNvPicPr/>
                  </pic:nvPicPr>
                  <pic:blipFill>
                    <a:blip r:embed="rId18"/>
                    <a:stretch>
                      <a:fillRect/>
                    </a:stretch>
                  </pic:blipFill>
                  <pic:spPr>
                    <a:xfrm>
                      <a:off x="0" y="0"/>
                      <a:ext cx="1183089" cy="915862"/>
                    </a:xfrm>
                    <a:prstGeom prst="rect">
                      <a:avLst/>
                    </a:prstGeom>
                  </pic:spPr>
                </pic:pic>
              </a:graphicData>
            </a:graphic>
          </wp:inline>
        </w:drawing>
      </w:r>
      <w:r>
        <w:rPr>
          <w:noProof/>
        </w:rPr>
        <w:drawing>
          <wp:inline distT="0" distB="0" distL="0" distR="0" wp14:anchorId="17146E65" wp14:editId="05DBE92B">
            <wp:extent cx="1177925" cy="859140"/>
            <wp:effectExtent l="0" t="0" r="3175" b="0"/>
            <wp:docPr id="585005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05681" name=""/>
                    <pic:cNvPicPr/>
                  </pic:nvPicPr>
                  <pic:blipFill>
                    <a:blip r:embed="rId19"/>
                    <a:stretch>
                      <a:fillRect/>
                    </a:stretch>
                  </pic:blipFill>
                  <pic:spPr>
                    <a:xfrm>
                      <a:off x="0" y="0"/>
                      <a:ext cx="1205799" cy="879471"/>
                    </a:xfrm>
                    <a:prstGeom prst="rect">
                      <a:avLst/>
                    </a:prstGeom>
                  </pic:spPr>
                </pic:pic>
              </a:graphicData>
            </a:graphic>
          </wp:inline>
        </w:drawing>
      </w:r>
      <w:r>
        <w:rPr>
          <w:noProof/>
        </w:rPr>
        <w:drawing>
          <wp:inline distT="0" distB="0" distL="0" distR="0" wp14:anchorId="608CCD3E" wp14:editId="14AAAD53">
            <wp:extent cx="1127573" cy="893057"/>
            <wp:effectExtent l="0" t="0" r="0" b="2540"/>
            <wp:docPr id="878407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7194" name=""/>
                    <pic:cNvPicPr/>
                  </pic:nvPicPr>
                  <pic:blipFill>
                    <a:blip r:embed="rId20"/>
                    <a:stretch>
                      <a:fillRect/>
                    </a:stretch>
                  </pic:blipFill>
                  <pic:spPr>
                    <a:xfrm>
                      <a:off x="0" y="0"/>
                      <a:ext cx="1149310" cy="910273"/>
                    </a:xfrm>
                    <a:prstGeom prst="rect">
                      <a:avLst/>
                    </a:prstGeom>
                  </pic:spPr>
                </pic:pic>
              </a:graphicData>
            </a:graphic>
          </wp:inline>
        </w:drawing>
      </w:r>
    </w:p>
    <w:p w14:paraId="6159CA8C" w14:textId="77777777" w:rsidR="009774AB" w:rsidRDefault="009774AB" w:rsidP="009774AB">
      <w:pPr>
        <w:spacing w:line="360" w:lineRule="auto"/>
        <w:jc w:val="center"/>
        <w:rPr>
          <w:noProof/>
          <w:sz w:val="18"/>
          <w:szCs w:val="20"/>
        </w:rPr>
      </w:pPr>
      <w:r>
        <w:rPr>
          <w:rFonts w:hint="eastAsia"/>
          <w:noProof/>
          <w:sz w:val="18"/>
          <w:szCs w:val="20"/>
        </w:rPr>
        <w:t>90</w:t>
      </w:r>
      <w:r>
        <w:rPr>
          <w:rFonts w:hint="eastAsia"/>
          <w:noProof/>
          <w:sz w:val="18"/>
          <w:szCs w:val="20"/>
        </w:rPr>
        <w:t>°、</w:t>
      </w:r>
      <w:r>
        <w:rPr>
          <w:rFonts w:hint="eastAsia"/>
          <w:noProof/>
          <w:sz w:val="18"/>
          <w:szCs w:val="20"/>
        </w:rPr>
        <w:t>120</w:t>
      </w:r>
      <w:r>
        <w:rPr>
          <w:rFonts w:hint="eastAsia"/>
          <w:noProof/>
          <w:sz w:val="18"/>
          <w:szCs w:val="20"/>
        </w:rPr>
        <w:t>°、</w:t>
      </w:r>
      <w:r>
        <w:rPr>
          <w:rFonts w:hint="eastAsia"/>
          <w:noProof/>
          <w:sz w:val="18"/>
          <w:szCs w:val="20"/>
        </w:rPr>
        <w:t>150</w:t>
      </w:r>
      <w:r>
        <w:rPr>
          <w:rFonts w:hint="eastAsia"/>
          <w:noProof/>
          <w:sz w:val="18"/>
          <w:szCs w:val="20"/>
        </w:rPr>
        <w:t>°、</w:t>
      </w:r>
      <w:r>
        <w:rPr>
          <w:rFonts w:hint="eastAsia"/>
          <w:noProof/>
          <w:sz w:val="18"/>
          <w:szCs w:val="20"/>
        </w:rPr>
        <w:t>180</w:t>
      </w:r>
      <w:r>
        <w:rPr>
          <w:rFonts w:hint="eastAsia"/>
          <w:noProof/>
          <w:sz w:val="18"/>
          <w:szCs w:val="20"/>
        </w:rPr>
        <w:t>°</w:t>
      </w:r>
    </w:p>
    <w:p w14:paraId="4CBC4A7B" w14:textId="77777777" w:rsidR="009774AB" w:rsidRPr="0099700E" w:rsidRDefault="009774AB" w:rsidP="009774AB">
      <w:pPr>
        <w:pStyle w:val="a7"/>
        <w:spacing w:line="360" w:lineRule="auto"/>
        <w:ind w:firstLineChars="187" w:firstLine="449"/>
        <w:rPr>
          <w:rFonts w:asciiTheme="minorEastAsia" w:hAnsiTheme="minorEastAsia" w:hint="eastAsia"/>
          <w:sz w:val="24"/>
          <w:szCs w:val="24"/>
        </w:rPr>
      </w:pPr>
      <w:r w:rsidRPr="0099700E">
        <w:rPr>
          <w:rFonts w:asciiTheme="minorEastAsia" w:hAnsiTheme="minorEastAsia" w:hint="eastAsia"/>
          <w:sz w:val="24"/>
          <w:szCs w:val="24"/>
        </w:rPr>
        <w:t>激光雷达方面，使用32线禾赛激光雷达对真实快递三轮车及目标物进行0°、30°、60°、90°、120°、150°、180°的点云进行对比分析，各区间均符合真实三轮车的反射率范围。该品牌快递三轮车目标物各角度均符合反射率范围。</w:t>
      </w:r>
    </w:p>
    <w:p w14:paraId="53324E2A" w14:textId="77777777" w:rsidR="009774AB" w:rsidRDefault="009774AB" w:rsidP="009774AB">
      <w:pPr>
        <w:ind w:firstLineChars="200" w:firstLine="420"/>
        <w:rPr>
          <w:rFonts w:ascii="黑体" w:eastAsia="黑体" w:hAnsi="黑体" w:cs="黑体" w:hint="eastAsia"/>
          <w:color w:val="000000" w:themeColor="text1"/>
          <w:sz w:val="24"/>
        </w:rPr>
      </w:pPr>
      <w:r>
        <w:rPr>
          <w:noProof/>
        </w:rPr>
        <w:lastRenderedPageBreak/>
        <w:drawing>
          <wp:inline distT="0" distB="0" distL="0" distR="0" wp14:anchorId="72C80EE8" wp14:editId="7FF0DE9A">
            <wp:extent cx="2193290" cy="1970724"/>
            <wp:effectExtent l="0" t="0" r="0" b="0"/>
            <wp:docPr id="998369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69345" name=""/>
                    <pic:cNvPicPr/>
                  </pic:nvPicPr>
                  <pic:blipFill>
                    <a:blip r:embed="rId21"/>
                    <a:stretch>
                      <a:fillRect/>
                    </a:stretch>
                  </pic:blipFill>
                  <pic:spPr>
                    <a:xfrm>
                      <a:off x="0" y="0"/>
                      <a:ext cx="2211083" cy="1986712"/>
                    </a:xfrm>
                    <a:prstGeom prst="rect">
                      <a:avLst/>
                    </a:prstGeom>
                  </pic:spPr>
                </pic:pic>
              </a:graphicData>
            </a:graphic>
          </wp:inline>
        </w:drawing>
      </w:r>
      <w:r>
        <w:rPr>
          <w:noProof/>
        </w:rPr>
        <w:drawing>
          <wp:inline distT="0" distB="0" distL="0" distR="0" wp14:anchorId="6C392B07" wp14:editId="6834932B">
            <wp:extent cx="2154170" cy="2490885"/>
            <wp:effectExtent l="0" t="0" r="0" b="5080"/>
            <wp:docPr id="1238476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76136" name=""/>
                    <pic:cNvPicPr/>
                  </pic:nvPicPr>
                  <pic:blipFill>
                    <a:blip r:embed="rId22"/>
                    <a:stretch>
                      <a:fillRect/>
                    </a:stretch>
                  </pic:blipFill>
                  <pic:spPr>
                    <a:xfrm>
                      <a:off x="0" y="0"/>
                      <a:ext cx="2164372" cy="2502682"/>
                    </a:xfrm>
                    <a:prstGeom prst="rect">
                      <a:avLst/>
                    </a:prstGeom>
                  </pic:spPr>
                </pic:pic>
              </a:graphicData>
            </a:graphic>
          </wp:inline>
        </w:drawing>
      </w:r>
    </w:p>
    <w:p w14:paraId="549254FF" w14:textId="357E8EA0" w:rsidR="004C5011" w:rsidRDefault="00000000" w:rsidP="009774AB">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五、与现行法律、法规和政策及相关标准的协调性</w:t>
      </w:r>
    </w:p>
    <w:p w14:paraId="5D0674F6" w14:textId="6532F1E0" w:rsidR="004C5011" w:rsidRPr="00907B46" w:rsidRDefault="006F5CEB" w:rsidP="006F5CEB">
      <w:pPr>
        <w:pStyle w:val="a7"/>
        <w:spacing w:line="360" w:lineRule="auto"/>
        <w:ind w:firstLine="480"/>
        <w:jc w:val="left"/>
        <w:rPr>
          <w:rFonts w:asciiTheme="minorEastAsia" w:hAnsiTheme="minorEastAsia" w:hint="eastAsia"/>
          <w:sz w:val="24"/>
          <w:szCs w:val="24"/>
        </w:rPr>
      </w:pPr>
      <w:r w:rsidRPr="00907B46">
        <w:rPr>
          <w:rFonts w:asciiTheme="minorEastAsia" w:hAnsiTheme="minorEastAsia" w:hint="eastAsia"/>
          <w:sz w:val="24"/>
          <w:szCs w:val="24"/>
        </w:rPr>
        <w:t>本标准符合国家有关法律、法规和相关强制性标准的要求，与现行的国家标准、行业标准相协调，不矛盾。</w:t>
      </w:r>
    </w:p>
    <w:p w14:paraId="5BC1F7AD" w14:textId="77777777" w:rsidR="004C5011" w:rsidRDefault="00000000">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六、贯彻标准的要求和措施建议</w:t>
      </w:r>
    </w:p>
    <w:p w14:paraId="222DF8B0" w14:textId="0A0D2E52" w:rsidR="004C5011" w:rsidRPr="00907B46" w:rsidRDefault="006F5CEB" w:rsidP="006F5CEB">
      <w:pPr>
        <w:pStyle w:val="a7"/>
        <w:spacing w:line="360" w:lineRule="auto"/>
        <w:ind w:firstLineChars="175"/>
        <w:jc w:val="left"/>
        <w:rPr>
          <w:rFonts w:asciiTheme="minorEastAsia" w:hAnsiTheme="minorEastAsia" w:hint="eastAsia"/>
          <w:sz w:val="24"/>
          <w:szCs w:val="24"/>
        </w:rPr>
      </w:pPr>
      <w:r w:rsidRPr="00907B46">
        <w:rPr>
          <w:rFonts w:asciiTheme="minorEastAsia" w:hAnsiTheme="minorEastAsia" w:hint="eastAsia"/>
          <w:sz w:val="24"/>
          <w:szCs w:val="24"/>
        </w:rPr>
        <w:t>标准自公布实施后，尽快组织标准宣贯。标准一经发布，建议各方按照标准的要求执行，共同推进快递三轮车目标物标准化工作。</w:t>
      </w:r>
    </w:p>
    <w:p w14:paraId="58AA482F" w14:textId="77777777" w:rsidR="004C5011" w:rsidRDefault="00000000">
      <w:pPr>
        <w:numPr>
          <w:ilvl w:val="0"/>
          <w:numId w:val="3"/>
        </w:num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其他需要说明的事项</w:t>
      </w:r>
    </w:p>
    <w:p w14:paraId="17A02185" w14:textId="07EE6D8E" w:rsidR="004C5011" w:rsidRPr="00907B46" w:rsidRDefault="006F5CEB" w:rsidP="006F5CEB">
      <w:pPr>
        <w:ind w:left="420"/>
        <w:rPr>
          <w:rFonts w:asciiTheme="minorEastAsia" w:eastAsiaTheme="minorEastAsia" w:hAnsiTheme="minorEastAsia" w:hint="eastAsia"/>
          <w:sz w:val="24"/>
        </w:rPr>
      </w:pPr>
      <w:r w:rsidRPr="00907B46">
        <w:rPr>
          <w:rFonts w:asciiTheme="minorEastAsia" w:eastAsiaTheme="minorEastAsia" w:hAnsiTheme="minorEastAsia" w:cs="仿宋" w:hint="eastAsia"/>
          <w:color w:val="000000" w:themeColor="text1"/>
          <w:sz w:val="24"/>
        </w:rPr>
        <w:t>无</w:t>
      </w:r>
    </w:p>
    <w:sectPr w:rsidR="004C5011" w:rsidRPr="00907B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4979D" w14:textId="77777777" w:rsidR="00D9380F" w:rsidRDefault="00D9380F" w:rsidP="001B0625">
      <w:pPr>
        <w:spacing w:after="0" w:line="240" w:lineRule="auto"/>
      </w:pPr>
      <w:r>
        <w:separator/>
      </w:r>
    </w:p>
  </w:endnote>
  <w:endnote w:type="continuationSeparator" w:id="0">
    <w:p w14:paraId="7FE0FD9C" w14:textId="77777777" w:rsidR="00D9380F" w:rsidRDefault="00D9380F" w:rsidP="001B0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BB7AE" w14:textId="77777777" w:rsidR="00D9380F" w:rsidRDefault="00D9380F" w:rsidP="001B0625">
      <w:pPr>
        <w:spacing w:after="0" w:line="240" w:lineRule="auto"/>
      </w:pPr>
      <w:r>
        <w:separator/>
      </w:r>
    </w:p>
  </w:footnote>
  <w:footnote w:type="continuationSeparator" w:id="0">
    <w:p w14:paraId="10E544E6" w14:textId="77777777" w:rsidR="00D9380F" w:rsidRDefault="00D9380F" w:rsidP="001B0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60A38F"/>
    <w:multiLevelType w:val="singleLevel"/>
    <w:tmpl w:val="C760A38F"/>
    <w:lvl w:ilvl="0">
      <w:start w:val="1"/>
      <w:numFmt w:val="chineseCounting"/>
      <w:suff w:val="nothing"/>
      <w:lvlText w:val="%1、"/>
      <w:lvlJc w:val="left"/>
      <w:rPr>
        <w:rFonts w:hint="eastAsia"/>
      </w:rPr>
    </w:lvl>
  </w:abstractNum>
  <w:abstractNum w:abstractNumId="1" w15:restartNumberingAfterBreak="0">
    <w:nsid w:val="E319F839"/>
    <w:multiLevelType w:val="singleLevel"/>
    <w:tmpl w:val="E319F839"/>
    <w:lvl w:ilvl="0">
      <w:start w:val="1"/>
      <w:numFmt w:val="chineseCounting"/>
      <w:suff w:val="nothing"/>
      <w:lvlText w:val="（%1）"/>
      <w:lvlJc w:val="left"/>
      <w:pPr>
        <w:ind w:left="360" w:firstLine="0"/>
      </w:pPr>
      <w:rPr>
        <w:rFonts w:hint="eastAsia"/>
      </w:rPr>
    </w:lvl>
  </w:abstractNum>
  <w:abstractNum w:abstractNumId="2" w15:restartNumberingAfterBreak="0">
    <w:nsid w:val="E3C56D80"/>
    <w:multiLevelType w:val="singleLevel"/>
    <w:tmpl w:val="E3C56D80"/>
    <w:lvl w:ilvl="0">
      <w:start w:val="7"/>
      <w:numFmt w:val="chineseCounting"/>
      <w:suff w:val="nothing"/>
      <w:lvlText w:val="%1、"/>
      <w:lvlJc w:val="left"/>
      <w:rPr>
        <w:rFonts w:hint="eastAsia"/>
      </w:rPr>
    </w:lvl>
  </w:abstractNum>
  <w:num w:numId="1" w16cid:durableId="618727597">
    <w:abstractNumId w:val="0"/>
  </w:num>
  <w:num w:numId="2" w16cid:durableId="1055008073">
    <w:abstractNumId w:val="1"/>
  </w:num>
  <w:num w:numId="3" w16cid:durableId="485244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5011"/>
    <w:rsid w:val="00114261"/>
    <w:rsid w:val="00166AF3"/>
    <w:rsid w:val="001A49A2"/>
    <w:rsid w:val="001B0625"/>
    <w:rsid w:val="001C30C7"/>
    <w:rsid w:val="001E2E6B"/>
    <w:rsid w:val="00225AE6"/>
    <w:rsid w:val="00251639"/>
    <w:rsid w:val="00263627"/>
    <w:rsid w:val="002A5032"/>
    <w:rsid w:val="002E7E56"/>
    <w:rsid w:val="003B1814"/>
    <w:rsid w:val="004360F8"/>
    <w:rsid w:val="00467596"/>
    <w:rsid w:val="004C5011"/>
    <w:rsid w:val="004D5F35"/>
    <w:rsid w:val="0050227D"/>
    <w:rsid w:val="0050542B"/>
    <w:rsid w:val="005A4983"/>
    <w:rsid w:val="005A7152"/>
    <w:rsid w:val="00635871"/>
    <w:rsid w:val="0064438A"/>
    <w:rsid w:val="00666138"/>
    <w:rsid w:val="00667AA8"/>
    <w:rsid w:val="00680F00"/>
    <w:rsid w:val="006F5CEB"/>
    <w:rsid w:val="00715B14"/>
    <w:rsid w:val="00776CA5"/>
    <w:rsid w:val="007D3ECF"/>
    <w:rsid w:val="008060E0"/>
    <w:rsid w:val="00844BCE"/>
    <w:rsid w:val="0086313C"/>
    <w:rsid w:val="008A094C"/>
    <w:rsid w:val="008B0BF2"/>
    <w:rsid w:val="008B4022"/>
    <w:rsid w:val="008F374C"/>
    <w:rsid w:val="0090679D"/>
    <w:rsid w:val="00907B46"/>
    <w:rsid w:val="00946C25"/>
    <w:rsid w:val="00967DA1"/>
    <w:rsid w:val="009774AB"/>
    <w:rsid w:val="00994D7F"/>
    <w:rsid w:val="0099700E"/>
    <w:rsid w:val="009A4188"/>
    <w:rsid w:val="009C33EC"/>
    <w:rsid w:val="009E40C1"/>
    <w:rsid w:val="00A414FA"/>
    <w:rsid w:val="00A44E61"/>
    <w:rsid w:val="00A77307"/>
    <w:rsid w:val="00A87138"/>
    <w:rsid w:val="00AB07BB"/>
    <w:rsid w:val="00B22599"/>
    <w:rsid w:val="00B235AE"/>
    <w:rsid w:val="00B618E0"/>
    <w:rsid w:val="00B62894"/>
    <w:rsid w:val="00B6672E"/>
    <w:rsid w:val="00B936E8"/>
    <w:rsid w:val="00CA53FE"/>
    <w:rsid w:val="00CD4CC1"/>
    <w:rsid w:val="00CE6D68"/>
    <w:rsid w:val="00D404D9"/>
    <w:rsid w:val="00D9380F"/>
    <w:rsid w:val="00DC567B"/>
    <w:rsid w:val="00DF74A2"/>
    <w:rsid w:val="00E154EF"/>
    <w:rsid w:val="00E1705E"/>
    <w:rsid w:val="00E2333C"/>
    <w:rsid w:val="00EC11B0"/>
    <w:rsid w:val="00EF10AE"/>
    <w:rsid w:val="00F33EB0"/>
    <w:rsid w:val="00FE0A21"/>
    <w:rsid w:val="00FE3727"/>
    <w:rsid w:val="17FE2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13641"/>
  <w15:docId w15:val="{6F58FDC2-2458-47B8-9862-A9CEAE6C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B0625"/>
    <w:pPr>
      <w:tabs>
        <w:tab w:val="center" w:pos="4153"/>
        <w:tab w:val="right" w:pos="8306"/>
      </w:tabs>
      <w:snapToGrid w:val="0"/>
      <w:spacing w:line="240" w:lineRule="auto"/>
      <w:jc w:val="center"/>
    </w:pPr>
    <w:rPr>
      <w:sz w:val="18"/>
      <w:szCs w:val="18"/>
    </w:rPr>
  </w:style>
  <w:style w:type="character" w:customStyle="1" w:styleId="a4">
    <w:name w:val="页眉 字符"/>
    <w:basedOn w:val="a0"/>
    <w:link w:val="a3"/>
    <w:rsid w:val="001B0625"/>
    <w:rPr>
      <w:kern w:val="2"/>
      <w:sz w:val="18"/>
      <w:szCs w:val="18"/>
    </w:rPr>
  </w:style>
  <w:style w:type="paragraph" w:styleId="a5">
    <w:name w:val="footer"/>
    <w:basedOn w:val="a"/>
    <w:link w:val="a6"/>
    <w:rsid w:val="001B0625"/>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1B0625"/>
    <w:rPr>
      <w:kern w:val="2"/>
      <w:sz w:val="18"/>
      <w:szCs w:val="18"/>
    </w:rPr>
  </w:style>
  <w:style w:type="paragraph" w:styleId="a7">
    <w:name w:val="List Paragraph"/>
    <w:basedOn w:val="a"/>
    <w:uiPriority w:val="34"/>
    <w:qFormat/>
    <w:rsid w:val="00E154EF"/>
    <w:pPr>
      <w:spacing w:after="0" w:line="240" w:lineRule="auto"/>
      <w:ind w:firstLineChars="200" w:firstLine="420"/>
    </w:pPr>
    <w:rPr>
      <w:rFonts w:asciiTheme="minorHAnsi" w:eastAsiaTheme="minorEastAsia" w:hAnsiTheme="minorHAnsi" w:cstheme="minorBidi"/>
      <w:szCs w:val="22"/>
    </w:rPr>
  </w:style>
  <w:style w:type="paragraph" w:customStyle="1" w:styleId="a8">
    <w:name w:val="标准文件_段"/>
    <w:link w:val="Char"/>
    <w:qFormat/>
    <w:rsid w:val="00A87138"/>
    <w:pPr>
      <w:autoSpaceDE w:val="0"/>
      <w:autoSpaceDN w:val="0"/>
      <w:spacing w:after="0" w:line="240" w:lineRule="auto"/>
      <w:ind w:firstLineChars="200" w:firstLine="200"/>
      <w:jc w:val="both"/>
    </w:pPr>
    <w:rPr>
      <w:rFonts w:ascii="宋体"/>
      <w:noProof/>
      <w:sz w:val="21"/>
    </w:rPr>
  </w:style>
  <w:style w:type="character" w:customStyle="1" w:styleId="Char">
    <w:name w:val="标准文件_段 Char"/>
    <w:link w:val="a8"/>
    <w:qFormat/>
    <w:rsid w:val="00A87138"/>
    <w:rPr>
      <w:rFonts w:ascii="宋体"/>
      <w:noProof/>
      <w:sz w:val="21"/>
    </w:rPr>
  </w:style>
  <w:style w:type="table" w:styleId="a9">
    <w:name w:val="Table Grid"/>
    <w:basedOn w:val="a1"/>
    <w:rsid w:val="00E17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8</Pages>
  <Words>2667</Words>
  <Characters>2908</Characters>
  <Application>Microsoft Office Word</Application>
  <DocSecurity>0</DocSecurity>
  <Lines>153</Lines>
  <Paragraphs>126</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ZHQ</dc:creator>
  <cp:lastModifiedBy>张鑫</cp:lastModifiedBy>
  <cp:revision>57</cp:revision>
  <dcterms:created xsi:type="dcterms:W3CDTF">2022-04-24T14:35:00Z</dcterms:created>
  <dcterms:modified xsi:type="dcterms:W3CDTF">2025-08-22T08:12:00Z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