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63D2E6">
      <w:pPr>
        <w:rPr>
          <w:rFonts w:asciiTheme="majorEastAsia" w:hAnsiTheme="majorEastAsia" w:eastAsiaTheme="majorEastAsia"/>
          <w:sz w:val="28"/>
          <w:szCs w:val="28"/>
        </w:rPr>
      </w:pPr>
      <w:r>
        <w:rPr>
          <w:rFonts w:hint="eastAsia" w:asciiTheme="majorEastAsia" w:hAnsiTheme="majorEastAsia" w:eastAsiaTheme="majorEastAsia"/>
          <w:sz w:val="28"/>
          <w:szCs w:val="28"/>
        </w:rPr>
        <w:t>附件4：</w:t>
      </w:r>
    </w:p>
    <w:p w14:paraId="39517B8C">
      <w:pPr>
        <w:widowControl/>
        <w:jc w:val="center"/>
        <w:rPr>
          <w:rFonts w:eastAsia="黑体"/>
          <w:sz w:val="28"/>
          <w:szCs w:val="28"/>
        </w:rPr>
      </w:pPr>
      <w:r>
        <w:rPr>
          <w:rFonts w:hint="eastAsia" w:eastAsia="黑体"/>
          <w:sz w:val="28"/>
          <w:szCs w:val="28"/>
        </w:rPr>
        <w:t>中汽协会《</w:t>
      </w:r>
      <w:r>
        <w:rPr>
          <w:rFonts w:hint="eastAsia" w:eastAsia="黑体"/>
          <w:sz w:val="28"/>
          <w:szCs w:val="28"/>
          <w:lang w:val="en-US" w:eastAsia="zh-CN"/>
        </w:rPr>
        <w:t>新能源车用热管理集成模块</w:t>
      </w:r>
      <w:r>
        <w:rPr>
          <w:rFonts w:hint="eastAsia" w:eastAsia="黑体"/>
          <w:sz w:val="28"/>
          <w:szCs w:val="28"/>
        </w:rPr>
        <w:t>》团体标准编制说明</w:t>
      </w:r>
    </w:p>
    <w:p w14:paraId="0BB62D36">
      <w:pPr>
        <w:numPr>
          <w:ilvl w:val="0"/>
          <w:numId w:val="2"/>
        </w:numPr>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工作简要过程</w:t>
      </w:r>
    </w:p>
    <w:p w14:paraId="4F71E745">
      <w:pPr>
        <w:numPr>
          <w:ilvl w:val="0"/>
          <w:numId w:val="3"/>
        </w:numP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任务来源</w:t>
      </w:r>
    </w:p>
    <w:p w14:paraId="59A34015">
      <w:pPr>
        <w:ind w:left="360" w:firstLine="420" w:firstLineChars="200"/>
        <w:rPr>
          <w:rFonts w:hint="eastAsia"/>
          <w:color w:val="000000" w:themeColor="text1"/>
          <w:lang w:val="en-US" w:eastAsia="zh-CN"/>
          <w14:textFill>
            <w14:solidFill>
              <w14:schemeClr w14:val="tx1"/>
            </w14:solidFill>
          </w14:textFill>
        </w:rPr>
      </w:pPr>
      <w:r>
        <w:rPr>
          <w:rFonts w:hint="default"/>
          <w:szCs w:val="21"/>
          <w:lang w:val="en-US" w:eastAsia="zh-CN"/>
        </w:rPr>
        <w:t>新能源</w:t>
      </w:r>
      <w:r>
        <w:rPr>
          <w:rFonts w:hint="eastAsia"/>
          <w:szCs w:val="21"/>
          <w:lang w:val="en-US" w:eastAsia="zh-CN"/>
        </w:rPr>
        <w:t>车用</w:t>
      </w:r>
      <w:r>
        <w:rPr>
          <w:rFonts w:hint="default"/>
          <w:szCs w:val="21"/>
          <w:lang w:val="en-US" w:eastAsia="zh-CN"/>
        </w:rPr>
        <w:t>热管理集成模块在新能源汽车</w:t>
      </w:r>
      <w:r>
        <w:rPr>
          <w:rFonts w:hint="eastAsia"/>
          <w:szCs w:val="21"/>
          <w:lang w:val="en-US" w:eastAsia="zh-CN"/>
        </w:rPr>
        <w:t>上的</w:t>
      </w:r>
      <w:r>
        <w:rPr>
          <w:rFonts w:hint="default"/>
          <w:szCs w:val="21"/>
          <w:lang w:val="en-US" w:eastAsia="zh-CN"/>
        </w:rPr>
        <w:t>运用</w:t>
      </w:r>
      <w:r>
        <w:rPr>
          <w:rFonts w:hint="eastAsia"/>
          <w:szCs w:val="21"/>
          <w:lang w:val="en-US" w:eastAsia="zh-CN"/>
        </w:rPr>
        <w:t>日益</w:t>
      </w:r>
      <w:r>
        <w:rPr>
          <w:rFonts w:hint="default"/>
          <w:szCs w:val="21"/>
          <w:lang w:val="en-US" w:eastAsia="zh-CN"/>
        </w:rPr>
        <w:t>广泛，取代了原本</w:t>
      </w:r>
      <w:r>
        <w:rPr>
          <w:rFonts w:hint="eastAsia"/>
          <w:szCs w:val="21"/>
          <w:lang w:val="en-US" w:eastAsia="zh-CN"/>
        </w:rPr>
        <w:t>热管理系统中各个独立的零部件，是一个全新的集成化部件。现在国内外热管理集成模块主要依靠各主机厂以及热管理集成模块制造商的企业标准指导产品的开发和制造，各主机厂开发技术需求不同，集成的范围不同，对于寿命和耐久性等关键指标验证方式多式多样，子部件与总成件的重复试验等，造成试验资源浪费。为填补目前行业上关于热管理集成模块标准的空白，</w:t>
      </w:r>
      <w:r>
        <w:rPr>
          <w:rFonts w:hint="eastAsia"/>
          <w:color w:val="000000" w:themeColor="text1"/>
          <w:lang w:val="en-US" w:eastAsia="zh-CN"/>
          <w14:textFill>
            <w14:solidFill>
              <w14:schemeClr w14:val="tx1"/>
            </w14:solidFill>
          </w14:textFill>
        </w:rPr>
        <w:t>减少产品开发过程的浪费。因此编制能够覆盖新能源汽车产业发展需要的热管理集成模块相关标准工作需求十分迫切。</w:t>
      </w:r>
    </w:p>
    <w:p w14:paraId="4FE86A35">
      <w:pPr>
        <w:ind w:left="360" w:firstLine="4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《新能源车用热管理集成模块》团体标准由中国汽车工业协会批准立项，文件号中汽协函字〔2024〕570号</w:t>
      </w:r>
    </w:p>
    <w:p w14:paraId="356C946C">
      <w:pPr>
        <w:pStyle w:val="9"/>
        <w:spacing w:after="156" w:afterLines="50" w:line="360" w:lineRule="auto"/>
        <w:ind w:firstLine="408"/>
        <w:rPr>
          <w:rFonts w:ascii="宋体" w:hAnsi="宋体"/>
          <w:spacing w:val="-3"/>
          <w:szCs w:val="21"/>
        </w:rPr>
      </w:pPr>
      <w:r>
        <w:rPr>
          <w:rFonts w:hint="eastAsia" w:ascii="宋体" w:hAnsi="宋体"/>
          <w:spacing w:val="-3"/>
          <w:szCs w:val="21"/>
        </w:rPr>
        <w:t>本标准发布后仍将持续迭代，适时修订，并为后期相关国家标准的制定奠定基础。</w:t>
      </w:r>
    </w:p>
    <w:p w14:paraId="41600D53">
      <w:pPr>
        <w:numPr>
          <w:ilvl w:val="0"/>
          <w:numId w:val="3"/>
        </w:numP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主要起草单位及任务分工</w:t>
      </w:r>
    </w:p>
    <w:p w14:paraId="5A44C55B">
      <w:pPr>
        <w:numPr>
          <w:ilvl w:val="0"/>
          <w:numId w:val="4"/>
        </w:numPr>
        <w:ind w:left="885" w:leftChars="0" w:firstLine="0" w:firstLineChars="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本文件起草单位：江苏超力电器有限公司、岚图汽车科技有限公司、东风日产乘用车公司</w:t>
      </w:r>
    </w:p>
    <w:p w14:paraId="39ABC048">
      <w:pPr>
        <w:numPr>
          <w:ilvl w:val="0"/>
          <w:numId w:val="4"/>
        </w:numPr>
        <w:ind w:left="885" w:leftChars="0" w:firstLine="0" w:firstLineChars="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本文件主要起草人：</w:t>
      </w:r>
    </w:p>
    <w:p w14:paraId="559FA024">
      <w:pPr>
        <w:ind w:left="360" w:firstLine="420" w:firstLineChars="200"/>
        <w:rPr>
          <w:szCs w:val="21"/>
        </w:rPr>
      </w:pPr>
      <w:r>
        <w:rPr>
          <w:rFonts w:hint="eastAsia"/>
          <w:color w:val="000000" w:themeColor="text1"/>
          <w:lang w:val="en-US" w:eastAsia="zh-CN"/>
          <w14:textFill>
            <w14:solidFill>
              <w14:schemeClr w14:val="tx1"/>
            </w14:solidFill>
          </w14:textFill>
        </w:rPr>
        <w:t>江苏超力电器有限公司成员组负责团标的编辑、实验验证、标准收集等。后续由江苏超力电器有限公司牵头与其他起草人共同参与了标准的编制工作</w:t>
      </w:r>
    </w:p>
    <w:p w14:paraId="5F8ADF6A">
      <w:pPr>
        <w:numPr>
          <w:ilvl w:val="0"/>
          <w:numId w:val="3"/>
        </w:numP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标准研讨情况</w:t>
      </w:r>
    </w:p>
    <w:p w14:paraId="4A2E2B93">
      <w:pPr>
        <w:pStyle w:val="9"/>
        <w:ind w:left="357"/>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t>任务下达后，即着手启动编制工作，吸纳并邀请同行业相关领域的专家，共同组成编制组开展工作。召开项目动员会，成立了标准起草小组，制定了标准编制计划，明确了各自分工。课题组首先对</w:t>
      </w:r>
      <w:r>
        <w:rPr>
          <w:rFonts w:hint="default"/>
          <w:szCs w:val="21"/>
          <w:lang w:val="en-US" w:eastAsia="zh-CN"/>
        </w:rPr>
        <w:t>新能源</w:t>
      </w:r>
      <w:r>
        <w:rPr>
          <w:rFonts w:hint="eastAsia"/>
          <w:szCs w:val="21"/>
          <w:lang w:val="en-US" w:eastAsia="zh-CN"/>
        </w:rPr>
        <w:t>车用</w:t>
      </w:r>
      <w:r>
        <w:rPr>
          <w:rFonts w:hint="default"/>
          <w:szCs w:val="21"/>
          <w:lang w:val="en-US" w:eastAsia="zh-CN"/>
        </w:rPr>
        <w:t>热管理集成模块</w:t>
      </w:r>
      <w: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t>相关应用企业进行调研，了解</w:t>
      </w:r>
      <w:r>
        <w:rPr>
          <w:rFonts w:hint="default"/>
          <w:szCs w:val="21"/>
          <w:lang w:val="en-US" w:eastAsia="zh-CN"/>
        </w:rPr>
        <w:t>新能源</w:t>
      </w:r>
      <w:r>
        <w:rPr>
          <w:rFonts w:hint="eastAsia"/>
          <w:szCs w:val="21"/>
          <w:lang w:val="en-US" w:eastAsia="zh-CN"/>
        </w:rPr>
        <w:t>车用</w:t>
      </w:r>
      <w:r>
        <w:rPr>
          <w:rFonts w:hint="default"/>
          <w:szCs w:val="21"/>
          <w:lang w:val="en-US" w:eastAsia="zh-CN"/>
        </w:rPr>
        <w:t>热管理集成模块</w:t>
      </w:r>
      <w: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t>实际需求、应用情况、存在问题、性能要求、实验方法、目前能够达到的实际水平等。</w:t>
      </w:r>
    </w:p>
    <w:p w14:paraId="6EF5FA8B">
      <w:pPr>
        <w:ind w:left="357" w:firstLine="420" w:firstLineChars="200"/>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t>对当前国内外相关资料、标准进行搜集、</w:t>
      </w:r>
      <w:r>
        <w:rPr>
          <w:rFonts w:hint="eastAsia"/>
          <w:color w:val="000000" w:themeColor="text1"/>
          <w:lang w:val="en-US" w:eastAsia="zh-CN"/>
          <w14:textFill>
            <w14:solidFill>
              <w14:schemeClr w14:val="tx1"/>
            </w14:solidFill>
          </w14:textFill>
        </w:rPr>
        <w:t>调研</w:t>
      </w:r>
      <w: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t>。包括标准。在系统全面调研和试验基础上，邀请相关领域的专家经过多次的内部讨论共同制定标准的基础框架，且就标准的范围、内容等进行讨论并初步达成一致，形成标准初稿。</w:t>
      </w:r>
    </w:p>
    <w:p w14:paraId="15134305">
      <w:pPr>
        <w:ind w:left="357" w:firstLine="420" w:firstLineChars="200"/>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t>对标准初稿进行了征求意见，在详细分析意见的基础上对初稿进行了修改。</w:t>
      </w:r>
    </w:p>
    <w:p w14:paraId="031B8031">
      <w:pPr>
        <w:ind w:left="360" w:firstLine="420" w:firstLineChars="200"/>
        <w:rPr>
          <w:color w:val="000000" w:themeColor="text1"/>
          <w14:textFill>
            <w14:solidFill>
              <w14:schemeClr w14:val="tx1"/>
            </w14:solidFill>
          </w14:textFill>
        </w:rPr>
      </w:pPr>
    </w:p>
    <w:p w14:paraId="1B58EFF0">
      <w:pPr>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二、标准编制原则和主要内容</w:t>
      </w:r>
    </w:p>
    <w:p w14:paraId="2EAED8F7">
      <w:pPr>
        <w:pStyle w:val="2"/>
        <w:numPr>
          <w:ilvl w:val="0"/>
          <w:numId w:val="5"/>
        </w:numPr>
        <w:spacing w:before="0" w:line="360" w:lineRule="auto"/>
        <w:ind w:left="845" w:leftChars="0" w:hanging="425" w:firstLineChars="0"/>
        <w:rPr>
          <w:rFonts w:ascii="黑体" w:hAnsi="黑体" w:eastAsia="黑体" w:cs="黑体"/>
          <w:color w:val="000000" w:themeColor="text1"/>
          <w:lang w:eastAsia="zh-CN"/>
          <w14:textFill>
            <w14:solidFill>
              <w14:schemeClr w14:val="tx1"/>
            </w14:solidFill>
          </w14:textFill>
        </w:rPr>
      </w:pPr>
      <w:r>
        <w:rPr>
          <w:rFonts w:hint="eastAsia"/>
          <w:sz w:val="21"/>
          <w:szCs w:val="21"/>
          <w:lang w:eastAsia="zh-CN"/>
        </w:rPr>
        <w:t xml:space="preserve">标准编制原则 </w:t>
      </w:r>
    </w:p>
    <w:p w14:paraId="5C3220BC">
      <w:pPr>
        <w:ind w:firstLine="840" w:firstLineChars="400"/>
        <w:rPr>
          <w:szCs w:val="21"/>
        </w:rPr>
      </w:pPr>
      <w:r>
        <w:rPr>
          <w:rFonts w:hint="eastAsia"/>
          <w:szCs w:val="21"/>
        </w:rPr>
        <w:t>按照GB/T 1.1—2020《标准化工作导则  第1部分：标准化文件的结构和起草规则》的规定起草。由中国汽车工业协会和车用电机电器电子分会提出。</w:t>
      </w:r>
      <w:r>
        <w:rPr>
          <w:szCs w:val="21"/>
        </w:rPr>
        <w:t>由</w:t>
      </w:r>
      <w:r>
        <w:rPr>
          <w:rFonts w:hint="eastAsia"/>
          <w:szCs w:val="21"/>
        </w:rPr>
        <w:t>中国汽车工业协会归口。在已掌握的技术基础上，充分考虑现有的技术水平和发展方向，对产品共性要求和最基本的性能指标进行规定，并采用性能优先和可证实性原则来编制内容</w:t>
      </w:r>
    </w:p>
    <w:p w14:paraId="0E021CCB">
      <w:pPr>
        <w:pStyle w:val="2"/>
        <w:numPr>
          <w:ilvl w:val="0"/>
          <w:numId w:val="5"/>
        </w:numPr>
        <w:spacing w:before="0" w:line="360" w:lineRule="auto"/>
        <w:ind w:left="845" w:leftChars="0" w:hanging="425" w:firstLineChars="0"/>
        <w:rPr>
          <w:sz w:val="21"/>
          <w:szCs w:val="21"/>
          <w:lang w:eastAsia="zh-CN"/>
        </w:rPr>
      </w:pPr>
      <w:r>
        <w:rPr>
          <w:rFonts w:hint="eastAsia"/>
          <w:sz w:val="21"/>
          <w:szCs w:val="21"/>
          <w:lang w:eastAsia="zh-CN"/>
        </w:rPr>
        <w:t>主要内容</w:t>
      </w:r>
    </w:p>
    <w:p w14:paraId="7B08C933">
      <w:pPr>
        <w:autoSpaceDE w:val="0"/>
        <w:autoSpaceDN w:val="0"/>
        <w:adjustRightInd w:val="0"/>
        <w:snapToGrid w:val="0"/>
        <w:ind w:left="525" w:leftChars="250"/>
        <w:jc w:val="left"/>
        <w:outlineLvl w:val="0"/>
        <w:rPr>
          <w:rFonts w:asciiTheme="minorEastAsia" w:hAnsiTheme="minorEastAsia" w:eastAsiaTheme="minorEastAsia"/>
          <w:szCs w:val="21"/>
        </w:rPr>
      </w:pPr>
      <w:bookmarkStart w:id="0" w:name="_Toc106375244"/>
      <w:bookmarkStart w:id="1" w:name="_Toc104371307"/>
      <w:r>
        <w:rPr>
          <w:rFonts w:hint="eastAsia" w:asciiTheme="minorEastAsia" w:hAnsiTheme="minorEastAsia" w:eastAsiaTheme="minorEastAsia"/>
          <w:szCs w:val="21"/>
        </w:rPr>
        <w:t>本标准的主要内容包括技术要求、试验方法、检验规则、标志、包装、运输和贮存等；主要技术参数</w:t>
      </w:r>
    </w:p>
    <w:p w14:paraId="7561B4C2">
      <w:pPr>
        <w:pStyle w:val="19"/>
        <w:numPr>
          <w:ilvl w:val="0"/>
          <w:numId w:val="6"/>
        </w:numPr>
        <w:ind w:left="1055" w:leftChars="0" w:hanging="425" w:firstLineChars="0"/>
        <w:rPr>
          <w:rFonts w:hint="default" w:eastAsia="宋体"/>
          <w:highlight w:val="none"/>
          <w:lang w:val="en-US" w:eastAsia="zh-CN"/>
        </w:rPr>
      </w:pPr>
      <w:r>
        <w:rPr>
          <w:rFonts w:hint="eastAsia"/>
          <w:highlight w:val="none"/>
          <w:lang w:val="en-US" w:eastAsia="zh-CN"/>
        </w:rPr>
        <w:t>气密性：气检≤5ml/min，水检无气泡；</w:t>
      </w:r>
    </w:p>
    <w:p w14:paraId="501146E6">
      <w:pPr>
        <w:pStyle w:val="19"/>
        <w:numPr>
          <w:ilvl w:val="0"/>
          <w:numId w:val="6"/>
        </w:numPr>
        <w:ind w:left="1055" w:leftChars="0" w:hanging="425" w:firstLineChars="0"/>
        <w:rPr>
          <w:rFonts w:hint="default" w:eastAsia="宋体"/>
          <w:highlight w:val="none"/>
          <w:lang w:val="en-US" w:eastAsia="zh-CN"/>
        </w:rPr>
      </w:pPr>
      <w:r>
        <w:rPr>
          <w:rFonts w:hint="eastAsia"/>
          <w:highlight w:val="none"/>
          <w:lang w:val="en-US" w:eastAsia="zh-CN"/>
        </w:rPr>
        <w:t>流</w:t>
      </w:r>
      <w:r>
        <w:rPr>
          <w:rFonts w:hint="eastAsia"/>
          <w:highlight w:val="none"/>
          <w:lang w:val="en-US" w:eastAsia="zh-CN"/>
        </w:rPr>
        <w:t>阻：满足图纸要求；</w:t>
      </w:r>
    </w:p>
    <w:p w14:paraId="22C2841F">
      <w:pPr>
        <w:pStyle w:val="19"/>
        <w:numPr>
          <w:ilvl w:val="0"/>
          <w:numId w:val="6"/>
        </w:numPr>
        <w:ind w:left="1055" w:leftChars="0" w:hanging="425" w:firstLineChars="0"/>
        <w:rPr>
          <w:rFonts w:hint="default" w:eastAsia="宋体"/>
          <w:highlight w:val="none"/>
          <w:lang w:val="en-US" w:eastAsia="zh-CN"/>
        </w:rPr>
      </w:pPr>
      <w:r>
        <w:rPr>
          <w:rFonts w:hint="eastAsia"/>
          <w:highlight w:val="none"/>
          <w:lang w:val="en-US" w:eastAsia="zh-CN"/>
        </w:rPr>
        <w:t>防冻液手工加注率：＞90%；</w:t>
      </w:r>
    </w:p>
    <w:p w14:paraId="08C6D91A">
      <w:pPr>
        <w:pStyle w:val="19"/>
        <w:numPr>
          <w:ilvl w:val="0"/>
          <w:numId w:val="6"/>
        </w:numPr>
        <w:ind w:left="1055" w:leftChars="0" w:hanging="425" w:firstLineChars="0"/>
        <w:rPr>
          <w:rFonts w:hint="default" w:eastAsia="宋体"/>
          <w:highlight w:val="none"/>
          <w:lang w:val="en-US" w:eastAsia="zh-CN"/>
        </w:rPr>
      </w:pPr>
      <w:r>
        <w:rPr>
          <w:rFonts w:hint="eastAsia"/>
          <w:highlight w:val="none"/>
          <w:lang w:val="en-US" w:eastAsia="zh-CN"/>
        </w:rPr>
        <w:t>排气性能：1h排气量与维修容积相当；</w:t>
      </w:r>
    </w:p>
    <w:p w14:paraId="40BC3ADD">
      <w:pPr>
        <w:pStyle w:val="19"/>
        <w:numPr>
          <w:ilvl w:val="0"/>
          <w:numId w:val="6"/>
        </w:numPr>
        <w:ind w:left="1055" w:leftChars="0" w:hanging="425" w:firstLineChars="0"/>
        <w:rPr>
          <w:rFonts w:hint="default" w:eastAsia="宋体"/>
          <w:highlight w:val="none"/>
          <w:lang w:val="en-US" w:eastAsia="zh-CN"/>
        </w:rPr>
      </w:pPr>
      <w:r>
        <w:rPr>
          <w:rFonts w:hint="eastAsia"/>
          <w:highlight w:val="none"/>
          <w:lang w:val="en-US" w:eastAsia="zh-CN"/>
        </w:rPr>
        <w:t>倾斜吸入：前后左右倾斜30°无空气吸入；</w:t>
      </w:r>
    </w:p>
    <w:p w14:paraId="7B9572A5">
      <w:pPr>
        <w:pStyle w:val="19"/>
        <w:numPr>
          <w:ilvl w:val="0"/>
          <w:numId w:val="6"/>
        </w:numPr>
        <w:ind w:left="1055" w:leftChars="0" w:hanging="425" w:firstLineChars="0"/>
        <w:rPr>
          <w:rFonts w:hint="default" w:eastAsia="宋体"/>
          <w:highlight w:val="none"/>
          <w:lang w:val="en-US" w:eastAsia="zh-CN"/>
        </w:rPr>
      </w:pPr>
      <w:r>
        <w:rPr>
          <w:rFonts w:hint="eastAsia"/>
          <w:highlight w:val="none"/>
          <w:lang w:val="en-US" w:eastAsia="zh-CN"/>
        </w:rPr>
        <w:t>漏热：满足设计要求</w:t>
      </w:r>
      <w:bookmarkStart w:id="2" w:name="_GoBack"/>
      <w:bookmarkEnd w:id="2"/>
    </w:p>
    <w:p w14:paraId="2C74BBAA">
      <w:pPr>
        <w:pStyle w:val="19"/>
        <w:numPr>
          <w:ilvl w:val="0"/>
          <w:numId w:val="6"/>
        </w:numPr>
        <w:ind w:left="1055" w:leftChars="0" w:hanging="425" w:firstLineChars="0"/>
        <w:rPr>
          <w:rFonts w:hint="default" w:eastAsia="宋体"/>
          <w:highlight w:val="none"/>
          <w:lang w:val="en-US" w:eastAsia="zh-CN"/>
        </w:rPr>
      </w:pPr>
      <w:r>
        <w:rPr>
          <w:rFonts w:hint="eastAsia"/>
          <w:highlight w:val="none"/>
          <w:lang w:val="en-US" w:eastAsia="zh-CN"/>
        </w:rPr>
        <w:t>爆破：＞500kPa</w:t>
      </w:r>
    </w:p>
    <w:p w14:paraId="707DA166">
      <w:pPr>
        <w:pStyle w:val="19"/>
        <w:numPr>
          <w:ilvl w:val="0"/>
          <w:numId w:val="6"/>
        </w:numPr>
        <w:ind w:left="1055" w:leftChars="0" w:hanging="425" w:firstLineChars="0"/>
        <w:rPr>
          <w:highlight w:val="none"/>
        </w:rPr>
      </w:pPr>
      <w:r>
        <w:rPr>
          <w:rFonts w:hint="eastAsia"/>
          <w:highlight w:val="none"/>
          <w:lang w:val="en-US" w:eastAsia="zh-CN"/>
        </w:rPr>
        <w:t>清洁度：满足等级</w:t>
      </w:r>
      <w:r>
        <w:rPr>
          <w:highlight w:val="none"/>
        </w:rPr>
        <w:t>A (C-F15/G-H7/I-J3/K00)</w:t>
      </w:r>
    </w:p>
    <w:p w14:paraId="1A05A142">
      <w:pPr>
        <w:pStyle w:val="19"/>
        <w:numPr>
          <w:ilvl w:val="0"/>
          <w:numId w:val="6"/>
        </w:numPr>
        <w:ind w:left="1055" w:leftChars="0" w:hanging="425" w:firstLineChars="0"/>
        <w:rPr>
          <w:rFonts w:hint="default" w:eastAsia="宋体"/>
          <w:highlight w:val="none"/>
          <w:lang w:val="en-US" w:eastAsia="zh-CN"/>
        </w:rPr>
      </w:pPr>
      <w:r>
        <w:rPr>
          <w:rFonts w:hint="eastAsia"/>
          <w:highlight w:val="none"/>
          <w:lang w:val="en-US" w:eastAsia="zh-CN"/>
        </w:rPr>
        <w:t>运行耐久：＞3000h；</w:t>
      </w:r>
    </w:p>
    <w:p w14:paraId="203934D3">
      <w:pPr>
        <w:pStyle w:val="19"/>
        <w:numPr>
          <w:ilvl w:val="0"/>
          <w:numId w:val="6"/>
        </w:numPr>
        <w:ind w:left="1055" w:leftChars="0" w:hanging="425" w:firstLineChars="0"/>
        <w:rPr>
          <w:rFonts w:hint="default" w:eastAsia="宋体"/>
          <w:highlight w:val="none"/>
          <w:lang w:val="en-US" w:eastAsia="zh-CN"/>
        </w:rPr>
      </w:pPr>
      <w:r>
        <w:rPr>
          <w:rFonts w:hint="eastAsia"/>
          <w:highlight w:val="none"/>
          <w:lang w:val="en-US" w:eastAsia="zh-CN"/>
        </w:rPr>
        <w:t>电磁兼容：满足等级要求。</w:t>
      </w:r>
    </w:p>
    <w:bookmarkEnd w:id="0"/>
    <w:bookmarkEnd w:id="1"/>
    <w:p w14:paraId="434CE6F5">
      <w:pPr>
        <w:ind w:firstLine="480" w:firstLineChars="200"/>
        <w:rPr>
          <w:rFonts w:ascii="黑体" w:hAnsi="黑体" w:eastAsia="黑体" w:cs="黑体"/>
          <w:color w:val="000000" w:themeColor="text1"/>
          <w:sz w:val="24"/>
          <w14:textFill>
            <w14:solidFill>
              <w14:schemeClr w14:val="tx1"/>
            </w14:solidFill>
          </w14:textFill>
        </w:rPr>
      </w:pPr>
    </w:p>
    <w:p w14:paraId="7555EC93">
      <w:pPr>
        <w:ind w:firstLine="480" w:firstLineChars="200"/>
        <w:rPr>
          <w:rFonts w:ascii="黑体" w:hAnsi="黑体" w:eastAsia="黑体" w:cs="黑体"/>
          <w:color w:val="000000" w:themeColor="text1"/>
          <w:sz w:val="24"/>
          <w14:textFill>
            <w14:solidFill>
              <w14:schemeClr w14:val="tx1"/>
            </w14:solidFill>
          </w14:textFill>
        </w:rPr>
      </w:pPr>
    </w:p>
    <w:p w14:paraId="1BC2AD41">
      <w:pPr>
        <w:spacing w:after="156" w:afterLines="50"/>
        <w:ind w:firstLine="480" w:firstLineChars="200"/>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 xml:space="preserve">三、采用国际标准和国外先进标准情况  </w:t>
      </w:r>
      <w:r>
        <w:rPr>
          <w:rFonts w:hint="eastAsia" w:ascii="黑体" w:hAnsi="黑体" w:eastAsia="黑体" w:cs="黑体"/>
          <w:color w:val="000000" w:themeColor="text1"/>
          <w:sz w:val="30"/>
          <w:szCs w:val="30"/>
          <w14:textFill>
            <w14:solidFill>
              <w14:schemeClr w14:val="tx1"/>
            </w14:solidFill>
          </w14:textFill>
        </w:rPr>
        <w:t xml:space="preserve"> </w:t>
      </w:r>
    </w:p>
    <w:p w14:paraId="35893BBE">
      <w:pPr>
        <w:pStyle w:val="24"/>
        <w:ind w:firstLine="420"/>
        <w:rPr>
          <w:rFonts w:hint="eastAsia" w:ascii="仿宋" w:hAnsi="仿宋" w:eastAsia="宋体" w:cs="仿宋"/>
          <w:color w:val="000000" w:themeColor="text1"/>
          <w:szCs w:val="21"/>
          <w:lang w:eastAsia="zh-CN"/>
          <w14:textFill>
            <w14:solidFill>
              <w14:schemeClr w14:val="tx1"/>
            </w14:solidFill>
          </w14:textFill>
        </w:rPr>
      </w:pPr>
      <w:r>
        <w:rPr>
          <w:rFonts w:hint="eastAsia"/>
        </w:rPr>
        <w:t xml:space="preserve">GB/T 17619 </w:t>
      </w:r>
      <w:r>
        <w:rPr>
          <w:rFonts w:hint="eastAsia"/>
          <w:lang w:eastAsia="zh-CN"/>
        </w:rPr>
        <w:t>、</w:t>
      </w:r>
      <w:r>
        <w:rPr>
          <w:rFonts w:hint="eastAsia"/>
        </w:rPr>
        <w:t xml:space="preserve">GB/T 18655 </w:t>
      </w:r>
      <w:r>
        <w:rPr>
          <w:rFonts w:hint="eastAsia"/>
          <w:lang w:eastAsia="zh-CN"/>
        </w:rPr>
        <w:t>、</w:t>
      </w:r>
      <w:r>
        <w:rPr>
          <w:rFonts w:hint="eastAsia"/>
        </w:rPr>
        <w:t xml:space="preserve">GB/T 21437.2 </w:t>
      </w:r>
      <w:r>
        <w:rPr>
          <w:rFonts w:hint="eastAsia"/>
          <w:lang w:eastAsia="zh-CN"/>
        </w:rPr>
        <w:t>、</w:t>
      </w:r>
      <w:r>
        <w:rPr>
          <w:rFonts w:hint="eastAsia"/>
        </w:rPr>
        <w:t xml:space="preserve">GB/T 33014.2 </w:t>
      </w:r>
      <w:r>
        <w:rPr>
          <w:rFonts w:hint="eastAsia"/>
          <w:lang w:eastAsia="zh-CN"/>
        </w:rPr>
        <w:t>、</w:t>
      </w:r>
      <w:r>
        <w:rPr>
          <w:rFonts w:hint="eastAsia"/>
        </w:rPr>
        <w:t xml:space="preserve">ISO 7637-3 </w:t>
      </w:r>
      <w:r>
        <w:rPr>
          <w:rFonts w:hint="eastAsia"/>
          <w:lang w:eastAsia="zh-CN"/>
        </w:rPr>
        <w:t>、</w:t>
      </w:r>
      <w:r>
        <w:rPr>
          <w:rFonts w:hint="eastAsia"/>
        </w:rPr>
        <w:t>I</w:t>
      </w:r>
      <w:r>
        <w:t xml:space="preserve">SO 10605 </w:t>
      </w:r>
      <w:r>
        <w:rPr>
          <w:rFonts w:hint="eastAsia"/>
          <w:lang w:eastAsia="zh-CN"/>
        </w:rPr>
        <w:t>、</w:t>
      </w:r>
      <w:r>
        <w:rPr>
          <w:rFonts w:hint="eastAsia"/>
        </w:rPr>
        <w:t xml:space="preserve">ISO 16232 </w:t>
      </w:r>
      <w:r>
        <w:rPr>
          <w:rFonts w:hint="eastAsia"/>
          <w:lang w:eastAsia="zh-CN"/>
        </w:rPr>
        <w:t>、</w:t>
      </w:r>
      <w:r>
        <w:rPr>
          <w:rFonts w:hint="eastAsia"/>
        </w:rPr>
        <w:t>I</w:t>
      </w:r>
      <w:r>
        <w:t>SO 16750-1</w:t>
      </w:r>
      <w:r>
        <w:rPr>
          <w:rFonts w:hint="eastAsia"/>
        </w:rPr>
        <w:t xml:space="preserve"> </w:t>
      </w:r>
      <w:r>
        <w:rPr>
          <w:rFonts w:hint="eastAsia"/>
          <w:lang w:eastAsia="zh-CN"/>
        </w:rPr>
        <w:t>、</w:t>
      </w:r>
      <w:r>
        <w:rPr>
          <w:rFonts w:hint="eastAsia"/>
        </w:rPr>
        <w:t xml:space="preserve">ISO 16750-5 </w:t>
      </w:r>
    </w:p>
    <w:p w14:paraId="5B11D044">
      <w:pPr>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四、主要关键指标及试验验证情况</w:t>
      </w:r>
    </w:p>
    <w:p w14:paraId="3A737651">
      <w:pPr>
        <w:adjustRightInd w:val="0"/>
        <w:snapToGrid w:val="0"/>
        <w:spacing w:line="276" w:lineRule="auto"/>
        <w:ind w:firstLine="411" w:firstLineChars="196"/>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为了掌握</w:t>
      </w:r>
      <w:r>
        <w:rPr>
          <w:rFonts w:hint="default"/>
          <w:szCs w:val="21"/>
          <w:lang w:val="en-US" w:eastAsia="zh-CN"/>
        </w:rPr>
        <w:t>新能源</w:t>
      </w:r>
      <w:r>
        <w:rPr>
          <w:rFonts w:hint="eastAsia"/>
          <w:szCs w:val="21"/>
          <w:lang w:val="en-US" w:eastAsia="zh-CN"/>
        </w:rPr>
        <w:t>车用</w:t>
      </w:r>
      <w:r>
        <w:rPr>
          <w:rFonts w:hint="default"/>
          <w:szCs w:val="21"/>
          <w:lang w:val="en-US" w:eastAsia="zh-CN"/>
        </w:rPr>
        <w:t>热管理集成模块</w:t>
      </w:r>
      <w:r>
        <w:rPr>
          <w:rFonts w:hint="eastAsia" w:asciiTheme="majorEastAsia" w:hAnsiTheme="majorEastAsia" w:eastAsiaTheme="majorEastAsia"/>
          <w:color w:val="000000" w:themeColor="text1"/>
          <w:szCs w:val="21"/>
          <w14:textFill>
            <w14:solidFill>
              <w14:schemeClr w14:val="tx1"/>
            </w14:solidFill>
          </w14:textFill>
        </w:rPr>
        <w:t>性能参数以及性能评价指标，针对</w:t>
      </w:r>
      <w:r>
        <w:rPr>
          <w:rFonts w:hint="default"/>
          <w:szCs w:val="21"/>
          <w:lang w:val="en-US" w:eastAsia="zh-CN"/>
        </w:rPr>
        <w:t>新能源</w:t>
      </w:r>
      <w:r>
        <w:rPr>
          <w:rFonts w:hint="eastAsia"/>
          <w:szCs w:val="21"/>
          <w:lang w:val="en-US" w:eastAsia="zh-CN"/>
        </w:rPr>
        <w:t>车用</w:t>
      </w:r>
      <w:r>
        <w:rPr>
          <w:rFonts w:hint="default"/>
          <w:szCs w:val="21"/>
          <w:lang w:val="en-US" w:eastAsia="zh-CN"/>
        </w:rPr>
        <w:t>热管理集成模块</w:t>
      </w:r>
      <w:r>
        <w:rPr>
          <w:rFonts w:hint="eastAsia" w:asciiTheme="majorEastAsia" w:hAnsiTheme="majorEastAsia" w:eastAsiaTheme="majorEastAsia"/>
          <w:color w:val="000000" w:themeColor="text1"/>
          <w:szCs w:val="21"/>
          <w14:textFill>
            <w14:solidFill>
              <w14:schemeClr w14:val="tx1"/>
            </w14:solidFill>
          </w14:textFill>
        </w:rPr>
        <w:t>的标准、书籍、论文进行了收集、分类、整理，并根据客户提出的一些列性能指标，归纳了</w:t>
      </w:r>
      <w:r>
        <w:rPr>
          <w:rFonts w:hint="default"/>
          <w:szCs w:val="21"/>
          <w:lang w:val="en-US" w:eastAsia="zh-CN"/>
        </w:rPr>
        <w:t>新能源</w:t>
      </w:r>
      <w:r>
        <w:rPr>
          <w:rFonts w:hint="eastAsia"/>
          <w:szCs w:val="21"/>
          <w:lang w:val="en-US" w:eastAsia="zh-CN"/>
        </w:rPr>
        <w:t>车用</w:t>
      </w:r>
      <w:r>
        <w:rPr>
          <w:rFonts w:hint="default"/>
          <w:szCs w:val="21"/>
          <w:lang w:val="en-US" w:eastAsia="zh-CN"/>
        </w:rPr>
        <w:t>热管理集成模块</w:t>
      </w:r>
      <w:r>
        <w:rPr>
          <w:rFonts w:hint="eastAsia" w:asciiTheme="majorEastAsia" w:hAnsiTheme="majorEastAsia" w:eastAsiaTheme="majorEastAsia"/>
          <w:color w:val="000000" w:themeColor="text1"/>
          <w:szCs w:val="21"/>
          <w14:textFill>
            <w14:solidFill>
              <w14:schemeClr w14:val="tx1"/>
            </w14:solidFill>
          </w14:textFill>
        </w:rPr>
        <w:t>的评价指标。</w:t>
      </w:r>
    </w:p>
    <w:p w14:paraId="367B2EC6">
      <w:pPr>
        <w:adjustRightInd w:val="0"/>
        <w:snapToGrid w:val="0"/>
        <w:spacing w:line="276" w:lineRule="auto"/>
        <w:ind w:firstLine="420" w:firstLineChars="200"/>
        <w:rPr>
          <w:rFonts w:asciiTheme="majorEastAsia" w:hAnsiTheme="majorEastAsia" w:eastAsia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olor w:val="000000" w:themeColor="text1"/>
          <w:szCs w:val="21"/>
          <w:highlight w:val="none"/>
          <w14:textFill>
            <w14:solidFill>
              <w14:schemeClr w14:val="tx1"/>
            </w14:solidFill>
          </w14:textFill>
        </w:rPr>
        <w:t>公司有满足标准</w:t>
      </w:r>
      <w:r>
        <w:rPr>
          <w:rFonts w:asciiTheme="majorEastAsia" w:hAnsiTheme="majorEastAsia" w:eastAsiaTheme="majorEastAsia"/>
          <w:color w:val="000000" w:themeColor="text1"/>
          <w:szCs w:val="21"/>
          <w:highlight w:val="none"/>
          <w14:textFill>
            <w14:solidFill>
              <w14:schemeClr w14:val="tx1"/>
            </w14:solidFill>
          </w14:textFill>
        </w:rPr>
        <w:t>GB/T</w:t>
      </w:r>
      <w:r>
        <w:rPr>
          <w:rFonts w:hint="eastAsia" w:asciiTheme="majorEastAsia" w:hAnsiTheme="majorEastAsia" w:eastAsiaTheme="majorEastAsia"/>
          <w:color w:val="000000" w:themeColor="text1"/>
          <w:szCs w:val="21"/>
          <w:highlight w:val="none"/>
          <w14:textFill>
            <w14:solidFill>
              <w14:schemeClr w14:val="tx1"/>
            </w14:solidFill>
          </w14:textFill>
        </w:rPr>
        <w:t xml:space="preserve"> </w:t>
      </w:r>
      <w:r>
        <w:rPr>
          <w:rFonts w:asciiTheme="majorEastAsia" w:hAnsiTheme="majorEastAsia" w:eastAsiaTheme="majorEastAsia"/>
          <w:color w:val="000000" w:themeColor="text1"/>
          <w:szCs w:val="21"/>
          <w:highlight w:val="none"/>
          <w14:textFill>
            <w14:solidFill>
              <w14:schemeClr w14:val="tx1"/>
            </w14:solidFill>
          </w14:textFill>
        </w:rPr>
        <w:t>2423.</w:t>
      </w:r>
      <w:r>
        <w:rPr>
          <w:rFonts w:hint="eastAsia" w:asciiTheme="majorEastAsia" w:hAnsiTheme="majorEastAsia" w:eastAsiaTheme="majorEastAsia"/>
          <w:color w:val="000000" w:themeColor="text1"/>
          <w:szCs w:val="21"/>
          <w:highlight w:val="none"/>
          <w14:textFill>
            <w14:solidFill>
              <w14:schemeClr w14:val="tx1"/>
            </w14:solidFill>
          </w14:textFill>
        </w:rPr>
        <w:t>1-2008</w:t>
      </w:r>
      <w:r>
        <w:rPr>
          <w:rFonts w:asciiTheme="majorEastAsia" w:hAnsiTheme="majorEastAsia" w:eastAsiaTheme="majorEastAsia"/>
          <w:color w:val="000000" w:themeColor="text1"/>
          <w:szCs w:val="21"/>
          <w:highlight w:val="none"/>
          <w14:textFill>
            <w14:solidFill>
              <w14:schemeClr w14:val="tx1"/>
            </w14:solidFill>
          </w14:textFill>
        </w:rPr>
        <w:t>, GB/T</w:t>
      </w:r>
      <w:r>
        <w:rPr>
          <w:rFonts w:hint="eastAsia" w:asciiTheme="majorEastAsia" w:hAnsiTheme="majorEastAsia" w:eastAsiaTheme="majorEastAsia"/>
          <w:color w:val="000000" w:themeColor="text1"/>
          <w:szCs w:val="21"/>
          <w:highlight w:val="none"/>
          <w14:textFill>
            <w14:solidFill>
              <w14:schemeClr w14:val="tx1"/>
            </w14:solidFill>
          </w14:textFill>
        </w:rPr>
        <w:t xml:space="preserve"> </w:t>
      </w:r>
      <w:r>
        <w:rPr>
          <w:rFonts w:asciiTheme="majorEastAsia" w:hAnsiTheme="majorEastAsia" w:eastAsiaTheme="majorEastAsia"/>
          <w:color w:val="000000" w:themeColor="text1"/>
          <w:szCs w:val="21"/>
          <w:highlight w:val="none"/>
          <w14:textFill>
            <w14:solidFill>
              <w14:schemeClr w14:val="tx1"/>
            </w14:solidFill>
          </w14:textFill>
        </w:rPr>
        <w:t>2423.</w:t>
      </w:r>
      <w:r>
        <w:rPr>
          <w:rFonts w:hint="eastAsia" w:asciiTheme="majorEastAsia" w:hAnsiTheme="majorEastAsia" w:eastAsiaTheme="majorEastAsia"/>
          <w:color w:val="000000" w:themeColor="text1"/>
          <w:szCs w:val="21"/>
          <w:highlight w:val="none"/>
          <w14:textFill>
            <w14:solidFill>
              <w14:schemeClr w14:val="tx1"/>
            </w14:solidFill>
          </w14:textFill>
        </w:rPr>
        <w:t>2-2008</w:t>
      </w:r>
      <w:r>
        <w:rPr>
          <w:rFonts w:asciiTheme="majorEastAsia" w:hAnsiTheme="majorEastAsia" w:eastAsiaTheme="majorEastAsia"/>
          <w:color w:val="000000" w:themeColor="text1"/>
          <w:szCs w:val="21"/>
          <w:highlight w:val="none"/>
          <w14:textFill>
            <w14:solidFill>
              <w14:schemeClr w14:val="tx1"/>
            </w14:solidFill>
          </w14:textFill>
        </w:rPr>
        <w:t>,</w:t>
      </w:r>
      <w:r>
        <w:rPr>
          <w:rFonts w:hint="eastAsia" w:asciiTheme="majorEastAsia" w:hAnsiTheme="majorEastAsia" w:eastAsiaTheme="majorEastAsia"/>
          <w:color w:val="000000" w:themeColor="text1"/>
          <w:szCs w:val="21"/>
          <w:highlight w:val="none"/>
          <w14:textFill>
            <w14:solidFill>
              <w14:schemeClr w14:val="tx1"/>
            </w14:solidFill>
          </w14:textFill>
        </w:rPr>
        <w:t xml:space="preserve"> GB/T 10125，GB/T 16935.1</w:t>
      </w:r>
      <w:r>
        <w:rPr>
          <w:rFonts w:asciiTheme="majorEastAsia" w:hAnsiTheme="majorEastAsia" w:eastAsiaTheme="majorEastAsia"/>
          <w:color w:val="000000" w:themeColor="text1"/>
          <w:szCs w:val="21"/>
          <w:highlight w:val="none"/>
          <w14:textFill>
            <w14:solidFill>
              <w14:schemeClr w14:val="tx1"/>
            </w14:solidFill>
          </w14:textFill>
        </w:rPr>
        <w:t xml:space="preserve"> ，</w:t>
      </w:r>
      <w:r>
        <w:rPr>
          <w:rFonts w:hint="eastAsia" w:asciiTheme="majorEastAsia" w:hAnsiTheme="majorEastAsia" w:eastAsiaTheme="majorEastAsia"/>
          <w:color w:val="000000" w:themeColor="text1"/>
          <w:szCs w:val="21"/>
          <w:highlight w:val="none"/>
          <w14:textFill>
            <w14:solidFill>
              <w14:schemeClr w14:val="tx1"/>
            </w14:solidFill>
          </w14:textFill>
        </w:rPr>
        <w:t>GB/T 17619规定的</w:t>
      </w:r>
      <w:r>
        <w:rPr>
          <w:rFonts w:asciiTheme="majorEastAsia" w:hAnsiTheme="majorEastAsia" w:eastAsiaTheme="majorEastAsia"/>
          <w:color w:val="000000" w:themeColor="text1"/>
          <w:szCs w:val="21"/>
          <w:highlight w:val="none"/>
          <w14:textFill>
            <w14:solidFill>
              <w14:schemeClr w14:val="tx1"/>
            </w14:solidFill>
          </w14:textFill>
        </w:rPr>
        <w:t>电工电子产品环境试验，</w:t>
      </w:r>
      <w:r>
        <w:rPr>
          <w:rFonts w:hint="eastAsia" w:asciiTheme="majorEastAsia" w:hAnsiTheme="majorEastAsia" w:eastAsiaTheme="majorEastAsia"/>
          <w:color w:val="000000" w:themeColor="text1"/>
          <w:szCs w:val="21"/>
          <w:highlight w:val="none"/>
          <w14:textFill>
            <w14:solidFill>
              <w14:schemeClr w14:val="tx1"/>
            </w14:solidFill>
          </w14:textFill>
        </w:rPr>
        <w:t>人造气氛腐蚀试验 盐雾试验，低温，高温</w:t>
      </w:r>
      <w:r>
        <w:rPr>
          <w:rFonts w:asciiTheme="majorEastAsia" w:hAnsiTheme="majorEastAsia" w:eastAsiaTheme="majorEastAsia"/>
          <w:color w:val="000000" w:themeColor="text1"/>
          <w:szCs w:val="21"/>
          <w:highlight w:val="none"/>
          <w14:textFill>
            <w14:solidFill>
              <w14:schemeClr w14:val="tx1"/>
            </w14:solidFill>
          </w14:textFill>
        </w:rPr>
        <w:t>电工电子产品环境试验</w:t>
      </w:r>
      <w:r>
        <w:rPr>
          <w:rFonts w:hint="eastAsia" w:asciiTheme="majorEastAsia" w:hAnsiTheme="majorEastAsia" w:eastAsiaTheme="majorEastAsia"/>
          <w:color w:val="000000" w:themeColor="text1"/>
          <w:szCs w:val="21"/>
          <w:highlight w:val="none"/>
          <w14:textFill>
            <w14:solidFill>
              <w14:schemeClr w14:val="tx1"/>
            </w14:solidFill>
          </w14:textFill>
        </w:rPr>
        <w:t xml:space="preserve">，机动车电子电器组件的电磁辐射抗扰性限值和测定方法；有满足标准GB/T 18655，GB/T </w:t>
      </w:r>
      <w:r>
        <w:rPr>
          <w:rFonts w:asciiTheme="majorEastAsia" w:hAnsiTheme="majorEastAsia" w:eastAsiaTheme="majorEastAsia"/>
          <w:color w:val="000000" w:themeColor="text1"/>
          <w:szCs w:val="21"/>
          <w:highlight w:val="none"/>
          <w14:textFill>
            <w14:solidFill>
              <w14:schemeClr w14:val="tx1"/>
            </w14:solidFill>
          </w14:textFill>
        </w:rPr>
        <w:t>30512，GB/T 30038-2013</w:t>
      </w:r>
      <w:r>
        <w:rPr>
          <w:rFonts w:hint="eastAsia" w:asciiTheme="majorEastAsia" w:hAnsiTheme="majorEastAsia" w:eastAsiaTheme="majorEastAsia"/>
          <w:color w:val="000000" w:themeColor="text1"/>
          <w:szCs w:val="21"/>
          <w:highlight w:val="none"/>
          <w14:textFill>
            <w14:solidFill>
              <w14:schemeClr w14:val="tx1"/>
            </w14:solidFill>
          </w14:textFill>
        </w:rPr>
        <w:t xml:space="preserve"> 的无线电骚扰特性，汽车</w:t>
      </w:r>
      <w:r>
        <w:rPr>
          <w:rFonts w:asciiTheme="majorEastAsia" w:hAnsiTheme="majorEastAsia" w:eastAsiaTheme="majorEastAsia"/>
          <w:color w:val="000000" w:themeColor="text1"/>
          <w:szCs w:val="21"/>
          <w:highlight w:val="none"/>
          <w14:textFill>
            <w14:solidFill>
              <w14:schemeClr w14:val="tx1"/>
            </w14:solidFill>
          </w14:textFill>
        </w:rPr>
        <w:t>禁用物质要求，</w:t>
      </w:r>
      <w:r>
        <w:rPr>
          <w:rFonts w:hint="eastAsia" w:asciiTheme="majorEastAsia" w:hAnsiTheme="majorEastAsia" w:eastAsiaTheme="majorEastAsia"/>
          <w:color w:val="000000" w:themeColor="text1"/>
          <w:szCs w:val="21"/>
          <w:highlight w:val="none"/>
          <w14:textFill>
            <w14:solidFill>
              <w14:schemeClr w14:val="tx1"/>
            </w14:solidFill>
          </w14:textFill>
        </w:rPr>
        <w:t>电气电子设备防护等级</w:t>
      </w:r>
      <w:r>
        <w:rPr>
          <w:rFonts w:asciiTheme="majorEastAsia" w:hAnsiTheme="majorEastAsia" w:eastAsiaTheme="majorEastAsia"/>
          <w:color w:val="000000" w:themeColor="text1"/>
          <w:szCs w:val="21"/>
          <w:highlight w:val="none"/>
          <w14:textFill>
            <w14:solidFill>
              <w14:schemeClr w14:val="tx1"/>
            </w14:solidFill>
          </w14:textFill>
        </w:rPr>
        <w:t>(IP代码)，</w:t>
      </w:r>
      <w:r>
        <w:rPr>
          <w:rFonts w:hint="eastAsia" w:asciiTheme="majorEastAsia" w:hAnsiTheme="majorEastAsia" w:eastAsiaTheme="majorEastAsia"/>
          <w:color w:val="000000" w:themeColor="text1"/>
          <w:szCs w:val="21"/>
          <w:highlight w:val="none"/>
          <w14:textFill>
            <w14:solidFill>
              <w14:schemeClr w14:val="tx1"/>
            </w14:solidFill>
          </w14:textFill>
        </w:rPr>
        <w:t>试验室按照 ISO/IEC17025 质量体系运行，并通过了 CNAS 认证。</w:t>
      </w:r>
    </w:p>
    <w:p w14:paraId="0A979659">
      <w:pPr>
        <w:adjustRightInd w:val="0"/>
        <w:snapToGrid w:val="0"/>
        <w:spacing w:line="276" w:lineRule="auto"/>
        <w:ind w:firstLine="420" w:firstLineChars="200"/>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本汽车用</w:t>
      </w:r>
      <w:r>
        <w:rPr>
          <w:rFonts w:hint="default"/>
          <w:szCs w:val="21"/>
          <w:lang w:val="en-US" w:eastAsia="zh-CN"/>
        </w:rPr>
        <w:t>热管理集成模块</w:t>
      </w:r>
      <w:r>
        <w:rPr>
          <w:rFonts w:hint="eastAsia" w:asciiTheme="majorEastAsia" w:hAnsiTheme="majorEastAsia" w:eastAsiaTheme="majorEastAsia"/>
          <w:color w:val="000000" w:themeColor="text1"/>
          <w:szCs w:val="21"/>
          <w14:textFill>
            <w14:solidFill>
              <w14:schemeClr w14:val="tx1"/>
            </w14:solidFill>
          </w14:textFill>
        </w:rPr>
        <w:t>技术条件编制经试验验证，标准内容要求科学合理，试验方法切实有效。有利于提高产品质量，规范技术发展，试验方法可以成为检验产品质量的依据。</w:t>
      </w:r>
    </w:p>
    <w:p w14:paraId="2707EF82">
      <w:pPr>
        <w:adjustRightInd w:val="0"/>
        <w:snapToGrid w:val="0"/>
        <w:spacing w:line="276" w:lineRule="auto"/>
        <w:ind w:firstLine="420" w:firstLineChars="200"/>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各项性能指标及性能参数经过试验验证均符合产品技术条件的要求。</w:t>
      </w:r>
    </w:p>
    <w:p w14:paraId="2074D715">
      <w:pPr>
        <w:tabs>
          <w:tab w:val="left" w:pos="7027"/>
        </w:tabs>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r>
        <w:rPr>
          <w:rFonts w:ascii="仿宋" w:hAnsi="仿宋" w:eastAsia="仿宋" w:cs="仿宋"/>
          <w:color w:val="000000" w:themeColor="text1"/>
          <w:sz w:val="28"/>
          <w:szCs w:val="28"/>
          <w14:textFill>
            <w14:solidFill>
              <w14:schemeClr w14:val="tx1"/>
            </w14:solidFill>
          </w14:textFill>
        </w:rPr>
        <w:tab/>
      </w:r>
    </w:p>
    <w:p w14:paraId="12D395D8">
      <w:pPr>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五、与现行法律、法规和政策及相关标准的协调性</w:t>
      </w:r>
    </w:p>
    <w:p w14:paraId="3C0702C5">
      <w:pPr>
        <w:ind w:firstLine="420" w:firstLineChars="200"/>
        <w:rPr>
          <w:rFonts w:hint="eastAsia"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本标准与汽车相关标准互成体系，相互配套，互相协调，与现有标准互为补充，与现行法律法规和政策及其它强制性标准协调一致。</w:t>
      </w:r>
    </w:p>
    <w:p w14:paraId="5E993D7F">
      <w:pPr>
        <w:ind w:firstLine="420" w:firstLineChars="200"/>
        <w:rPr>
          <w:rFonts w:ascii="仿宋" w:hAnsi="仿宋" w:eastAsia="仿宋" w:cs="仿宋"/>
          <w:color w:val="000000" w:themeColor="text1"/>
          <w:szCs w:val="21"/>
          <w14:textFill>
            <w14:solidFill>
              <w14:schemeClr w14:val="tx1"/>
            </w14:solidFill>
          </w14:textFill>
        </w:rPr>
      </w:pPr>
    </w:p>
    <w:p w14:paraId="223E95C0">
      <w:pPr>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六、贯彻标准的要求和措施建议</w:t>
      </w:r>
    </w:p>
    <w:p w14:paraId="7FD2BBBC">
      <w:pPr>
        <w:ind w:firstLine="420" w:firstLineChars="200"/>
        <w:rPr>
          <w:rFonts w:hint="eastAsia"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建议本标准申请立项、批准发布后6个月实施，相关企业单位进行培训及宣贯。</w:t>
      </w:r>
    </w:p>
    <w:p w14:paraId="7C340788">
      <w:pPr>
        <w:numPr>
          <w:ilvl w:val="0"/>
          <w:numId w:val="7"/>
        </w:numPr>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其他需要说明的事项</w:t>
      </w:r>
    </w:p>
    <w:p w14:paraId="2BFEBF59">
      <w:pPr>
        <w:ind w:firstLine="420" w:firstLineChars="200"/>
      </w:pPr>
      <w:r>
        <w:rPr>
          <w:rFonts w:hint="eastAsia" w:ascii="仿宋" w:hAnsi="仿宋" w:eastAsia="仿宋" w:cs="仿宋"/>
          <w:i/>
          <w:iCs/>
          <w:color w:val="000000" w:themeColor="text1"/>
          <w:szCs w:val="21"/>
          <w14:textFill>
            <w14:solidFill>
              <w14:schemeClr w14:val="tx1"/>
            </w14:solidFill>
          </w14:textFill>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A4B5F5"/>
    <w:multiLevelType w:val="singleLevel"/>
    <w:tmpl w:val="B6A4B5F5"/>
    <w:lvl w:ilvl="0" w:tentative="0">
      <w:start w:val="1"/>
      <w:numFmt w:val="decimal"/>
      <w:lvlText w:val="%1."/>
      <w:lvlJc w:val="left"/>
      <w:pPr>
        <w:tabs>
          <w:tab w:val="left" w:pos="312"/>
        </w:tabs>
        <w:ind w:left="885" w:leftChars="0" w:firstLine="0" w:firstLineChars="0"/>
      </w:pPr>
    </w:lvl>
  </w:abstractNum>
  <w:abstractNum w:abstractNumId="1">
    <w:nsid w:val="C760A38F"/>
    <w:multiLevelType w:val="singleLevel"/>
    <w:tmpl w:val="C760A38F"/>
    <w:lvl w:ilvl="0" w:tentative="0">
      <w:start w:val="1"/>
      <w:numFmt w:val="chineseCounting"/>
      <w:suff w:val="nothing"/>
      <w:lvlText w:val="%1、"/>
      <w:lvlJc w:val="left"/>
      <w:rPr>
        <w:rFonts w:hint="eastAsia"/>
      </w:rPr>
    </w:lvl>
  </w:abstractNum>
  <w:abstractNum w:abstractNumId="2">
    <w:nsid w:val="D2A6294E"/>
    <w:multiLevelType w:val="singleLevel"/>
    <w:tmpl w:val="D2A6294E"/>
    <w:lvl w:ilvl="0" w:tentative="0">
      <w:start w:val="1"/>
      <w:numFmt w:val="decimal"/>
      <w:lvlText w:val="%1)"/>
      <w:lvlJc w:val="left"/>
      <w:pPr>
        <w:ind w:left="1055" w:hanging="425"/>
      </w:pPr>
      <w:rPr>
        <w:rFonts w:hint="default"/>
      </w:rPr>
    </w:lvl>
  </w:abstractNum>
  <w:abstractNum w:abstractNumId="3">
    <w:nsid w:val="D48D2FCC"/>
    <w:multiLevelType w:val="singleLevel"/>
    <w:tmpl w:val="D48D2FCC"/>
    <w:lvl w:ilvl="0" w:tentative="0">
      <w:start w:val="1"/>
      <w:numFmt w:val="decimal"/>
      <w:lvlText w:val="%1."/>
      <w:lvlJc w:val="left"/>
      <w:pPr>
        <w:ind w:left="845" w:hanging="425"/>
      </w:pPr>
      <w:rPr>
        <w:rFonts w:hint="default"/>
      </w:rPr>
    </w:lvl>
  </w:abstractNum>
  <w:abstractNum w:abstractNumId="4">
    <w:nsid w:val="E319F839"/>
    <w:multiLevelType w:val="singleLevel"/>
    <w:tmpl w:val="E319F839"/>
    <w:lvl w:ilvl="0" w:tentative="0">
      <w:start w:val="1"/>
      <w:numFmt w:val="chineseCounting"/>
      <w:suff w:val="nothing"/>
      <w:lvlText w:val="（%1）"/>
      <w:lvlJc w:val="left"/>
      <w:pPr>
        <w:ind w:left="283" w:firstLine="0"/>
      </w:pPr>
      <w:rPr>
        <w:rFonts w:hint="eastAsia"/>
      </w:rPr>
    </w:lvl>
  </w:abstractNum>
  <w:abstractNum w:abstractNumId="5">
    <w:nsid w:val="E3C56D80"/>
    <w:multiLevelType w:val="singleLevel"/>
    <w:tmpl w:val="E3C56D80"/>
    <w:lvl w:ilvl="0" w:tentative="0">
      <w:start w:val="7"/>
      <w:numFmt w:val="chineseCounting"/>
      <w:suff w:val="nothing"/>
      <w:lvlText w:val="%1、"/>
      <w:lvlJc w:val="left"/>
      <w:rPr>
        <w:rFonts w:hint="eastAsia"/>
      </w:rPr>
    </w:lvl>
  </w:abstractNum>
  <w:abstractNum w:abstractNumId="6">
    <w:nsid w:val="1FC91163"/>
    <w:multiLevelType w:val="multilevel"/>
    <w:tmpl w:val="1FC91163"/>
    <w:lvl w:ilvl="0" w:tentative="0">
      <w:start w:val="1"/>
      <w:numFmt w:val="decimal"/>
      <w:pStyle w:val="12"/>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1"/>
      <w:suff w:val="nothing"/>
      <w:lvlText w:val="%1.%2　"/>
      <w:lvlJc w:val="left"/>
      <w:pPr>
        <w:ind w:left="426" w:firstLine="0"/>
      </w:pPr>
      <w:rPr>
        <w:rFonts w:hint="eastAsia" w:ascii="黑体" w:hAnsi="Times New Roman" w:eastAsia="黑体" w:cs="Times New Roman"/>
        <w:b w:val="0"/>
        <w:bCs w:val="0"/>
        <w:i w:val="0"/>
        <w:iCs w:val="0"/>
        <w:caps w:val="0"/>
        <w:strike w:val="0"/>
        <w:dstrike w:val="0"/>
        <w:vanish w:val="0"/>
        <w:color w:val="000000" w:themeColor="text1"/>
        <w:spacing w:val="0"/>
        <w:kern w:val="0"/>
        <w:position w:val="0"/>
        <w:sz w:val="21"/>
        <w:szCs w:val="21"/>
        <w:u w:val="none"/>
        <w:vertAlign w:val="baseline"/>
        <w14:shadow w14:blurRad="0" w14:dist="0" w14:dir="0" w14:sx="0" w14:sy="0" w14:kx="0" w14:ky="0" w14:algn="none">
          <w14:srgbClr w14:val="000000"/>
        </w14:shadow>
        <w14:textFill>
          <w14:solidFill>
            <w14:schemeClr w14:val="tx1"/>
          </w14:solidFill>
        </w14:textFill>
      </w:rPr>
    </w:lvl>
    <w:lvl w:ilvl="2" w:tentative="0">
      <w:start w:val="1"/>
      <w:numFmt w:val="decimal"/>
      <w:pStyle w:val="13"/>
      <w:suff w:val="nothing"/>
      <w:lvlText w:val="%1.%2.%3　"/>
      <w:lvlJc w:val="left"/>
      <w:pPr>
        <w:ind w:left="2098" w:hanging="1531"/>
      </w:pPr>
      <w:rPr>
        <w:rFonts w:hint="eastAsia" w:ascii="黑体" w:hAnsi="Times New Roman" w:eastAsia="黑体"/>
        <w:b w:val="0"/>
        <w:i w:val="0"/>
        <w:sz w:val="21"/>
      </w:rPr>
    </w:lvl>
    <w:lvl w:ilvl="3" w:tentative="0">
      <w:start w:val="1"/>
      <w:numFmt w:val="decimal"/>
      <w:pStyle w:val="14"/>
      <w:suff w:val="nothing"/>
      <w:lvlText w:val="%1.%2.%3.%4　"/>
      <w:lvlJc w:val="left"/>
      <w:pPr>
        <w:ind w:left="0" w:firstLine="0"/>
      </w:pPr>
      <w:rPr>
        <w:rFonts w:hint="eastAsia" w:ascii="黑体" w:hAnsi="Times New Roman" w:eastAsia="黑体"/>
        <w:b w:val="0"/>
        <w:i w:val="0"/>
        <w:sz w:val="21"/>
      </w:rPr>
    </w:lvl>
    <w:lvl w:ilvl="4" w:tentative="0">
      <w:start w:val="1"/>
      <w:numFmt w:val="decimal"/>
      <w:pStyle w:val="15"/>
      <w:suff w:val="nothing"/>
      <w:lvlText w:val="%1.%2.%3.%4.%5　"/>
      <w:lvlJc w:val="left"/>
      <w:pPr>
        <w:ind w:left="0" w:firstLine="0"/>
      </w:pPr>
      <w:rPr>
        <w:rFonts w:hint="eastAsia" w:ascii="黑体" w:hAnsi="Times New Roman" w:eastAsia="黑体"/>
        <w:b w:val="0"/>
        <w:i w:val="0"/>
        <w:sz w:val="21"/>
      </w:rPr>
    </w:lvl>
    <w:lvl w:ilvl="5" w:tentative="0">
      <w:start w:val="1"/>
      <w:numFmt w:val="decimal"/>
      <w:pStyle w:val="16"/>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6"/>
  </w:num>
  <w:num w:numId="2">
    <w:abstractNumId w:val="1"/>
  </w:num>
  <w:num w:numId="3">
    <w:abstractNumId w:val="4"/>
  </w:num>
  <w:num w:numId="4">
    <w:abstractNumId w:val="0"/>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E47"/>
    <w:rsid w:val="00191B75"/>
    <w:rsid w:val="002C72A7"/>
    <w:rsid w:val="002F30D3"/>
    <w:rsid w:val="00494B42"/>
    <w:rsid w:val="004D084E"/>
    <w:rsid w:val="005C2A5A"/>
    <w:rsid w:val="005D7C82"/>
    <w:rsid w:val="00677161"/>
    <w:rsid w:val="006F3EE9"/>
    <w:rsid w:val="006F7D9C"/>
    <w:rsid w:val="00712E57"/>
    <w:rsid w:val="00776A21"/>
    <w:rsid w:val="007A7640"/>
    <w:rsid w:val="00806F83"/>
    <w:rsid w:val="00882B5A"/>
    <w:rsid w:val="009A4EDA"/>
    <w:rsid w:val="00A13D08"/>
    <w:rsid w:val="00B0728C"/>
    <w:rsid w:val="00B631CC"/>
    <w:rsid w:val="00BC1EB1"/>
    <w:rsid w:val="00D47E7C"/>
    <w:rsid w:val="00D82E47"/>
    <w:rsid w:val="00DF6982"/>
    <w:rsid w:val="00E24E46"/>
    <w:rsid w:val="00EA71E5"/>
    <w:rsid w:val="00F87460"/>
    <w:rsid w:val="00FB086F"/>
    <w:rsid w:val="17FE211F"/>
    <w:rsid w:val="36963F19"/>
    <w:rsid w:val="6E197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99"/>
    <w:pPr>
      <w:spacing w:before="214"/>
      <w:ind w:left="120" w:firstLine="420"/>
      <w:jc w:val="left"/>
    </w:pPr>
    <w:rPr>
      <w:rFonts w:ascii="宋体" w:hAnsi="宋体"/>
      <w:kern w:val="0"/>
      <w:sz w:val="24"/>
      <w:lang w:eastAsia="en-US"/>
    </w:rPr>
  </w:style>
  <w:style w:type="paragraph" w:styleId="3">
    <w:name w:val="footer"/>
    <w:basedOn w:val="1"/>
    <w:link w:val="23"/>
    <w:qFormat/>
    <w:uiPriority w:val="0"/>
    <w:pPr>
      <w:tabs>
        <w:tab w:val="center" w:pos="4153"/>
        <w:tab w:val="right" w:pos="8306"/>
      </w:tabs>
      <w:snapToGrid w:val="0"/>
      <w:jc w:val="left"/>
    </w:pPr>
    <w:rPr>
      <w:sz w:val="18"/>
      <w:szCs w:val="18"/>
    </w:rPr>
  </w:style>
  <w:style w:type="paragraph" w:styleId="4">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rPr>
      <w:rFonts w:ascii="宋体" w:hAnsi="Calibri"/>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封面标准名称"/>
    <w:qFormat/>
    <w:uiPriority w:val="0"/>
    <w:pPr>
      <w:framePr w:w="9639" w:h="6917" w:wrap="around" w:vAnchor="page" w:hAnchor="page" w:xAlign="center" w:y="6408" w:anchorLock="1"/>
      <w:widowControl w:val="0"/>
      <w:spacing w:line="680" w:lineRule="exact"/>
      <w:jc w:val="center"/>
    </w:pPr>
    <w:rPr>
      <w:rFonts w:ascii="黑体" w:hAnsi="Times New Roman" w:eastAsia="黑体" w:cs="Times New Roman"/>
      <w:sz w:val="52"/>
      <w:lang w:val="en-US" w:eastAsia="zh-CN" w:bidi="ar-SA"/>
    </w:rPr>
  </w:style>
  <w:style w:type="paragraph" w:styleId="9">
    <w:name w:val="List Paragraph"/>
    <w:basedOn w:val="1"/>
    <w:qFormat/>
    <w:uiPriority w:val="99"/>
    <w:pPr>
      <w:ind w:firstLine="420" w:firstLineChars="200"/>
    </w:pPr>
  </w:style>
  <w:style w:type="character" w:customStyle="1" w:styleId="10">
    <w:name w:val="正文文本 Char"/>
    <w:basedOn w:val="7"/>
    <w:link w:val="2"/>
    <w:uiPriority w:val="99"/>
    <w:rPr>
      <w:rFonts w:ascii="宋体" w:hAnsi="宋体"/>
      <w:sz w:val="24"/>
      <w:szCs w:val="24"/>
      <w:lang w:eastAsia="en-US"/>
    </w:rPr>
  </w:style>
  <w:style w:type="paragraph" w:customStyle="1" w:styleId="11">
    <w:name w:val="一级条标题"/>
    <w:next w:val="1"/>
    <w:link w:val="17"/>
    <w:qFormat/>
    <w:uiPriority w:val="0"/>
    <w:pPr>
      <w:numPr>
        <w:ilvl w:val="1"/>
        <w:numId w:val="1"/>
      </w:numPr>
      <w:spacing w:beforeLines="50" w:afterLines="50"/>
      <w:ind w:left="0"/>
      <w:outlineLvl w:val="2"/>
    </w:pPr>
    <w:rPr>
      <w:rFonts w:ascii="黑体" w:hAnsi="Times New Roman" w:eastAsia="黑体" w:cs="Times New Roman"/>
      <w:sz w:val="21"/>
      <w:szCs w:val="21"/>
      <w:lang w:val="en-US" w:eastAsia="zh-CN" w:bidi="ar-SA"/>
    </w:rPr>
  </w:style>
  <w:style w:type="paragraph" w:customStyle="1" w:styleId="12">
    <w:name w:val="章标题"/>
    <w:next w:val="1"/>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13">
    <w:name w:val="二级条标题"/>
    <w:basedOn w:val="11"/>
    <w:next w:val="1"/>
    <w:link w:val="21"/>
    <w:qFormat/>
    <w:uiPriority w:val="0"/>
    <w:pPr>
      <w:numPr>
        <w:ilvl w:val="2"/>
      </w:numPr>
      <w:spacing w:before="50" w:after="50"/>
      <w:ind w:left="1531" w:firstLine="0"/>
      <w:outlineLvl w:val="3"/>
    </w:pPr>
  </w:style>
  <w:style w:type="paragraph" w:customStyle="1" w:styleId="14">
    <w:name w:val="三级条标题"/>
    <w:basedOn w:val="13"/>
    <w:next w:val="1"/>
    <w:qFormat/>
    <w:uiPriority w:val="0"/>
    <w:pPr>
      <w:numPr>
        <w:ilvl w:val="3"/>
      </w:numPr>
      <w:ind w:left="283"/>
      <w:outlineLvl w:val="4"/>
    </w:pPr>
  </w:style>
  <w:style w:type="paragraph" w:customStyle="1" w:styleId="15">
    <w:name w:val="四级条标题"/>
    <w:basedOn w:val="14"/>
    <w:next w:val="1"/>
    <w:qFormat/>
    <w:uiPriority w:val="0"/>
    <w:pPr>
      <w:numPr>
        <w:ilvl w:val="4"/>
      </w:numPr>
      <w:ind w:left="283"/>
      <w:outlineLvl w:val="5"/>
    </w:pPr>
  </w:style>
  <w:style w:type="paragraph" w:customStyle="1" w:styleId="16">
    <w:name w:val="五级条标题"/>
    <w:basedOn w:val="15"/>
    <w:next w:val="1"/>
    <w:qFormat/>
    <w:uiPriority w:val="0"/>
    <w:pPr>
      <w:numPr>
        <w:ilvl w:val="5"/>
      </w:numPr>
      <w:ind w:left="283"/>
      <w:outlineLvl w:val="6"/>
    </w:pPr>
  </w:style>
  <w:style w:type="character" w:customStyle="1" w:styleId="17">
    <w:name w:val="一级条标题 Char"/>
    <w:link w:val="11"/>
    <w:qFormat/>
    <w:uiPriority w:val="0"/>
    <w:rPr>
      <w:rFonts w:ascii="黑体" w:eastAsia="黑体"/>
      <w:sz w:val="21"/>
      <w:szCs w:val="21"/>
    </w:rPr>
  </w:style>
  <w:style w:type="character" w:customStyle="1" w:styleId="18">
    <w:name w:val="transsent"/>
    <w:basedOn w:val="7"/>
    <w:qFormat/>
    <w:uiPriority w:val="0"/>
  </w:style>
  <w:style w:type="paragraph" w:customStyle="1" w:styleId="19">
    <w:name w:val="段"/>
    <w:link w:val="2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0">
    <w:name w:val="段 Char"/>
    <w:basedOn w:val="7"/>
    <w:link w:val="19"/>
    <w:qFormat/>
    <w:uiPriority w:val="0"/>
    <w:rPr>
      <w:rFonts w:ascii="宋体"/>
      <w:sz w:val="21"/>
    </w:rPr>
  </w:style>
  <w:style w:type="character" w:customStyle="1" w:styleId="21">
    <w:name w:val="二级条标题 Char"/>
    <w:basedOn w:val="17"/>
    <w:link w:val="13"/>
    <w:qFormat/>
    <w:uiPriority w:val="0"/>
    <w:rPr>
      <w:rFonts w:ascii="黑体" w:eastAsia="黑体"/>
      <w:sz w:val="21"/>
      <w:szCs w:val="21"/>
    </w:rPr>
  </w:style>
  <w:style w:type="character" w:customStyle="1" w:styleId="22">
    <w:name w:val="页眉 Char"/>
    <w:basedOn w:val="7"/>
    <w:link w:val="4"/>
    <w:qFormat/>
    <w:uiPriority w:val="0"/>
    <w:rPr>
      <w:kern w:val="2"/>
      <w:sz w:val="18"/>
      <w:szCs w:val="18"/>
    </w:rPr>
  </w:style>
  <w:style w:type="character" w:customStyle="1" w:styleId="23">
    <w:name w:val="页脚 Char"/>
    <w:basedOn w:val="7"/>
    <w:link w:val="3"/>
    <w:qFormat/>
    <w:uiPriority w:val="0"/>
    <w:rPr>
      <w:kern w:val="2"/>
      <w:sz w:val="18"/>
      <w:szCs w:val="18"/>
    </w:rPr>
  </w:style>
  <w:style w:type="paragraph" w:customStyle="1" w:styleId="24">
    <w:name w:val="标准文件_段"/>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2333</Words>
  <Characters>2632</Characters>
  <Lines>19</Lines>
  <Paragraphs>5</Paragraphs>
  <TotalTime>2</TotalTime>
  <ScaleCrop>false</ScaleCrop>
  <LinksUpToDate>false</LinksUpToDate>
  <CharactersWithSpaces>2700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2023-11-10T00:40:00Z</dcterms:created>
  <dc:creator>ZHQ</dc:creator>
  <cp:lastModifiedBy>jscl-姜健驰</cp:lastModifiedBy>
  <dcterms:modified xsi:type="dcterms:W3CDTF">2025-08-16T14:23:02Z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eyJoZGlkIjoiMTc1YjVlNTdkNDZmZDRhNTcyMGQwYjM3ZjI1YzI1MDciLCJ1c2VySWQiOiI3NTQ2NTMzNjQifQ==</vt:lpwstr>
  </property>
  <property fmtid="{D5CDD505-2E9C-101B-9397-08002B2CF9AE}" pid="4" name="ICV">
    <vt:lpwstr>ACEF3ED66A3247CA959C3083C3252815_12</vt:lpwstr>
  </property>
</Properties>
</file>