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3"/>
        <w:tblW w:w="9732" w:type="dxa"/>
        <w:tblInd w:w="0" w:type="dxa"/>
        <w:tblLayout w:type="fixed"/>
        <w:tblCellMar>
          <w:top w:w="0" w:type="dxa"/>
          <w:left w:w="0" w:type="dxa"/>
          <w:bottom w:w="0" w:type="dxa"/>
          <w:right w:w="0" w:type="dxa"/>
        </w:tblCellMar>
      </w:tblPr>
      <w:tblGrid>
        <w:gridCol w:w="456"/>
        <w:gridCol w:w="1104"/>
        <w:gridCol w:w="1244"/>
        <w:gridCol w:w="457"/>
        <w:gridCol w:w="1143"/>
        <w:gridCol w:w="4977"/>
        <w:gridCol w:w="351"/>
      </w:tblGrid>
      <w:tr w14:paraId="240EBFBC">
        <w:tblPrEx>
          <w:tblCellMar>
            <w:top w:w="0" w:type="dxa"/>
            <w:left w:w="0" w:type="dxa"/>
            <w:bottom w:w="0" w:type="dxa"/>
            <w:right w:w="0" w:type="dxa"/>
          </w:tblCellMar>
        </w:tblPrEx>
        <w:trPr>
          <w:gridAfter w:val="4"/>
          <w:wAfter w:w="6928" w:type="dxa"/>
          <w:trHeight w:val="308" w:hRule="exact"/>
        </w:trPr>
        <w:tc>
          <w:tcPr>
            <w:tcW w:w="456" w:type="dxa"/>
            <w:vAlign w:val="center"/>
          </w:tcPr>
          <w:p w14:paraId="6A84F8F3">
            <w:pPr>
              <w:rPr>
                <w:rFonts w:eastAsia="黑体"/>
              </w:rPr>
            </w:pPr>
            <w:r>
              <w:rPr>
                <w:rFonts w:eastAsia="黑体"/>
              </w:rPr>
              <w:t>ICS</w:t>
            </w:r>
          </w:p>
        </w:tc>
        <w:tc>
          <w:tcPr>
            <w:tcW w:w="2348" w:type="dxa"/>
            <w:gridSpan w:val="2"/>
            <w:vAlign w:val="center"/>
          </w:tcPr>
          <w:p w14:paraId="0A4F6CD4">
            <w:pPr>
              <w:rPr>
                <w:rFonts w:eastAsia="黑体"/>
              </w:rPr>
            </w:pPr>
          </w:p>
        </w:tc>
      </w:tr>
      <w:tr w14:paraId="220A307A">
        <w:tblPrEx>
          <w:tblCellMar>
            <w:top w:w="0" w:type="dxa"/>
            <w:left w:w="0" w:type="dxa"/>
            <w:bottom w:w="0" w:type="dxa"/>
            <w:right w:w="0" w:type="dxa"/>
          </w:tblCellMar>
        </w:tblPrEx>
        <w:trPr>
          <w:gridAfter w:val="4"/>
          <w:wAfter w:w="6928" w:type="dxa"/>
          <w:trHeight w:val="308" w:hRule="exact"/>
        </w:trPr>
        <w:tc>
          <w:tcPr>
            <w:tcW w:w="1560" w:type="dxa"/>
            <w:gridSpan w:val="2"/>
            <w:vAlign w:val="center"/>
          </w:tcPr>
          <w:p w14:paraId="64DE440B">
            <w:pPr>
              <w:ind w:right="-170"/>
              <w:rPr>
                <w:rFonts w:eastAsia="黑体"/>
              </w:rPr>
            </w:pPr>
            <w:r>
              <w:rPr>
                <w:rFonts w:eastAsia="黑体"/>
              </w:rPr>
              <w:t xml:space="preserve">CCS </w:t>
            </w:r>
          </w:p>
        </w:tc>
        <w:tc>
          <w:tcPr>
            <w:tcW w:w="1244" w:type="dxa"/>
            <w:vAlign w:val="center"/>
          </w:tcPr>
          <w:p w14:paraId="3DE55567">
            <w:pPr>
              <w:ind w:left="57"/>
              <w:rPr>
                <w:rFonts w:eastAsia="黑体"/>
              </w:rPr>
            </w:pPr>
          </w:p>
        </w:tc>
      </w:tr>
      <w:tr w14:paraId="6F879FB7">
        <w:tblPrEx>
          <w:tblCellMar>
            <w:top w:w="0" w:type="dxa"/>
            <w:left w:w="0" w:type="dxa"/>
            <w:bottom w:w="0" w:type="dxa"/>
            <w:right w:w="0" w:type="dxa"/>
          </w:tblCellMar>
        </w:tblPrEx>
        <w:trPr>
          <w:gridAfter w:val="4"/>
          <w:wAfter w:w="6928" w:type="dxa"/>
          <w:trHeight w:val="308" w:hRule="exact"/>
        </w:trPr>
        <w:tc>
          <w:tcPr>
            <w:tcW w:w="1560" w:type="dxa"/>
            <w:gridSpan w:val="2"/>
            <w:vAlign w:val="center"/>
          </w:tcPr>
          <w:p w14:paraId="7BF28CE9">
            <w:pPr>
              <w:ind w:right="-170"/>
              <w:rPr>
                <w:rFonts w:eastAsia="黑体"/>
              </w:rPr>
            </w:pPr>
          </w:p>
        </w:tc>
        <w:tc>
          <w:tcPr>
            <w:tcW w:w="1244" w:type="dxa"/>
            <w:vAlign w:val="center"/>
          </w:tcPr>
          <w:p w14:paraId="2314C99F">
            <w:pPr>
              <w:ind w:left="57"/>
              <w:rPr>
                <w:rFonts w:eastAsia="黑体"/>
              </w:rPr>
            </w:pPr>
          </w:p>
        </w:tc>
      </w:tr>
      <w:tr w14:paraId="4BD13D7E">
        <w:tblPrEx>
          <w:tblCellMar>
            <w:top w:w="0" w:type="dxa"/>
            <w:left w:w="0" w:type="dxa"/>
            <w:bottom w:w="0" w:type="dxa"/>
            <w:right w:w="0" w:type="dxa"/>
          </w:tblCellMar>
        </w:tblPrEx>
        <w:trPr>
          <w:trHeight w:val="362" w:hRule="exact"/>
        </w:trPr>
        <w:tc>
          <w:tcPr>
            <w:tcW w:w="9732" w:type="dxa"/>
            <w:gridSpan w:val="7"/>
          </w:tcPr>
          <w:p w14:paraId="41073035">
            <w:pPr>
              <w:spacing w:before="120" w:after="120"/>
            </w:pPr>
          </w:p>
        </w:tc>
      </w:tr>
      <w:tr w14:paraId="2D71E738">
        <w:tblPrEx>
          <w:tblCellMar>
            <w:top w:w="0" w:type="dxa"/>
            <w:left w:w="0" w:type="dxa"/>
            <w:bottom w:w="0" w:type="dxa"/>
            <w:right w:w="0" w:type="dxa"/>
          </w:tblCellMar>
        </w:tblPrEx>
        <w:trPr>
          <w:trHeight w:val="58" w:hRule="exact"/>
        </w:trPr>
        <w:tc>
          <w:tcPr>
            <w:tcW w:w="9732" w:type="dxa"/>
            <w:gridSpan w:val="7"/>
          </w:tcPr>
          <w:p w14:paraId="3530D541">
            <w:pPr>
              <w:spacing w:before="120" w:after="120"/>
            </w:pPr>
          </w:p>
        </w:tc>
      </w:tr>
      <w:tr w14:paraId="3807211A">
        <w:tblPrEx>
          <w:tblCellMar>
            <w:top w:w="0" w:type="dxa"/>
            <w:left w:w="0" w:type="dxa"/>
            <w:bottom w:w="0" w:type="dxa"/>
            <w:right w:w="0" w:type="dxa"/>
          </w:tblCellMar>
        </w:tblPrEx>
        <w:trPr>
          <w:trHeight w:val="355" w:hRule="exact"/>
        </w:trPr>
        <w:tc>
          <w:tcPr>
            <w:tcW w:w="9732" w:type="dxa"/>
            <w:gridSpan w:val="7"/>
          </w:tcPr>
          <w:p w14:paraId="05C02990">
            <w:pPr>
              <w:spacing w:before="120" w:after="120"/>
            </w:pPr>
          </w:p>
        </w:tc>
      </w:tr>
      <w:tr w14:paraId="694C0BE9">
        <w:tblPrEx>
          <w:tblCellMar>
            <w:top w:w="0" w:type="dxa"/>
            <w:left w:w="0" w:type="dxa"/>
            <w:bottom w:w="0" w:type="dxa"/>
            <w:right w:w="0" w:type="dxa"/>
          </w:tblCellMar>
        </w:tblPrEx>
        <w:trPr>
          <w:trHeight w:val="553" w:hRule="exact"/>
        </w:trPr>
        <w:tc>
          <w:tcPr>
            <w:tcW w:w="9732" w:type="dxa"/>
            <w:gridSpan w:val="7"/>
            <w:vAlign w:val="center"/>
          </w:tcPr>
          <w:p w14:paraId="048DA73C">
            <w:pPr>
              <w:spacing w:after="240" w:line="560" w:lineRule="exact"/>
              <w:ind w:right="28"/>
              <w:jc w:val="center"/>
              <w:rPr>
                <w:rFonts w:eastAsia="黑体"/>
                <w:w w:val="140"/>
                <w:sz w:val="52"/>
              </w:rPr>
            </w:pPr>
            <w:r>
              <w:rPr>
                <w:rFonts w:eastAsia="黑体"/>
                <w:w w:val="140"/>
                <w:sz w:val="52"/>
              </w:rPr>
              <w:t>团    体    标    准</w:t>
            </w:r>
          </w:p>
          <w:p w14:paraId="49555288">
            <w:pPr>
              <w:spacing w:line="520" w:lineRule="exact"/>
              <w:rPr>
                <w:w w:val="140"/>
                <w:sz w:val="52"/>
              </w:rPr>
            </w:pPr>
          </w:p>
        </w:tc>
      </w:tr>
      <w:tr w14:paraId="1DDFFE9C">
        <w:tblPrEx>
          <w:tblCellMar>
            <w:top w:w="0" w:type="dxa"/>
            <w:left w:w="0" w:type="dxa"/>
            <w:bottom w:w="0" w:type="dxa"/>
            <w:right w:w="0" w:type="dxa"/>
          </w:tblCellMar>
        </w:tblPrEx>
        <w:trPr>
          <w:trHeight w:val="334" w:hRule="exact"/>
        </w:trPr>
        <w:tc>
          <w:tcPr>
            <w:tcW w:w="9732" w:type="dxa"/>
            <w:gridSpan w:val="7"/>
          </w:tcPr>
          <w:p w14:paraId="2571E80D">
            <w:pPr>
              <w:jc w:val="center"/>
              <w:rPr>
                <w:rFonts w:eastAsia="黑体"/>
                <w:b/>
                <w:sz w:val="52"/>
              </w:rPr>
            </w:pPr>
          </w:p>
        </w:tc>
      </w:tr>
      <w:tr w14:paraId="41BE2ABB">
        <w:tblPrEx>
          <w:tblCellMar>
            <w:top w:w="0" w:type="dxa"/>
            <w:left w:w="0" w:type="dxa"/>
            <w:bottom w:w="0" w:type="dxa"/>
            <w:right w:w="0" w:type="dxa"/>
          </w:tblCellMar>
        </w:tblPrEx>
        <w:trPr>
          <w:cantSplit/>
          <w:trHeight w:val="58" w:hRule="exact"/>
        </w:trPr>
        <w:tc>
          <w:tcPr>
            <w:tcW w:w="3261" w:type="dxa"/>
            <w:gridSpan w:val="4"/>
            <w:vAlign w:val="center"/>
          </w:tcPr>
          <w:p w14:paraId="35376FE1"/>
        </w:tc>
        <w:tc>
          <w:tcPr>
            <w:tcW w:w="1143" w:type="dxa"/>
            <w:vAlign w:val="center"/>
          </w:tcPr>
          <w:p w14:paraId="2ACBCFF9">
            <w:pPr>
              <w:jc w:val="right"/>
            </w:pPr>
          </w:p>
        </w:tc>
        <w:tc>
          <w:tcPr>
            <w:tcW w:w="4977" w:type="dxa"/>
            <w:vAlign w:val="center"/>
          </w:tcPr>
          <w:p w14:paraId="67F65700">
            <w:pPr>
              <w:wordWrap w:val="0"/>
              <w:jc w:val="right"/>
            </w:pPr>
          </w:p>
        </w:tc>
        <w:tc>
          <w:tcPr>
            <w:tcW w:w="351" w:type="dxa"/>
            <w:vAlign w:val="center"/>
          </w:tcPr>
          <w:p w14:paraId="70748924"/>
        </w:tc>
      </w:tr>
      <w:tr w14:paraId="1F6C629F">
        <w:tblPrEx>
          <w:tblCellMar>
            <w:top w:w="0" w:type="dxa"/>
            <w:left w:w="0" w:type="dxa"/>
            <w:bottom w:w="0" w:type="dxa"/>
            <w:right w:w="0" w:type="dxa"/>
          </w:tblCellMar>
        </w:tblPrEx>
        <w:trPr>
          <w:cantSplit/>
          <w:trHeight w:val="355" w:hRule="exact"/>
        </w:trPr>
        <w:tc>
          <w:tcPr>
            <w:tcW w:w="3261" w:type="dxa"/>
            <w:gridSpan w:val="4"/>
            <w:vAlign w:val="center"/>
          </w:tcPr>
          <w:p w14:paraId="377A1D21"/>
        </w:tc>
        <w:tc>
          <w:tcPr>
            <w:tcW w:w="1143" w:type="dxa"/>
            <w:vAlign w:val="center"/>
          </w:tcPr>
          <w:p w14:paraId="62BC429E">
            <w:pPr>
              <w:jc w:val="right"/>
            </w:pPr>
          </w:p>
        </w:tc>
        <w:tc>
          <w:tcPr>
            <w:tcW w:w="4977" w:type="dxa"/>
            <w:vAlign w:val="center"/>
          </w:tcPr>
          <w:p w14:paraId="6B549A1D">
            <w:pPr>
              <w:spacing w:line="360" w:lineRule="exact"/>
              <w:jc w:val="right"/>
              <w:rPr>
                <w:rFonts w:eastAsia="黑体"/>
              </w:rPr>
            </w:pPr>
            <w:r>
              <w:rPr>
                <w:rFonts w:eastAsia="黑体"/>
                <w:sz w:val="28"/>
              </w:rPr>
              <w:t>T/CAAMTB</w:t>
            </w:r>
            <w:r>
              <w:rPr>
                <w:rFonts w:eastAsia="黑体"/>
                <w:spacing w:val="10"/>
                <w:sz w:val="28"/>
                <w:szCs w:val="28"/>
              </w:rPr>
              <w:t xml:space="preserve"> xx－</w:t>
            </w:r>
            <w:r>
              <w:rPr>
                <w:rFonts w:eastAsia="黑体"/>
                <w:spacing w:val="10"/>
                <w:sz w:val="28"/>
              </w:rPr>
              <w:t>20xx</w:t>
            </w:r>
          </w:p>
        </w:tc>
        <w:tc>
          <w:tcPr>
            <w:tcW w:w="351" w:type="dxa"/>
            <w:vAlign w:val="center"/>
          </w:tcPr>
          <w:p w14:paraId="27A927E6">
            <w:pPr>
              <w:rPr>
                <w:rFonts w:eastAsia="黑体"/>
              </w:rPr>
            </w:pPr>
          </w:p>
        </w:tc>
      </w:tr>
      <w:tr w14:paraId="086162B2">
        <w:tblPrEx>
          <w:tblCellMar>
            <w:top w:w="0" w:type="dxa"/>
            <w:left w:w="0" w:type="dxa"/>
            <w:bottom w:w="0" w:type="dxa"/>
            <w:right w:w="0" w:type="dxa"/>
          </w:tblCellMar>
        </w:tblPrEx>
        <w:trPr>
          <w:cantSplit/>
          <w:trHeight w:val="87" w:hRule="exact"/>
        </w:trPr>
        <w:tc>
          <w:tcPr>
            <w:tcW w:w="3261" w:type="dxa"/>
            <w:gridSpan w:val="4"/>
            <w:vAlign w:val="center"/>
          </w:tcPr>
          <w:p w14:paraId="1C102CDB"/>
        </w:tc>
        <w:tc>
          <w:tcPr>
            <w:tcW w:w="1143" w:type="dxa"/>
            <w:vAlign w:val="center"/>
          </w:tcPr>
          <w:p w14:paraId="33957ECA">
            <w:pPr>
              <w:jc w:val="right"/>
            </w:pPr>
          </w:p>
        </w:tc>
        <w:tc>
          <w:tcPr>
            <w:tcW w:w="4977" w:type="dxa"/>
            <w:vAlign w:val="center"/>
          </w:tcPr>
          <w:p w14:paraId="092DCBD3">
            <w:pPr>
              <w:wordWrap w:val="0"/>
              <w:jc w:val="right"/>
            </w:pPr>
          </w:p>
        </w:tc>
        <w:tc>
          <w:tcPr>
            <w:tcW w:w="351" w:type="dxa"/>
            <w:vAlign w:val="center"/>
          </w:tcPr>
          <w:p w14:paraId="3CF11939"/>
        </w:tc>
      </w:tr>
      <w:tr w14:paraId="6AA92F24">
        <w:tblPrEx>
          <w:tblCellMar>
            <w:top w:w="0" w:type="dxa"/>
            <w:left w:w="0" w:type="dxa"/>
            <w:bottom w:w="0" w:type="dxa"/>
            <w:right w:w="0" w:type="dxa"/>
          </w:tblCellMar>
        </w:tblPrEx>
        <w:trPr>
          <w:trHeight w:val="119" w:hRule="exact"/>
        </w:trPr>
        <w:tc>
          <w:tcPr>
            <w:tcW w:w="9732" w:type="dxa"/>
            <w:gridSpan w:val="7"/>
            <w:tcBorders>
              <w:bottom w:val="single" w:color="auto" w:sz="8" w:space="0"/>
            </w:tcBorders>
          </w:tcPr>
          <w:p w14:paraId="1B1408FA">
            <w:pPr>
              <w:jc w:val="center"/>
              <w:rPr>
                <w:rFonts w:eastAsia="黑体"/>
                <w:b/>
                <w:sz w:val="52"/>
              </w:rPr>
            </w:pPr>
          </w:p>
        </w:tc>
      </w:tr>
      <w:tr w14:paraId="61AF4673">
        <w:tblPrEx>
          <w:tblCellMar>
            <w:top w:w="0" w:type="dxa"/>
            <w:left w:w="0" w:type="dxa"/>
            <w:bottom w:w="0" w:type="dxa"/>
            <w:right w:w="0" w:type="dxa"/>
          </w:tblCellMar>
        </w:tblPrEx>
        <w:trPr>
          <w:trHeight w:val="1330" w:hRule="exact"/>
        </w:trPr>
        <w:tc>
          <w:tcPr>
            <w:tcW w:w="9732" w:type="dxa"/>
            <w:gridSpan w:val="7"/>
            <w:tcBorders>
              <w:top w:val="single" w:color="auto" w:sz="8" w:space="0"/>
            </w:tcBorders>
            <w:vAlign w:val="center"/>
          </w:tcPr>
          <w:p w14:paraId="77826D7D">
            <w:pPr>
              <w:jc w:val="center"/>
              <w:rPr>
                <w:rFonts w:eastAsia="黑体"/>
                <w:sz w:val="52"/>
              </w:rPr>
            </w:pPr>
          </w:p>
        </w:tc>
      </w:tr>
      <w:tr w14:paraId="0848DFC7">
        <w:tblPrEx>
          <w:tblCellMar>
            <w:top w:w="0" w:type="dxa"/>
            <w:left w:w="0" w:type="dxa"/>
            <w:bottom w:w="0" w:type="dxa"/>
            <w:right w:w="0" w:type="dxa"/>
          </w:tblCellMar>
        </w:tblPrEx>
        <w:trPr>
          <w:trHeight w:val="823" w:hRule="exact"/>
        </w:trPr>
        <w:tc>
          <w:tcPr>
            <w:tcW w:w="9732" w:type="dxa"/>
            <w:gridSpan w:val="7"/>
            <w:vAlign w:val="center"/>
          </w:tcPr>
          <w:p w14:paraId="1C2E954D">
            <w:pPr>
              <w:spacing w:before="156" w:beforeLines="50" w:after="156" w:afterLines="50" w:line="360" w:lineRule="auto"/>
              <w:jc w:val="center"/>
              <w:rPr>
                <w:rFonts w:eastAsia="黑体"/>
                <w:color w:val="000000"/>
                <w:sz w:val="48"/>
                <w:szCs w:val="48"/>
              </w:rPr>
            </w:pPr>
          </w:p>
          <w:p w14:paraId="4222778D">
            <w:pPr>
              <w:spacing w:line="360" w:lineRule="auto"/>
              <w:ind w:left="-105" w:leftChars="-50"/>
              <w:jc w:val="center"/>
              <w:rPr>
                <w:rFonts w:eastAsia="黑体"/>
                <w:sz w:val="52"/>
                <w:szCs w:val="52"/>
              </w:rPr>
            </w:pPr>
          </w:p>
          <w:p w14:paraId="3F512820">
            <w:pPr>
              <w:pStyle w:val="83"/>
              <w:framePr w:w="0" w:hRule="auto" w:wrap="auto" w:vAnchor="margin" w:hAnchor="text" w:xAlign="left" w:yAlign="inline"/>
              <w:spacing w:line="360" w:lineRule="auto"/>
              <w:rPr>
                <w:rFonts w:ascii="Times New Roman"/>
              </w:rPr>
            </w:pPr>
          </w:p>
          <w:p w14:paraId="277D2D8A">
            <w:pPr>
              <w:spacing w:line="360" w:lineRule="auto"/>
              <w:jc w:val="center"/>
              <w:rPr>
                <w:rFonts w:eastAsia="黑体"/>
                <w:spacing w:val="-6"/>
                <w:sz w:val="52"/>
                <w:szCs w:val="52"/>
              </w:rPr>
            </w:pPr>
          </w:p>
        </w:tc>
      </w:tr>
      <w:tr w14:paraId="6BE0F8BE">
        <w:tblPrEx>
          <w:tblCellMar>
            <w:top w:w="0" w:type="dxa"/>
            <w:left w:w="0" w:type="dxa"/>
            <w:bottom w:w="0" w:type="dxa"/>
            <w:right w:w="0" w:type="dxa"/>
          </w:tblCellMar>
        </w:tblPrEx>
        <w:trPr>
          <w:trHeight w:val="1945" w:hRule="exact"/>
        </w:trPr>
        <w:tc>
          <w:tcPr>
            <w:tcW w:w="9732" w:type="dxa"/>
            <w:gridSpan w:val="7"/>
            <w:vAlign w:val="center"/>
          </w:tcPr>
          <w:p w14:paraId="6EBD8432">
            <w:pPr>
              <w:jc w:val="center"/>
              <w:rPr>
                <w:rFonts w:eastAsia="黑体"/>
                <w:sz w:val="52"/>
                <w:szCs w:val="52"/>
              </w:rPr>
            </w:pPr>
            <w:r>
              <w:rPr>
                <w:rFonts w:eastAsia="黑体"/>
                <w:sz w:val="52"/>
                <w:szCs w:val="52"/>
              </w:rPr>
              <w:t>汽车多芯片组件</w:t>
            </w:r>
          </w:p>
          <w:p w14:paraId="77856720">
            <w:pPr>
              <w:jc w:val="center"/>
              <w:rPr>
                <w:rFonts w:eastAsia="黑体"/>
                <w:sz w:val="48"/>
                <w:szCs w:val="48"/>
              </w:rPr>
            </w:pPr>
            <w:r>
              <w:rPr>
                <w:rFonts w:eastAsia="黑体"/>
                <w:sz w:val="52"/>
                <w:szCs w:val="52"/>
              </w:rPr>
              <w:t>可靠性及功能安全分级检测要求</w:t>
            </w:r>
          </w:p>
          <w:p w14:paraId="53D2254B">
            <w:pPr>
              <w:spacing w:line="480" w:lineRule="exact"/>
              <w:jc w:val="center"/>
              <w:rPr>
                <w:rFonts w:eastAsia="黑体"/>
                <w:sz w:val="28"/>
                <w:szCs w:val="28"/>
              </w:rPr>
            </w:pPr>
            <w:r>
              <w:rPr>
                <w:rFonts w:eastAsia="黑体"/>
                <w:sz w:val="28"/>
                <w:szCs w:val="28"/>
              </w:rPr>
              <w:t>Technical specifications for remanufacturing of automotive components</w:t>
            </w:r>
            <w:r>
              <w:rPr>
                <w:rFonts w:eastAsia="黑体"/>
                <w:b/>
                <w:sz w:val="28"/>
                <w:szCs w:val="28"/>
              </w:rPr>
              <w:t>—</w:t>
            </w:r>
          </w:p>
          <w:p w14:paraId="3FED9306">
            <w:pPr>
              <w:spacing w:line="480" w:lineRule="exact"/>
              <w:jc w:val="center"/>
              <w:rPr>
                <w:rFonts w:eastAsia="黑体"/>
                <w:sz w:val="28"/>
                <w:szCs w:val="28"/>
              </w:rPr>
            </w:pPr>
            <w:r>
              <w:rPr>
                <w:rFonts w:eastAsia="黑体"/>
                <w:sz w:val="28"/>
                <w:szCs w:val="28"/>
              </w:rPr>
              <w:t>LED headlamp</w:t>
            </w:r>
          </w:p>
          <w:p w14:paraId="182E32C9">
            <w:pPr>
              <w:snapToGrid w:val="0"/>
              <w:spacing w:line="360" w:lineRule="auto"/>
              <w:jc w:val="center"/>
              <w:rPr>
                <w:kern w:val="0"/>
                <w:sz w:val="28"/>
                <w:szCs w:val="28"/>
              </w:rPr>
            </w:pPr>
          </w:p>
          <w:p w14:paraId="3F5F082F">
            <w:pPr>
              <w:snapToGrid w:val="0"/>
              <w:spacing w:line="360" w:lineRule="auto"/>
              <w:rPr>
                <w:sz w:val="28"/>
                <w:szCs w:val="28"/>
              </w:rPr>
            </w:pPr>
          </w:p>
          <w:p w14:paraId="3BC9D1A2">
            <w:pPr>
              <w:snapToGrid w:val="0"/>
              <w:spacing w:line="360" w:lineRule="auto"/>
              <w:jc w:val="center"/>
              <w:rPr>
                <w:szCs w:val="21"/>
              </w:rPr>
            </w:pPr>
          </w:p>
          <w:p w14:paraId="487C1688">
            <w:pPr>
              <w:snapToGrid w:val="0"/>
              <w:spacing w:line="360" w:lineRule="auto"/>
              <w:jc w:val="center"/>
              <w:rPr>
                <w:szCs w:val="21"/>
              </w:rPr>
            </w:pPr>
          </w:p>
          <w:p w14:paraId="5B7941B6">
            <w:pPr>
              <w:snapToGrid w:val="0"/>
              <w:spacing w:line="360" w:lineRule="auto"/>
              <w:jc w:val="center"/>
              <w:rPr>
                <w:szCs w:val="21"/>
              </w:rPr>
            </w:pPr>
          </w:p>
          <w:p w14:paraId="55DAC8F2">
            <w:pPr>
              <w:snapToGrid w:val="0"/>
              <w:spacing w:before="370" w:line="360" w:lineRule="auto"/>
              <w:ind w:firstLine="280" w:firstLineChars="100"/>
              <w:textAlignment w:val="center"/>
              <w:rPr>
                <w:rFonts w:eastAsia="黑体"/>
                <w:kern w:val="0"/>
                <w:sz w:val="28"/>
                <w:szCs w:val="28"/>
              </w:rPr>
            </w:pPr>
            <w:r>
              <w:rPr>
                <w:rFonts w:eastAsia="黑体"/>
                <w:kern w:val="0"/>
                <w:sz w:val="28"/>
                <w:szCs w:val="28"/>
              </w:rPr>
              <w:t>Drafting guidelines for commercial grades standard of Chinese medicinal materials</w:t>
            </w:r>
          </w:p>
          <w:p w14:paraId="455BBFFC">
            <w:pPr>
              <w:snapToGrid w:val="0"/>
              <w:spacing w:line="360" w:lineRule="auto"/>
              <w:jc w:val="center"/>
              <w:rPr>
                <w:rFonts w:eastAsia="Arial Unicode MS"/>
                <w:b/>
                <w:color w:val="000000"/>
                <w:sz w:val="28"/>
                <w:szCs w:val="28"/>
              </w:rPr>
            </w:pPr>
          </w:p>
        </w:tc>
      </w:tr>
    </w:tbl>
    <w:p w14:paraId="30B374D4">
      <w:pPr>
        <w:jc w:val="center"/>
        <w:rPr>
          <w:sz w:val="28"/>
        </w:rPr>
      </w:pPr>
      <w:r>
        <w:rPr>
          <w:sz w:val="28"/>
        </w:rPr>
        <w:t>Classification testing requirements for</w:t>
      </w:r>
    </w:p>
    <w:p w14:paraId="6F95C0C1">
      <w:pPr>
        <w:jc w:val="center"/>
        <w:rPr>
          <w:sz w:val="28"/>
        </w:rPr>
      </w:pPr>
      <w:r>
        <w:rPr>
          <w:sz w:val="28"/>
        </w:rPr>
        <w:t>reliability and safety of automotive multichip modules (MCM)</w:t>
      </w:r>
    </w:p>
    <w:p w14:paraId="5F10A0DA"/>
    <w:p w14:paraId="1BF7A509"/>
    <w:p w14:paraId="06831BF2"/>
    <w:p w14:paraId="6ED3C5F0"/>
    <w:p w14:paraId="4D5D7CC7"/>
    <w:p w14:paraId="1688AA0C"/>
    <w:p w14:paraId="13F05A57"/>
    <w:p w14:paraId="06C67621"/>
    <w:p w14:paraId="06AE7E26"/>
    <w:p w14:paraId="6F2A2715"/>
    <w:p w14:paraId="3F2A4212">
      <w:r>
        <w:rPr>
          <w:sz w:val="20"/>
        </w:rPr>
        <mc:AlternateContent>
          <mc:Choice Requires="wps">
            <w:drawing>
              <wp:anchor distT="0" distB="0" distL="114300" distR="114300" simplePos="0" relativeHeight="251660288" behindDoc="0" locked="0" layoutInCell="0" allowOverlap="1">
                <wp:simplePos x="0" y="0"/>
                <wp:positionH relativeFrom="column">
                  <wp:posOffset>-21590</wp:posOffset>
                </wp:positionH>
                <wp:positionV relativeFrom="page">
                  <wp:posOffset>8246745</wp:posOffset>
                </wp:positionV>
                <wp:extent cx="6132830" cy="1706245"/>
                <wp:effectExtent l="0" t="0" r="0" b="0"/>
                <wp:wrapNone/>
                <wp:docPr id="3" name="文本框 81"/>
                <wp:cNvGraphicFramePr/>
                <a:graphic xmlns:a="http://schemas.openxmlformats.org/drawingml/2006/main">
                  <a:graphicData uri="http://schemas.microsoft.com/office/word/2010/wordprocessingShape">
                    <wps:wsp>
                      <wps:cNvSpPr txBox="1">
                        <a:spLocks noChangeArrowheads="1"/>
                      </wps:cNvSpPr>
                      <wps:spPr bwMode="auto">
                        <a:xfrm>
                          <a:off x="0" y="0"/>
                          <a:ext cx="6132830" cy="1706245"/>
                        </a:xfrm>
                        <a:prstGeom prst="rect">
                          <a:avLst/>
                        </a:prstGeom>
                        <a:solidFill>
                          <a:srgbClr val="FFFFFF"/>
                        </a:solidFill>
                        <a:ln>
                          <a:noFill/>
                        </a:ln>
                      </wps:spPr>
                      <wps:txbx>
                        <w:txbxContent>
                          <w:tbl>
                            <w:tblPr>
                              <w:tblStyle w:val="33"/>
                              <w:tblW w:w="9357" w:type="dxa"/>
                              <w:jc w:val="center"/>
                              <w:tblLayout w:type="fixed"/>
                              <w:tblCellMar>
                                <w:top w:w="0" w:type="dxa"/>
                                <w:left w:w="0" w:type="dxa"/>
                                <w:bottom w:w="0" w:type="dxa"/>
                                <w:right w:w="0" w:type="dxa"/>
                              </w:tblCellMar>
                            </w:tblPr>
                            <w:tblGrid>
                              <w:gridCol w:w="3232"/>
                              <w:gridCol w:w="3175"/>
                              <w:gridCol w:w="2950"/>
                            </w:tblGrid>
                            <w:tr w14:paraId="6B9A054F">
                              <w:trPr>
                                <w:trHeight w:val="312" w:hRule="exact"/>
                                <w:jc w:val="center"/>
                              </w:trPr>
                              <w:tc>
                                <w:tcPr>
                                  <w:tcW w:w="9357" w:type="dxa"/>
                                  <w:gridSpan w:val="3"/>
                                </w:tcPr>
                                <w:p w14:paraId="0C386C29"/>
                              </w:tc>
                            </w:tr>
                            <w:tr w14:paraId="0B708A85">
                              <w:tblPrEx>
                                <w:tblCellMar>
                                  <w:top w:w="0" w:type="dxa"/>
                                  <w:left w:w="0" w:type="dxa"/>
                                  <w:bottom w:w="0" w:type="dxa"/>
                                  <w:right w:w="0" w:type="dxa"/>
                                </w:tblCellMar>
                              </w:tblPrEx>
                              <w:trPr>
                                <w:trHeight w:val="567" w:hRule="exact"/>
                                <w:jc w:val="center"/>
                              </w:trPr>
                              <w:tc>
                                <w:tcPr>
                                  <w:tcW w:w="9357" w:type="dxa"/>
                                  <w:gridSpan w:val="3"/>
                                </w:tcPr>
                                <w:p w14:paraId="0ECA8C2E"/>
                              </w:tc>
                            </w:tr>
                            <w:tr w14:paraId="0B200DB8">
                              <w:tblPrEx>
                                <w:tblCellMar>
                                  <w:top w:w="0" w:type="dxa"/>
                                  <w:left w:w="0" w:type="dxa"/>
                                  <w:bottom w:w="0" w:type="dxa"/>
                                  <w:right w:w="0" w:type="dxa"/>
                                </w:tblCellMar>
                              </w:tblPrEx>
                              <w:trPr>
                                <w:trHeight w:val="567" w:hRule="exact"/>
                                <w:jc w:val="center"/>
                              </w:trPr>
                              <w:tc>
                                <w:tcPr>
                                  <w:tcW w:w="3232" w:type="dxa"/>
                                  <w:tcBorders>
                                    <w:bottom w:val="single" w:color="auto" w:sz="8" w:space="0"/>
                                  </w:tcBorders>
                                  <w:vAlign w:val="bottom"/>
                                </w:tcPr>
                                <w:p w14:paraId="777EC091">
                                  <w:pPr>
                                    <w:rPr>
                                      <w:rFonts w:ascii="黑体" w:hAnsi="黑体" w:eastAsia="黑体"/>
                                    </w:rPr>
                                  </w:pPr>
                                  <w:r>
                                    <w:rPr>
                                      <w:rFonts w:hint="eastAsia" w:ascii="黑体" w:hAnsi="黑体" w:eastAsia="黑体"/>
                                      <w:spacing w:val="10"/>
                                      <w:sz w:val="28"/>
                                      <w:szCs w:val="28"/>
                                    </w:rPr>
                                    <w:t>20xx</w:t>
                                  </w:r>
                                  <w:r>
                                    <w:rPr>
                                      <w:rFonts w:hint="eastAsia" w:ascii="黑体" w:hAnsi="黑体" w:eastAsia="黑体"/>
                                      <w:sz w:val="28"/>
                                    </w:rPr>
                                    <w:t>-xx-xx发布</w:t>
                                  </w:r>
                                </w:p>
                              </w:tc>
                              <w:tc>
                                <w:tcPr>
                                  <w:tcW w:w="3175" w:type="dxa"/>
                                  <w:tcBorders>
                                    <w:bottom w:val="single" w:color="auto" w:sz="8" w:space="0"/>
                                  </w:tcBorders>
                                  <w:vAlign w:val="bottom"/>
                                </w:tcPr>
                                <w:p w14:paraId="54AE79FA">
                                  <w:pPr>
                                    <w:jc w:val="center"/>
                                    <w:rPr>
                                      <w:rFonts w:ascii="黑体" w:eastAsia="黑体"/>
                                      <w:sz w:val="28"/>
                                    </w:rPr>
                                  </w:pPr>
                                </w:p>
                              </w:tc>
                              <w:tc>
                                <w:tcPr>
                                  <w:tcW w:w="2950" w:type="dxa"/>
                                  <w:tcBorders>
                                    <w:bottom w:val="single" w:color="auto" w:sz="8" w:space="0"/>
                                  </w:tcBorders>
                                  <w:vAlign w:val="bottom"/>
                                </w:tcPr>
                                <w:p w14:paraId="448A5D09">
                                  <w:pPr>
                                    <w:jc w:val="right"/>
                                    <w:rPr>
                                      <w:rFonts w:ascii="黑体" w:hAnsi="黑体" w:eastAsia="黑体"/>
                                    </w:rPr>
                                  </w:pPr>
                                  <w:r>
                                    <w:rPr>
                                      <w:rFonts w:hint="eastAsia" w:ascii="黑体" w:hAnsi="黑体" w:eastAsia="黑体"/>
                                      <w:spacing w:val="10"/>
                                      <w:sz w:val="28"/>
                                      <w:szCs w:val="28"/>
                                    </w:rPr>
                                    <w:t>20xx</w:t>
                                  </w:r>
                                  <w:r>
                                    <w:rPr>
                                      <w:rFonts w:hint="eastAsia" w:ascii="黑体" w:hAnsi="黑体" w:eastAsia="黑体"/>
                                      <w:sz w:val="28"/>
                                    </w:rPr>
                                    <w:t>-xx-xx实施</w:t>
                                  </w:r>
                                </w:p>
                              </w:tc>
                            </w:tr>
                            <w:tr w14:paraId="0E995F2B">
                              <w:tblPrEx>
                                <w:tblCellMar>
                                  <w:top w:w="0" w:type="dxa"/>
                                  <w:left w:w="0" w:type="dxa"/>
                                  <w:bottom w:w="0" w:type="dxa"/>
                                  <w:right w:w="0" w:type="dxa"/>
                                </w:tblCellMar>
                              </w:tblPrEx>
                              <w:trPr>
                                <w:trHeight w:val="567" w:hRule="exact"/>
                                <w:jc w:val="center"/>
                              </w:trPr>
                              <w:tc>
                                <w:tcPr>
                                  <w:tcW w:w="9357" w:type="dxa"/>
                                  <w:gridSpan w:val="3"/>
                                  <w:tcBorders>
                                    <w:top w:val="single" w:color="auto" w:sz="8" w:space="0"/>
                                  </w:tcBorders>
                                  <w:vAlign w:val="center"/>
                                </w:tcPr>
                                <w:p w14:paraId="67BB1173">
                                  <w:pPr>
                                    <w:jc w:val="center"/>
                                    <w:rPr>
                                      <w:rFonts w:eastAsia="黑体"/>
                                      <w:spacing w:val="30"/>
                                      <w:sz w:val="32"/>
                                    </w:rPr>
                                  </w:pPr>
                                </w:p>
                              </w:tc>
                            </w:tr>
                            <w:tr w14:paraId="5B061945">
                              <w:tblPrEx>
                                <w:tblCellMar>
                                  <w:top w:w="0" w:type="dxa"/>
                                  <w:left w:w="0" w:type="dxa"/>
                                  <w:bottom w:w="0" w:type="dxa"/>
                                  <w:right w:w="0" w:type="dxa"/>
                                </w:tblCellMar>
                              </w:tblPrEx>
                              <w:trPr>
                                <w:trHeight w:val="380" w:hRule="exact"/>
                                <w:jc w:val="center"/>
                              </w:trPr>
                              <w:tc>
                                <w:tcPr>
                                  <w:tcW w:w="9357" w:type="dxa"/>
                                  <w:gridSpan w:val="3"/>
                                </w:tcPr>
                                <w:p w14:paraId="2CE4A7CC">
                                  <w:pPr>
                                    <w:spacing w:line="360" w:lineRule="exact"/>
                                    <w:jc w:val="center"/>
                                  </w:pPr>
                                  <w:r>
                                    <w:rPr>
                                      <w:rFonts w:eastAsia="黑体"/>
                                      <w:sz w:val="32"/>
                                      <w:szCs w:val="32"/>
                                    </w:rPr>
                                    <w:t>中国</w:t>
                                  </w:r>
                                  <w:r>
                                    <w:rPr>
                                      <w:rFonts w:hint="eastAsia" w:eastAsia="黑体"/>
                                      <w:sz w:val="32"/>
                                      <w:szCs w:val="32"/>
                                    </w:rPr>
                                    <w:t>汽车工业协</w:t>
                                  </w:r>
                                  <w:r>
                                    <w:rPr>
                                      <w:rFonts w:eastAsia="黑体"/>
                                      <w:sz w:val="32"/>
                                      <w:szCs w:val="32"/>
                                    </w:rPr>
                                    <w:t>会</w:t>
                                  </w:r>
                                  <w:r>
                                    <w:rPr>
                                      <w:rFonts w:hint="eastAsia" w:eastAsia="黑体"/>
                                      <w:sz w:val="32"/>
                                      <w:szCs w:val="32"/>
                                    </w:rPr>
                                    <w:t xml:space="preserve"> </w:t>
                                  </w:r>
                                  <w:r>
                                    <w:rPr>
                                      <w:rFonts w:hint="eastAsia" w:eastAsia="黑体"/>
                                      <w:spacing w:val="20"/>
                                      <w:position w:val="2"/>
                                      <w:sz w:val="28"/>
                                    </w:rPr>
                                    <w:t>发</w:t>
                                  </w:r>
                                  <w:r>
                                    <w:rPr>
                                      <w:rFonts w:hint="eastAsia" w:eastAsia="黑体"/>
                                      <w:position w:val="2"/>
                                      <w:sz w:val="28"/>
                                    </w:rPr>
                                    <w:t>布</w:t>
                                  </w:r>
                                </w:p>
                              </w:tc>
                            </w:tr>
                          </w:tbl>
                          <w:p w14:paraId="140455F1"/>
                        </w:txbxContent>
                      </wps:txbx>
                      <wps:bodyPr rot="0" vert="horz" wrap="square" lIns="0" tIns="0" rIns="0" bIns="0" anchor="t" anchorCtr="0" upright="1">
                        <a:noAutofit/>
                      </wps:bodyPr>
                    </wps:wsp>
                  </a:graphicData>
                </a:graphic>
              </wp:anchor>
            </w:drawing>
          </mc:Choice>
          <mc:Fallback>
            <w:pict>
              <v:shape id="文本框 81" o:spid="_x0000_s1026" o:spt="202" type="#_x0000_t202" style="position:absolute;left:0pt;margin-left:-1.7pt;margin-top:649.35pt;height:134.35pt;width:482.9pt;mso-position-vertical-relative:page;z-index:251660288;mso-width-relative:page;mso-height-relative:page;" fillcolor="#FFFFFF" filled="t" stroked="f" coordsize="21600,21600" o:allowincell="f" o:gfxdata="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hr&#10;q8faAAAADAEAAA8AAAAAAAAAAQAgAAAAIgAAAGRycy9kb3ducmV2LnhtbFBLAQIUABQAAAAIAIdO&#10;4kDZd/NHIQIAADAEAAAOAAAAAAAAAAEAIAAAACkBAABkcnMvZTJvRG9jLnhtbFBLBQYAAAAABgAG&#10;AFkBAAC8BQAAAAA=&#10;">
                <v:fill on="t" focussize="0,0"/>
                <v:stroke on="f"/>
                <v:imagedata o:title=""/>
                <o:lock v:ext="edit" aspectratio="f"/>
                <v:textbox inset="0mm,0mm,0mm,0mm">
                  <w:txbxContent>
                    <w:tbl>
                      <w:tblPr>
                        <w:tblStyle w:val="33"/>
                        <w:tblW w:w="9357" w:type="dxa"/>
                        <w:jc w:val="center"/>
                        <w:tblLayout w:type="fixed"/>
                        <w:tblCellMar>
                          <w:top w:w="0" w:type="dxa"/>
                          <w:left w:w="0" w:type="dxa"/>
                          <w:bottom w:w="0" w:type="dxa"/>
                          <w:right w:w="0" w:type="dxa"/>
                        </w:tblCellMar>
                      </w:tblPr>
                      <w:tblGrid>
                        <w:gridCol w:w="3232"/>
                        <w:gridCol w:w="3175"/>
                        <w:gridCol w:w="2950"/>
                      </w:tblGrid>
                      <w:tr w14:paraId="6B9A054F">
                        <w:tblPrEx>
                          <w:tblCellMar>
                            <w:top w:w="0" w:type="dxa"/>
                            <w:left w:w="0" w:type="dxa"/>
                            <w:bottom w:w="0" w:type="dxa"/>
                            <w:right w:w="0" w:type="dxa"/>
                          </w:tblCellMar>
                        </w:tblPrEx>
                        <w:trPr>
                          <w:trHeight w:val="312" w:hRule="exact"/>
                          <w:jc w:val="center"/>
                        </w:trPr>
                        <w:tc>
                          <w:tcPr>
                            <w:tcW w:w="9357" w:type="dxa"/>
                            <w:gridSpan w:val="3"/>
                          </w:tcPr>
                          <w:p w14:paraId="0C386C29"/>
                        </w:tc>
                      </w:tr>
                      <w:tr w14:paraId="0B708A85">
                        <w:tblPrEx>
                          <w:tblCellMar>
                            <w:top w:w="0" w:type="dxa"/>
                            <w:left w:w="0" w:type="dxa"/>
                            <w:bottom w:w="0" w:type="dxa"/>
                            <w:right w:w="0" w:type="dxa"/>
                          </w:tblCellMar>
                        </w:tblPrEx>
                        <w:trPr>
                          <w:trHeight w:val="567" w:hRule="exact"/>
                          <w:jc w:val="center"/>
                        </w:trPr>
                        <w:tc>
                          <w:tcPr>
                            <w:tcW w:w="9357" w:type="dxa"/>
                            <w:gridSpan w:val="3"/>
                          </w:tcPr>
                          <w:p w14:paraId="0ECA8C2E"/>
                        </w:tc>
                      </w:tr>
                      <w:tr w14:paraId="0B200DB8">
                        <w:tblPrEx>
                          <w:tblCellMar>
                            <w:top w:w="0" w:type="dxa"/>
                            <w:left w:w="0" w:type="dxa"/>
                            <w:bottom w:w="0" w:type="dxa"/>
                            <w:right w:w="0" w:type="dxa"/>
                          </w:tblCellMar>
                        </w:tblPrEx>
                        <w:trPr>
                          <w:trHeight w:val="567" w:hRule="exact"/>
                          <w:jc w:val="center"/>
                        </w:trPr>
                        <w:tc>
                          <w:tcPr>
                            <w:tcW w:w="3232" w:type="dxa"/>
                            <w:tcBorders>
                              <w:bottom w:val="single" w:color="auto" w:sz="8" w:space="0"/>
                            </w:tcBorders>
                            <w:vAlign w:val="bottom"/>
                          </w:tcPr>
                          <w:p w14:paraId="777EC091">
                            <w:pPr>
                              <w:rPr>
                                <w:rFonts w:ascii="黑体" w:hAnsi="黑体" w:eastAsia="黑体"/>
                              </w:rPr>
                            </w:pPr>
                            <w:r>
                              <w:rPr>
                                <w:rFonts w:hint="eastAsia" w:ascii="黑体" w:hAnsi="黑体" w:eastAsia="黑体"/>
                                <w:spacing w:val="10"/>
                                <w:sz w:val="28"/>
                                <w:szCs w:val="28"/>
                              </w:rPr>
                              <w:t>20xx</w:t>
                            </w:r>
                            <w:r>
                              <w:rPr>
                                <w:rFonts w:hint="eastAsia" w:ascii="黑体" w:hAnsi="黑体" w:eastAsia="黑体"/>
                                <w:sz w:val="28"/>
                              </w:rPr>
                              <w:t>-xx-xx发布</w:t>
                            </w:r>
                          </w:p>
                        </w:tc>
                        <w:tc>
                          <w:tcPr>
                            <w:tcW w:w="3175" w:type="dxa"/>
                            <w:tcBorders>
                              <w:bottom w:val="single" w:color="auto" w:sz="8" w:space="0"/>
                            </w:tcBorders>
                            <w:vAlign w:val="bottom"/>
                          </w:tcPr>
                          <w:p w14:paraId="54AE79FA">
                            <w:pPr>
                              <w:jc w:val="center"/>
                              <w:rPr>
                                <w:rFonts w:ascii="黑体" w:eastAsia="黑体"/>
                                <w:sz w:val="28"/>
                              </w:rPr>
                            </w:pPr>
                          </w:p>
                        </w:tc>
                        <w:tc>
                          <w:tcPr>
                            <w:tcW w:w="2950" w:type="dxa"/>
                            <w:tcBorders>
                              <w:bottom w:val="single" w:color="auto" w:sz="8" w:space="0"/>
                            </w:tcBorders>
                            <w:vAlign w:val="bottom"/>
                          </w:tcPr>
                          <w:p w14:paraId="448A5D09">
                            <w:pPr>
                              <w:jc w:val="right"/>
                              <w:rPr>
                                <w:rFonts w:ascii="黑体" w:hAnsi="黑体" w:eastAsia="黑体"/>
                              </w:rPr>
                            </w:pPr>
                            <w:r>
                              <w:rPr>
                                <w:rFonts w:hint="eastAsia" w:ascii="黑体" w:hAnsi="黑体" w:eastAsia="黑体"/>
                                <w:spacing w:val="10"/>
                                <w:sz w:val="28"/>
                                <w:szCs w:val="28"/>
                              </w:rPr>
                              <w:t>20xx</w:t>
                            </w:r>
                            <w:r>
                              <w:rPr>
                                <w:rFonts w:hint="eastAsia" w:ascii="黑体" w:hAnsi="黑体" w:eastAsia="黑体"/>
                                <w:sz w:val="28"/>
                              </w:rPr>
                              <w:t>-xx-xx实施</w:t>
                            </w:r>
                          </w:p>
                        </w:tc>
                      </w:tr>
                      <w:tr w14:paraId="0E995F2B">
                        <w:tblPrEx>
                          <w:tblCellMar>
                            <w:top w:w="0" w:type="dxa"/>
                            <w:left w:w="0" w:type="dxa"/>
                            <w:bottom w:w="0" w:type="dxa"/>
                            <w:right w:w="0" w:type="dxa"/>
                          </w:tblCellMar>
                        </w:tblPrEx>
                        <w:trPr>
                          <w:trHeight w:val="567" w:hRule="exact"/>
                          <w:jc w:val="center"/>
                        </w:trPr>
                        <w:tc>
                          <w:tcPr>
                            <w:tcW w:w="9357" w:type="dxa"/>
                            <w:gridSpan w:val="3"/>
                            <w:tcBorders>
                              <w:top w:val="single" w:color="auto" w:sz="8" w:space="0"/>
                            </w:tcBorders>
                            <w:vAlign w:val="center"/>
                          </w:tcPr>
                          <w:p w14:paraId="67BB1173">
                            <w:pPr>
                              <w:jc w:val="center"/>
                              <w:rPr>
                                <w:rFonts w:eastAsia="黑体"/>
                                <w:spacing w:val="30"/>
                                <w:sz w:val="32"/>
                              </w:rPr>
                            </w:pPr>
                          </w:p>
                        </w:tc>
                      </w:tr>
                      <w:tr w14:paraId="5B061945">
                        <w:tblPrEx>
                          <w:tblCellMar>
                            <w:top w:w="0" w:type="dxa"/>
                            <w:left w:w="0" w:type="dxa"/>
                            <w:bottom w:w="0" w:type="dxa"/>
                            <w:right w:w="0" w:type="dxa"/>
                          </w:tblCellMar>
                        </w:tblPrEx>
                        <w:trPr>
                          <w:trHeight w:val="380" w:hRule="exact"/>
                          <w:jc w:val="center"/>
                        </w:trPr>
                        <w:tc>
                          <w:tcPr>
                            <w:tcW w:w="9357" w:type="dxa"/>
                            <w:gridSpan w:val="3"/>
                          </w:tcPr>
                          <w:p w14:paraId="2CE4A7CC">
                            <w:pPr>
                              <w:spacing w:line="360" w:lineRule="exact"/>
                              <w:jc w:val="center"/>
                            </w:pPr>
                            <w:r>
                              <w:rPr>
                                <w:rFonts w:eastAsia="黑体"/>
                                <w:sz w:val="32"/>
                                <w:szCs w:val="32"/>
                              </w:rPr>
                              <w:t>中国</w:t>
                            </w:r>
                            <w:r>
                              <w:rPr>
                                <w:rFonts w:hint="eastAsia" w:eastAsia="黑体"/>
                                <w:sz w:val="32"/>
                                <w:szCs w:val="32"/>
                              </w:rPr>
                              <w:t>汽车工业协</w:t>
                            </w:r>
                            <w:r>
                              <w:rPr>
                                <w:rFonts w:eastAsia="黑体"/>
                                <w:sz w:val="32"/>
                                <w:szCs w:val="32"/>
                              </w:rPr>
                              <w:t>会</w:t>
                            </w:r>
                            <w:r>
                              <w:rPr>
                                <w:rFonts w:hint="eastAsia" w:eastAsia="黑体"/>
                                <w:sz w:val="32"/>
                                <w:szCs w:val="32"/>
                              </w:rPr>
                              <w:t xml:space="preserve"> </w:t>
                            </w:r>
                            <w:r>
                              <w:rPr>
                                <w:rFonts w:hint="eastAsia" w:eastAsia="黑体"/>
                                <w:spacing w:val="20"/>
                                <w:position w:val="2"/>
                                <w:sz w:val="28"/>
                              </w:rPr>
                              <w:t>发</w:t>
                            </w:r>
                            <w:r>
                              <w:rPr>
                                <w:rFonts w:hint="eastAsia" w:eastAsia="黑体"/>
                                <w:position w:val="2"/>
                                <w:sz w:val="28"/>
                              </w:rPr>
                              <w:t>布</w:t>
                            </w:r>
                          </w:p>
                        </w:tc>
                      </w:tr>
                    </w:tbl>
                    <w:p w14:paraId="140455F1"/>
                  </w:txbxContent>
                </v:textbox>
              </v:shape>
            </w:pict>
          </mc:Fallback>
        </mc:AlternateContent>
      </w:r>
    </w:p>
    <w:p w14:paraId="533586AD"/>
    <w:p w14:paraId="477C8865"/>
    <w:p w14:paraId="0F89539A"/>
    <w:p w14:paraId="5812489D">
      <w:pPr>
        <w:pStyle w:val="24"/>
        <w:ind w:firstLine="0" w:firstLineChars="0"/>
        <w:rPr>
          <w:rFonts w:ascii="Times New Roman"/>
        </w:rPr>
        <w:sectPr>
          <w:headerReference r:id="rId3" w:type="even"/>
          <w:footerReference r:id="rId4" w:type="even"/>
          <w:pgSz w:w="11906" w:h="16838"/>
          <w:pgMar w:top="567" w:right="1134" w:bottom="1134" w:left="1417" w:header="0" w:footer="0" w:gutter="0"/>
          <w:pgNumType w:fmt="upperRoman" w:start="1"/>
          <w:cols w:space="720" w:num="1"/>
          <w:docGrid w:type="lines" w:linePitch="312" w:charSpace="0"/>
        </w:sectPr>
      </w:pPr>
      <w:r>
        <w:rPr>
          <w:rFonts w:ascii="Times New Roman"/>
        </w:rPr>
        <mc:AlternateContent>
          <mc:Choice Requires="wps">
            <w:drawing>
              <wp:anchor distT="0" distB="0" distL="114300" distR="114300" simplePos="0" relativeHeight="251659264" behindDoc="1" locked="0" layoutInCell="1" allowOverlap="1">
                <wp:simplePos x="0" y="0"/>
                <wp:positionH relativeFrom="column">
                  <wp:posOffset>-66675</wp:posOffset>
                </wp:positionH>
                <wp:positionV relativeFrom="paragraph">
                  <wp:posOffset>396240</wp:posOffset>
                </wp:positionV>
                <wp:extent cx="866775" cy="198120"/>
                <wp:effectExtent l="4445" t="635" r="0" b="1270"/>
                <wp:wrapNone/>
                <wp:docPr id="1"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txbx>
                        <w:txbxContent>
                          <w:p w14:paraId="13C03CA3"/>
                        </w:txbxContent>
                      </wps:txbx>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31.2pt;height:15.6pt;width:68.25pt;z-index:-251657216;mso-width-relative:page;mso-height-relative:page;" fillcolor="#FFFFFF" filled="t" stroked="f" coordsize="21600,21600" o:gfxdata="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kGQBT1wAAAAkBAAAPAAAAAAAA&#10;AAEAIAAAACIAAABkcnMvZG93bnJldi54bWxQSwECFAAUAAAACACHTuJAe6G1bhMCAAArBAAADgAA&#10;AAAAAAABACAAAAAmAQAAZHJzL2Uyb0RvYy54bWxQSwUGAAAAAAYABgBZAQAAqwUAAAAA&#10;">
                <v:fill on="t" focussize="0,0"/>
                <v:stroke on="f"/>
                <v:imagedata o:title=""/>
                <o:lock v:ext="edit" aspectratio="f"/>
                <v:textbox>
                  <w:txbxContent>
                    <w:p w14:paraId="13C03CA3"/>
                  </w:txbxContent>
                </v:textbox>
              </v:rect>
            </w:pict>
          </mc:Fallback>
        </mc:AlternateContent>
      </w:r>
    </w:p>
    <w:p w14:paraId="473B685D">
      <w:pPr>
        <w:pStyle w:val="52"/>
        <w:rPr>
          <w:rFonts w:ascii="Times New Roman"/>
        </w:rPr>
      </w:pPr>
      <w:bookmarkStart w:id="0" w:name="_Toc204873397"/>
      <w:bookmarkStart w:id="1" w:name="_Toc199203859"/>
      <w:r>
        <w:rPr>
          <w:rFonts w:ascii="Times New Roman"/>
        </w:rPr>
        <w:t>目</w:t>
      </w:r>
      <w:bookmarkStart w:id="2" w:name="BKML"/>
      <w:r>
        <w:rPr>
          <w:rFonts w:ascii="Times New Roman"/>
        </w:rPr>
        <w:t>次</w:t>
      </w:r>
      <w:bookmarkEnd w:id="0"/>
      <w:bookmarkEnd w:id="1"/>
      <w:bookmarkEnd w:id="2"/>
      <w:bookmarkStart w:id="91" w:name="_GoBack"/>
      <w:bookmarkEnd w:id="91"/>
    </w:p>
    <w:p w14:paraId="4D1FA46E">
      <w:pPr>
        <w:pStyle w:val="20"/>
        <w:spacing w:before="78" w:after="78"/>
        <w:rPr>
          <w:rFonts w:asciiTheme="minorHAnsi" w:hAnsiTheme="minorHAnsi" w:eastAsiaTheme="minorEastAsia" w:cstheme="minorBidi"/>
          <w:szCs w:val="22"/>
        </w:rPr>
      </w:pPr>
      <w:r>
        <w:rPr>
          <w:rFonts w:ascii="Times New Roman"/>
        </w:rPr>
        <w:fldChar w:fldCharType="begin" w:fldLock="1"/>
      </w:r>
      <w:r>
        <w:rPr>
          <w:rFonts w:ascii="Times New Roman"/>
        </w:rPr>
        <w:instrText xml:space="preserve"> TOC \h \z \t"前言、引言标题,1,参考文献、索引标题,1,章标题,1,参考文献,1,附录标识,1" \* MERGEFORMAT </w:instrText>
      </w:r>
      <w:r>
        <w:rPr>
          <w:rFonts w:ascii="Times New Roman"/>
        </w:rPr>
        <w:fldChar w:fldCharType="separate"/>
      </w:r>
    </w:p>
    <w:sdt>
      <w:sdtPr>
        <w:rPr>
          <w:rFonts w:ascii="Times New Roman"/>
          <w:szCs w:val="24"/>
          <w:lang w:val="zh-CN"/>
        </w:rPr>
        <w:id w:val="-1577889641"/>
        <w:docPartObj>
          <w:docPartGallery w:val="Table of Contents"/>
          <w:docPartUnique/>
        </w:docPartObj>
      </w:sdtPr>
      <w:sdtEndPr>
        <w:rPr>
          <w:rFonts w:ascii="Times New Roman"/>
          <w:b/>
          <w:bCs/>
          <w:szCs w:val="24"/>
          <w:lang w:val="zh-CN"/>
        </w:rPr>
      </w:sdtEndPr>
      <w:sdtContent>
        <w:p w14:paraId="51F3F856">
          <w:pPr>
            <w:pStyle w:val="20"/>
            <w:spacing w:before="78" w:after="78"/>
            <w:rPr>
              <w:rFonts w:ascii="Times New Roman" w:eastAsiaTheme="minorEastAsia"/>
              <w:sz w:val="22"/>
              <w:szCs w:val="24"/>
              <w14:ligatures w14:val="standardContextual"/>
            </w:rPr>
          </w:pPr>
          <w:r>
            <w:rPr>
              <w:rFonts w:ascii="Times New Roman"/>
            </w:rPr>
            <w:fldChar w:fldCharType="begin" w:fldLock="1"/>
          </w:r>
          <w:r>
            <w:rPr>
              <w:rFonts w:ascii="Times New Roman"/>
            </w:rPr>
            <w:instrText xml:space="preserve"> TOC \o "1-3" \h \z \u </w:instrText>
          </w:r>
          <w:r>
            <w:rPr>
              <w:rFonts w:ascii="Times New Roman"/>
            </w:rPr>
            <w:fldChar w:fldCharType="separate"/>
          </w:r>
          <w:r>
            <w:fldChar w:fldCharType="begin"/>
          </w:r>
          <w:r>
            <w:instrText xml:space="preserve"> HYPERLINK \l "_Toc204873398" </w:instrText>
          </w:r>
          <w:r>
            <w:fldChar w:fldCharType="separate"/>
          </w:r>
          <w:r>
            <w:rPr>
              <w:rStyle w:val="39"/>
              <w:rFonts w:ascii="Times New Roman"/>
            </w:rPr>
            <w:t>前言</w:t>
          </w:r>
          <w:r>
            <w:rPr>
              <w:rFonts w:ascii="Times New Roman"/>
            </w:rPr>
            <w:tab/>
          </w:r>
          <w:r>
            <w:rPr>
              <w:rFonts w:ascii="Times New Roman"/>
            </w:rPr>
            <w:fldChar w:fldCharType="begin" w:fldLock="1"/>
          </w:r>
          <w:r>
            <w:rPr>
              <w:rFonts w:ascii="Times New Roman"/>
            </w:rPr>
            <w:instrText xml:space="preserve"> PAGEREF _Toc204873398 \h </w:instrText>
          </w:r>
          <w:r>
            <w:rPr>
              <w:rFonts w:ascii="Times New Roman"/>
            </w:rPr>
            <w:fldChar w:fldCharType="separate"/>
          </w:r>
          <w:r>
            <w:rPr>
              <w:rFonts w:ascii="Times New Roman"/>
            </w:rPr>
            <w:t>II</w:t>
          </w:r>
          <w:r>
            <w:rPr>
              <w:rFonts w:ascii="Times New Roman"/>
            </w:rPr>
            <w:fldChar w:fldCharType="end"/>
          </w:r>
          <w:r>
            <w:rPr>
              <w:rFonts w:ascii="Times New Roman"/>
            </w:rPr>
            <w:fldChar w:fldCharType="end"/>
          </w:r>
        </w:p>
        <w:p w14:paraId="178AD60F">
          <w:pPr>
            <w:pStyle w:val="20"/>
            <w:spacing w:before="78" w:after="78"/>
            <w:rPr>
              <w:rFonts w:ascii="Times New Roman" w:eastAsiaTheme="minorEastAsia"/>
              <w:sz w:val="22"/>
              <w:szCs w:val="24"/>
              <w14:ligatures w14:val="standardContextual"/>
            </w:rPr>
          </w:pPr>
          <w:r>
            <w:fldChar w:fldCharType="begin"/>
          </w:r>
          <w:r>
            <w:instrText xml:space="preserve"> HYPERLINK \l "_Toc204873399" </w:instrText>
          </w:r>
          <w:r>
            <w:fldChar w:fldCharType="separate"/>
          </w:r>
          <w:r>
            <w:rPr>
              <w:rStyle w:val="39"/>
              <w:rFonts w:ascii="Times New Roman"/>
            </w:rPr>
            <w:t>引言</w:t>
          </w:r>
          <w:r>
            <w:rPr>
              <w:rFonts w:ascii="Times New Roman"/>
            </w:rPr>
            <w:tab/>
          </w:r>
          <w:r>
            <w:rPr>
              <w:rFonts w:ascii="Times New Roman"/>
            </w:rPr>
            <w:fldChar w:fldCharType="begin" w:fldLock="1"/>
          </w:r>
          <w:r>
            <w:rPr>
              <w:rFonts w:ascii="Times New Roman"/>
            </w:rPr>
            <w:instrText xml:space="preserve"> PAGEREF _Toc204873399 \h </w:instrText>
          </w:r>
          <w:r>
            <w:rPr>
              <w:rFonts w:ascii="Times New Roman"/>
            </w:rPr>
            <w:fldChar w:fldCharType="separate"/>
          </w:r>
          <w:r>
            <w:rPr>
              <w:rFonts w:ascii="Times New Roman"/>
            </w:rPr>
            <w:t>III</w:t>
          </w:r>
          <w:r>
            <w:rPr>
              <w:rFonts w:ascii="Times New Roman"/>
            </w:rPr>
            <w:fldChar w:fldCharType="end"/>
          </w:r>
          <w:r>
            <w:rPr>
              <w:rFonts w:ascii="Times New Roman"/>
            </w:rPr>
            <w:fldChar w:fldCharType="end"/>
          </w:r>
        </w:p>
        <w:p w14:paraId="4442B69F">
          <w:pPr>
            <w:pStyle w:val="29"/>
            <w:rPr>
              <w:rFonts w:ascii="Times New Roman" w:eastAsiaTheme="minorEastAsia"/>
              <w:sz w:val="22"/>
              <w:szCs w:val="24"/>
              <w14:ligatures w14:val="standardContextual"/>
            </w:rPr>
          </w:pPr>
          <w:r>
            <w:fldChar w:fldCharType="begin"/>
          </w:r>
          <w:r>
            <w:instrText xml:space="preserve"> HYPERLINK \l "_Toc204873401" </w:instrText>
          </w:r>
          <w:r>
            <w:fldChar w:fldCharType="separate"/>
          </w:r>
          <w:r>
            <w:rPr>
              <w:rStyle w:val="39"/>
              <w:rFonts w:ascii="Times New Roman"/>
            </w:rPr>
            <w:t>1 范围</w:t>
          </w:r>
          <w:r>
            <w:rPr>
              <w:rFonts w:ascii="Times New Roman"/>
            </w:rPr>
            <w:tab/>
          </w:r>
          <w:r>
            <w:rPr>
              <w:rFonts w:ascii="Times New Roman"/>
            </w:rPr>
            <w:fldChar w:fldCharType="begin" w:fldLock="1"/>
          </w:r>
          <w:r>
            <w:rPr>
              <w:rFonts w:ascii="Times New Roman"/>
            </w:rPr>
            <w:instrText xml:space="preserve"> PAGEREF _Toc204873401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14:paraId="4E64BBF1">
          <w:pPr>
            <w:pStyle w:val="29"/>
            <w:rPr>
              <w:rFonts w:ascii="Times New Roman" w:eastAsiaTheme="minorEastAsia"/>
              <w:sz w:val="22"/>
              <w:szCs w:val="24"/>
              <w14:ligatures w14:val="standardContextual"/>
            </w:rPr>
          </w:pPr>
          <w:r>
            <w:fldChar w:fldCharType="begin"/>
          </w:r>
          <w:r>
            <w:instrText xml:space="preserve"> HYPERLINK \l "_Toc204873402" </w:instrText>
          </w:r>
          <w:r>
            <w:fldChar w:fldCharType="separate"/>
          </w:r>
          <w:r>
            <w:rPr>
              <w:rStyle w:val="39"/>
              <w:rFonts w:ascii="Times New Roman"/>
            </w:rPr>
            <w:t>2 规范性引用文件</w:t>
          </w:r>
          <w:r>
            <w:rPr>
              <w:rFonts w:ascii="Times New Roman"/>
            </w:rPr>
            <w:tab/>
          </w:r>
          <w:r>
            <w:rPr>
              <w:rFonts w:ascii="Times New Roman"/>
            </w:rPr>
            <w:fldChar w:fldCharType="begin" w:fldLock="1"/>
          </w:r>
          <w:r>
            <w:rPr>
              <w:rFonts w:ascii="Times New Roman"/>
            </w:rPr>
            <w:instrText xml:space="preserve"> PAGEREF _Toc204873402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14:paraId="098ADFA6">
          <w:pPr>
            <w:pStyle w:val="29"/>
            <w:rPr>
              <w:rFonts w:ascii="Times New Roman" w:eastAsiaTheme="minorEastAsia"/>
              <w:sz w:val="22"/>
              <w:szCs w:val="24"/>
              <w14:ligatures w14:val="standardContextual"/>
            </w:rPr>
          </w:pPr>
          <w:r>
            <w:fldChar w:fldCharType="begin"/>
          </w:r>
          <w:r>
            <w:instrText xml:space="preserve"> HYPERLINK \l "_Toc204873403" </w:instrText>
          </w:r>
          <w:r>
            <w:fldChar w:fldCharType="separate"/>
          </w:r>
          <w:r>
            <w:rPr>
              <w:rStyle w:val="39"/>
              <w:rFonts w:ascii="Times New Roman"/>
            </w:rPr>
            <w:t>3 术语和定义</w:t>
          </w:r>
          <w:r>
            <w:rPr>
              <w:rFonts w:ascii="Times New Roman"/>
            </w:rPr>
            <w:tab/>
          </w:r>
          <w:r>
            <w:rPr>
              <w:rFonts w:ascii="Times New Roman"/>
            </w:rPr>
            <w:fldChar w:fldCharType="begin" w:fldLock="1"/>
          </w:r>
          <w:r>
            <w:rPr>
              <w:rFonts w:ascii="Times New Roman"/>
            </w:rPr>
            <w:instrText xml:space="preserve"> PAGEREF _Toc204873403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14:paraId="2FB2A7A4">
          <w:pPr>
            <w:pStyle w:val="13"/>
            <w:ind w:firstLine="210"/>
            <w:rPr>
              <w:rFonts w:ascii="Times New Roman" w:eastAsiaTheme="minorEastAsia"/>
              <w:sz w:val="22"/>
              <w:szCs w:val="24"/>
              <w14:ligatures w14:val="standardContextual"/>
            </w:rPr>
          </w:pPr>
          <w:r>
            <w:fldChar w:fldCharType="begin"/>
          </w:r>
          <w:r>
            <w:instrText xml:space="preserve"> HYPERLINK \l "_Toc204873404" </w:instrText>
          </w:r>
          <w:r>
            <w:fldChar w:fldCharType="separate"/>
          </w:r>
          <w:r>
            <w:rPr>
              <w:rStyle w:val="39"/>
              <w:rFonts w:ascii="Times New Roman"/>
            </w:rPr>
            <w:t>3.1</w:t>
          </w:r>
          <w:r>
            <w:rPr>
              <w:rStyle w:val="39"/>
              <w:rFonts w:ascii="Times New Roman"/>
            </w:rPr>
            <w:fldChar w:fldCharType="end"/>
          </w:r>
          <w:r>
            <w:fldChar w:fldCharType="begin"/>
          </w:r>
          <w:r>
            <w:instrText xml:space="preserve"> HYPERLINK \l "_Toc204873405" </w:instrText>
          </w:r>
          <w:r>
            <w:fldChar w:fldCharType="separate"/>
          </w:r>
          <w:r>
            <w:rPr>
              <w:rStyle w:val="39"/>
              <w:rFonts w:ascii="Times New Roman"/>
            </w:rPr>
            <w:t>汽车多芯片组件</w:t>
          </w:r>
          <w:r>
            <w:rPr>
              <w:rFonts w:ascii="Times New Roman"/>
            </w:rPr>
            <w:tab/>
          </w:r>
          <w:r>
            <w:rPr>
              <w:rFonts w:ascii="Times New Roman"/>
            </w:rPr>
            <w:fldChar w:fldCharType="begin" w:fldLock="1"/>
          </w:r>
          <w:r>
            <w:rPr>
              <w:rFonts w:ascii="Times New Roman"/>
            </w:rPr>
            <w:instrText xml:space="preserve"> PAGEREF _Toc204873405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14:paraId="73D60B3A">
          <w:pPr>
            <w:pStyle w:val="13"/>
            <w:ind w:firstLine="210"/>
            <w:rPr>
              <w:rFonts w:ascii="Times New Roman" w:eastAsiaTheme="minorEastAsia"/>
              <w:sz w:val="22"/>
              <w:szCs w:val="24"/>
              <w14:ligatures w14:val="standardContextual"/>
            </w:rPr>
          </w:pPr>
          <w:r>
            <w:fldChar w:fldCharType="begin"/>
          </w:r>
          <w:r>
            <w:instrText xml:space="preserve"> HYPERLINK \l "_Toc204873406" </w:instrText>
          </w:r>
          <w:r>
            <w:fldChar w:fldCharType="separate"/>
          </w:r>
          <w:r>
            <w:rPr>
              <w:rStyle w:val="39"/>
              <w:rFonts w:ascii="Times New Roman"/>
            </w:rPr>
            <w:t>3.2</w:t>
          </w:r>
          <w:r>
            <w:rPr>
              <w:rStyle w:val="39"/>
              <w:rFonts w:ascii="Times New Roman"/>
            </w:rPr>
            <w:fldChar w:fldCharType="end"/>
          </w:r>
          <w:r>
            <w:fldChar w:fldCharType="begin"/>
          </w:r>
          <w:r>
            <w:instrText xml:space="preserve"> HYPERLINK \l "_Toc204873407" </w:instrText>
          </w:r>
          <w:r>
            <w:fldChar w:fldCharType="separate"/>
          </w:r>
          <w:r>
            <w:rPr>
              <w:rStyle w:val="39"/>
              <w:rFonts w:ascii="Times New Roman"/>
            </w:rPr>
            <w:t>三维堆叠</w:t>
          </w:r>
          <w:r>
            <w:rPr>
              <w:rFonts w:ascii="Times New Roman"/>
            </w:rPr>
            <w:tab/>
          </w:r>
          <w:r>
            <w:rPr>
              <w:rFonts w:ascii="Times New Roman"/>
            </w:rPr>
            <w:fldChar w:fldCharType="begin" w:fldLock="1"/>
          </w:r>
          <w:r>
            <w:rPr>
              <w:rFonts w:ascii="Times New Roman"/>
            </w:rPr>
            <w:instrText xml:space="preserve"> PAGEREF _Toc204873407 \h </w:instrText>
          </w:r>
          <w:r>
            <w:rPr>
              <w:rFonts w:ascii="Times New Roman"/>
            </w:rPr>
            <w:fldChar w:fldCharType="separate"/>
          </w:r>
          <w:r>
            <w:rPr>
              <w:rFonts w:ascii="Times New Roman"/>
            </w:rPr>
            <w:t>2</w:t>
          </w:r>
          <w:r>
            <w:rPr>
              <w:rFonts w:ascii="Times New Roman"/>
            </w:rPr>
            <w:fldChar w:fldCharType="end"/>
          </w:r>
          <w:r>
            <w:rPr>
              <w:rFonts w:ascii="Times New Roman"/>
            </w:rPr>
            <w:fldChar w:fldCharType="end"/>
          </w:r>
        </w:p>
        <w:p w14:paraId="7579A94D">
          <w:pPr>
            <w:pStyle w:val="13"/>
            <w:ind w:firstLine="210"/>
            <w:rPr>
              <w:rFonts w:ascii="Times New Roman" w:eastAsiaTheme="minorEastAsia"/>
              <w:sz w:val="22"/>
              <w:szCs w:val="24"/>
              <w14:ligatures w14:val="standardContextual"/>
            </w:rPr>
          </w:pPr>
          <w:r>
            <w:fldChar w:fldCharType="begin"/>
          </w:r>
          <w:r>
            <w:instrText xml:space="preserve"> HYPERLINK \l "_Toc204873408" </w:instrText>
          </w:r>
          <w:r>
            <w:fldChar w:fldCharType="separate"/>
          </w:r>
          <w:r>
            <w:rPr>
              <w:rStyle w:val="39"/>
              <w:rFonts w:ascii="Times New Roman"/>
            </w:rPr>
            <w:t>3.3</w:t>
          </w:r>
          <w:r>
            <w:rPr>
              <w:rStyle w:val="39"/>
              <w:rFonts w:ascii="Times New Roman"/>
            </w:rPr>
            <w:fldChar w:fldCharType="end"/>
          </w:r>
          <w:r>
            <w:fldChar w:fldCharType="begin"/>
          </w:r>
          <w:r>
            <w:instrText xml:space="preserve"> HYPERLINK \l "_Toc204873409" </w:instrText>
          </w:r>
          <w:r>
            <w:fldChar w:fldCharType="separate"/>
          </w:r>
          <w:r>
            <w:rPr>
              <w:rStyle w:val="39"/>
              <w:rFonts w:ascii="Times New Roman"/>
            </w:rPr>
            <w:t>功能安全要求</w:t>
          </w:r>
          <w:r>
            <w:rPr>
              <w:rFonts w:ascii="Times New Roman"/>
            </w:rPr>
            <w:tab/>
          </w:r>
          <w:r>
            <w:rPr>
              <w:rFonts w:ascii="Times New Roman"/>
            </w:rPr>
            <w:fldChar w:fldCharType="begin" w:fldLock="1"/>
          </w:r>
          <w:r>
            <w:rPr>
              <w:rFonts w:ascii="Times New Roman"/>
            </w:rPr>
            <w:instrText xml:space="preserve"> PAGEREF _Toc204873409 \h </w:instrText>
          </w:r>
          <w:r>
            <w:rPr>
              <w:rFonts w:ascii="Times New Roman"/>
            </w:rPr>
            <w:fldChar w:fldCharType="separate"/>
          </w:r>
          <w:r>
            <w:rPr>
              <w:rFonts w:ascii="Times New Roman"/>
            </w:rPr>
            <w:t>2</w:t>
          </w:r>
          <w:r>
            <w:rPr>
              <w:rFonts w:ascii="Times New Roman"/>
            </w:rPr>
            <w:fldChar w:fldCharType="end"/>
          </w:r>
          <w:r>
            <w:rPr>
              <w:rFonts w:ascii="Times New Roman"/>
            </w:rPr>
            <w:fldChar w:fldCharType="end"/>
          </w:r>
        </w:p>
        <w:p w14:paraId="5760EB47">
          <w:pPr>
            <w:pStyle w:val="13"/>
            <w:ind w:firstLine="210"/>
            <w:rPr>
              <w:rFonts w:ascii="Times New Roman" w:eastAsiaTheme="minorEastAsia"/>
              <w:sz w:val="22"/>
              <w:szCs w:val="24"/>
              <w14:ligatures w14:val="standardContextual"/>
            </w:rPr>
          </w:pPr>
          <w:r>
            <w:fldChar w:fldCharType="begin"/>
          </w:r>
          <w:r>
            <w:instrText xml:space="preserve"> HYPERLINK \l "_Toc204873410" </w:instrText>
          </w:r>
          <w:r>
            <w:fldChar w:fldCharType="separate"/>
          </w:r>
          <w:r>
            <w:rPr>
              <w:rStyle w:val="39"/>
              <w:rFonts w:ascii="Times New Roman"/>
            </w:rPr>
            <w:t>3.4</w:t>
          </w:r>
          <w:r>
            <w:rPr>
              <w:rStyle w:val="39"/>
              <w:rFonts w:ascii="Times New Roman"/>
            </w:rPr>
            <w:fldChar w:fldCharType="end"/>
          </w:r>
          <w:r>
            <w:fldChar w:fldCharType="begin"/>
          </w:r>
          <w:r>
            <w:instrText xml:space="preserve"> HYPERLINK \l "_Toc204873411" </w:instrText>
          </w:r>
          <w:r>
            <w:fldChar w:fldCharType="separate"/>
          </w:r>
          <w:r>
            <w:rPr>
              <w:rStyle w:val="39"/>
              <w:rFonts w:ascii="Times New Roman"/>
            </w:rPr>
            <w:t>可靠性</w:t>
          </w:r>
          <w:r>
            <w:rPr>
              <w:rFonts w:ascii="Times New Roman"/>
            </w:rPr>
            <w:tab/>
          </w:r>
          <w:r>
            <w:rPr>
              <w:rFonts w:ascii="Times New Roman"/>
            </w:rPr>
            <w:fldChar w:fldCharType="begin" w:fldLock="1"/>
          </w:r>
          <w:r>
            <w:rPr>
              <w:rFonts w:ascii="Times New Roman"/>
            </w:rPr>
            <w:instrText xml:space="preserve"> PAGEREF _Toc204873411 \h </w:instrText>
          </w:r>
          <w:r>
            <w:rPr>
              <w:rFonts w:ascii="Times New Roman"/>
            </w:rPr>
            <w:fldChar w:fldCharType="separate"/>
          </w:r>
          <w:r>
            <w:rPr>
              <w:rFonts w:ascii="Times New Roman"/>
            </w:rPr>
            <w:t>2</w:t>
          </w:r>
          <w:r>
            <w:rPr>
              <w:rFonts w:ascii="Times New Roman"/>
            </w:rPr>
            <w:fldChar w:fldCharType="end"/>
          </w:r>
          <w:r>
            <w:rPr>
              <w:rFonts w:ascii="Times New Roman"/>
            </w:rPr>
            <w:fldChar w:fldCharType="end"/>
          </w:r>
        </w:p>
        <w:p w14:paraId="3C2EE9D2">
          <w:pPr>
            <w:pStyle w:val="29"/>
            <w:rPr>
              <w:rFonts w:ascii="Times New Roman" w:eastAsiaTheme="minorEastAsia"/>
              <w:sz w:val="22"/>
              <w:szCs w:val="24"/>
              <w14:ligatures w14:val="standardContextual"/>
            </w:rPr>
          </w:pPr>
          <w:r>
            <w:fldChar w:fldCharType="begin"/>
          </w:r>
          <w:r>
            <w:instrText xml:space="preserve"> HYPERLINK \l "_Toc204873412" </w:instrText>
          </w:r>
          <w:r>
            <w:fldChar w:fldCharType="separate"/>
          </w:r>
          <w:r>
            <w:rPr>
              <w:rStyle w:val="39"/>
              <w:rFonts w:ascii="Times New Roman"/>
            </w:rPr>
            <w:t>4 可靠性分级要求</w:t>
          </w:r>
          <w:r>
            <w:rPr>
              <w:rFonts w:ascii="Times New Roman"/>
            </w:rPr>
            <w:tab/>
          </w:r>
          <w:r>
            <w:rPr>
              <w:rFonts w:ascii="Times New Roman"/>
            </w:rPr>
            <w:fldChar w:fldCharType="begin" w:fldLock="1"/>
          </w:r>
          <w:r>
            <w:rPr>
              <w:rFonts w:ascii="Times New Roman"/>
            </w:rPr>
            <w:instrText xml:space="preserve"> PAGEREF _Toc204873412 \h </w:instrText>
          </w:r>
          <w:r>
            <w:rPr>
              <w:rFonts w:ascii="Times New Roman"/>
            </w:rPr>
            <w:fldChar w:fldCharType="separate"/>
          </w:r>
          <w:r>
            <w:rPr>
              <w:rFonts w:ascii="Times New Roman"/>
            </w:rPr>
            <w:t>2</w:t>
          </w:r>
          <w:r>
            <w:rPr>
              <w:rFonts w:ascii="Times New Roman"/>
            </w:rPr>
            <w:fldChar w:fldCharType="end"/>
          </w:r>
          <w:r>
            <w:rPr>
              <w:rFonts w:ascii="Times New Roman"/>
            </w:rPr>
            <w:fldChar w:fldCharType="end"/>
          </w:r>
        </w:p>
        <w:p w14:paraId="6ECCEDC2">
          <w:pPr>
            <w:pStyle w:val="13"/>
            <w:ind w:firstLine="210"/>
            <w:rPr>
              <w:rFonts w:ascii="Times New Roman" w:eastAsiaTheme="minorEastAsia"/>
              <w:sz w:val="22"/>
              <w:szCs w:val="24"/>
              <w14:ligatures w14:val="standardContextual"/>
            </w:rPr>
          </w:pPr>
          <w:r>
            <w:fldChar w:fldCharType="begin"/>
          </w:r>
          <w:r>
            <w:instrText xml:space="preserve"> HYPERLINK \l "_Toc204873413" </w:instrText>
          </w:r>
          <w:r>
            <w:fldChar w:fldCharType="separate"/>
          </w:r>
          <w:r>
            <w:rPr>
              <w:rStyle w:val="39"/>
              <w:rFonts w:ascii="Times New Roman"/>
            </w:rPr>
            <w:t>4.1 概述</w:t>
          </w:r>
          <w:r>
            <w:rPr>
              <w:rFonts w:ascii="Times New Roman"/>
            </w:rPr>
            <w:tab/>
          </w:r>
          <w:r>
            <w:rPr>
              <w:rFonts w:ascii="Times New Roman"/>
            </w:rPr>
            <w:fldChar w:fldCharType="begin" w:fldLock="1"/>
          </w:r>
          <w:r>
            <w:rPr>
              <w:rFonts w:ascii="Times New Roman"/>
            </w:rPr>
            <w:instrText xml:space="preserve"> PAGEREF _Toc204873413 \h </w:instrText>
          </w:r>
          <w:r>
            <w:rPr>
              <w:rFonts w:ascii="Times New Roman"/>
            </w:rPr>
            <w:fldChar w:fldCharType="separate"/>
          </w:r>
          <w:r>
            <w:rPr>
              <w:rFonts w:ascii="Times New Roman"/>
            </w:rPr>
            <w:t>2</w:t>
          </w:r>
          <w:r>
            <w:rPr>
              <w:rFonts w:ascii="Times New Roman"/>
            </w:rPr>
            <w:fldChar w:fldCharType="end"/>
          </w:r>
          <w:r>
            <w:rPr>
              <w:rFonts w:ascii="Times New Roman"/>
            </w:rPr>
            <w:fldChar w:fldCharType="end"/>
          </w:r>
        </w:p>
        <w:p w14:paraId="46CA2ED3">
          <w:pPr>
            <w:pStyle w:val="13"/>
            <w:ind w:firstLine="210"/>
            <w:rPr>
              <w:rFonts w:ascii="Times New Roman" w:eastAsiaTheme="minorEastAsia"/>
              <w:sz w:val="22"/>
              <w:szCs w:val="24"/>
              <w14:ligatures w14:val="standardContextual"/>
            </w:rPr>
          </w:pPr>
          <w:r>
            <w:fldChar w:fldCharType="begin"/>
          </w:r>
          <w:r>
            <w:instrText xml:space="preserve"> HYPERLINK \l "_Toc204873414" </w:instrText>
          </w:r>
          <w:r>
            <w:fldChar w:fldCharType="separate"/>
          </w:r>
          <w:r>
            <w:rPr>
              <w:rStyle w:val="39"/>
              <w:rFonts w:ascii="Times New Roman"/>
            </w:rPr>
            <w:t>4.2 抽样原则</w:t>
          </w:r>
          <w:r>
            <w:rPr>
              <w:rFonts w:ascii="Times New Roman"/>
            </w:rPr>
            <w:tab/>
          </w:r>
          <w:r>
            <w:rPr>
              <w:rFonts w:ascii="Times New Roman"/>
            </w:rPr>
            <w:fldChar w:fldCharType="begin" w:fldLock="1"/>
          </w:r>
          <w:r>
            <w:rPr>
              <w:rFonts w:ascii="Times New Roman"/>
            </w:rPr>
            <w:instrText xml:space="preserve"> PAGEREF _Toc204873414 \h </w:instrText>
          </w:r>
          <w:r>
            <w:rPr>
              <w:rFonts w:ascii="Times New Roman"/>
            </w:rPr>
            <w:fldChar w:fldCharType="separate"/>
          </w:r>
          <w:r>
            <w:rPr>
              <w:rFonts w:ascii="Times New Roman"/>
            </w:rPr>
            <w:t>2</w:t>
          </w:r>
          <w:r>
            <w:rPr>
              <w:rFonts w:ascii="Times New Roman"/>
            </w:rPr>
            <w:fldChar w:fldCharType="end"/>
          </w:r>
          <w:r>
            <w:rPr>
              <w:rFonts w:ascii="Times New Roman"/>
            </w:rPr>
            <w:fldChar w:fldCharType="end"/>
          </w:r>
        </w:p>
        <w:p w14:paraId="55733E86">
          <w:pPr>
            <w:pStyle w:val="13"/>
            <w:ind w:firstLine="210"/>
            <w:rPr>
              <w:rFonts w:ascii="Times New Roman" w:eastAsiaTheme="minorEastAsia"/>
              <w:sz w:val="22"/>
              <w:szCs w:val="24"/>
              <w14:ligatures w14:val="standardContextual"/>
            </w:rPr>
          </w:pPr>
          <w:r>
            <w:fldChar w:fldCharType="begin"/>
          </w:r>
          <w:r>
            <w:instrText xml:space="preserve"> HYPERLINK \l "_Toc204873415" </w:instrText>
          </w:r>
          <w:r>
            <w:fldChar w:fldCharType="separate"/>
          </w:r>
          <w:r>
            <w:rPr>
              <w:rStyle w:val="39"/>
              <w:rFonts w:ascii="Times New Roman"/>
            </w:rPr>
            <w:t>4.3 温度范围分级要求</w:t>
          </w:r>
          <w:r>
            <w:rPr>
              <w:rFonts w:ascii="Times New Roman"/>
            </w:rPr>
            <w:tab/>
          </w:r>
          <w:r>
            <w:rPr>
              <w:rFonts w:ascii="Times New Roman"/>
            </w:rPr>
            <w:fldChar w:fldCharType="begin" w:fldLock="1"/>
          </w:r>
          <w:r>
            <w:rPr>
              <w:rFonts w:ascii="Times New Roman"/>
            </w:rPr>
            <w:instrText xml:space="preserve"> PAGEREF _Toc204873415 \h </w:instrText>
          </w:r>
          <w:r>
            <w:rPr>
              <w:rFonts w:ascii="Times New Roman"/>
            </w:rPr>
            <w:fldChar w:fldCharType="separate"/>
          </w:r>
          <w:r>
            <w:rPr>
              <w:rFonts w:ascii="Times New Roman"/>
            </w:rPr>
            <w:t>3</w:t>
          </w:r>
          <w:r>
            <w:rPr>
              <w:rFonts w:ascii="Times New Roman"/>
            </w:rPr>
            <w:fldChar w:fldCharType="end"/>
          </w:r>
          <w:r>
            <w:rPr>
              <w:rFonts w:ascii="Times New Roman"/>
            </w:rPr>
            <w:fldChar w:fldCharType="end"/>
          </w:r>
        </w:p>
        <w:p w14:paraId="41328DC5">
          <w:pPr>
            <w:pStyle w:val="13"/>
            <w:ind w:firstLine="210"/>
            <w:rPr>
              <w:rFonts w:ascii="Times New Roman" w:eastAsiaTheme="minorEastAsia"/>
              <w:sz w:val="22"/>
              <w:szCs w:val="24"/>
              <w14:ligatures w14:val="standardContextual"/>
            </w:rPr>
          </w:pPr>
          <w:r>
            <w:fldChar w:fldCharType="begin"/>
          </w:r>
          <w:r>
            <w:instrText xml:space="preserve"> HYPERLINK \l "_Toc204873416" </w:instrText>
          </w:r>
          <w:r>
            <w:fldChar w:fldCharType="separate"/>
          </w:r>
          <w:r>
            <w:rPr>
              <w:rStyle w:val="39"/>
              <w:rFonts w:ascii="Times New Roman"/>
            </w:rPr>
            <w:t>4.4 振动量级分级要求</w:t>
          </w:r>
          <w:r>
            <w:rPr>
              <w:rFonts w:ascii="Times New Roman"/>
            </w:rPr>
            <w:tab/>
          </w:r>
          <w:r>
            <w:rPr>
              <w:rFonts w:ascii="Times New Roman"/>
            </w:rPr>
            <w:fldChar w:fldCharType="begin" w:fldLock="1"/>
          </w:r>
          <w:r>
            <w:rPr>
              <w:rFonts w:ascii="Times New Roman"/>
            </w:rPr>
            <w:instrText xml:space="preserve"> PAGEREF _Toc204873416 \h </w:instrText>
          </w:r>
          <w:r>
            <w:rPr>
              <w:rFonts w:ascii="Times New Roman"/>
            </w:rPr>
            <w:fldChar w:fldCharType="separate"/>
          </w:r>
          <w:r>
            <w:rPr>
              <w:rFonts w:ascii="Times New Roman"/>
            </w:rPr>
            <w:t>3</w:t>
          </w:r>
          <w:r>
            <w:rPr>
              <w:rFonts w:ascii="Times New Roman"/>
            </w:rPr>
            <w:fldChar w:fldCharType="end"/>
          </w:r>
          <w:r>
            <w:rPr>
              <w:rFonts w:ascii="Times New Roman"/>
            </w:rPr>
            <w:fldChar w:fldCharType="end"/>
          </w:r>
        </w:p>
        <w:p w14:paraId="4B759868">
          <w:pPr>
            <w:pStyle w:val="13"/>
            <w:ind w:firstLine="210"/>
            <w:rPr>
              <w:rFonts w:ascii="Times New Roman" w:eastAsiaTheme="minorEastAsia"/>
              <w:sz w:val="22"/>
              <w:szCs w:val="24"/>
              <w14:ligatures w14:val="standardContextual"/>
            </w:rPr>
          </w:pPr>
          <w:r>
            <w:fldChar w:fldCharType="begin"/>
          </w:r>
          <w:r>
            <w:instrText xml:space="preserve"> HYPERLINK \l "_Toc204873417" </w:instrText>
          </w:r>
          <w:r>
            <w:fldChar w:fldCharType="separate"/>
          </w:r>
          <w:r>
            <w:rPr>
              <w:rStyle w:val="39"/>
              <w:rFonts w:ascii="Times New Roman"/>
            </w:rPr>
            <w:t>4.5 静电放电分级要求</w:t>
          </w:r>
          <w:r>
            <w:rPr>
              <w:rFonts w:ascii="Times New Roman"/>
            </w:rPr>
            <w:tab/>
          </w:r>
          <w:r>
            <w:rPr>
              <w:rFonts w:ascii="Times New Roman"/>
            </w:rPr>
            <w:fldChar w:fldCharType="begin" w:fldLock="1"/>
          </w:r>
          <w:r>
            <w:rPr>
              <w:rFonts w:ascii="Times New Roman"/>
            </w:rPr>
            <w:instrText xml:space="preserve"> PAGEREF _Toc204873417 \h </w:instrText>
          </w:r>
          <w:r>
            <w:rPr>
              <w:rFonts w:ascii="Times New Roman"/>
            </w:rPr>
            <w:fldChar w:fldCharType="separate"/>
          </w:r>
          <w:r>
            <w:rPr>
              <w:rFonts w:ascii="Times New Roman"/>
            </w:rPr>
            <w:t>3</w:t>
          </w:r>
          <w:r>
            <w:rPr>
              <w:rFonts w:ascii="Times New Roman"/>
            </w:rPr>
            <w:fldChar w:fldCharType="end"/>
          </w:r>
          <w:r>
            <w:rPr>
              <w:rFonts w:ascii="Times New Roman"/>
            </w:rPr>
            <w:fldChar w:fldCharType="end"/>
          </w:r>
        </w:p>
        <w:p w14:paraId="79649F73">
          <w:pPr>
            <w:pStyle w:val="13"/>
            <w:ind w:firstLine="210"/>
            <w:rPr>
              <w:rFonts w:ascii="Times New Roman" w:eastAsiaTheme="minorEastAsia"/>
              <w:sz w:val="22"/>
              <w:szCs w:val="24"/>
              <w14:ligatures w14:val="standardContextual"/>
            </w:rPr>
          </w:pPr>
          <w:r>
            <w:fldChar w:fldCharType="begin"/>
          </w:r>
          <w:r>
            <w:instrText xml:space="preserve"> HYPERLINK \l "_Toc204873418" </w:instrText>
          </w:r>
          <w:r>
            <w:fldChar w:fldCharType="separate"/>
          </w:r>
          <w:r>
            <w:rPr>
              <w:rStyle w:val="39"/>
              <w:rFonts w:ascii="Times New Roman"/>
            </w:rPr>
            <w:t>4.6 可靠性分级检测要求</w:t>
          </w:r>
          <w:r>
            <w:rPr>
              <w:rFonts w:ascii="Times New Roman"/>
            </w:rPr>
            <w:tab/>
          </w:r>
          <w:r>
            <w:rPr>
              <w:rFonts w:ascii="Times New Roman"/>
            </w:rPr>
            <w:fldChar w:fldCharType="begin" w:fldLock="1"/>
          </w:r>
          <w:r>
            <w:rPr>
              <w:rFonts w:ascii="Times New Roman"/>
            </w:rPr>
            <w:instrText xml:space="preserve"> PAGEREF _Toc204873418 \h </w:instrText>
          </w:r>
          <w:r>
            <w:rPr>
              <w:rFonts w:ascii="Times New Roman"/>
            </w:rPr>
            <w:fldChar w:fldCharType="separate"/>
          </w:r>
          <w:r>
            <w:rPr>
              <w:rFonts w:ascii="Times New Roman"/>
            </w:rPr>
            <w:t>4</w:t>
          </w:r>
          <w:r>
            <w:rPr>
              <w:rFonts w:ascii="Times New Roman"/>
            </w:rPr>
            <w:fldChar w:fldCharType="end"/>
          </w:r>
          <w:r>
            <w:rPr>
              <w:rFonts w:ascii="Times New Roman"/>
            </w:rPr>
            <w:fldChar w:fldCharType="end"/>
          </w:r>
        </w:p>
        <w:p w14:paraId="2445FE88">
          <w:pPr>
            <w:pStyle w:val="29"/>
            <w:rPr>
              <w:rFonts w:ascii="Times New Roman" w:eastAsiaTheme="minorEastAsia"/>
              <w:sz w:val="22"/>
              <w:szCs w:val="24"/>
              <w14:ligatures w14:val="standardContextual"/>
            </w:rPr>
          </w:pPr>
          <w:r>
            <w:fldChar w:fldCharType="begin"/>
          </w:r>
          <w:r>
            <w:instrText xml:space="preserve"> HYPERLINK \l "_Toc204873419" </w:instrText>
          </w:r>
          <w:r>
            <w:fldChar w:fldCharType="separate"/>
          </w:r>
          <w:r>
            <w:rPr>
              <w:rStyle w:val="39"/>
              <w:rFonts w:ascii="Times New Roman"/>
            </w:rPr>
            <w:t>5 功能安全分级要求</w:t>
          </w:r>
          <w:r>
            <w:rPr>
              <w:rFonts w:ascii="Times New Roman"/>
            </w:rPr>
            <w:tab/>
          </w:r>
          <w:r>
            <w:rPr>
              <w:rFonts w:ascii="Times New Roman"/>
            </w:rPr>
            <w:fldChar w:fldCharType="begin" w:fldLock="1"/>
          </w:r>
          <w:r>
            <w:rPr>
              <w:rFonts w:ascii="Times New Roman"/>
            </w:rPr>
            <w:instrText xml:space="preserve"> PAGEREF _Toc204873419 \h </w:instrText>
          </w:r>
          <w:r>
            <w:rPr>
              <w:rFonts w:ascii="Times New Roman"/>
            </w:rPr>
            <w:fldChar w:fldCharType="separate"/>
          </w:r>
          <w:r>
            <w:rPr>
              <w:rFonts w:ascii="Times New Roman"/>
            </w:rPr>
            <w:t>10</w:t>
          </w:r>
          <w:r>
            <w:rPr>
              <w:rFonts w:ascii="Times New Roman"/>
            </w:rPr>
            <w:fldChar w:fldCharType="end"/>
          </w:r>
          <w:r>
            <w:rPr>
              <w:rFonts w:ascii="Times New Roman"/>
            </w:rPr>
            <w:fldChar w:fldCharType="end"/>
          </w:r>
        </w:p>
        <w:p w14:paraId="2C4275B5">
          <w:pPr>
            <w:pStyle w:val="29"/>
            <w:rPr>
              <w:rFonts w:ascii="Times New Roman" w:eastAsiaTheme="minorEastAsia"/>
              <w:sz w:val="22"/>
              <w:szCs w:val="24"/>
              <w14:ligatures w14:val="standardContextual"/>
            </w:rPr>
          </w:pPr>
          <w:r>
            <w:fldChar w:fldCharType="begin"/>
          </w:r>
          <w:r>
            <w:instrText xml:space="preserve"> HYPERLINK \l "_Toc204873420" </w:instrText>
          </w:r>
          <w:r>
            <w:fldChar w:fldCharType="separate"/>
          </w:r>
          <w:r>
            <w:rPr>
              <w:rStyle w:val="39"/>
              <w:rFonts w:ascii="Times New Roman"/>
            </w:rPr>
            <w:t>6 电磁兼容分级要求</w:t>
          </w:r>
          <w:r>
            <w:rPr>
              <w:rFonts w:ascii="Times New Roman"/>
            </w:rPr>
            <w:tab/>
          </w:r>
          <w:r>
            <w:rPr>
              <w:rFonts w:ascii="Times New Roman"/>
            </w:rPr>
            <w:fldChar w:fldCharType="begin" w:fldLock="1"/>
          </w:r>
          <w:r>
            <w:rPr>
              <w:rFonts w:ascii="Times New Roman"/>
            </w:rPr>
            <w:instrText xml:space="preserve"> PAGEREF _Toc204873420 \h </w:instrText>
          </w:r>
          <w:r>
            <w:rPr>
              <w:rFonts w:ascii="Times New Roman"/>
            </w:rPr>
            <w:fldChar w:fldCharType="separate"/>
          </w:r>
          <w:r>
            <w:rPr>
              <w:rFonts w:ascii="Times New Roman"/>
            </w:rPr>
            <w:t>10</w:t>
          </w:r>
          <w:r>
            <w:rPr>
              <w:rFonts w:ascii="Times New Roman"/>
            </w:rPr>
            <w:fldChar w:fldCharType="end"/>
          </w:r>
          <w:r>
            <w:rPr>
              <w:rFonts w:ascii="Times New Roman"/>
            </w:rPr>
            <w:fldChar w:fldCharType="end"/>
          </w:r>
        </w:p>
        <w:p w14:paraId="0CAA737A">
          <w:pPr>
            <w:pStyle w:val="29"/>
            <w:rPr>
              <w:rFonts w:ascii="Times New Roman" w:eastAsiaTheme="minorEastAsia"/>
              <w:sz w:val="22"/>
              <w:szCs w:val="24"/>
              <w14:ligatures w14:val="standardContextual"/>
            </w:rPr>
          </w:pPr>
          <w:r>
            <w:fldChar w:fldCharType="begin"/>
          </w:r>
          <w:r>
            <w:instrText xml:space="preserve"> HYPERLINK \l "_Toc204873421" </w:instrText>
          </w:r>
          <w:r>
            <w:fldChar w:fldCharType="separate"/>
          </w:r>
          <w:r>
            <w:rPr>
              <w:rStyle w:val="39"/>
              <w:rFonts w:ascii="Times New Roman"/>
            </w:rPr>
            <w:t>7 可靠性及功能安全分级检测要求</w:t>
          </w:r>
          <w:r>
            <w:rPr>
              <w:rFonts w:ascii="Times New Roman"/>
            </w:rPr>
            <w:tab/>
          </w:r>
          <w:r>
            <w:rPr>
              <w:rFonts w:ascii="Times New Roman"/>
            </w:rPr>
            <w:fldChar w:fldCharType="begin" w:fldLock="1"/>
          </w:r>
          <w:r>
            <w:rPr>
              <w:rFonts w:ascii="Times New Roman"/>
            </w:rPr>
            <w:instrText xml:space="preserve"> PAGEREF _Toc204873421 \h </w:instrText>
          </w:r>
          <w:r>
            <w:rPr>
              <w:rFonts w:ascii="Times New Roman"/>
            </w:rPr>
            <w:fldChar w:fldCharType="separate"/>
          </w:r>
          <w:r>
            <w:rPr>
              <w:rFonts w:ascii="Times New Roman"/>
            </w:rPr>
            <w:t>10</w:t>
          </w:r>
          <w:r>
            <w:rPr>
              <w:rFonts w:ascii="Times New Roman"/>
            </w:rPr>
            <w:fldChar w:fldCharType="end"/>
          </w:r>
          <w:r>
            <w:rPr>
              <w:rFonts w:ascii="Times New Roman"/>
            </w:rPr>
            <w:fldChar w:fldCharType="end"/>
          </w:r>
        </w:p>
        <w:p w14:paraId="021CD72E">
          <w:pPr>
            <w:pStyle w:val="29"/>
            <w:rPr>
              <w:rFonts w:ascii="Times New Roman" w:eastAsiaTheme="minorEastAsia"/>
              <w:sz w:val="22"/>
              <w:szCs w:val="24"/>
              <w14:ligatures w14:val="standardContextual"/>
            </w:rPr>
          </w:pPr>
          <w:r>
            <w:fldChar w:fldCharType="begin"/>
          </w:r>
          <w:r>
            <w:instrText xml:space="preserve"> HYPERLINK \l "_Toc204873422" </w:instrText>
          </w:r>
          <w:r>
            <w:fldChar w:fldCharType="separate"/>
          </w:r>
          <w:r>
            <w:rPr>
              <w:rStyle w:val="39"/>
              <w:rFonts w:ascii="Times New Roman"/>
            </w:rPr>
            <w:t>附录A</w:t>
          </w:r>
          <w:r>
            <w:rPr>
              <w:rFonts w:ascii="Times New Roman"/>
            </w:rPr>
            <w:tab/>
          </w:r>
          <w:r>
            <w:rPr>
              <w:rFonts w:ascii="Times New Roman"/>
            </w:rPr>
            <w:fldChar w:fldCharType="begin" w:fldLock="1"/>
          </w:r>
          <w:r>
            <w:rPr>
              <w:rFonts w:ascii="Times New Roman"/>
            </w:rPr>
            <w:instrText xml:space="preserve"> PAGEREF _Toc204873422 \h </w:instrText>
          </w:r>
          <w:r>
            <w:rPr>
              <w:rFonts w:ascii="Times New Roman"/>
            </w:rPr>
            <w:fldChar w:fldCharType="separate"/>
          </w:r>
          <w:r>
            <w:rPr>
              <w:rFonts w:ascii="Times New Roman"/>
            </w:rPr>
            <w:t>13</w:t>
          </w:r>
          <w:r>
            <w:rPr>
              <w:rFonts w:ascii="Times New Roman"/>
            </w:rPr>
            <w:fldChar w:fldCharType="end"/>
          </w:r>
          <w:r>
            <w:rPr>
              <w:rFonts w:ascii="Times New Roman"/>
            </w:rPr>
            <w:fldChar w:fldCharType="end"/>
          </w:r>
        </w:p>
        <w:p w14:paraId="2777BA9B">
          <w:pPr>
            <w:pStyle w:val="29"/>
            <w:rPr>
              <w:rFonts w:ascii="Times New Roman" w:eastAsiaTheme="minorEastAsia"/>
              <w:sz w:val="22"/>
              <w:szCs w:val="24"/>
              <w14:ligatures w14:val="standardContextual"/>
            </w:rPr>
          </w:pPr>
          <w:r>
            <w:fldChar w:fldCharType="begin"/>
          </w:r>
          <w:r>
            <w:instrText xml:space="preserve"> HYPERLINK \l "_Toc204873423" </w:instrText>
          </w:r>
          <w:r>
            <w:fldChar w:fldCharType="separate"/>
          </w:r>
          <w:r>
            <w:rPr>
              <w:rStyle w:val="39"/>
              <w:rFonts w:ascii="Times New Roman"/>
            </w:rPr>
            <w:t>参考文献</w:t>
          </w:r>
          <w:r>
            <w:rPr>
              <w:rFonts w:ascii="Times New Roman"/>
            </w:rPr>
            <w:tab/>
          </w:r>
          <w:r>
            <w:rPr>
              <w:rFonts w:ascii="Times New Roman"/>
            </w:rPr>
            <w:fldChar w:fldCharType="begin" w:fldLock="1"/>
          </w:r>
          <w:r>
            <w:rPr>
              <w:rFonts w:ascii="Times New Roman"/>
            </w:rPr>
            <w:instrText xml:space="preserve"> PAGEREF _Toc204873423 \h </w:instrText>
          </w:r>
          <w:r>
            <w:rPr>
              <w:rFonts w:ascii="Times New Roman"/>
            </w:rPr>
            <w:fldChar w:fldCharType="separate"/>
          </w:r>
          <w:r>
            <w:rPr>
              <w:rFonts w:ascii="Times New Roman"/>
            </w:rPr>
            <w:t>14</w:t>
          </w:r>
          <w:r>
            <w:rPr>
              <w:rFonts w:ascii="Times New Roman"/>
            </w:rPr>
            <w:fldChar w:fldCharType="end"/>
          </w:r>
          <w:r>
            <w:rPr>
              <w:rFonts w:ascii="Times New Roman"/>
            </w:rPr>
            <w:fldChar w:fldCharType="end"/>
          </w:r>
        </w:p>
        <w:p w14:paraId="373E9D4F">
          <w:r>
            <w:rPr>
              <w:b/>
              <w:bCs/>
              <w:lang w:val="zh-CN"/>
            </w:rPr>
            <w:fldChar w:fldCharType="end"/>
          </w:r>
        </w:p>
      </w:sdtContent>
    </w:sdt>
    <w:p w14:paraId="7825B7BD">
      <w:pPr>
        <w:pStyle w:val="20"/>
        <w:spacing w:before="78" w:after="78"/>
        <w:rPr>
          <w:rFonts w:ascii="Times New Roman" w:eastAsiaTheme="minorEastAsia"/>
          <w:szCs w:val="22"/>
        </w:rPr>
      </w:pPr>
    </w:p>
    <w:p w14:paraId="5A06B7E8">
      <w:pPr>
        <w:pStyle w:val="24"/>
        <w:rPr>
          <w:rFonts w:ascii="Times New Roman"/>
        </w:rPr>
      </w:pPr>
      <w:r>
        <w:rPr>
          <w:rFonts w:ascii="Times New Roman"/>
        </w:rPr>
        <w:fldChar w:fldCharType="end"/>
      </w:r>
      <w:r>
        <w:rPr>
          <w:rFonts w:ascii="Times New Roman"/>
        </w:rPr>
        <w:t xml:space="preserve"> </w:t>
      </w:r>
    </w:p>
    <w:p w14:paraId="4ECA2F00">
      <w:pPr>
        <w:pStyle w:val="98"/>
        <w:rPr>
          <w:rFonts w:ascii="Times New Roman"/>
        </w:rPr>
      </w:pPr>
      <w:bookmarkStart w:id="3" w:name="_Toc201506401"/>
      <w:bookmarkStart w:id="4" w:name="_Toc193656626"/>
      <w:bookmarkStart w:id="5" w:name="_Toc199203860"/>
      <w:bookmarkStart w:id="6" w:name="_Toc204873398"/>
      <w:r>
        <w:rPr>
          <w:rFonts w:ascii="Times New Roman"/>
        </w:rPr>
        <w:t>前</w:t>
      </w:r>
      <w:bookmarkStart w:id="7" w:name="BKQY"/>
      <w:r>
        <w:rPr>
          <w:rFonts w:ascii="Times New Roman"/>
        </w:rPr>
        <w:t>言</w:t>
      </w:r>
      <w:bookmarkEnd w:id="3"/>
      <w:bookmarkEnd w:id="4"/>
      <w:bookmarkEnd w:id="5"/>
      <w:bookmarkEnd w:id="6"/>
      <w:bookmarkEnd w:id="7"/>
    </w:p>
    <w:p w14:paraId="3D79E62C">
      <w:pPr>
        <w:pStyle w:val="24"/>
        <w:rPr>
          <w:rFonts w:ascii="Times New Roman"/>
        </w:rPr>
      </w:pPr>
      <w:r>
        <w:rPr>
          <w:rFonts w:ascii="Times New Roman"/>
        </w:rPr>
        <w:t>本文件按照GB/T 1.1—2020《标准化工作导则  第1部分：标准化文件的结构和起草规则》的规定起草。</w:t>
      </w:r>
    </w:p>
    <w:p w14:paraId="087FF14B">
      <w:pPr>
        <w:pStyle w:val="44"/>
        <w:ind w:firstLine="420"/>
        <w:rPr>
          <w:rFonts w:ascii="Times New Roman"/>
        </w:rPr>
      </w:pPr>
      <w:r>
        <w:rPr>
          <w:rFonts w:ascii="Times New Roman"/>
        </w:rPr>
        <w:t>请注意本文件的某些内容可能涉及专利，本文件的发布机构不承担识别这些专利的责任。</w:t>
      </w:r>
    </w:p>
    <w:p w14:paraId="2F586C6A">
      <w:pPr>
        <w:pStyle w:val="24"/>
        <w:rPr>
          <w:rFonts w:ascii="Times New Roman"/>
        </w:rPr>
      </w:pPr>
      <w:r>
        <w:rPr>
          <w:rFonts w:ascii="Times New Roman"/>
        </w:rPr>
        <w:t>本文件由</w:t>
      </w:r>
      <w:r>
        <w:rPr>
          <w:rFonts w:hint="eastAsia" w:ascii="Times New Roman"/>
        </w:rPr>
        <w:t>中国汽车工业协会汽车芯片标准专委会</w:t>
      </w:r>
      <w:r>
        <w:rPr>
          <w:rFonts w:ascii="Times New Roman"/>
        </w:rPr>
        <w:t>提出</w:t>
      </w:r>
      <w:r>
        <w:rPr>
          <w:rFonts w:hint="eastAsia" w:ascii="Times New Roman"/>
        </w:rPr>
        <w:t>并归口</w:t>
      </w:r>
      <w:r>
        <w:rPr>
          <w:rFonts w:ascii="Times New Roman"/>
        </w:rPr>
        <w:t>。</w:t>
      </w:r>
    </w:p>
    <w:p w14:paraId="6E43F1C0">
      <w:pPr>
        <w:pStyle w:val="24"/>
        <w:rPr>
          <w:rFonts w:ascii="Times New Roman"/>
        </w:rPr>
      </w:pPr>
      <w:r>
        <w:rPr>
          <w:rFonts w:ascii="Times New Roman"/>
        </w:rPr>
        <w:t xml:space="preserve">本文件起草单位： </w:t>
      </w:r>
    </w:p>
    <w:p w14:paraId="3F9E4B63">
      <w:pPr>
        <w:pStyle w:val="24"/>
        <w:rPr>
          <w:rFonts w:ascii="Times New Roman"/>
        </w:rPr>
      </w:pPr>
      <w:r>
        <w:rPr>
          <w:rFonts w:ascii="Times New Roman"/>
        </w:rPr>
        <w:t>本文件主要起草人：</w:t>
      </w:r>
    </w:p>
    <w:p w14:paraId="36BED986">
      <w:pPr>
        <w:pStyle w:val="98"/>
        <w:rPr>
          <w:rFonts w:ascii="Times New Roman"/>
        </w:rPr>
      </w:pPr>
      <w:bookmarkStart w:id="8" w:name="_Toc204873399"/>
      <w:bookmarkStart w:id="9" w:name="_Toc201506402"/>
      <w:bookmarkStart w:id="10" w:name="_Toc201497863"/>
      <w:r>
        <w:rPr>
          <w:rFonts w:hint="eastAsia" w:ascii="Times New Roman"/>
        </w:rPr>
        <w:t>引</w:t>
      </w:r>
      <w:r>
        <w:rPr>
          <w:rFonts w:ascii="Times New Roman"/>
        </w:rPr>
        <w:t>言</w:t>
      </w:r>
      <w:bookmarkEnd w:id="8"/>
      <w:bookmarkEnd w:id="9"/>
      <w:bookmarkEnd w:id="10"/>
    </w:p>
    <w:p w14:paraId="52ABCB3C">
      <w:pPr>
        <w:pStyle w:val="24"/>
        <w:rPr>
          <w:rFonts w:ascii="Times New Roman"/>
        </w:rPr>
      </w:pPr>
      <w:r>
        <w:rPr>
          <w:rFonts w:hint="eastAsia" w:ascii="Times New Roman"/>
        </w:rPr>
        <w:t>现有汽车多芯片组件检测标准主要面向传统燃油车任务剖面，已构建了基于温度应力的汽车多芯片组件质量等级，电动化智能化汽车技术的发展使现有汽车多芯片组件检测认证体系面临电磁兼容等复杂环境以及高安全性适应性不足、检测效率低、成本高等问题。通过提出基于多应力组合分级的汽车多芯片组件安全可靠分级检测认证技术，面向动力域、底盘域、自动驾驶域、车身域和座舱域等不同应用场景，分析汽车多芯片组件对温度范围、振动量级、电磁兼容、静电放电、单点故障及潜在故障的要求，制定汽车多芯片组件可靠性与功能安全性分级检测要求，可作为半导体企业、零部件企业以及主机厂在汽车芯片检测认证时的参考依据，有效填补我国汽车多芯片组件分级检测认证领域的空白，实现对汽车多芯片组件检测认证的降本增效。</w:t>
      </w:r>
    </w:p>
    <w:p w14:paraId="23A0A9AB">
      <w:pPr>
        <w:pStyle w:val="24"/>
        <w:rPr>
          <w:rFonts w:ascii="Times New Roman"/>
        </w:rPr>
      </w:pPr>
    </w:p>
    <w:p w14:paraId="6599DC09">
      <w:pPr>
        <w:pStyle w:val="24"/>
        <w:rPr>
          <w:rFonts w:ascii="Times New Roman"/>
        </w:rPr>
      </w:pPr>
      <w:r>
        <w:rPr>
          <w:rFonts w:ascii="Times New Roman"/>
        </w:rPr>
        <w:t xml:space="preserve"> </w:t>
      </w:r>
    </w:p>
    <w:p w14:paraId="5A9B3A15">
      <w:pPr>
        <w:pStyle w:val="24"/>
        <w:rPr>
          <w:rFonts w:ascii="Times New Roman"/>
        </w:rPr>
      </w:pPr>
    </w:p>
    <w:p w14:paraId="33E173BD">
      <w:pPr>
        <w:pStyle w:val="24"/>
        <w:rPr>
          <w:rFonts w:ascii="Times New Roman"/>
        </w:rPr>
        <w:sectPr>
          <w:headerReference r:id="rId5" w:type="default"/>
          <w:footerReference r:id="rId6" w:type="default"/>
          <w:pgSz w:w="11906" w:h="16838"/>
          <w:pgMar w:top="567" w:right="1134" w:bottom="1134" w:left="1417" w:header="1418" w:footer="1134" w:gutter="0"/>
          <w:pgNumType w:fmt="upperRoman" w:start="1"/>
          <w:cols w:space="720" w:num="1"/>
          <w:formProt w:val="0"/>
          <w:docGrid w:type="lines" w:linePitch="312" w:charSpace="0"/>
        </w:sectPr>
      </w:pPr>
    </w:p>
    <w:p w14:paraId="54808E7F">
      <w:pPr>
        <w:pStyle w:val="52"/>
        <w:rPr>
          <w:rFonts w:ascii="Times New Roman"/>
        </w:rPr>
      </w:pPr>
      <w:bookmarkStart w:id="11" w:name="_Toc199203861"/>
      <w:bookmarkStart w:id="12" w:name="_Toc204873400"/>
      <w:r>
        <w:rPr>
          <w:rFonts w:ascii="Times New Roman"/>
        </w:rPr>
        <w:t>汽车多芯片组件可靠性及功能安全分级检测要求</w:t>
      </w:r>
      <w:bookmarkEnd w:id="11"/>
      <w:bookmarkEnd w:id="12"/>
    </w:p>
    <w:p w14:paraId="62E78024">
      <w:pPr>
        <w:pStyle w:val="73"/>
        <w:ind w:left="0"/>
        <w:rPr>
          <w:rFonts w:ascii="Times New Roman"/>
        </w:rPr>
      </w:pPr>
      <w:bookmarkStart w:id="13" w:name="_Toc193656627"/>
      <w:bookmarkStart w:id="14" w:name="_Toc199203862"/>
      <w:bookmarkStart w:id="15" w:name="_Toc201506403"/>
      <w:bookmarkStart w:id="16" w:name="_Toc204873401"/>
      <w:r>
        <w:rPr>
          <w:rFonts w:ascii="Times New Roman"/>
        </w:rPr>
        <w:t>范围</w:t>
      </w:r>
      <w:bookmarkEnd w:id="13"/>
      <w:bookmarkEnd w:id="14"/>
      <w:bookmarkEnd w:id="15"/>
      <w:bookmarkEnd w:id="16"/>
    </w:p>
    <w:p w14:paraId="662BD565">
      <w:pPr>
        <w:pStyle w:val="24"/>
        <w:rPr>
          <w:rFonts w:ascii="Times New Roman"/>
        </w:rPr>
      </w:pPr>
      <w:r>
        <w:rPr>
          <w:rFonts w:hint="eastAsia" w:ascii="Times New Roman"/>
        </w:rPr>
        <w:t>本文件规定了</w:t>
      </w:r>
      <w:r>
        <w:rPr>
          <w:rFonts w:ascii="Times New Roman"/>
        </w:rPr>
        <w:t>汽车多芯片组件</w:t>
      </w:r>
      <w:r>
        <w:rPr>
          <w:rFonts w:hint="eastAsia" w:ascii="Times New Roman"/>
        </w:rPr>
        <w:t>不同可靠性及功能安全等级应满足的可靠性、功能安全、电磁兼容检测要求以及推荐应用领域。</w:t>
      </w:r>
    </w:p>
    <w:p w14:paraId="3AA6683F">
      <w:pPr>
        <w:pStyle w:val="24"/>
        <w:rPr>
          <w:rFonts w:ascii="Times New Roman"/>
          <w:highlight w:val="red"/>
        </w:rPr>
      </w:pPr>
      <w:r>
        <w:rPr>
          <w:rFonts w:hint="eastAsia" w:ascii="Times New Roman"/>
        </w:rPr>
        <w:t>本文件适用于汽车多芯片组件产品的选型评价或适用时的认证评价，同时为汽车多芯片组件企业产品研发、整车及零部件企业汽车多芯片组件选型与采购提供参考。</w:t>
      </w:r>
    </w:p>
    <w:p w14:paraId="1CFA0996">
      <w:pPr>
        <w:pStyle w:val="73"/>
        <w:ind w:left="0"/>
        <w:rPr>
          <w:rFonts w:ascii="Times New Roman"/>
        </w:rPr>
      </w:pPr>
      <w:bookmarkStart w:id="17" w:name="_Toc201506404"/>
      <w:bookmarkStart w:id="18" w:name="_Toc193656628"/>
      <w:bookmarkStart w:id="19" w:name="_Toc199203863"/>
      <w:bookmarkStart w:id="20" w:name="_Toc204873402"/>
      <w:r>
        <w:rPr>
          <w:rFonts w:ascii="Times New Roman"/>
        </w:rPr>
        <w:t>规范性引用文件</w:t>
      </w:r>
      <w:bookmarkEnd w:id="17"/>
      <w:bookmarkEnd w:id="18"/>
      <w:bookmarkEnd w:id="19"/>
      <w:bookmarkEnd w:id="20"/>
    </w:p>
    <w:p w14:paraId="3F4E8B05">
      <w:pPr>
        <w:pStyle w:val="24"/>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3381C41">
      <w:pPr>
        <w:pStyle w:val="24"/>
        <w:rPr>
          <w:rFonts w:ascii="Times New Roman"/>
        </w:rPr>
      </w:pPr>
      <w:r>
        <w:rPr>
          <w:rFonts w:ascii="Times New Roman"/>
        </w:rPr>
        <w:t>GB/T 3730.1-2001  汽车和挂车类型的术语和定义</w:t>
      </w:r>
    </w:p>
    <w:p w14:paraId="5AA0B07F">
      <w:pPr>
        <w:pStyle w:val="24"/>
        <w:rPr>
          <w:rFonts w:ascii="Times New Roman"/>
        </w:rPr>
      </w:pPr>
      <w:r>
        <w:rPr>
          <w:rFonts w:hint="eastAsia" w:ascii="Times New Roman"/>
        </w:rPr>
        <w:t>GB/T 16465-1996  膜集成电路和混合膜集成电路分规范</w:t>
      </w:r>
    </w:p>
    <w:p w14:paraId="619FCB88">
      <w:pPr>
        <w:pStyle w:val="24"/>
        <w:rPr>
          <w:rFonts w:ascii="Times New Roman"/>
        </w:rPr>
      </w:pPr>
      <w:r>
        <w:rPr>
          <w:rFonts w:hint="eastAsia" w:ascii="Times New Roman"/>
        </w:rPr>
        <w:t>GB/T 17626.2-2018  电磁兼容 试验和测量技术 静电放电抗扰度试验》</w:t>
      </w:r>
    </w:p>
    <w:p w14:paraId="4A50009D">
      <w:pPr>
        <w:pStyle w:val="24"/>
        <w:rPr>
          <w:rFonts w:ascii="Times New Roman"/>
        </w:rPr>
      </w:pPr>
      <w:r>
        <w:rPr>
          <w:rFonts w:ascii="Times New Roman"/>
        </w:rPr>
        <w:t>GB/T 18305-2016  质量管理体系标准 汽车生产件及相关服务件组织应用GB/T 19001-2008特别要求</w:t>
      </w:r>
    </w:p>
    <w:p w14:paraId="7A346990">
      <w:pPr>
        <w:pStyle w:val="24"/>
        <w:rPr>
          <w:rFonts w:ascii="Times New Roman"/>
        </w:rPr>
      </w:pPr>
      <w:r>
        <w:rPr>
          <w:rFonts w:hint="eastAsia" w:ascii="Times New Roman"/>
        </w:rPr>
        <w:t xml:space="preserve">GB/T 19000-2016 </w:t>
      </w:r>
      <w:r>
        <w:rPr>
          <w:rFonts w:ascii="Times New Roman"/>
        </w:rPr>
        <w:t xml:space="preserve"> </w:t>
      </w:r>
      <w:r>
        <w:rPr>
          <w:rFonts w:hint="eastAsia" w:ascii="Times New Roman"/>
        </w:rPr>
        <w:t>质量管理体系 基础和术语</w:t>
      </w:r>
    </w:p>
    <w:p w14:paraId="47C2B40B">
      <w:pPr>
        <w:pStyle w:val="24"/>
        <w:rPr>
          <w:rFonts w:ascii="Times New Roman"/>
        </w:rPr>
      </w:pPr>
      <w:r>
        <w:rPr>
          <w:rFonts w:hint="eastAsia" w:ascii="Times New Roman"/>
        </w:rPr>
        <w:t xml:space="preserve">GB/T 19001-2016 </w:t>
      </w:r>
      <w:r>
        <w:rPr>
          <w:rFonts w:ascii="Times New Roman"/>
        </w:rPr>
        <w:t xml:space="preserve"> </w:t>
      </w:r>
      <w:r>
        <w:rPr>
          <w:rFonts w:hint="eastAsia" w:ascii="Times New Roman"/>
        </w:rPr>
        <w:t>质量管理体系 要求</w:t>
      </w:r>
    </w:p>
    <w:p w14:paraId="1381F838">
      <w:pPr>
        <w:pStyle w:val="24"/>
        <w:rPr>
          <w:rFonts w:ascii="Times New Roman"/>
        </w:rPr>
      </w:pPr>
      <w:r>
        <w:rPr>
          <w:rFonts w:ascii="Times New Roman"/>
        </w:rPr>
        <w:t>GB/T 19596-2017  电动汽车术语</w:t>
      </w:r>
    </w:p>
    <w:p w14:paraId="7C1C373C">
      <w:pPr>
        <w:pStyle w:val="24"/>
        <w:rPr>
          <w:rFonts w:ascii="Times New Roman"/>
        </w:rPr>
      </w:pPr>
      <w:r>
        <w:rPr>
          <w:rFonts w:ascii="Times New Roman"/>
        </w:rPr>
        <w:t>GB/T 34590  道路车辆 功能安全</w:t>
      </w:r>
    </w:p>
    <w:p w14:paraId="617FF028">
      <w:pPr>
        <w:pStyle w:val="24"/>
        <w:rPr>
          <w:rFonts w:ascii="Times New Roman"/>
        </w:rPr>
      </w:pPr>
      <w:r>
        <w:rPr>
          <w:rFonts w:ascii="Times New Roman"/>
        </w:rPr>
        <w:t>GB/T 38187-2019  汽车电子电气可靠性术语</w:t>
      </w:r>
    </w:p>
    <w:p w14:paraId="042D1603">
      <w:pPr>
        <w:pStyle w:val="24"/>
        <w:rPr>
          <w:rFonts w:ascii="Times New Roman"/>
        </w:rPr>
      </w:pPr>
      <w:r>
        <w:rPr>
          <w:rFonts w:hint="eastAsia" w:ascii="Times New Roman"/>
        </w:rPr>
        <w:t>GB/T 43536.1-2023  三维集成电路　第1部分：术语和定义</w:t>
      </w:r>
    </w:p>
    <w:p w14:paraId="50B21EA5">
      <w:pPr>
        <w:pStyle w:val="24"/>
        <w:rPr>
          <w:rFonts w:ascii="Times New Roman"/>
        </w:rPr>
      </w:pPr>
      <w:r>
        <w:rPr>
          <w:rFonts w:hint="eastAsia" w:ascii="Times New Roman"/>
        </w:rPr>
        <w:t>SJ</w:t>
      </w:r>
      <w:r>
        <w:rPr>
          <w:rFonts w:ascii="Times New Roman"/>
        </w:rPr>
        <w:t>/</w:t>
      </w:r>
      <w:r>
        <w:rPr>
          <w:rFonts w:hint="eastAsia" w:ascii="Times New Roman"/>
        </w:rPr>
        <w:t xml:space="preserve">T 11875-2022 </w:t>
      </w:r>
      <w:r>
        <w:rPr>
          <w:rFonts w:ascii="Times New Roman"/>
        </w:rPr>
        <w:t xml:space="preserve"> </w:t>
      </w:r>
      <w:r>
        <w:rPr>
          <w:rFonts w:hint="eastAsia" w:ascii="Times New Roman"/>
        </w:rPr>
        <w:t>电动汽车用半导体集成电路应力试验程序</w:t>
      </w:r>
    </w:p>
    <w:p w14:paraId="5C4E8A90">
      <w:pPr>
        <w:pStyle w:val="24"/>
        <w:rPr>
          <w:rFonts w:ascii="Times New Roman"/>
        </w:rPr>
      </w:pPr>
      <w:r>
        <w:rPr>
          <w:rFonts w:ascii="Times New Roman"/>
        </w:rPr>
        <w:t>T/CSAE 222-2021  纯电动乘用车车规级芯片一般要求</w:t>
      </w:r>
    </w:p>
    <w:p w14:paraId="4C26A25C">
      <w:pPr>
        <w:pStyle w:val="24"/>
        <w:rPr>
          <w:rFonts w:ascii="Times New Roman"/>
        </w:rPr>
      </w:pPr>
      <w:r>
        <w:rPr>
          <w:rFonts w:hint="eastAsia" w:ascii="Times New Roman"/>
        </w:rPr>
        <w:t xml:space="preserve">T/CAQI 326-2023 </w:t>
      </w:r>
      <w:r>
        <w:rPr>
          <w:rFonts w:ascii="Times New Roman"/>
        </w:rPr>
        <w:t xml:space="preserve"> </w:t>
      </w:r>
      <w:r>
        <w:rPr>
          <w:rFonts w:hint="eastAsia" w:ascii="Times New Roman"/>
        </w:rPr>
        <w:t>汽车行业质量管理体系审核要求</w:t>
      </w:r>
    </w:p>
    <w:p w14:paraId="012F7A6B">
      <w:pPr>
        <w:pStyle w:val="24"/>
        <w:rPr>
          <w:rFonts w:ascii="Times New Roman"/>
        </w:rPr>
      </w:pPr>
      <w:r>
        <w:rPr>
          <w:rFonts w:ascii="Times New Roman"/>
        </w:rPr>
        <w:t xml:space="preserve">IATF16949  </w:t>
      </w:r>
      <w:r>
        <w:rPr>
          <w:rFonts w:hint="eastAsia" w:ascii="Times New Roman"/>
        </w:rPr>
        <w:t>国际汽车行业的质量管理体系标准(</w:t>
      </w:r>
      <w:r>
        <w:rPr>
          <w:rFonts w:ascii="Times New Roman"/>
        </w:rPr>
        <w:t>Quality management system requirements for automotive production and relevant service parts organizations</w:t>
      </w:r>
      <w:r>
        <w:rPr>
          <w:rFonts w:hint="eastAsia" w:ascii="Times New Roman"/>
        </w:rPr>
        <w:t>)</w:t>
      </w:r>
    </w:p>
    <w:p w14:paraId="157809EE">
      <w:pPr>
        <w:pStyle w:val="24"/>
        <w:rPr>
          <w:rFonts w:ascii="Times New Roman"/>
        </w:rPr>
      </w:pPr>
      <w:r>
        <w:rPr>
          <w:rFonts w:ascii="Times New Roman"/>
        </w:rPr>
        <w:t xml:space="preserve">ISO 9001  </w:t>
      </w:r>
      <w:r>
        <w:rPr>
          <w:rFonts w:hint="eastAsia" w:ascii="Times New Roman"/>
        </w:rPr>
        <w:t>国际质量管理体系标准(</w:t>
      </w:r>
      <w:r>
        <w:rPr>
          <w:rFonts w:ascii="Times New Roman"/>
        </w:rPr>
        <w:t>Quality management system-Requirements</w:t>
      </w:r>
      <w:r>
        <w:rPr>
          <w:rFonts w:hint="eastAsia" w:ascii="Times New Roman"/>
        </w:rPr>
        <w:t>)</w:t>
      </w:r>
    </w:p>
    <w:p w14:paraId="3921A5A3">
      <w:pPr>
        <w:pStyle w:val="24"/>
        <w:rPr>
          <w:rFonts w:ascii="Times New Roman"/>
        </w:rPr>
      </w:pPr>
      <w:r>
        <w:rPr>
          <w:rFonts w:ascii="Times New Roman"/>
        </w:rPr>
        <w:t xml:space="preserve">ISO 26262  </w:t>
      </w:r>
      <w:r>
        <w:rPr>
          <w:rFonts w:hint="eastAsia" w:ascii="Times New Roman"/>
        </w:rPr>
        <w:t>道路车辆功能安全(</w:t>
      </w:r>
      <w:r>
        <w:rPr>
          <w:rFonts w:ascii="Times New Roman"/>
        </w:rPr>
        <w:t>Road vehicles Functional safety</w:t>
      </w:r>
      <w:r>
        <w:rPr>
          <w:rFonts w:hint="eastAsia" w:ascii="Times New Roman"/>
        </w:rPr>
        <w:t>)</w:t>
      </w:r>
    </w:p>
    <w:p w14:paraId="5ADC29B4">
      <w:pPr>
        <w:pStyle w:val="73"/>
        <w:ind w:left="0"/>
        <w:rPr>
          <w:rFonts w:ascii="Times New Roman"/>
        </w:rPr>
      </w:pPr>
      <w:bookmarkStart w:id="21" w:name="_Toc193656629"/>
      <w:bookmarkStart w:id="22" w:name="_Toc199203864"/>
      <w:bookmarkStart w:id="23" w:name="_Toc204873403"/>
      <w:bookmarkStart w:id="24" w:name="_Toc201506405"/>
      <w:r>
        <w:rPr>
          <w:rFonts w:ascii="Times New Roman"/>
        </w:rPr>
        <w:t>术语和定义</w:t>
      </w:r>
      <w:bookmarkEnd w:id="21"/>
      <w:bookmarkEnd w:id="22"/>
      <w:bookmarkEnd w:id="23"/>
      <w:bookmarkEnd w:id="24"/>
    </w:p>
    <w:p w14:paraId="4B38CB7C">
      <w:pPr>
        <w:pStyle w:val="24"/>
        <w:rPr>
          <w:rFonts w:ascii="Times New Roman"/>
        </w:rPr>
      </w:pPr>
      <w:r>
        <w:rPr>
          <w:rFonts w:hint="eastAsia" w:ascii="Times New Roman"/>
        </w:rPr>
        <w:t>GB19596-2017和GB 34590中界定的及下列术语和定义适用于本文件</w:t>
      </w:r>
      <w:r>
        <w:rPr>
          <w:rFonts w:ascii="Times New Roman"/>
        </w:rPr>
        <w:t>。</w:t>
      </w:r>
    </w:p>
    <w:p w14:paraId="5CE33FDE">
      <w:pPr>
        <w:pStyle w:val="53"/>
        <w:rPr>
          <w:rFonts w:ascii="Times New Roman"/>
        </w:rPr>
      </w:pPr>
      <w:bookmarkStart w:id="25" w:name="_Toc204873404"/>
      <w:bookmarkEnd w:id="25"/>
      <w:bookmarkStart w:id="26" w:name="_Toc199203865"/>
    </w:p>
    <w:p w14:paraId="1516101A">
      <w:pPr>
        <w:pStyle w:val="53"/>
        <w:numPr>
          <w:ilvl w:val="0"/>
          <w:numId w:val="0"/>
        </w:numPr>
        <w:ind w:firstLine="420" w:firstLineChars="200"/>
        <w:rPr>
          <w:rFonts w:hAnsi="黑体"/>
        </w:rPr>
      </w:pPr>
      <w:bookmarkStart w:id="27" w:name="_Toc204873405"/>
      <w:r>
        <w:rPr>
          <w:rFonts w:hint="eastAsia" w:hAnsi="黑体"/>
        </w:rPr>
        <w:t>汽车</w:t>
      </w:r>
      <w:r>
        <w:rPr>
          <w:rFonts w:hAnsi="黑体"/>
        </w:rPr>
        <w:t>多芯片组件  automotive multichip modules</w:t>
      </w:r>
      <w:bookmarkEnd w:id="26"/>
      <w:bookmarkEnd w:id="27"/>
    </w:p>
    <w:p w14:paraId="0A7470DE">
      <w:pPr>
        <w:pStyle w:val="24"/>
        <w:rPr>
          <w:rFonts w:ascii="Times New Roman"/>
        </w:rPr>
      </w:pPr>
      <w:r>
        <w:rPr>
          <w:rFonts w:ascii="Times New Roman"/>
        </w:rPr>
        <w:t>在汽车上应用以实现单个及多个功能的多芯片组件单元；设计、制造、封装、测试、应用过程应符合汽车行业质量管理体系标准要求；产品满足汽车领域可靠性、功能安全、信息安全等要求。汽车多芯片组件（MCM）是由多个有源和/或无源子组件互连，组成单个复杂电路，并采用三维堆叠等独立封装形式直接焊接在基板上实现电气互连，形成气密或非气密封装。不包括未封装的裸片、LED、MEMS、SSD以及功率类MCM；对于连接模式不是直接焊接的MCM亦未包括在其中。</w:t>
      </w:r>
    </w:p>
    <w:p w14:paraId="301AA9B3">
      <w:pPr>
        <w:pStyle w:val="24"/>
        <w:rPr>
          <w:rFonts w:ascii="Times New Roman"/>
        </w:rPr>
      </w:pPr>
      <w:r>
        <w:rPr>
          <w:rFonts w:hint="eastAsia" w:ascii="Times New Roman"/>
        </w:rPr>
        <w:t>[来源：</w:t>
      </w:r>
      <w:r>
        <w:rPr>
          <w:rFonts w:ascii="Times New Roman"/>
        </w:rPr>
        <w:t>GB/T 16465-1996基础上修改</w:t>
      </w:r>
      <w:r>
        <w:rPr>
          <w:rFonts w:hint="eastAsia" w:ascii="Times New Roman"/>
        </w:rPr>
        <w:t>]</w:t>
      </w:r>
    </w:p>
    <w:p w14:paraId="09ED0296">
      <w:pPr>
        <w:pStyle w:val="53"/>
        <w:rPr>
          <w:rFonts w:ascii="Times New Roman"/>
        </w:rPr>
      </w:pPr>
      <w:bookmarkStart w:id="28" w:name="_Toc204873406"/>
      <w:bookmarkEnd w:id="28"/>
      <w:bookmarkStart w:id="29" w:name="_Toc199203866"/>
    </w:p>
    <w:p w14:paraId="6488DDB3">
      <w:pPr>
        <w:pStyle w:val="53"/>
        <w:numPr>
          <w:ilvl w:val="0"/>
          <w:numId w:val="0"/>
        </w:numPr>
        <w:ind w:firstLine="420" w:firstLineChars="200"/>
        <w:rPr>
          <w:rFonts w:hAnsi="黑体"/>
        </w:rPr>
      </w:pPr>
      <w:bookmarkStart w:id="30" w:name="_Toc204873407"/>
      <w:r>
        <w:rPr>
          <w:rFonts w:hAnsi="黑体"/>
        </w:rPr>
        <w:t xml:space="preserve">三维堆叠  </w:t>
      </w:r>
      <w:r>
        <w:rPr>
          <w:rFonts w:hint="eastAsia" w:hAnsi="黑体"/>
        </w:rPr>
        <w:t>3-D stacking</w:t>
      </w:r>
      <w:bookmarkEnd w:id="29"/>
      <w:bookmarkEnd w:id="30"/>
    </w:p>
    <w:p w14:paraId="71AE187B">
      <w:pPr>
        <w:pStyle w:val="24"/>
        <w:rPr>
          <w:rFonts w:ascii="Times New Roman"/>
        </w:rPr>
      </w:pPr>
      <w:r>
        <w:rPr>
          <w:rFonts w:ascii="Times New Roman"/>
        </w:rPr>
        <w:t>实现两个或多个器件间的电气内互连的三维键合操作。</w:t>
      </w:r>
    </w:p>
    <w:p w14:paraId="3EEE1B92">
      <w:pPr>
        <w:pStyle w:val="24"/>
        <w:rPr>
          <w:rFonts w:ascii="Times New Roman"/>
        </w:rPr>
      </w:pPr>
      <w:r>
        <w:rPr>
          <w:rFonts w:hint="eastAsia" w:ascii="Times New Roman"/>
        </w:rPr>
        <w:t>[来源：</w:t>
      </w:r>
      <w:bookmarkStart w:id="31" w:name="OLE_LINK3"/>
      <w:r>
        <w:rPr>
          <w:rFonts w:ascii="Times New Roman"/>
        </w:rPr>
        <w:t>GB/T 43536.1-2023</w:t>
      </w:r>
      <w:bookmarkEnd w:id="31"/>
      <w:r>
        <w:rPr>
          <w:rFonts w:hint="eastAsia" w:ascii="Times New Roman"/>
        </w:rPr>
        <w:t>基础上修改]</w:t>
      </w:r>
    </w:p>
    <w:p w14:paraId="4FA497AA">
      <w:pPr>
        <w:pStyle w:val="24"/>
        <w:rPr>
          <w:rFonts w:ascii="Times New Roman"/>
        </w:rPr>
      </w:pPr>
    </w:p>
    <w:p w14:paraId="785B369C">
      <w:pPr>
        <w:pStyle w:val="53"/>
        <w:rPr>
          <w:rFonts w:ascii="Times New Roman"/>
        </w:rPr>
      </w:pPr>
      <w:bookmarkStart w:id="32" w:name="_Toc204873408"/>
      <w:bookmarkEnd w:id="32"/>
      <w:bookmarkStart w:id="33" w:name="_Toc199203867"/>
    </w:p>
    <w:p w14:paraId="5E4B076A">
      <w:pPr>
        <w:pStyle w:val="53"/>
        <w:numPr>
          <w:ilvl w:val="0"/>
          <w:numId w:val="0"/>
        </w:numPr>
        <w:ind w:firstLine="420" w:firstLineChars="200"/>
        <w:rPr>
          <w:rFonts w:hAnsi="黑体"/>
        </w:rPr>
      </w:pPr>
      <w:bookmarkStart w:id="34" w:name="_Toc204873409"/>
      <w:r>
        <w:rPr>
          <w:rFonts w:hint="eastAsia" w:hAnsi="黑体"/>
        </w:rPr>
        <w:t>功能安全要求 functional safety requirement</w:t>
      </w:r>
      <w:bookmarkEnd w:id="33"/>
      <w:bookmarkEnd w:id="34"/>
    </w:p>
    <w:p w14:paraId="7F685A60">
      <w:pPr>
        <w:pStyle w:val="24"/>
        <w:rPr>
          <w:rFonts w:ascii="Times New Roman"/>
        </w:rPr>
      </w:pPr>
      <w:r>
        <w:rPr>
          <w:rFonts w:hint="eastAsia" w:ascii="Times New Roman"/>
        </w:rPr>
        <w:t>定义了独立于具体实现方式的安全行为或独立于具体实现方式的安全措施，包括安全相关的属性。</w:t>
      </w:r>
    </w:p>
    <w:p w14:paraId="61601227">
      <w:pPr>
        <w:pStyle w:val="24"/>
        <w:rPr>
          <w:rFonts w:ascii="Times New Roman"/>
        </w:rPr>
      </w:pPr>
      <w:r>
        <w:rPr>
          <w:rFonts w:hint="eastAsia" w:ascii="Times New Roman"/>
        </w:rPr>
        <w:t>[来源：GB/T34590.1]</w:t>
      </w:r>
    </w:p>
    <w:p w14:paraId="3DA556FB">
      <w:pPr>
        <w:pStyle w:val="53"/>
        <w:rPr>
          <w:rFonts w:ascii="Times New Roman"/>
        </w:rPr>
      </w:pPr>
      <w:bookmarkStart w:id="35" w:name="_Toc204873410"/>
      <w:bookmarkEnd w:id="35"/>
      <w:bookmarkStart w:id="36" w:name="_Toc199203868"/>
    </w:p>
    <w:p w14:paraId="0B06BBD8">
      <w:pPr>
        <w:pStyle w:val="53"/>
        <w:numPr>
          <w:ilvl w:val="0"/>
          <w:numId w:val="0"/>
        </w:numPr>
        <w:ind w:firstLine="420" w:firstLineChars="200"/>
        <w:rPr>
          <w:rFonts w:hAnsi="黑体"/>
        </w:rPr>
      </w:pPr>
      <w:bookmarkStart w:id="37" w:name="_Toc204873411"/>
      <w:r>
        <w:rPr>
          <w:rFonts w:hint="eastAsia" w:hAnsi="黑体"/>
        </w:rPr>
        <w:t>可靠性 reliability</w:t>
      </w:r>
      <w:bookmarkEnd w:id="36"/>
      <w:bookmarkEnd w:id="37"/>
      <w:r>
        <w:rPr>
          <w:rFonts w:hAnsi="黑体"/>
        </w:rPr>
        <w:t xml:space="preserve"> </w:t>
      </w:r>
    </w:p>
    <w:p w14:paraId="1C610D16">
      <w:pPr>
        <w:pStyle w:val="24"/>
        <w:rPr>
          <w:rFonts w:ascii="Times New Roman"/>
        </w:rPr>
      </w:pPr>
      <w:r>
        <w:rPr>
          <w:rFonts w:hint="eastAsia" w:ascii="Times New Roman"/>
        </w:rPr>
        <w:t>产品在给定的条件下和规定的时间内完成规定功能的能力。</w:t>
      </w:r>
    </w:p>
    <w:p w14:paraId="523FC0A2">
      <w:pPr>
        <w:pStyle w:val="24"/>
        <w:rPr>
          <w:rFonts w:ascii="Times New Roman"/>
        </w:rPr>
      </w:pPr>
      <w:r>
        <w:rPr>
          <w:rFonts w:hint="eastAsia" w:ascii="Times New Roman"/>
        </w:rPr>
        <w:t>[来源：GB/T38187]</w:t>
      </w:r>
      <w:r>
        <w:rPr>
          <w:rFonts w:ascii="Times New Roman"/>
        </w:rPr>
        <w:t>。</w:t>
      </w:r>
    </w:p>
    <w:p w14:paraId="72CDF72B">
      <w:pPr>
        <w:pStyle w:val="73"/>
        <w:ind w:left="0"/>
        <w:rPr>
          <w:rFonts w:ascii="Times New Roman"/>
        </w:rPr>
      </w:pPr>
      <w:bookmarkStart w:id="38" w:name="_Toc201506406"/>
      <w:bookmarkStart w:id="39" w:name="_Toc199203869"/>
      <w:bookmarkStart w:id="40" w:name="_Toc204873412"/>
      <w:bookmarkStart w:id="41" w:name="_Toc199063391"/>
      <w:bookmarkStart w:id="42" w:name="_Toc193699090"/>
      <w:bookmarkStart w:id="43" w:name="_Toc193656630"/>
      <w:r>
        <w:rPr>
          <w:rFonts w:hint="eastAsia" w:ascii="Times New Roman"/>
        </w:rPr>
        <w:t>可靠性分级</w:t>
      </w:r>
      <w:r>
        <w:rPr>
          <w:rFonts w:ascii="Times New Roman"/>
        </w:rPr>
        <w:t>要求</w:t>
      </w:r>
      <w:bookmarkEnd w:id="38"/>
      <w:bookmarkEnd w:id="39"/>
      <w:bookmarkEnd w:id="40"/>
      <w:bookmarkEnd w:id="41"/>
      <w:bookmarkEnd w:id="42"/>
    </w:p>
    <w:p w14:paraId="6290112C">
      <w:pPr>
        <w:pStyle w:val="53"/>
        <w:rPr>
          <w:rFonts w:ascii="Times New Roman"/>
        </w:rPr>
      </w:pPr>
      <w:bookmarkStart w:id="44" w:name="_Toc204873413"/>
      <w:r>
        <w:rPr>
          <w:rFonts w:hint="eastAsia" w:ascii="Times New Roman"/>
        </w:rPr>
        <w:t>概述</w:t>
      </w:r>
      <w:bookmarkEnd w:id="44"/>
    </w:p>
    <w:p w14:paraId="4BEFBC32">
      <w:pPr>
        <w:pStyle w:val="24"/>
        <w:rPr>
          <w:rFonts w:ascii="Times New Roman"/>
        </w:rPr>
      </w:pPr>
      <w:r>
        <w:rPr>
          <w:rFonts w:hint="eastAsia" w:ascii="Times New Roman"/>
        </w:rPr>
        <w:t>本节基于汽车不同应用领域任务剖面给出了汽车多芯片组件在温度范围、振动量级、静电放电等方面可靠性分级要求及可靠性分级检测要求</w:t>
      </w:r>
    </w:p>
    <w:p w14:paraId="4713A3A1">
      <w:pPr>
        <w:pStyle w:val="24"/>
      </w:pPr>
    </w:p>
    <w:p w14:paraId="57792CAE">
      <w:pPr>
        <w:pStyle w:val="53"/>
        <w:rPr>
          <w:rFonts w:ascii="Times New Roman"/>
        </w:rPr>
      </w:pPr>
      <w:bookmarkStart w:id="45" w:name="_Toc204873414"/>
      <w:bookmarkStart w:id="46" w:name="_Toc199063392"/>
      <w:bookmarkStart w:id="47" w:name="_Toc199203870"/>
      <w:r>
        <w:rPr>
          <w:rFonts w:hint="eastAsia" w:ascii="Times New Roman"/>
        </w:rPr>
        <w:t>抽样原则</w:t>
      </w:r>
      <w:bookmarkEnd w:id="45"/>
      <w:bookmarkEnd w:id="46"/>
      <w:bookmarkEnd w:id="47"/>
    </w:p>
    <w:p w14:paraId="5EB3FD34">
      <w:pPr>
        <w:pStyle w:val="57"/>
        <w:spacing w:before="156" w:after="156"/>
        <w:ind w:left="425"/>
        <w:rPr>
          <w:rFonts w:ascii="Times New Roman"/>
        </w:rPr>
      </w:pPr>
      <w:r>
        <w:rPr>
          <w:rFonts w:hint="eastAsia" w:ascii="Times New Roman"/>
        </w:rPr>
        <w:t>批次</w:t>
      </w:r>
    </w:p>
    <w:p w14:paraId="3A05A69B">
      <w:pPr>
        <w:pStyle w:val="24"/>
      </w:pPr>
      <w:r>
        <w:rPr>
          <w:rFonts w:hint="eastAsia"/>
        </w:rPr>
        <w:t>被测样品应该由同系列中有代表性的芯片构成，若缺少通用数据则需要选择多批次芯片进行鉴定，被测样品必须是由非连续晶圆批次中近似均等的数量组成，并在非连续的装配批次中封装。即样品必须是均匀随机抽取的，或者装配加工线至少有一个非鉴定批次。若不能满足以上技术要求需说明。</w:t>
      </w:r>
    </w:p>
    <w:p w14:paraId="05D565AC">
      <w:pPr>
        <w:pStyle w:val="57"/>
        <w:spacing w:before="156" w:after="156"/>
        <w:ind w:left="425"/>
      </w:pPr>
      <w:r>
        <w:rPr>
          <w:rFonts w:hint="eastAsia"/>
        </w:rPr>
        <w:t>生产</w:t>
      </w:r>
    </w:p>
    <w:p w14:paraId="66AA3765">
      <w:pPr>
        <w:pStyle w:val="24"/>
      </w:pPr>
      <w:r>
        <w:rPr>
          <w:rFonts w:hint="eastAsia"/>
        </w:rPr>
        <w:t>所有试验样品都应在相同的工艺流片、封装等生产场所生产,且使用相同的生产设备和加工工艺。后续量产供货的产品也应使用相同的生产设备和加工工艺。经确认有效后，可使用其他测试场所完成电测试。</w:t>
      </w:r>
    </w:p>
    <w:p w14:paraId="2B1C1B93">
      <w:pPr>
        <w:pStyle w:val="57"/>
        <w:spacing w:before="156" w:after="156"/>
        <w:ind w:left="425"/>
      </w:pPr>
      <w:r>
        <w:rPr>
          <w:rFonts w:hint="eastAsia"/>
        </w:rPr>
        <w:t>测试样本的可重复使用性</w:t>
      </w:r>
    </w:p>
    <w:p w14:paraId="705A8FDF">
      <w:pPr>
        <w:pStyle w:val="24"/>
      </w:pPr>
      <w:r>
        <w:rPr>
          <w:rFonts w:hint="eastAsia"/>
        </w:rPr>
        <w:t>已用于非破坏性测试的器件样品可用于其他测试项目，已用于破坏性试验的样品除用于工程分析之外不应进一步使用。</w:t>
      </w:r>
    </w:p>
    <w:p w14:paraId="5D4E4410">
      <w:pPr>
        <w:pStyle w:val="57"/>
        <w:spacing w:before="156" w:after="156"/>
        <w:ind w:left="425"/>
      </w:pPr>
      <w:r>
        <w:rPr>
          <w:rFonts w:hint="eastAsia"/>
        </w:rPr>
        <w:t>样本容量</w:t>
      </w:r>
    </w:p>
    <w:p w14:paraId="1E9602F0">
      <w:pPr>
        <w:pStyle w:val="24"/>
      </w:pPr>
      <w:r>
        <w:rPr>
          <w:rFonts w:hint="eastAsia"/>
        </w:rPr>
        <w:t>用于测试和/或通用数据提交的样本数量应与分级检测要求</w:t>
      </w:r>
      <w:r>
        <w:rPr>
          <w:rFonts w:ascii="Times New Roman"/>
        </w:rPr>
        <w:t>表6~表10规</w:t>
      </w:r>
      <w:r>
        <w:rPr>
          <w:rFonts w:hint="eastAsia"/>
        </w:rPr>
        <w:t>定的最小样本数量和验收标准一致。如果供应商选择使用通用数据进行测试认证，应记录具体的测试条件和结果，并向用户提供。</w:t>
      </w:r>
    </w:p>
    <w:p w14:paraId="7BFB84F4">
      <w:pPr>
        <w:pStyle w:val="57"/>
        <w:spacing w:before="156" w:after="156"/>
        <w:ind w:left="425"/>
      </w:pPr>
      <w:r>
        <w:rPr>
          <w:rFonts w:hint="eastAsia"/>
        </w:rPr>
        <w:t>应力试验后器件的失效定义</w:t>
      </w:r>
    </w:p>
    <w:p w14:paraId="7B2887B0">
      <w:pPr>
        <w:pStyle w:val="24"/>
      </w:pPr>
      <w:r>
        <w:rPr>
          <w:rFonts w:hint="eastAsia"/>
        </w:rPr>
        <w:t>芯片参数不符合用户规格书、试验规定的合格判据或供应商规格书，则视为试验后发生失效。环境试验后出现外部物理性损伤视为失效。经分析确定，失效原因属于操作错误、电气过应力(EOS)、静电放电或其他与试验/测试条件不相关的因素，经供应商和用户双方认可，可不归为芯片失效，但应记录试验相关的数据。</w:t>
      </w:r>
    </w:p>
    <w:p w14:paraId="5CEA5F4D">
      <w:pPr>
        <w:pStyle w:val="53"/>
        <w:rPr>
          <w:rFonts w:ascii="Times New Roman"/>
        </w:rPr>
      </w:pPr>
      <w:bookmarkStart w:id="48" w:name="_Toc199203871"/>
      <w:bookmarkStart w:id="49" w:name="_Toc204873415"/>
      <w:bookmarkStart w:id="50" w:name="_Toc199063393"/>
      <w:r>
        <w:rPr>
          <w:rFonts w:hint="eastAsia" w:ascii="Times New Roman"/>
        </w:rPr>
        <w:t>温度范围分级要求</w:t>
      </w:r>
      <w:bookmarkEnd w:id="48"/>
      <w:bookmarkEnd w:id="49"/>
      <w:bookmarkEnd w:id="50"/>
    </w:p>
    <w:p w14:paraId="2656EA43">
      <w:pPr>
        <w:pStyle w:val="24"/>
      </w:pPr>
      <w:r>
        <w:rPr>
          <w:rFonts w:hint="eastAsia"/>
        </w:rPr>
        <w:t>汽车多芯片组件温度范围分级要求</w:t>
      </w:r>
      <w:r>
        <w:rPr>
          <w:rFonts w:ascii="Times New Roman"/>
        </w:rPr>
        <w:t>如表1所示，根据工作环境温度范围分为0-3四</w:t>
      </w:r>
      <w:r>
        <w:rPr>
          <w:rFonts w:hint="eastAsia"/>
        </w:rPr>
        <w:t>个等级。</w:t>
      </w:r>
    </w:p>
    <w:p w14:paraId="6F65C548">
      <w:pPr>
        <w:pStyle w:val="24"/>
        <w:spacing w:before="156" w:beforeLines="50" w:after="156" w:afterLines="50"/>
        <w:ind w:firstLine="0" w:firstLineChars="0"/>
        <w:jc w:val="center"/>
        <w:rPr>
          <w:rFonts w:ascii="Arial" w:hAnsi="Arial" w:eastAsia="黑体" w:cs="Arial"/>
          <w:kern w:val="2"/>
          <w:sz w:val="20"/>
        </w:rPr>
      </w:pPr>
      <w:bookmarkStart w:id="51" w:name="_Ref167109237"/>
      <w:r>
        <w:rPr>
          <w:rFonts w:hint="eastAsia" w:ascii="Arial" w:hAnsi="Arial" w:eastAsia="黑体" w:cs="Arial"/>
          <w:kern w:val="2"/>
          <w:sz w:val="20"/>
        </w:rPr>
        <w:t xml:space="preserve">表 </w:t>
      </w:r>
      <w:r>
        <w:rPr>
          <w:rFonts w:ascii="Arial" w:hAnsi="Arial" w:eastAsia="黑体" w:cs="Arial"/>
          <w:kern w:val="2"/>
          <w:sz w:val="20"/>
        </w:rPr>
        <w:fldChar w:fldCharType="begin" w:fldLock="1"/>
      </w:r>
      <w:r>
        <w:rPr>
          <w:rFonts w:ascii="Arial" w:hAnsi="Arial" w:eastAsia="黑体" w:cs="Arial"/>
          <w:kern w:val="2"/>
          <w:sz w:val="20"/>
        </w:rPr>
        <w:instrText xml:space="preserve"> </w:instrText>
      </w:r>
      <w:r>
        <w:rPr>
          <w:rFonts w:hint="eastAsia" w:ascii="Arial" w:hAnsi="Arial" w:eastAsia="黑体" w:cs="Arial"/>
          <w:kern w:val="2"/>
          <w:sz w:val="20"/>
        </w:rPr>
        <w:instrText xml:space="preserve">SEQ 表 \* ARABIC</w:instrText>
      </w:r>
      <w:r>
        <w:rPr>
          <w:rFonts w:ascii="Arial" w:hAnsi="Arial" w:eastAsia="黑体" w:cs="Arial"/>
          <w:kern w:val="2"/>
          <w:sz w:val="20"/>
        </w:rPr>
        <w:instrText xml:space="preserve"> </w:instrText>
      </w:r>
      <w:r>
        <w:rPr>
          <w:rFonts w:ascii="Arial" w:hAnsi="Arial" w:eastAsia="黑体" w:cs="Arial"/>
          <w:kern w:val="2"/>
          <w:sz w:val="20"/>
        </w:rPr>
        <w:fldChar w:fldCharType="separate"/>
      </w:r>
      <w:r>
        <w:rPr>
          <w:rFonts w:ascii="Arial" w:hAnsi="Arial" w:eastAsia="黑体" w:cs="Arial"/>
          <w:kern w:val="2"/>
          <w:sz w:val="20"/>
        </w:rPr>
        <w:t>1</w:t>
      </w:r>
      <w:r>
        <w:rPr>
          <w:rFonts w:ascii="Arial" w:hAnsi="Arial" w:eastAsia="黑体" w:cs="Arial"/>
          <w:kern w:val="2"/>
          <w:sz w:val="20"/>
        </w:rPr>
        <w:fldChar w:fldCharType="end"/>
      </w:r>
      <w:bookmarkEnd w:id="51"/>
      <w:r>
        <w:rPr>
          <w:rFonts w:ascii="Arial" w:hAnsi="Arial" w:eastAsia="黑体" w:cs="Arial"/>
          <w:kern w:val="2"/>
          <w:sz w:val="20"/>
        </w:rPr>
        <w:t xml:space="preserve"> </w:t>
      </w:r>
      <w:r>
        <w:rPr>
          <w:rFonts w:hint="eastAsia" w:ascii="Arial" w:hAnsi="Arial" w:eastAsia="黑体" w:cs="Arial"/>
          <w:kern w:val="2"/>
          <w:sz w:val="20"/>
        </w:rPr>
        <w:t>汽车多芯片组件工作温度等级</w:t>
      </w:r>
    </w:p>
    <w:tbl>
      <w:tblPr>
        <w:tblStyle w:val="33"/>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985"/>
        <w:gridCol w:w="3402"/>
      </w:tblGrid>
      <w:tr w14:paraId="570E01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985" w:type="dxa"/>
            <w:tcBorders>
              <w:top w:val="single" w:color="000000" w:sz="12" w:space="0"/>
              <w:bottom w:val="single" w:color="000000" w:sz="12" w:space="0"/>
            </w:tcBorders>
            <w:shd w:val="clear" w:color="auto" w:fill="auto"/>
          </w:tcPr>
          <w:p w14:paraId="2E4E5D29">
            <w:pPr>
              <w:pStyle w:val="24"/>
              <w:adjustRightInd w:val="0"/>
              <w:snapToGrid w:val="0"/>
              <w:spacing w:before="156" w:beforeLines="50" w:after="156" w:afterLines="50"/>
              <w:ind w:firstLine="0" w:firstLineChars="0"/>
              <w:jc w:val="center"/>
              <w:rPr>
                <w:sz w:val="18"/>
                <w:szCs w:val="18"/>
              </w:rPr>
            </w:pPr>
            <w:r>
              <w:rPr>
                <w:rFonts w:hint="eastAsia"/>
                <w:sz w:val="18"/>
                <w:szCs w:val="18"/>
              </w:rPr>
              <w:t>工作环境温度等级</w:t>
            </w:r>
          </w:p>
        </w:tc>
        <w:tc>
          <w:tcPr>
            <w:tcW w:w="3402" w:type="dxa"/>
            <w:tcBorders>
              <w:top w:val="single" w:color="000000" w:sz="12" w:space="0"/>
              <w:bottom w:val="single" w:color="000000" w:sz="12" w:space="0"/>
            </w:tcBorders>
            <w:shd w:val="clear" w:color="auto" w:fill="auto"/>
          </w:tcPr>
          <w:p w14:paraId="0F58A711">
            <w:pPr>
              <w:pStyle w:val="24"/>
              <w:adjustRightInd w:val="0"/>
              <w:snapToGrid w:val="0"/>
              <w:spacing w:before="156" w:beforeLines="50" w:after="156" w:afterLines="50"/>
              <w:ind w:firstLine="0" w:firstLineChars="0"/>
              <w:jc w:val="center"/>
              <w:rPr>
                <w:sz w:val="18"/>
                <w:szCs w:val="18"/>
              </w:rPr>
            </w:pPr>
            <w:r>
              <w:rPr>
                <w:rFonts w:hint="eastAsia"/>
                <w:sz w:val="18"/>
                <w:szCs w:val="18"/>
              </w:rPr>
              <w:t>工作环境温度范围</w:t>
            </w:r>
          </w:p>
        </w:tc>
      </w:tr>
      <w:tr w14:paraId="0BBD36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985" w:type="dxa"/>
            <w:tcBorders>
              <w:top w:val="single" w:color="000000" w:sz="12" w:space="0"/>
            </w:tcBorders>
            <w:shd w:val="clear" w:color="auto" w:fill="auto"/>
          </w:tcPr>
          <w:p w14:paraId="4F56D327">
            <w:pPr>
              <w:pStyle w:val="24"/>
              <w:adjustRightInd w:val="0"/>
              <w:snapToGrid w:val="0"/>
              <w:ind w:firstLine="0" w:firstLineChars="0"/>
              <w:jc w:val="center"/>
              <w:rPr>
                <w:sz w:val="18"/>
                <w:szCs w:val="18"/>
              </w:rPr>
            </w:pPr>
            <w:r>
              <w:rPr>
                <w:rFonts w:hint="eastAsia"/>
                <w:sz w:val="18"/>
                <w:szCs w:val="18"/>
              </w:rPr>
              <w:t>0</w:t>
            </w:r>
          </w:p>
        </w:tc>
        <w:tc>
          <w:tcPr>
            <w:tcW w:w="3402" w:type="dxa"/>
            <w:tcBorders>
              <w:top w:val="single" w:color="000000" w:sz="12" w:space="0"/>
            </w:tcBorders>
            <w:shd w:val="clear" w:color="auto" w:fill="auto"/>
          </w:tcPr>
          <w:p w14:paraId="50EF69DD">
            <w:pPr>
              <w:pStyle w:val="24"/>
              <w:adjustRightInd w:val="0"/>
              <w:snapToGrid w:val="0"/>
              <w:ind w:firstLine="0" w:firstLineChars="0"/>
              <w:jc w:val="center"/>
              <w:rPr>
                <w:sz w:val="18"/>
                <w:szCs w:val="18"/>
              </w:rPr>
            </w:pPr>
            <w:r>
              <w:rPr>
                <w:rFonts w:hint="eastAsia"/>
                <w:sz w:val="18"/>
                <w:szCs w:val="18"/>
              </w:rPr>
              <w:t>-</w:t>
            </w:r>
            <w:r>
              <w:rPr>
                <w:sz w:val="18"/>
                <w:szCs w:val="18"/>
              </w:rPr>
              <w:t>40</w:t>
            </w:r>
            <w:r>
              <w:rPr>
                <w:rFonts w:hint="eastAsia" w:hAnsi="宋体"/>
                <w:sz w:val="18"/>
                <w:szCs w:val="18"/>
              </w:rPr>
              <w:t>℃</w:t>
            </w:r>
            <w:r>
              <w:rPr>
                <w:rFonts w:ascii="Times New Roman"/>
                <w:sz w:val="18"/>
                <w:szCs w:val="18"/>
              </w:rPr>
              <w:t>~</w:t>
            </w:r>
            <w:r>
              <w:rPr>
                <w:rFonts w:hAnsi="宋体"/>
                <w:sz w:val="18"/>
                <w:szCs w:val="18"/>
              </w:rPr>
              <w:t>+150</w:t>
            </w:r>
            <w:r>
              <w:rPr>
                <w:rFonts w:hint="eastAsia" w:hAnsi="宋体"/>
                <w:sz w:val="18"/>
                <w:szCs w:val="18"/>
              </w:rPr>
              <w:t>℃</w:t>
            </w:r>
          </w:p>
        </w:tc>
      </w:tr>
      <w:tr w14:paraId="252911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985" w:type="dxa"/>
            <w:shd w:val="clear" w:color="auto" w:fill="auto"/>
          </w:tcPr>
          <w:p w14:paraId="74D8FAD7">
            <w:pPr>
              <w:pStyle w:val="24"/>
              <w:adjustRightInd w:val="0"/>
              <w:snapToGrid w:val="0"/>
              <w:ind w:firstLine="0" w:firstLineChars="0"/>
              <w:jc w:val="center"/>
              <w:rPr>
                <w:sz w:val="18"/>
                <w:szCs w:val="18"/>
              </w:rPr>
            </w:pPr>
            <w:r>
              <w:rPr>
                <w:rFonts w:hint="eastAsia"/>
                <w:sz w:val="18"/>
                <w:szCs w:val="18"/>
              </w:rPr>
              <w:t>1</w:t>
            </w:r>
          </w:p>
        </w:tc>
        <w:tc>
          <w:tcPr>
            <w:tcW w:w="3402" w:type="dxa"/>
            <w:shd w:val="clear" w:color="auto" w:fill="auto"/>
          </w:tcPr>
          <w:p w14:paraId="431C0643">
            <w:pPr>
              <w:pStyle w:val="24"/>
              <w:adjustRightInd w:val="0"/>
              <w:snapToGrid w:val="0"/>
              <w:ind w:firstLine="0" w:firstLineChars="0"/>
              <w:jc w:val="center"/>
              <w:rPr>
                <w:sz w:val="18"/>
                <w:szCs w:val="18"/>
              </w:rPr>
            </w:pPr>
            <w:r>
              <w:rPr>
                <w:rFonts w:hint="eastAsia"/>
                <w:sz w:val="18"/>
                <w:szCs w:val="18"/>
              </w:rPr>
              <w:t>-</w:t>
            </w:r>
            <w:r>
              <w:rPr>
                <w:sz w:val="18"/>
                <w:szCs w:val="18"/>
              </w:rPr>
              <w:t>40</w:t>
            </w:r>
            <w:r>
              <w:rPr>
                <w:rFonts w:hint="eastAsia" w:hAnsi="宋体"/>
                <w:sz w:val="18"/>
                <w:szCs w:val="18"/>
              </w:rPr>
              <w:t>℃</w:t>
            </w:r>
            <w:r>
              <w:rPr>
                <w:rFonts w:ascii="Times New Roman"/>
                <w:sz w:val="18"/>
                <w:szCs w:val="18"/>
              </w:rPr>
              <w:t>~</w:t>
            </w:r>
            <w:r>
              <w:rPr>
                <w:rFonts w:hAnsi="宋体"/>
                <w:sz w:val="18"/>
                <w:szCs w:val="18"/>
              </w:rPr>
              <w:t>+125</w:t>
            </w:r>
            <w:r>
              <w:rPr>
                <w:rFonts w:hint="eastAsia" w:hAnsi="宋体"/>
                <w:sz w:val="18"/>
                <w:szCs w:val="18"/>
              </w:rPr>
              <w:t>℃</w:t>
            </w:r>
          </w:p>
        </w:tc>
      </w:tr>
      <w:tr w14:paraId="291D647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985" w:type="dxa"/>
            <w:shd w:val="clear" w:color="auto" w:fill="auto"/>
          </w:tcPr>
          <w:p w14:paraId="338E81AD">
            <w:pPr>
              <w:pStyle w:val="24"/>
              <w:adjustRightInd w:val="0"/>
              <w:snapToGrid w:val="0"/>
              <w:ind w:firstLine="0" w:firstLineChars="0"/>
              <w:jc w:val="center"/>
              <w:rPr>
                <w:sz w:val="18"/>
                <w:szCs w:val="18"/>
              </w:rPr>
            </w:pPr>
            <w:r>
              <w:rPr>
                <w:rFonts w:hint="eastAsia"/>
                <w:sz w:val="18"/>
                <w:szCs w:val="18"/>
              </w:rPr>
              <w:t>2</w:t>
            </w:r>
          </w:p>
        </w:tc>
        <w:tc>
          <w:tcPr>
            <w:tcW w:w="3402" w:type="dxa"/>
            <w:shd w:val="clear" w:color="auto" w:fill="auto"/>
          </w:tcPr>
          <w:p w14:paraId="7D11A615">
            <w:pPr>
              <w:pStyle w:val="24"/>
              <w:adjustRightInd w:val="0"/>
              <w:snapToGrid w:val="0"/>
              <w:ind w:firstLine="0" w:firstLineChars="0"/>
              <w:jc w:val="center"/>
              <w:rPr>
                <w:sz w:val="18"/>
                <w:szCs w:val="18"/>
              </w:rPr>
            </w:pPr>
            <w:r>
              <w:rPr>
                <w:rFonts w:hint="eastAsia"/>
                <w:sz w:val="18"/>
                <w:szCs w:val="18"/>
              </w:rPr>
              <w:t>-</w:t>
            </w:r>
            <w:r>
              <w:rPr>
                <w:sz w:val="18"/>
                <w:szCs w:val="18"/>
              </w:rPr>
              <w:t>40</w:t>
            </w:r>
            <w:r>
              <w:rPr>
                <w:rFonts w:hint="eastAsia" w:hAnsi="宋体"/>
                <w:sz w:val="18"/>
                <w:szCs w:val="18"/>
              </w:rPr>
              <w:t>℃</w:t>
            </w:r>
            <w:r>
              <w:rPr>
                <w:rFonts w:ascii="Times New Roman"/>
                <w:sz w:val="18"/>
                <w:szCs w:val="18"/>
              </w:rPr>
              <w:t>~</w:t>
            </w:r>
            <w:r>
              <w:rPr>
                <w:rFonts w:hAnsi="宋体"/>
                <w:sz w:val="18"/>
                <w:szCs w:val="18"/>
              </w:rPr>
              <w:t>+105</w:t>
            </w:r>
            <w:r>
              <w:rPr>
                <w:rFonts w:hint="eastAsia" w:hAnsi="宋体"/>
                <w:sz w:val="18"/>
                <w:szCs w:val="18"/>
              </w:rPr>
              <w:t>℃</w:t>
            </w:r>
          </w:p>
        </w:tc>
      </w:tr>
      <w:tr w14:paraId="533E80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985" w:type="dxa"/>
            <w:shd w:val="clear" w:color="auto" w:fill="auto"/>
          </w:tcPr>
          <w:p w14:paraId="67A43EB6">
            <w:pPr>
              <w:pStyle w:val="24"/>
              <w:adjustRightInd w:val="0"/>
              <w:snapToGrid w:val="0"/>
              <w:ind w:firstLine="0" w:firstLineChars="0"/>
              <w:jc w:val="center"/>
              <w:rPr>
                <w:sz w:val="18"/>
                <w:szCs w:val="18"/>
              </w:rPr>
            </w:pPr>
            <w:r>
              <w:rPr>
                <w:rFonts w:hint="eastAsia"/>
                <w:sz w:val="18"/>
                <w:szCs w:val="18"/>
              </w:rPr>
              <w:t>3</w:t>
            </w:r>
          </w:p>
        </w:tc>
        <w:tc>
          <w:tcPr>
            <w:tcW w:w="3402" w:type="dxa"/>
            <w:shd w:val="clear" w:color="auto" w:fill="auto"/>
          </w:tcPr>
          <w:p w14:paraId="2306B445">
            <w:pPr>
              <w:pStyle w:val="24"/>
              <w:adjustRightInd w:val="0"/>
              <w:snapToGrid w:val="0"/>
              <w:ind w:firstLine="0" w:firstLineChars="0"/>
              <w:jc w:val="center"/>
              <w:rPr>
                <w:sz w:val="18"/>
                <w:szCs w:val="18"/>
              </w:rPr>
            </w:pPr>
            <w:r>
              <w:rPr>
                <w:rFonts w:hint="eastAsia"/>
                <w:sz w:val="18"/>
                <w:szCs w:val="18"/>
              </w:rPr>
              <w:t>-</w:t>
            </w:r>
            <w:r>
              <w:rPr>
                <w:sz w:val="18"/>
                <w:szCs w:val="18"/>
              </w:rPr>
              <w:t>40</w:t>
            </w:r>
            <w:r>
              <w:rPr>
                <w:rFonts w:hint="eastAsia" w:hAnsi="宋体"/>
                <w:sz w:val="18"/>
                <w:szCs w:val="18"/>
              </w:rPr>
              <w:t>℃</w:t>
            </w:r>
            <w:r>
              <w:rPr>
                <w:rFonts w:ascii="Times New Roman"/>
                <w:sz w:val="18"/>
                <w:szCs w:val="18"/>
              </w:rPr>
              <w:t>~</w:t>
            </w:r>
            <w:r>
              <w:rPr>
                <w:rFonts w:hAnsi="宋体"/>
                <w:sz w:val="18"/>
                <w:szCs w:val="18"/>
              </w:rPr>
              <w:t>+85</w:t>
            </w:r>
            <w:r>
              <w:rPr>
                <w:rFonts w:hint="eastAsia" w:hAnsi="宋体"/>
                <w:sz w:val="18"/>
                <w:szCs w:val="18"/>
              </w:rPr>
              <w:t>℃</w:t>
            </w:r>
          </w:p>
        </w:tc>
      </w:tr>
    </w:tbl>
    <w:p w14:paraId="1FE6BC5B">
      <w:pPr>
        <w:pStyle w:val="53"/>
        <w:rPr>
          <w:rFonts w:ascii="Times New Roman"/>
        </w:rPr>
      </w:pPr>
      <w:bookmarkStart w:id="52" w:name="_Toc204873416"/>
      <w:bookmarkStart w:id="53" w:name="_Toc199063394"/>
      <w:bookmarkStart w:id="54" w:name="_Toc199203872"/>
      <w:r>
        <w:rPr>
          <w:rFonts w:hint="eastAsia" w:ascii="Times New Roman"/>
        </w:rPr>
        <w:t>振动量级分级要求</w:t>
      </w:r>
      <w:bookmarkEnd w:id="52"/>
      <w:bookmarkEnd w:id="53"/>
      <w:bookmarkEnd w:id="54"/>
    </w:p>
    <w:p w14:paraId="71D4B81C">
      <w:pPr>
        <w:pStyle w:val="24"/>
        <w:rPr>
          <w:rFonts w:ascii="Times New Roman"/>
        </w:rPr>
      </w:pPr>
      <w:r>
        <w:rPr>
          <w:rFonts w:ascii="Times New Roman"/>
        </w:rPr>
        <w:t>汽车多芯片组件振动</w:t>
      </w:r>
      <w:r>
        <w:rPr>
          <w:rFonts w:hint="eastAsia" w:ascii="Times New Roman"/>
        </w:rPr>
        <w:t>试验</w:t>
      </w:r>
      <w:r>
        <w:rPr>
          <w:rFonts w:ascii="Times New Roman"/>
        </w:rPr>
        <w:t>包括机械冲击、扫频振动和恒定加速度，三种振动试验条件如下：</w:t>
      </w:r>
    </w:p>
    <w:p w14:paraId="08A80E33">
      <w:pPr>
        <w:pStyle w:val="24"/>
        <w:rPr>
          <w:rFonts w:ascii="Times New Roman"/>
        </w:rPr>
      </w:pPr>
      <w:r>
        <w:rPr>
          <w:rFonts w:ascii="Times New Roman"/>
        </w:rPr>
        <w:t>（1）机械冲击：Y1方向，脉冲宽度0.5ms，峰值加速度1500g；</w:t>
      </w:r>
    </w:p>
    <w:p w14:paraId="3235701A">
      <w:pPr>
        <w:pStyle w:val="24"/>
        <w:rPr>
          <w:rFonts w:ascii="Times New Roman"/>
        </w:rPr>
      </w:pPr>
      <w:r>
        <w:rPr>
          <w:rFonts w:ascii="Times New Roman"/>
        </w:rPr>
        <w:t>（2）扫频振动：不少于4min时间内经受20Hz-2KHz-20Hz（对数）频率变化，X、Y、Z三个方向各进行4次上述循环，峰值加速度50g</w:t>
      </w:r>
      <w:r>
        <w:rPr>
          <w:rFonts w:hint="eastAsia" w:ascii="Times New Roman"/>
        </w:rPr>
        <w:t>；</w:t>
      </w:r>
    </w:p>
    <w:p w14:paraId="471A6A6A">
      <w:pPr>
        <w:pStyle w:val="24"/>
        <w:rPr>
          <w:rFonts w:ascii="Times New Roman"/>
        </w:rPr>
      </w:pPr>
      <w:r>
        <w:rPr>
          <w:rFonts w:ascii="Times New Roman"/>
        </w:rPr>
        <w:t>（3）恒定加速度：Y1方向，加速度30000g（小于40引脚封装）或20000g（40引脚及以上）。</w:t>
      </w:r>
    </w:p>
    <w:p w14:paraId="5B713D99">
      <w:pPr>
        <w:pStyle w:val="24"/>
        <w:rPr>
          <w:rFonts w:ascii="Times New Roman"/>
        </w:rPr>
      </w:pPr>
      <w:r>
        <w:rPr>
          <w:rFonts w:hint="eastAsia" w:ascii="Times New Roman"/>
        </w:rPr>
        <w:t>汽车多芯片组件振动量级分级要求如表2所示。</w:t>
      </w:r>
    </w:p>
    <w:p w14:paraId="2254EF4D">
      <w:pPr>
        <w:pStyle w:val="24"/>
        <w:spacing w:before="156" w:beforeLines="50" w:after="156" w:afterLines="50"/>
        <w:ind w:firstLine="0" w:firstLineChars="0"/>
        <w:jc w:val="center"/>
        <w:rPr>
          <w:rFonts w:ascii="Arial" w:hAnsi="Arial" w:eastAsia="黑体" w:cs="Arial"/>
          <w:kern w:val="2"/>
          <w:sz w:val="20"/>
        </w:rPr>
      </w:pPr>
      <w:r>
        <w:rPr>
          <w:rFonts w:hint="eastAsia" w:ascii="Arial" w:hAnsi="Arial" w:eastAsia="黑体" w:cs="Arial"/>
          <w:kern w:val="2"/>
          <w:sz w:val="20"/>
        </w:rPr>
        <w:t xml:space="preserve">表 </w:t>
      </w:r>
      <w:r>
        <w:rPr>
          <w:rFonts w:ascii="Arial" w:hAnsi="Arial" w:eastAsia="黑体" w:cs="Arial"/>
          <w:kern w:val="2"/>
          <w:sz w:val="20"/>
        </w:rPr>
        <w:fldChar w:fldCharType="begin" w:fldLock="1"/>
      </w:r>
      <w:r>
        <w:rPr>
          <w:rFonts w:ascii="Arial" w:hAnsi="Arial" w:eastAsia="黑体" w:cs="Arial"/>
          <w:kern w:val="2"/>
          <w:sz w:val="20"/>
        </w:rPr>
        <w:instrText xml:space="preserve"> </w:instrText>
      </w:r>
      <w:r>
        <w:rPr>
          <w:rFonts w:hint="eastAsia" w:ascii="Arial" w:hAnsi="Arial" w:eastAsia="黑体" w:cs="Arial"/>
          <w:kern w:val="2"/>
          <w:sz w:val="20"/>
        </w:rPr>
        <w:instrText xml:space="preserve">SEQ 表 \* ARABIC</w:instrText>
      </w:r>
      <w:r>
        <w:rPr>
          <w:rFonts w:ascii="Arial" w:hAnsi="Arial" w:eastAsia="黑体" w:cs="Arial"/>
          <w:kern w:val="2"/>
          <w:sz w:val="20"/>
        </w:rPr>
        <w:instrText xml:space="preserve"> </w:instrText>
      </w:r>
      <w:r>
        <w:rPr>
          <w:rFonts w:ascii="Arial" w:hAnsi="Arial" w:eastAsia="黑体" w:cs="Arial"/>
          <w:kern w:val="2"/>
          <w:sz w:val="20"/>
        </w:rPr>
        <w:fldChar w:fldCharType="separate"/>
      </w:r>
      <w:r>
        <w:rPr>
          <w:rFonts w:ascii="Arial" w:hAnsi="Arial" w:eastAsia="黑体" w:cs="Arial"/>
          <w:kern w:val="2"/>
          <w:sz w:val="20"/>
        </w:rPr>
        <w:t>2</w:t>
      </w:r>
      <w:r>
        <w:rPr>
          <w:rFonts w:ascii="Arial" w:hAnsi="Arial" w:eastAsia="黑体" w:cs="Arial"/>
          <w:kern w:val="2"/>
          <w:sz w:val="20"/>
        </w:rPr>
        <w:fldChar w:fldCharType="end"/>
      </w:r>
      <w:r>
        <w:rPr>
          <w:rFonts w:ascii="Arial" w:hAnsi="Arial" w:eastAsia="黑体" w:cs="Arial"/>
          <w:kern w:val="2"/>
          <w:sz w:val="20"/>
        </w:rPr>
        <w:t xml:space="preserve"> </w:t>
      </w:r>
      <w:r>
        <w:rPr>
          <w:rFonts w:hint="eastAsia" w:ascii="Arial" w:hAnsi="Arial" w:eastAsia="黑体" w:cs="Arial"/>
          <w:kern w:val="2"/>
          <w:sz w:val="20"/>
        </w:rPr>
        <w:t>汽车多芯片组件振动等级</w:t>
      </w:r>
    </w:p>
    <w:tbl>
      <w:tblPr>
        <w:tblStyle w:val="33"/>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985"/>
        <w:gridCol w:w="3402"/>
      </w:tblGrid>
      <w:tr w14:paraId="65359AA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985" w:type="dxa"/>
            <w:tcBorders>
              <w:top w:val="single" w:color="000000" w:sz="12" w:space="0"/>
              <w:bottom w:val="single" w:color="000000" w:sz="12" w:space="0"/>
            </w:tcBorders>
            <w:shd w:val="clear" w:color="auto" w:fill="auto"/>
          </w:tcPr>
          <w:p w14:paraId="2F6D12D9">
            <w:pPr>
              <w:pStyle w:val="24"/>
              <w:adjustRightInd w:val="0"/>
              <w:snapToGrid w:val="0"/>
              <w:spacing w:before="156" w:beforeLines="50" w:after="156" w:afterLines="50"/>
              <w:ind w:firstLine="0" w:firstLineChars="0"/>
              <w:jc w:val="center"/>
              <w:rPr>
                <w:rFonts w:ascii="Times New Roman"/>
                <w:sz w:val="18"/>
                <w:szCs w:val="18"/>
              </w:rPr>
            </w:pPr>
            <w:r>
              <w:rPr>
                <w:rFonts w:ascii="Times New Roman"/>
                <w:sz w:val="18"/>
                <w:szCs w:val="18"/>
              </w:rPr>
              <w:t>振动等级</w:t>
            </w:r>
          </w:p>
        </w:tc>
        <w:tc>
          <w:tcPr>
            <w:tcW w:w="3402" w:type="dxa"/>
            <w:tcBorders>
              <w:top w:val="single" w:color="000000" w:sz="12" w:space="0"/>
              <w:bottom w:val="single" w:color="000000" w:sz="12" w:space="0"/>
            </w:tcBorders>
            <w:shd w:val="clear" w:color="auto" w:fill="auto"/>
          </w:tcPr>
          <w:p w14:paraId="0678D951">
            <w:pPr>
              <w:pStyle w:val="24"/>
              <w:adjustRightInd w:val="0"/>
              <w:snapToGrid w:val="0"/>
              <w:spacing w:before="156" w:beforeLines="50" w:after="156" w:afterLines="50"/>
              <w:ind w:firstLine="0" w:firstLineChars="0"/>
              <w:jc w:val="center"/>
              <w:rPr>
                <w:rFonts w:ascii="Times New Roman"/>
                <w:sz w:val="18"/>
                <w:szCs w:val="18"/>
              </w:rPr>
            </w:pPr>
            <w:r>
              <w:rPr>
                <w:rFonts w:ascii="Times New Roman"/>
                <w:sz w:val="18"/>
                <w:szCs w:val="18"/>
              </w:rPr>
              <w:t>振动试验</w:t>
            </w:r>
          </w:p>
        </w:tc>
      </w:tr>
      <w:tr w14:paraId="4B5B007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985" w:type="dxa"/>
            <w:tcBorders>
              <w:top w:val="single" w:color="000000" w:sz="12" w:space="0"/>
            </w:tcBorders>
            <w:shd w:val="clear" w:color="auto" w:fill="auto"/>
          </w:tcPr>
          <w:p w14:paraId="547B6C55">
            <w:pPr>
              <w:pStyle w:val="24"/>
              <w:adjustRightInd w:val="0"/>
              <w:snapToGrid w:val="0"/>
              <w:ind w:firstLine="0" w:firstLineChars="0"/>
              <w:jc w:val="center"/>
              <w:rPr>
                <w:rFonts w:ascii="Times New Roman"/>
                <w:sz w:val="18"/>
                <w:szCs w:val="18"/>
              </w:rPr>
            </w:pPr>
            <w:r>
              <w:rPr>
                <w:rFonts w:ascii="Times New Roman"/>
                <w:sz w:val="18"/>
                <w:szCs w:val="18"/>
              </w:rPr>
              <w:t>0</w:t>
            </w:r>
          </w:p>
        </w:tc>
        <w:tc>
          <w:tcPr>
            <w:tcW w:w="3402" w:type="dxa"/>
            <w:tcBorders>
              <w:top w:val="single" w:color="000000" w:sz="12" w:space="0"/>
            </w:tcBorders>
            <w:shd w:val="clear" w:color="auto" w:fill="auto"/>
          </w:tcPr>
          <w:p w14:paraId="1DF7ED65">
            <w:pPr>
              <w:pStyle w:val="24"/>
              <w:adjustRightInd w:val="0"/>
              <w:snapToGrid w:val="0"/>
              <w:ind w:firstLine="0" w:firstLineChars="0"/>
              <w:jc w:val="center"/>
              <w:rPr>
                <w:rFonts w:ascii="Times New Roman"/>
                <w:sz w:val="18"/>
                <w:szCs w:val="18"/>
              </w:rPr>
            </w:pPr>
            <w:r>
              <w:rPr>
                <w:rFonts w:ascii="Times New Roman"/>
                <w:sz w:val="18"/>
                <w:szCs w:val="18"/>
              </w:rPr>
              <w:t>扫频振动、机械冲击、恒定加速度</w:t>
            </w:r>
          </w:p>
        </w:tc>
      </w:tr>
      <w:tr w14:paraId="781ADE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985" w:type="dxa"/>
            <w:shd w:val="clear" w:color="auto" w:fill="auto"/>
          </w:tcPr>
          <w:p w14:paraId="7D2E186A">
            <w:pPr>
              <w:pStyle w:val="24"/>
              <w:adjustRightInd w:val="0"/>
              <w:snapToGrid w:val="0"/>
              <w:ind w:firstLine="0" w:firstLineChars="0"/>
              <w:jc w:val="center"/>
              <w:rPr>
                <w:rFonts w:ascii="Times New Roman"/>
                <w:sz w:val="18"/>
                <w:szCs w:val="18"/>
              </w:rPr>
            </w:pPr>
            <w:r>
              <w:rPr>
                <w:rFonts w:ascii="Times New Roman"/>
                <w:sz w:val="18"/>
                <w:szCs w:val="18"/>
              </w:rPr>
              <w:t>1</w:t>
            </w:r>
          </w:p>
        </w:tc>
        <w:tc>
          <w:tcPr>
            <w:tcW w:w="3402" w:type="dxa"/>
            <w:shd w:val="clear" w:color="auto" w:fill="auto"/>
          </w:tcPr>
          <w:p w14:paraId="6C6BA160">
            <w:pPr>
              <w:pStyle w:val="24"/>
              <w:adjustRightInd w:val="0"/>
              <w:snapToGrid w:val="0"/>
              <w:ind w:firstLine="0" w:firstLineChars="0"/>
              <w:jc w:val="center"/>
              <w:rPr>
                <w:rFonts w:ascii="Times New Roman"/>
                <w:sz w:val="18"/>
                <w:szCs w:val="18"/>
              </w:rPr>
            </w:pPr>
            <w:r>
              <w:rPr>
                <w:rFonts w:ascii="Times New Roman"/>
                <w:sz w:val="18"/>
                <w:szCs w:val="18"/>
              </w:rPr>
              <w:t>扫频振动、机械冲击</w:t>
            </w:r>
          </w:p>
        </w:tc>
      </w:tr>
      <w:tr w14:paraId="6D6100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985" w:type="dxa"/>
            <w:shd w:val="clear" w:color="auto" w:fill="auto"/>
          </w:tcPr>
          <w:p w14:paraId="39CE341E">
            <w:pPr>
              <w:pStyle w:val="24"/>
              <w:adjustRightInd w:val="0"/>
              <w:snapToGrid w:val="0"/>
              <w:ind w:firstLine="0" w:firstLineChars="0"/>
              <w:jc w:val="center"/>
              <w:rPr>
                <w:rFonts w:ascii="Times New Roman"/>
                <w:sz w:val="18"/>
                <w:szCs w:val="18"/>
              </w:rPr>
            </w:pPr>
            <w:r>
              <w:rPr>
                <w:rFonts w:ascii="Times New Roman"/>
                <w:sz w:val="18"/>
                <w:szCs w:val="18"/>
              </w:rPr>
              <w:t>2</w:t>
            </w:r>
          </w:p>
        </w:tc>
        <w:tc>
          <w:tcPr>
            <w:tcW w:w="3402" w:type="dxa"/>
            <w:shd w:val="clear" w:color="auto" w:fill="auto"/>
          </w:tcPr>
          <w:p w14:paraId="36B23326">
            <w:pPr>
              <w:pStyle w:val="24"/>
              <w:adjustRightInd w:val="0"/>
              <w:snapToGrid w:val="0"/>
              <w:ind w:firstLine="0" w:firstLineChars="0"/>
              <w:jc w:val="center"/>
              <w:rPr>
                <w:rFonts w:ascii="Times New Roman"/>
                <w:sz w:val="18"/>
                <w:szCs w:val="18"/>
              </w:rPr>
            </w:pPr>
            <w:r>
              <w:rPr>
                <w:rFonts w:ascii="Times New Roman"/>
                <w:sz w:val="18"/>
                <w:szCs w:val="18"/>
              </w:rPr>
              <w:t>扫频振动</w:t>
            </w:r>
          </w:p>
        </w:tc>
      </w:tr>
    </w:tbl>
    <w:p w14:paraId="3D6BD444">
      <w:pPr>
        <w:pStyle w:val="24"/>
        <w:ind w:firstLine="360"/>
        <w:rPr>
          <w:sz w:val="18"/>
        </w:rPr>
      </w:pPr>
      <w:r>
        <w:rPr>
          <w:rFonts w:hint="eastAsia" w:ascii="Times New Roman"/>
          <w:sz w:val="18"/>
        </w:rPr>
        <w:t>注：汽车多芯片组件振动试验仅适用于气密封装、破坏性试验等情况。</w:t>
      </w:r>
    </w:p>
    <w:p w14:paraId="6CBAF969">
      <w:pPr>
        <w:pStyle w:val="53"/>
        <w:rPr>
          <w:rFonts w:ascii="Times New Roman"/>
        </w:rPr>
      </w:pPr>
      <w:bookmarkStart w:id="55" w:name="_Toc204873417"/>
      <w:bookmarkStart w:id="56" w:name="_Toc199203873"/>
      <w:bookmarkStart w:id="57" w:name="_Toc199063395"/>
      <w:r>
        <w:rPr>
          <w:rFonts w:ascii="Times New Roman"/>
        </w:rPr>
        <w:t>静电放电</w:t>
      </w:r>
      <w:r>
        <w:rPr>
          <w:rFonts w:hint="eastAsia" w:ascii="Times New Roman"/>
        </w:rPr>
        <w:t>分级要求</w:t>
      </w:r>
      <w:bookmarkEnd w:id="55"/>
      <w:bookmarkEnd w:id="56"/>
      <w:bookmarkEnd w:id="57"/>
    </w:p>
    <w:p w14:paraId="5BFF20A3">
      <w:pPr>
        <w:pStyle w:val="24"/>
        <w:rPr>
          <w:rFonts w:ascii="Times New Roman"/>
        </w:rPr>
      </w:pPr>
      <w:r>
        <w:rPr>
          <w:rFonts w:ascii="Times New Roman"/>
        </w:rPr>
        <w:t>汽车多芯片组件静电放电</w:t>
      </w:r>
      <w:r>
        <w:rPr>
          <w:rFonts w:hint="eastAsia" w:ascii="Times New Roman"/>
        </w:rPr>
        <w:t>分级要求</w:t>
      </w:r>
      <w:r>
        <w:rPr>
          <w:rFonts w:ascii="Times New Roman"/>
        </w:rPr>
        <w:t>如</w:t>
      </w:r>
      <w:r>
        <w:rPr>
          <w:rFonts w:hint="eastAsia" w:ascii="Times New Roman"/>
        </w:rPr>
        <w:t>表3</w:t>
      </w:r>
      <w:r>
        <w:rPr>
          <w:rFonts w:ascii="Times New Roman"/>
        </w:rPr>
        <w:t>所示。</w:t>
      </w:r>
    </w:p>
    <w:p w14:paraId="6593F1D7">
      <w:pPr>
        <w:pStyle w:val="24"/>
        <w:spacing w:before="156" w:beforeLines="50" w:after="156" w:afterLines="50"/>
        <w:ind w:firstLine="0" w:firstLineChars="0"/>
        <w:jc w:val="center"/>
        <w:rPr>
          <w:rFonts w:ascii="Times New Roman" w:eastAsia="黑体"/>
          <w:kern w:val="2"/>
          <w:sz w:val="20"/>
        </w:rPr>
      </w:pPr>
      <w:r>
        <w:rPr>
          <w:rFonts w:ascii="Times New Roman" w:eastAsia="黑体"/>
          <w:kern w:val="2"/>
          <w:sz w:val="20"/>
        </w:rPr>
        <w:t xml:space="preserve">表 </w:t>
      </w:r>
      <w:r>
        <w:rPr>
          <w:rFonts w:ascii="Times New Roman" w:eastAsia="黑体"/>
          <w:kern w:val="2"/>
          <w:sz w:val="20"/>
        </w:rPr>
        <w:fldChar w:fldCharType="begin" w:fldLock="1"/>
      </w:r>
      <w:r>
        <w:rPr>
          <w:rFonts w:ascii="Times New Roman" w:eastAsia="黑体"/>
          <w:kern w:val="2"/>
          <w:sz w:val="20"/>
        </w:rPr>
        <w:instrText xml:space="preserve"> SEQ 表 \* ARABIC </w:instrText>
      </w:r>
      <w:r>
        <w:rPr>
          <w:rFonts w:ascii="Times New Roman" w:eastAsia="黑体"/>
          <w:kern w:val="2"/>
          <w:sz w:val="20"/>
        </w:rPr>
        <w:fldChar w:fldCharType="separate"/>
      </w:r>
      <w:r>
        <w:rPr>
          <w:rFonts w:ascii="Times New Roman" w:eastAsia="黑体"/>
          <w:kern w:val="2"/>
          <w:sz w:val="20"/>
        </w:rPr>
        <w:t>3</w:t>
      </w:r>
      <w:r>
        <w:rPr>
          <w:rFonts w:ascii="Times New Roman" w:eastAsia="黑体"/>
          <w:kern w:val="2"/>
          <w:sz w:val="20"/>
        </w:rPr>
        <w:fldChar w:fldCharType="end"/>
      </w:r>
      <w:r>
        <w:rPr>
          <w:rFonts w:ascii="Times New Roman" w:eastAsia="黑体"/>
          <w:kern w:val="2"/>
          <w:sz w:val="20"/>
        </w:rPr>
        <w:t xml:space="preserve"> </w:t>
      </w:r>
      <w:r>
        <w:rPr>
          <w:rFonts w:hint="eastAsia" w:ascii="Times New Roman" w:eastAsia="黑体"/>
          <w:kern w:val="2"/>
          <w:sz w:val="20"/>
        </w:rPr>
        <w:t>汽车多芯片组件</w:t>
      </w:r>
      <w:r>
        <w:rPr>
          <w:rFonts w:ascii="Times New Roman" w:eastAsia="黑体"/>
          <w:kern w:val="2"/>
          <w:sz w:val="20"/>
        </w:rPr>
        <w:t>静电放电等级</w:t>
      </w:r>
    </w:p>
    <w:tbl>
      <w:tblPr>
        <w:tblStyle w:val="33"/>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299"/>
        <w:gridCol w:w="2461"/>
        <w:gridCol w:w="1681"/>
        <w:gridCol w:w="2321"/>
      </w:tblGrid>
      <w:tr w14:paraId="464A11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299" w:type="dxa"/>
            <w:tcBorders>
              <w:top w:val="single" w:color="000000" w:sz="12" w:space="0"/>
              <w:bottom w:val="single" w:color="000000" w:sz="12" w:space="0"/>
            </w:tcBorders>
            <w:shd w:val="clear" w:color="auto" w:fill="auto"/>
          </w:tcPr>
          <w:p w14:paraId="77B1C322">
            <w:pPr>
              <w:pStyle w:val="24"/>
              <w:adjustRightInd w:val="0"/>
              <w:snapToGrid w:val="0"/>
              <w:spacing w:before="156" w:beforeLines="50" w:after="156" w:afterLines="50"/>
              <w:ind w:firstLine="0" w:firstLineChars="0"/>
              <w:jc w:val="center"/>
              <w:rPr>
                <w:rFonts w:ascii="Times New Roman"/>
                <w:sz w:val="18"/>
                <w:szCs w:val="18"/>
              </w:rPr>
            </w:pPr>
            <w:r>
              <w:rPr>
                <w:rFonts w:ascii="Times New Roman"/>
                <w:sz w:val="18"/>
                <w:szCs w:val="18"/>
              </w:rPr>
              <w:t>等级（CDM）</w:t>
            </w:r>
          </w:p>
        </w:tc>
        <w:tc>
          <w:tcPr>
            <w:tcW w:w="2461" w:type="dxa"/>
            <w:tcBorders>
              <w:top w:val="single" w:color="000000" w:sz="12" w:space="0"/>
              <w:bottom w:val="single" w:color="000000" w:sz="12" w:space="0"/>
            </w:tcBorders>
            <w:shd w:val="clear" w:color="auto" w:fill="auto"/>
            <w:vAlign w:val="center"/>
          </w:tcPr>
          <w:p w14:paraId="7997DD1E">
            <w:pPr>
              <w:pStyle w:val="24"/>
              <w:adjustRightInd w:val="0"/>
              <w:snapToGrid w:val="0"/>
              <w:spacing w:before="156" w:beforeLines="50" w:after="156" w:afterLines="50"/>
              <w:ind w:firstLine="0" w:firstLineChars="0"/>
              <w:jc w:val="center"/>
              <w:rPr>
                <w:rFonts w:ascii="Times New Roman"/>
                <w:sz w:val="18"/>
                <w:szCs w:val="18"/>
              </w:rPr>
            </w:pPr>
            <w:r>
              <w:rPr>
                <w:rFonts w:ascii="Times New Roman"/>
                <w:sz w:val="18"/>
                <w:szCs w:val="18"/>
              </w:rPr>
              <w:t>电压范围</w:t>
            </w:r>
          </w:p>
        </w:tc>
        <w:tc>
          <w:tcPr>
            <w:tcW w:w="1681" w:type="dxa"/>
            <w:tcBorders>
              <w:top w:val="single" w:color="000000" w:sz="12" w:space="0"/>
              <w:bottom w:val="single" w:color="000000" w:sz="12" w:space="0"/>
            </w:tcBorders>
            <w:vAlign w:val="center"/>
          </w:tcPr>
          <w:p w14:paraId="520ACC25">
            <w:pPr>
              <w:pStyle w:val="24"/>
              <w:adjustRightInd w:val="0"/>
              <w:snapToGrid w:val="0"/>
              <w:spacing w:before="156" w:beforeLines="50" w:after="156" w:afterLines="50"/>
              <w:ind w:firstLine="0" w:firstLineChars="0"/>
              <w:jc w:val="center"/>
              <w:rPr>
                <w:rFonts w:ascii="Times New Roman"/>
                <w:sz w:val="18"/>
                <w:szCs w:val="18"/>
              </w:rPr>
            </w:pPr>
            <w:r>
              <w:rPr>
                <w:rFonts w:ascii="Times New Roman"/>
                <w:sz w:val="18"/>
                <w:szCs w:val="18"/>
              </w:rPr>
              <w:t>等级（HBM）</w:t>
            </w:r>
          </w:p>
        </w:tc>
        <w:tc>
          <w:tcPr>
            <w:tcW w:w="2321" w:type="dxa"/>
            <w:tcBorders>
              <w:top w:val="single" w:color="000000" w:sz="12" w:space="0"/>
              <w:bottom w:val="single" w:color="000000" w:sz="12" w:space="0"/>
            </w:tcBorders>
            <w:vAlign w:val="center"/>
          </w:tcPr>
          <w:p w14:paraId="03469836">
            <w:pPr>
              <w:pStyle w:val="24"/>
              <w:adjustRightInd w:val="0"/>
              <w:snapToGrid w:val="0"/>
              <w:spacing w:before="156" w:beforeLines="50" w:after="156" w:afterLines="50"/>
              <w:ind w:firstLine="0" w:firstLineChars="0"/>
              <w:jc w:val="center"/>
              <w:rPr>
                <w:rFonts w:ascii="Times New Roman"/>
                <w:sz w:val="18"/>
                <w:szCs w:val="18"/>
              </w:rPr>
            </w:pPr>
            <w:r>
              <w:rPr>
                <w:rFonts w:ascii="Times New Roman"/>
                <w:sz w:val="18"/>
                <w:szCs w:val="18"/>
              </w:rPr>
              <w:t>电压范围</w:t>
            </w:r>
          </w:p>
        </w:tc>
      </w:tr>
      <w:tr w14:paraId="647A05C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299" w:type="dxa"/>
            <w:tcBorders>
              <w:top w:val="single" w:color="000000" w:sz="12" w:space="0"/>
            </w:tcBorders>
            <w:shd w:val="clear" w:color="auto" w:fill="auto"/>
          </w:tcPr>
          <w:p w14:paraId="2284C8F4">
            <w:pPr>
              <w:pStyle w:val="24"/>
              <w:ind w:firstLine="0" w:firstLineChars="0"/>
              <w:jc w:val="center"/>
              <w:rPr>
                <w:rFonts w:ascii="Times New Roman"/>
                <w:sz w:val="18"/>
                <w:szCs w:val="18"/>
              </w:rPr>
            </w:pPr>
            <w:r>
              <w:rPr>
                <w:rFonts w:ascii="Times New Roman"/>
                <w:sz w:val="18"/>
                <w:szCs w:val="18"/>
              </w:rPr>
              <w:t>C0a</w:t>
            </w:r>
          </w:p>
        </w:tc>
        <w:tc>
          <w:tcPr>
            <w:tcW w:w="2461" w:type="dxa"/>
            <w:tcBorders>
              <w:top w:val="single" w:color="000000" w:sz="12" w:space="0"/>
            </w:tcBorders>
            <w:shd w:val="clear" w:color="auto" w:fill="auto"/>
          </w:tcPr>
          <w:p w14:paraId="5B1DF70E">
            <w:pPr>
              <w:pStyle w:val="24"/>
              <w:ind w:firstLine="0" w:firstLineChars="0"/>
              <w:jc w:val="center"/>
              <w:rPr>
                <w:rFonts w:ascii="Times New Roman"/>
                <w:sz w:val="18"/>
                <w:szCs w:val="18"/>
              </w:rPr>
            </w:pPr>
            <w:r>
              <w:rPr>
                <w:rFonts w:ascii="Times New Roman"/>
                <w:sz w:val="18"/>
                <w:szCs w:val="18"/>
              </w:rPr>
              <w:t>&lt;125V</w:t>
            </w:r>
          </w:p>
        </w:tc>
        <w:tc>
          <w:tcPr>
            <w:tcW w:w="1681" w:type="dxa"/>
            <w:tcBorders>
              <w:top w:val="single" w:color="000000" w:sz="12" w:space="0"/>
            </w:tcBorders>
          </w:tcPr>
          <w:p w14:paraId="279BB9B1">
            <w:pPr>
              <w:pStyle w:val="24"/>
              <w:ind w:firstLine="0" w:firstLineChars="0"/>
              <w:jc w:val="center"/>
              <w:rPr>
                <w:rFonts w:ascii="Times New Roman"/>
                <w:sz w:val="18"/>
                <w:szCs w:val="18"/>
              </w:rPr>
            </w:pPr>
            <w:r>
              <w:rPr>
                <w:rFonts w:ascii="Times New Roman"/>
                <w:sz w:val="18"/>
                <w:szCs w:val="18"/>
              </w:rPr>
              <w:t>0Z</w:t>
            </w:r>
          </w:p>
        </w:tc>
        <w:tc>
          <w:tcPr>
            <w:tcW w:w="2321" w:type="dxa"/>
            <w:tcBorders>
              <w:top w:val="single" w:color="000000" w:sz="12" w:space="0"/>
            </w:tcBorders>
          </w:tcPr>
          <w:p w14:paraId="1C2F7A78">
            <w:pPr>
              <w:pStyle w:val="24"/>
              <w:ind w:firstLine="0" w:firstLineChars="0"/>
              <w:jc w:val="center"/>
              <w:rPr>
                <w:rFonts w:ascii="Times New Roman"/>
                <w:sz w:val="18"/>
                <w:szCs w:val="18"/>
              </w:rPr>
            </w:pPr>
            <w:r>
              <w:rPr>
                <w:rFonts w:ascii="Times New Roman"/>
                <w:sz w:val="18"/>
                <w:szCs w:val="18"/>
              </w:rPr>
              <w:t>&lt;50V</w:t>
            </w:r>
          </w:p>
        </w:tc>
      </w:tr>
      <w:tr w14:paraId="187EA1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299" w:type="dxa"/>
            <w:shd w:val="clear" w:color="auto" w:fill="auto"/>
          </w:tcPr>
          <w:p w14:paraId="383CF910">
            <w:pPr>
              <w:pStyle w:val="24"/>
              <w:ind w:firstLine="0" w:firstLineChars="0"/>
              <w:jc w:val="center"/>
              <w:rPr>
                <w:rFonts w:ascii="Times New Roman"/>
                <w:sz w:val="18"/>
                <w:szCs w:val="18"/>
              </w:rPr>
            </w:pPr>
            <w:r>
              <w:rPr>
                <w:rFonts w:ascii="Times New Roman"/>
                <w:sz w:val="18"/>
                <w:szCs w:val="18"/>
              </w:rPr>
              <w:t>C0b</w:t>
            </w:r>
          </w:p>
        </w:tc>
        <w:tc>
          <w:tcPr>
            <w:tcW w:w="2461" w:type="dxa"/>
            <w:shd w:val="clear" w:color="auto" w:fill="auto"/>
          </w:tcPr>
          <w:p w14:paraId="162BBD1F">
            <w:pPr>
              <w:pStyle w:val="24"/>
              <w:ind w:firstLine="0" w:firstLineChars="0"/>
              <w:jc w:val="center"/>
              <w:rPr>
                <w:rFonts w:ascii="Times New Roman"/>
                <w:sz w:val="18"/>
                <w:szCs w:val="18"/>
              </w:rPr>
            </w:pPr>
            <w:r>
              <w:rPr>
                <w:rFonts w:ascii="Times New Roman"/>
                <w:sz w:val="18"/>
                <w:szCs w:val="18"/>
              </w:rPr>
              <w:t>125V</w:t>
            </w:r>
            <w:r>
              <w:rPr>
                <w:rFonts w:hint="eastAsia" w:ascii="Times New Roman"/>
                <w:sz w:val="18"/>
                <w:szCs w:val="18"/>
              </w:rPr>
              <w:t>≤CDM</w:t>
            </w:r>
            <w:r>
              <w:rPr>
                <w:rFonts w:ascii="Times New Roman"/>
                <w:sz w:val="18"/>
                <w:szCs w:val="18"/>
              </w:rPr>
              <w:t>＜250V</w:t>
            </w:r>
          </w:p>
        </w:tc>
        <w:tc>
          <w:tcPr>
            <w:tcW w:w="1681" w:type="dxa"/>
          </w:tcPr>
          <w:p w14:paraId="27030DBA">
            <w:pPr>
              <w:pStyle w:val="24"/>
              <w:ind w:firstLine="0" w:firstLineChars="0"/>
              <w:jc w:val="center"/>
              <w:rPr>
                <w:rFonts w:ascii="Times New Roman"/>
                <w:sz w:val="18"/>
                <w:szCs w:val="18"/>
              </w:rPr>
            </w:pPr>
            <w:r>
              <w:rPr>
                <w:rFonts w:ascii="Times New Roman"/>
                <w:sz w:val="18"/>
                <w:szCs w:val="18"/>
              </w:rPr>
              <w:t>0A</w:t>
            </w:r>
          </w:p>
        </w:tc>
        <w:tc>
          <w:tcPr>
            <w:tcW w:w="2321" w:type="dxa"/>
          </w:tcPr>
          <w:p w14:paraId="3B326CA4">
            <w:pPr>
              <w:pStyle w:val="24"/>
              <w:ind w:firstLine="0" w:firstLineChars="0"/>
              <w:jc w:val="center"/>
              <w:rPr>
                <w:rFonts w:ascii="Times New Roman"/>
                <w:sz w:val="18"/>
                <w:szCs w:val="18"/>
              </w:rPr>
            </w:pPr>
            <w:r>
              <w:rPr>
                <w:rFonts w:ascii="Times New Roman"/>
                <w:sz w:val="18"/>
                <w:szCs w:val="18"/>
              </w:rPr>
              <w:t>50V</w:t>
            </w:r>
            <w:r>
              <w:rPr>
                <w:rFonts w:hint="eastAsia" w:ascii="Times New Roman"/>
                <w:sz w:val="18"/>
                <w:szCs w:val="18"/>
              </w:rPr>
              <w:t>≤HBM</w:t>
            </w:r>
            <w:r>
              <w:rPr>
                <w:rFonts w:ascii="Times New Roman"/>
                <w:sz w:val="18"/>
                <w:szCs w:val="18"/>
              </w:rPr>
              <w:t>＜125V</w:t>
            </w:r>
          </w:p>
        </w:tc>
      </w:tr>
      <w:tr w14:paraId="0804B8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299" w:type="dxa"/>
            <w:shd w:val="clear" w:color="auto" w:fill="auto"/>
          </w:tcPr>
          <w:p w14:paraId="4D110CBC">
            <w:pPr>
              <w:pStyle w:val="24"/>
              <w:ind w:firstLine="0" w:firstLineChars="0"/>
              <w:jc w:val="center"/>
              <w:rPr>
                <w:rFonts w:ascii="Times New Roman"/>
                <w:sz w:val="18"/>
                <w:szCs w:val="18"/>
              </w:rPr>
            </w:pPr>
            <w:r>
              <w:rPr>
                <w:rFonts w:ascii="Times New Roman"/>
                <w:sz w:val="18"/>
                <w:szCs w:val="18"/>
              </w:rPr>
              <w:t>C1</w:t>
            </w:r>
          </w:p>
        </w:tc>
        <w:tc>
          <w:tcPr>
            <w:tcW w:w="2461" w:type="dxa"/>
            <w:shd w:val="clear" w:color="auto" w:fill="auto"/>
          </w:tcPr>
          <w:p w14:paraId="2222600A">
            <w:pPr>
              <w:pStyle w:val="24"/>
              <w:ind w:firstLine="0" w:firstLineChars="0"/>
              <w:jc w:val="center"/>
              <w:rPr>
                <w:rFonts w:ascii="Times New Roman"/>
                <w:sz w:val="18"/>
                <w:szCs w:val="18"/>
              </w:rPr>
            </w:pPr>
            <w:r>
              <w:rPr>
                <w:rFonts w:ascii="Times New Roman"/>
                <w:sz w:val="18"/>
                <w:szCs w:val="18"/>
              </w:rPr>
              <w:t>250V</w:t>
            </w:r>
            <w:r>
              <w:rPr>
                <w:rFonts w:hint="eastAsia" w:ascii="Times New Roman"/>
                <w:sz w:val="18"/>
                <w:szCs w:val="18"/>
              </w:rPr>
              <w:t>≤CDM</w:t>
            </w:r>
            <w:r>
              <w:rPr>
                <w:rFonts w:ascii="Times New Roman"/>
                <w:sz w:val="18"/>
                <w:szCs w:val="18"/>
              </w:rPr>
              <w:t>＜500V</w:t>
            </w:r>
          </w:p>
        </w:tc>
        <w:tc>
          <w:tcPr>
            <w:tcW w:w="1681" w:type="dxa"/>
          </w:tcPr>
          <w:p w14:paraId="1BCB2E03">
            <w:pPr>
              <w:pStyle w:val="24"/>
              <w:ind w:firstLine="0" w:firstLineChars="0"/>
              <w:jc w:val="center"/>
              <w:rPr>
                <w:rFonts w:ascii="Times New Roman"/>
                <w:sz w:val="18"/>
                <w:szCs w:val="18"/>
              </w:rPr>
            </w:pPr>
            <w:r>
              <w:rPr>
                <w:rFonts w:ascii="Times New Roman"/>
                <w:sz w:val="18"/>
                <w:szCs w:val="18"/>
              </w:rPr>
              <w:t>0B</w:t>
            </w:r>
          </w:p>
        </w:tc>
        <w:tc>
          <w:tcPr>
            <w:tcW w:w="2321" w:type="dxa"/>
          </w:tcPr>
          <w:p w14:paraId="5CB0DC6A">
            <w:pPr>
              <w:pStyle w:val="24"/>
              <w:ind w:firstLine="0" w:firstLineChars="0"/>
              <w:jc w:val="center"/>
              <w:rPr>
                <w:rFonts w:ascii="Times New Roman"/>
                <w:sz w:val="18"/>
                <w:szCs w:val="18"/>
              </w:rPr>
            </w:pPr>
            <w:r>
              <w:rPr>
                <w:rFonts w:ascii="Times New Roman"/>
                <w:sz w:val="18"/>
                <w:szCs w:val="18"/>
              </w:rPr>
              <w:t>125V</w:t>
            </w:r>
            <w:r>
              <w:rPr>
                <w:rFonts w:hint="eastAsia" w:ascii="Times New Roman"/>
                <w:sz w:val="18"/>
                <w:szCs w:val="18"/>
              </w:rPr>
              <w:t>≤HBM</w:t>
            </w:r>
            <w:r>
              <w:rPr>
                <w:rFonts w:ascii="Times New Roman"/>
                <w:sz w:val="18"/>
                <w:szCs w:val="18"/>
              </w:rPr>
              <w:t>＜250V</w:t>
            </w:r>
          </w:p>
        </w:tc>
      </w:tr>
      <w:tr w14:paraId="1979E21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299" w:type="dxa"/>
            <w:shd w:val="clear" w:color="auto" w:fill="auto"/>
          </w:tcPr>
          <w:p w14:paraId="382AF3F1">
            <w:pPr>
              <w:pStyle w:val="24"/>
              <w:ind w:firstLine="0" w:firstLineChars="0"/>
              <w:jc w:val="center"/>
              <w:rPr>
                <w:rFonts w:ascii="Times New Roman"/>
                <w:sz w:val="18"/>
                <w:szCs w:val="18"/>
              </w:rPr>
            </w:pPr>
            <w:r>
              <w:rPr>
                <w:rFonts w:ascii="Times New Roman"/>
                <w:sz w:val="18"/>
                <w:szCs w:val="18"/>
              </w:rPr>
              <w:t>C2a</w:t>
            </w:r>
          </w:p>
        </w:tc>
        <w:tc>
          <w:tcPr>
            <w:tcW w:w="2461" w:type="dxa"/>
            <w:shd w:val="clear" w:color="auto" w:fill="auto"/>
          </w:tcPr>
          <w:p w14:paraId="62DD3206">
            <w:pPr>
              <w:pStyle w:val="24"/>
              <w:ind w:firstLine="0" w:firstLineChars="0"/>
              <w:jc w:val="center"/>
              <w:rPr>
                <w:rFonts w:ascii="Times New Roman"/>
                <w:sz w:val="18"/>
                <w:szCs w:val="18"/>
              </w:rPr>
            </w:pPr>
            <w:r>
              <w:rPr>
                <w:rFonts w:ascii="Times New Roman"/>
                <w:sz w:val="18"/>
                <w:szCs w:val="18"/>
              </w:rPr>
              <w:t>500V</w:t>
            </w:r>
            <w:r>
              <w:rPr>
                <w:rFonts w:hint="eastAsia" w:ascii="Times New Roman"/>
                <w:sz w:val="18"/>
                <w:szCs w:val="18"/>
              </w:rPr>
              <w:t>≤CDM</w:t>
            </w:r>
            <w:r>
              <w:rPr>
                <w:rFonts w:ascii="Times New Roman"/>
                <w:sz w:val="18"/>
                <w:szCs w:val="18"/>
              </w:rPr>
              <w:t>＜750V</w:t>
            </w:r>
          </w:p>
        </w:tc>
        <w:tc>
          <w:tcPr>
            <w:tcW w:w="1681" w:type="dxa"/>
          </w:tcPr>
          <w:p w14:paraId="5AD50956">
            <w:pPr>
              <w:pStyle w:val="24"/>
              <w:ind w:firstLine="0" w:firstLineChars="0"/>
              <w:jc w:val="center"/>
              <w:rPr>
                <w:rFonts w:ascii="Times New Roman"/>
                <w:sz w:val="18"/>
                <w:szCs w:val="18"/>
              </w:rPr>
            </w:pPr>
            <w:r>
              <w:rPr>
                <w:rFonts w:ascii="Times New Roman"/>
                <w:sz w:val="18"/>
                <w:szCs w:val="18"/>
              </w:rPr>
              <w:t>1A</w:t>
            </w:r>
          </w:p>
        </w:tc>
        <w:tc>
          <w:tcPr>
            <w:tcW w:w="2321" w:type="dxa"/>
          </w:tcPr>
          <w:p w14:paraId="39D41D6E">
            <w:pPr>
              <w:pStyle w:val="24"/>
              <w:ind w:firstLine="0" w:firstLineChars="0"/>
              <w:jc w:val="center"/>
              <w:rPr>
                <w:rFonts w:ascii="Times New Roman"/>
                <w:sz w:val="18"/>
                <w:szCs w:val="18"/>
              </w:rPr>
            </w:pPr>
            <w:r>
              <w:rPr>
                <w:rFonts w:ascii="Times New Roman"/>
                <w:sz w:val="18"/>
                <w:szCs w:val="18"/>
              </w:rPr>
              <w:t>250V</w:t>
            </w:r>
            <w:r>
              <w:rPr>
                <w:rFonts w:hint="eastAsia" w:ascii="Times New Roman"/>
                <w:sz w:val="18"/>
                <w:szCs w:val="18"/>
              </w:rPr>
              <w:t>≤HBM</w:t>
            </w:r>
            <w:r>
              <w:rPr>
                <w:rFonts w:ascii="Times New Roman"/>
                <w:sz w:val="18"/>
                <w:szCs w:val="18"/>
              </w:rPr>
              <w:t>＜500V</w:t>
            </w:r>
          </w:p>
        </w:tc>
      </w:tr>
      <w:tr w14:paraId="4EFDBC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299" w:type="dxa"/>
            <w:shd w:val="clear" w:color="auto" w:fill="auto"/>
          </w:tcPr>
          <w:p w14:paraId="73E3AA74">
            <w:pPr>
              <w:pStyle w:val="24"/>
              <w:ind w:firstLine="0" w:firstLineChars="0"/>
              <w:jc w:val="center"/>
              <w:rPr>
                <w:rFonts w:ascii="Times New Roman"/>
                <w:sz w:val="18"/>
                <w:szCs w:val="18"/>
              </w:rPr>
            </w:pPr>
            <w:r>
              <w:rPr>
                <w:rFonts w:ascii="Times New Roman"/>
                <w:sz w:val="18"/>
                <w:szCs w:val="18"/>
              </w:rPr>
              <w:t>C2b</w:t>
            </w:r>
          </w:p>
        </w:tc>
        <w:tc>
          <w:tcPr>
            <w:tcW w:w="2461" w:type="dxa"/>
            <w:shd w:val="clear" w:color="auto" w:fill="auto"/>
          </w:tcPr>
          <w:p w14:paraId="000F0806">
            <w:pPr>
              <w:pStyle w:val="24"/>
              <w:ind w:firstLine="0" w:firstLineChars="0"/>
              <w:jc w:val="center"/>
              <w:rPr>
                <w:rFonts w:ascii="Times New Roman"/>
                <w:sz w:val="18"/>
                <w:szCs w:val="18"/>
              </w:rPr>
            </w:pPr>
            <w:r>
              <w:rPr>
                <w:rFonts w:ascii="Times New Roman"/>
                <w:sz w:val="18"/>
                <w:szCs w:val="18"/>
              </w:rPr>
              <w:t>750V</w:t>
            </w:r>
            <w:r>
              <w:rPr>
                <w:rFonts w:hint="eastAsia" w:ascii="Times New Roman"/>
                <w:sz w:val="18"/>
                <w:szCs w:val="18"/>
              </w:rPr>
              <w:t>≤CDM</w:t>
            </w:r>
            <w:r>
              <w:rPr>
                <w:rFonts w:ascii="Times New Roman"/>
                <w:sz w:val="18"/>
                <w:szCs w:val="18"/>
              </w:rPr>
              <w:t>＜1000V</w:t>
            </w:r>
          </w:p>
        </w:tc>
        <w:tc>
          <w:tcPr>
            <w:tcW w:w="1681" w:type="dxa"/>
          </w:tcPr>
          <w:p w14:paraId="5BB38699">
            <w:pPr>
              <w:pStyle w:val="24"/>
              <w:ind w:firstLine="0" w:firstLineChars="0"/>
              <w:jc w:val="center"/>
              <w:rPr>
                <w:rFonts w:ascii="Times New Roman"/>
                <w:sz w:val="18"/>
                <w:szCs w:val="18"/>
              </w:rPr>
            </w:pPr>
            <w:r>
              <w:rPr>
                <w:rFonts w:ascii="Times New Roman"/>
                <w:sz w:val="18"/>
                <w:szCs w:val="18"/>
              </w:rPr>
              <w:t>1B</w:t>
            </w:r>
          </w:p>
        </w:tc>
        <w:tc>
          <w:tcPr>
            <w:tcW w:w="2321" w:type="dxa"/>
          </w:tcPr>
          <w:p w14:paraId="113F932C">
            <w:pPr>
              <w:pStyle w:val="24"/>
              <w:ind w:firstLine="0" w:firstLineChars="0"/>
              <w:jc w:val="center"/>
              <w:rPr>
                <w:rFonts w:ascii="Times New Roman"/>
                <w:sz w:val="18"/>
                <w:szCs w:val="18"/>
              </w:rPr>
            </w:pPr>
            <w:r>
              <w:rPr>
                <w:rFonts w:ascii="Times New Roman"/>
                <w:sz w:val="18"/>
                <w:szCs w:val="18"/>
              </w:rPr>
              <w:t>500V</w:t>
            </w:r>
            <w:r>
              <w:rPr>
                <w:rFonts w:hint="eastAsia" w:ascii="Times New Roman"/>
                <w:sz w:val="18"/>
                <w:szCs w:val="18"/>
              </w:rPr>
              <w:t>≤HBM</w:t>
            </w:r>
            <w:r>
              <w:rPr>
                <w:rFonts w:ascii="Times New Roman"/>
                <w:sz w:val="18"/>
                <w:szCs w:val="18"/>
              </w:rPr>
              <w:t>＜1000V</w:t>
            </w:r>
          </w:p>
        </w:tc>
      </w:tr>
      <w:tr w14:paraId="41B137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299" w:type="dxa"/>
            <w:shd w:val="clear" w:color="auto" w:fill="auto"/>
          </w:tcPr>
          <w:p w14:paraId="7729D9B9">
            <w:pPr>
              <w:pStyle w:val="24"/>
              <w:ind w:firstLine="0" w:firstLineChars="0"/>
              <w:jc w:val="center"/>
              <w:rPr>
                <w:rFonts w:ascii="Times New Roman"/>
                <w:sz w:val="18"/>
                <w:szCs w:val="18"/>
              </w:rPr>
            </w:pPr>
            <w:r>
              <w:rPr>
                <w:rFonts w:ascii="Times New Roman"/>
                <w:sz w:val="18"/>
                <w:szCs w:val="18"/>
              </w:rPr>
              <w:t>C3</w:t>
            </w:r>
          </w:p>
        </w:tc>
        <w:tc>
          <w:tcPr>
            <w:tcW w:w="2461" w:type="dxa"/>
            <w:shd w:val="clear" w:color="auto" w:fill="auto"/>
          </w:tcPr>
          <w:p w14:paraId="1B928F50">
            <w:pPr>
              <w:pStyle w:val="24"/>
              <w:ind w:firstLine="0" w:firstLineChars="0"/>
              <w:jc w:val="center"/>
              <w:rPr>
                <w:rFonts w:ascii="Times New Roman"/>
                <w:sz w:val="18"/>
                <w:szCs w:val="18"/>
              </w:rPr>
            </w:pPr>
            <w:r>
              <w:rPr>
                <w:rFonts w:ascii="Times New Roman"/>
                <w:sz w:val="18"/>
                <w:szCs w:val="18"/>
              </w:rPr>
              <w:t>≥1000V</w:t>
            </w:r>
          </w:p>
        </w:tc>
        <w:tc>
          <w:tcPr>
            <w:tcW w:w="1681" w:type="dxa"/>
          </w:tcPr>
          <w:p w14:paraId="6090A256">
            <w:pPr>
              <w:pStyle w:val="24"/>
              <w:ind w:firstLine="0" w:firstLineChars="0"/>
              <w:jc w:val="center"/>
              <w:rPr>
                <w:rFonts w:ascii="Times New Roman"/>
                <w:sz w:val="18"/>
                <w:szCs w:val="18"/>
              </w:rPr>
            </w:pPr>
            <w:r>
              <w:rPr>
                <w:rFonts w:ascii="Times New Roman"/>
                <w:sz w:val="18"/>
                <w:szCs w:val="18"/>
              </w:rPr>
              <w:t>1C</w:t>
            </w:r>
          </w:p>
        </w:tc>
        <w:tc>
          <w:tcPr>
            <w:tcW w:w="2321" w:type="dxa"/>
          </w:tcPr>
          <w:p w14:paraId="27B0B8E0">
            <w:pPr>
              <w:pStyle w:val="24"/>
              <w:ind w:firstLine="0" w:firstLineChars="0"/>
              <w:jc w:val="center"/>
              <w:rPr>
                <w:rFonts w:ascii="Times New Roman"/>
                <w:sz w:val="18"/>
                <w:szCs w:val="18"/>
              </w:rPr>
            </w:pPr>
            <w:r>
              <w:rPr>
                <w:rFonts w:ascii="Times New Roman"/>
                <w:sz w:val="18"/>
                <w:szCs w:val="18"/>
              </w:rPr>
              <w:t>1000V</w:t>
            </w:r>
            <w:r>
              <w:rPr>
                <w:rFonts w:hint="eastAsia" w:ascii="Times New Roman"/>
                <w:sz w:val="18"/>
                <w:szCs w:val="18"/>
              </w:rPr>
              <w:t>≤HBM</w:t>
            </w:r>
            <w:r>
              <w:rPr>
                <w:rFonts w:ascii="Times New Roman"/>
                <w:sz w:val="18"/>
                <w:szCs w:val="18"/>
              </w:rPr>
              <w:t>＜2000V</w:t>
            </w:r>
          </w:p>
        </w:tc>
      </w:tr>
      <w:tr w14:paraId="164A5EF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299" w:type="dxa"/>
            <w:shd w:val="clear" w:color="auto" w:fill="auto"/>
          </w:tcPr>
          <w:p w14:paraId="46BD3A0D">
            <w:pPr>
              <w:pStyle w:val="24"/>
              <w:ind w:firstLine="0" w:firstLineChars="0"/>
              <w:jc w:val="center"/>
              <w:rPr>
                <w:rFonts w:ascii="Times New Roman"/>
                <w:sz w:val="18"/>
                <w:szCs w:val="18"/>
              </w:rPr>
            </w:pPr>
            <w:r>
              <w:rPr>
                <w:rFonts w:ascii="Times New Roman"/>
                <w:sz w:val="18"/>
                <w:szCs w:val="18"/>
              </w:rPr>
              <w:t>/</w:t>
            </w:r>
          </w:p>
        </w:tc>
        <w:tc>
          <w:tcPr>
            <w:tcW w:w="2461" w:type="dxa"/>
            <w:shd w:val="clear" w:color="auto" w:fill="auto"/>
          </w:tcPr>
          <w:p w14:paraId="6468E275">
            <w:pPr>
              <w:pStyle w:val="24"/>
              <w:ind w:firstLine="0" w:firstLineChars="0"/>
              <w:jc w:val="center"/>
              <w:rPr>
                <w:rFonts w:ascii="Times New Roman"/>
                <w:sz w:val="18"/>
                <w:szCs w:val="18"/>
              </w:rPr>
            </w:pPr>
            <w:r>
              <w:rPr>
                <w:rFonts w:ascii="Times New Roman"/>
                <w:sz w:val="18"/>
                <w:szCs w:val="18"/>
              </w:rPr>
              <w:t>/</w:t>
            </w:r>
          </w:p>
        </w:tc>
        <w:tc>
          <w:tcPr>
            <w:tcW w:w="1681" w:type="dxa"/>
          </w:tcPr>
          <w:p w14:paraId="26C48543">
            <w:pPr>
              <w:pStyle w:val="24"/>
              <w:ind w:firstLine="0" w:firstLineChars="0"/>
              <w:jc w:val="center"/>
              <w:rPr>
                <w:rFonts w:ascii="Times New Roman"/>
                <w:sz w:val="18"/>
                <w:szCs w:val="18"/>
              </w:rPr>
            </w:pPr>
            <w:r>
              <w:rPr>
                <w:rFonts w:ascii="Times New Roman"/>
                <w:sz w:val="18"/>
                <w:szCs w:val="18"/>
              </w:rPr>
              <w:t>2</w:t>
            </w:r>
          </w:p>
        </w:tc>
        <w:tc>
          <w:tcPr>
            <w:tcW w:w="2321" w:type="dxa"/>
          </w:tcPr>
          <w:p w14:paraId="5C391E40">
            <w:pPr>
              <w:pStyle w:val="24"/>
              <w:ind w:firstLine="0" w:firstLineChars="0"/>
              <w:jc w:val="center"/>
              <w:rPr>
                <w:rFonts w:ascii="Times New Roman"/>
                <w:sz w:val="18"/>
                <w:szCs w:val="18"/>
              </w:rPr>
            </w:pPr>
            <w:r>
              <w:rPr>
                <w:rFonts w:ascii="Times New Roman"/>
                <w:sz w:val="18"/>
                <w:szCs w:val="18"/>
              </w:rPr>
              <w:t>2000V</w:t>
            </w:r>
            <w:r>
              <w:rPr>
                <w:rFonts w:hint="eastAsia" w:ascii="Times New Roman"/>
                <w:sz w:val="18"/>
                <w:szCs w:val="18"/>
              </w:rPr>
              <w:t>≤HBM</w:t>
            </w:r>
            <w:r>
              <w:rPr>
                <w:rFonts w:ascii="Times New Roman"/>
                <w:sz w:val="18"/>
                <w:szCs w:val="18"/>
              </w:rPr>
              <w:t>＜4000V</w:t>
            </w:r>
          </w:p>
        </w:tc>
      </w:tr>
      <w:tr w14:paraId="52B6EA7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299" w:type="dxa"/>
            <w:shd w:val="clear" w:color="auto" w:fill="auto"/>
          </w:tcPr>
          <w:p w14:paraId="3E29B173">
            <w:pPr>
              <w:pStyle w:val="24"/>
              <w:ind w:firstLine="0" w:firstLineChars="0"/>
              <w:jc w:val="center"/>
              <w:rPr>
                <w:rFonts w:ascii="Times New Roman"/>
                <w:sz w:val="18"/>
                <w:szCs w:val="18"/>
              </w:rPr>
            </w:pPr>
            <w:r>
              <w:rPr>
                <w:rFonts w:ascii="Times New Roman"/>
                <w:sz w:val="18"/>
                <w:szCs w:val="18"/>
              </w:rPr>
              <w:t>/</w:t>
            </w:r>
          </w:p>
        </w:tc>
        <w:tc>
          <w:tcPr>
            <w:tcW w:w="2461" w:type="dxa"/>
            <w:shd w:val="clear" w:color="auto" w:fill="auto"/>
          </w:tcPr>
          <w:p w14:paraId="60895773">
            <w:pPr>
              <w:pStyle w:val="24"/>
              <w:ind w:firstLine="0" w:firstLineChars="0"/>
              <w:jc w:val="center"/>
              <w:rPr>
                <w:rFonts w:ascii="Times New Roman"/>
                <w:sz w:val="18"/>
                <w:szCs w:val="18"/>
              </w:rPr>
            </w:pPr>
            <w:r>
              <w:rPr>
                <w:rFonts w:ascii="Times New Roman"/>
                <w:sz w:val="18"/>
                <w:szCs w:val="18"/>
              </w:rPr>
              <w:t>/</w:t>
            </w:r>
          </w:p>
        </w:tc>
        <w:tc>
          <w:tcPr>
            <w:tcW w:w="1681" w:type="dxa"/>
          </w:tcPr>
          <w:p w14:paraId="0FECCC58">
            <w:pPr>
              <w:pStyle w:val="24"/>
              <w:ind w:firstLine="0" w:firstLineChars="0"/>
              <w:jc w:val="center"/>
              <w:rPr>
                <w:rFonts w:ascii="Times New Roman"/>
                <w:sz w:val="18"/>
                <w:szCs w:val="18"/>
              </w:rPr>
            </w:pPr>
            <w:r>
              <w:rPr>
                <w:rFonts w:ascii="Times New Roman"/>
                <w:sz w:val="18"/>
                <w:szCs w:val="18"/>
              </w:rPr>
              <w:t>3A</w:t>
            </w:r>
          </w:p>
        </w:tc>
        <w:tc>
          <w:tcPr>
            <w:tcW w:w="2321" w:type="dxa"/>
          </w:tcPr>
          <w:p w14:paraId="0A67FF39">
            <w:pPr>
              <w:pStyle w:val="24"/>
              <w:ind w:firstLine="0" w:firstLineChars="0"/>
              <w:jc w:val="center"/>
              <w:rPr>
                <w:rFonts w:ascii="Times New Roman"/>
                <w:sz w:val="18"/>
                <w:szCs w:val="18"/>
              </w:rPr>
            </w:pPr>
            <w:r>
              <w:rPr>
                <w:rFonts w:ascii="Times New Roman"/>
                <w:sz w:val="18"/>
                <w:szCs w:val="18"/>
              </w:rPr>
              <w:t>4000V</w:t>
            </w:r>
            <w:r>
              <w:rPr>
                <w:rFonts w:hint="eastAsia" w:ascii="Times New Roman"/>
                <w:sz w:val="18"/>
                <w:szCs w:val="18"/>
              </w:rPr>
              <w:t>≤HBM</w:t>
            </w:r>
            <w:r>
              <w:rPr>
                <w:rFonts w:ascii="Times New Roman"/>
                <w:sz w:val="18"/>
                <w:szCs w:val="18"/>
              </w:rPr>
              <w:t>＜8000V</w:t>
            </w:r>
          </w:p>
        </w:tc>
      </w:tr>
      <w:tr w14:paraId="4C8359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299" w:type="dxa"/>
            <w:shd w:val="clear" w:color="auto" w:fill="auto"/>
          </w:tcPr>
          <w:p w14:paraId="4E4E09B6">
            <w:pPr>
              <w:pStyle w:val="24"/>
              <w:ind w:firstLine="0" w:firstLineChars="0"/>
              <w:jc w:val="center"/>
              <w:rPr>
                <w:rFonts w:ascii="Times New Roman"/>
                <w:sz w:val="18"/>
                <w:szCs w:val="18"/>
              </w:rPr>
            </w:pPr>
            <w:r>
              <w:rPr>
                <w:rFonts w:ascii="Times New Roman"/>
                <w:sz w:val="18"/>
                <w:szCs w:val="18"/>
              </w:rPr>
              <w:t>/</w:t>
            </w:r>
          </w:p>
        </w:tc>
        <w:tc>
          <w:tcPr>
            <w:tcW w:w="2461" w:type="dxa"/>
            <w:shd w:val="clear" w:color="auto" w:fill="auto"/>
          </w:tcPr>
          <w:p w14:paraId="22D75838">
            <w:pPr>
              <w:pStyle w:val="24"/>
              <w:ind w:firstLine="0" w:firstLineChars="0"/>
              <w:jc w:val="center"/>
              <w:rPr>
                <w:rFonts w:ascii="Times New Roman"/>
                <w:sz w:val="18"/>
                <w:szCs w:val="18"/>
              </w:rPr>
            </w:pPr>
            <w:r>
              <w:rPr>
                <w:rFonts w:ascii="Times New Roman"/>
                <w:sz w:val="18"/>
                <w:szCs w:val="18"/>
              </w:rPr>
              <w:t>/</w:t>
            </w:r>
          </w:p>
        </w:tc>
        <w:tc>
          <w:tcPr>
            <w:tcW w:w="1681" w:type="dxa"/>
          </w:tcPr>
          <w:p w14:paraId="3A6032A9">
            <w:pPr>
              <w:pStyle w:val="24"/>
              <w:ind w:firstLine="0" w:firstLineChars="0"/>
              <w:jc w:val="center"/>
              <w:rPr>
                <w:rFonts w:ascii="Times New Roman"/>
                <w:sz w:val="18"/>
                <w:szCs w:val="18"/>
              </w:rPr>
            </w:pPr>
            <w:r>
              <w:rPr>
                <w:rFonts w:ascii="Times New Roman"/>
                <w:sz w:val="18"/>
                <w:szCs w:val="18"/>
              </w:rPr>
              <w:t>3B</w:t>
            </w:r>
          </w:p>
        </w:tc>
        <w:tc>
          <w:tcPr>
            <w:tcW w:w="2321" w:type="dxa"/>
          </w:tcPr>
          <w:p w14:paraId="178460D4">
            <w:pPr>
              <w:pStyle w:val="24"/>
              <w:ind w:firstLine="0" w:firstLineChars="0"/>
              <w:jc w:val="center"/>
              <w:rPr>
                <w:rFonts w:ascii="Times New Roman"/>
                <w:sz w:val="18"/>
                <w:szCs w:val="18"/>
              </w:rPr>
            </w:pPr>
            <w:r>
              <w:rPr>
                <w:rFonts w:ascii="Times New Roman"/>
                <w:sz w:val="18"/>
                <w:szCs w:val="18"/>
              </w:rPr>
              <w:t>≥8000V</w:t>
            </w:r>
          </w:p>
        </w:tc>
      </w:tr>
    </w:tbl>
    <w:p w14:paraId="661D48FC">
      <w:pPr>
        <w:pStyle w:val="53"/>
        <w:rPr>
          <w:rFonts w:ascii="Times New Roman"/>
        </w:rPr>
      </w:pPr>
      <w:bookmarkStart w:id="58" w:name="_Toc199063396"/>
      <w:bookmarkStart w:id="59" w:name="_Toc204873418"/>
      <w:bookmarkStart w:id="60" w:name="_Toc199203874"/>
      <w:r>
        <w:rPr>
          <w:rFonts w:hint="eastAsia" w:ascii="Times New Roman"/>
        </w:rPr>
        <w:t>可靠性分级检测要求</w:t>
      </w:r>
      <w:bookmarkEnd w:id="58"/>
      <w:bookmarkEnd w:id="59"/>
      <w:bookmarkEnd w:id="60"/>
    </w:p>
    <w:bookmarkEnd w:id="43"/>
    <w:p w14:paraId="0C85E9BB">
      <w:pPr>
        <w:pStyle w:val="57"/>
        <w:spacing w:before="156" w:after="156"/>
        <w:ind w:left="425"/>
      </w:pPr>
      <w:r>
        <w:rPr>
          <w:rFonts w:hint="eastAsia"/>
        </w:rPr>
        <w:t>基于任务剖面的可靠性试验应力换算方法</w:t>
      </w:r>
    </w:p>
    <w:p w14:paraId="086459EB">
      <w:pPr>
        <w:pStyle w:val="24"/>
        <w:rPr>
          <w:rFonts w:ascii="Times New Roman"/>
        </w:rPr>
      </w:pPr>
      <w:r>
        <w:rPr>
          <w:rFonts w:hint="eastAsia" w:ascii="Times New Roman"/>
        </w:rPr>
        <w:t>汽车多芯片组件主要可靠性试验项目应力换算公式如表4所示。</w:t>
      </w:r>
    </w:p>
    <w:p w14:paraId="0CDA3B94">
      <w:pPr>
        <w:pStyle w:val="24"/>
        <w:spacing w:before="156" w:beforeLines="50" w:after="156" w:afterLines="50"/>
        <w:ind w:firstLine="0" w:firstLineChars="0"/>
        <w:jc w:val="center"/>
        <w:rPr>
          <w:rFonts w:eastAsia="黑体"/>
        </w:rPr>
      </w:pPr>
      <w:r>
        <w:rPr>
          <w:rFonts w:eastAsia="黑体"/>
          <w:sz w:val="20"/>
        </w:rPr>
        <w:t xml:space="preserve">表 </w:t>
      </w:r>
      <w:r>
        <w:rPr>
          <w:rFonts w:eastAsia="黑体"/>
          <w:sz w:val="20"/>
        </w:rPr>
        <w:fldChar w:fldCharType="begin" w:fldLock="1"/>
      </w:r>
      <w:r>
        <w:rPr>
          <w:rFonts w:eastAsia="黑体"/>
          <w:sz w:val="20"/>
        </w:rPr>
        <w:instrText xml:space="preserve"> SEQ 表 \* ARABIC </w:instrText>
      </w:r>
      <w:r>
        <w:rPr>
          <w:rFonts w:eastAsia="黑体"/>
          <w:sz w:val="20"/>
        </w:rPr>
        <w:fldChar w:fldCharType="separate"/>
      </w:r>
      <w:r>
        <w:rPr>
          <w:rFonts w:eastAsia="黑体"/>
          <w:sz w:val="20"/>
        </w:rPr>
        <w:t>4</w:t>
      </w:r>
      <w:r>
        <w:rPr>
          <w:rFonts w:eastAsia="黑体"/>
          <w:sz w:val="20"/>
        </w:rPr>
        <w:fldChar w:fldCharType="end"/>
      </w:r>
      <w:r>
        <w:rPr>
          <w:rFonts w:eastAsia="黑体"/>
        </w:rPr>
        <w:t xml:space="preserve"> 基于应力的试验条件基本换算方法</w:t>
      </w:r>
    </w:p>
    <w:tbl>
      <w:tblPr>
        <w:tblStyle w:val="33"/>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129"/>
        <w:gridCol w:w="6804"/>
        <w:gridCol w:w="1412"/>
      </w:tblGrid>
      <w:tr w14:paraId="3402C9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129" w:type="dxa"/>
            <w:tcBorders>
              <w:top w:val="single" w:color="000000" w:sz="12" w:space="0"/>
              <w:bottom w:val="single" w:color="000000" w:sz="12" w:space="0"/>
            </w:tcBorders>
            <w:shd w:val="clear" w:color="auto" w:fill="auto"/>
          </w:tcPr>
          <w:p w14:paraId="2B2C60E1">
            <w:pPr>
              <w:widowControl/>
              <w:autoSpaceDE w:val="0"/>
              <w:autoSpaceDN w:val="0"/>
              <w:adjustRightInd w:val="0"/>
              <w:snapToGrid w:val="0"/>
              <w:spacing w:before="156" w:beforeLines="50" w:after="156" w:afterLines="50"/>
              <w:jc w:val="center"/>
              <w:rPr>
                <w:sz w:val="18"/>
              </w:rPr>
            </w:pPr>
            <w:r>
              <w:rPr>
                <w:sz w:val="18"/>
              </w:rPr>
              <w:t>应力类型</w:t>
            </w:r>
          </w:p>
        </w:tc>
        <w:tc>
          <w:tcPr>
            <w:tcW w:w="6804" w:type="dxa"/>
            <w:tcBorders>
              <w:top w:val="single" w:color="000000" w:sz="12" w:space="0"/>
              <w:bottom w:val="single" w:color="000000" w:sz="12" w:space="0"/>
            </w:tcBorders>
            <w:shd w:val="clear" w:color="auto" w:fill="auto"/>
          </w:tcPr>
          <w:p w14:paraId="608D4F7C">
            <w:pPr>
              <w:widowControl/>
              <w:autoSpaceDE w:val="0"/>
              <w:autoSpaceDN w:val="0"/>
              <w:adjustRightInd w:val="0"/>
              <w:snapToGrid w:val="0"/>
              <w:spacing w:before="156" w:beforeLines="50" w:after="156" w:afterLines="50"/>
              <w:jc w:val="center"/>
              <w:rPr>
                <w:sz w:val="18"/>
              </w:rPr>
            </w:pPr>
            <w:r>
              <w:rPr>
                <w:sz w:val="18"/>
              </w:rPr>
              <w:t>加速模型</w:t>
            </w:r>
          </w:p>
        </w:tc>
        <w:tc>
          <w:tcPr>
            <w:tcW w:w="1412" w:type="dxa"/>
            <w:tcBorders>
              <w:top w:val="single" w:color="000000" w:sz="12" w:space="0"/>
              <w:bottom w:val="single" w:color="000000" w:sz="12" w:space="0"/>
            </w:tcBorders>
            <w:shd w:val="clear" w:color="auto" w:fill="auto"/>
          </w:tcPr>
          <w:p w14:paraId="282F2748">
            <w:pPr>
              <w:widowControl/>
              <w:autoSpaceDE w:val="0"/>
              <w:autoSpaceDN w:val="0"/>
              <w:adjustRightInd w:val="0"/>
              <w:snapToGrid w:val="0"/>
              <w:spacing w:before="156" w:beforeLines="50" w:after="156" w:afterLines="50"/>
              <w:jc w:val="center"/>
              <w:rPr>
                <w:sz w:val="18"/>
              </w:rPr>
            </w:pPr>
            <w:r>
              <w:rPr>
                <w:sz w:val="18"/>
              </w:rPr>
              <w:t>适用试验项目</w:t>
            </w:r>
          </w:p>
        </w:tc>
      </w:tr>
      <w:tr w14:paraId="35EDD9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1129" w:type="dxa"/>
            <w:tcBorders>
              <w:top w:val="single" w:color="000000" w:sz="12" w:space="0"/>
            </w:tcBorders>
            <w:shd w:val="clear" w:color="auto" w:fill="auto"/>
            <w:vAlign w:val="center"/>
          </w:tcPr>
          <w:p w14:paraId="6A05873B">
            <w:pPr>
              <w:adjustRightInd w:val="0"/>
              <w:snapToGrid w:val="0"/>
              <w:jc w:val="center"/>
              <w:rPr>
                <w:sz w:val="18"/>
              </w:rPr>
            </w:pPr>
            <w:r>
              <w:rPr>
                <w:sz w:val="18"/>
              </w:rPr>
              <w:t>热机械应力</w:t>
            </w:r>
          </w:p>
        </w:tc>
        <w:tc>
          <w:tcPr>
            <w:tcW w:w="6804" w:type="dxa"/>
            <w:tcBorders>
              <w:top w:val="single" w:color="000000" w:sz="12" w:space="0"/>
            </w:tcBorders>
            <w:shd w:val="clear" w:color="auto" w:fill="auto"/>
            <w:vAlign w:val="center"/>
          </w:tcPr>
          <w:p w14:paraId="7121CBA1">
            <w:pPr>
              <w:adjustRightInd w:val="0"/>
              <w:snapToGrid w:val="0"/>
              <w:jc w:val="center"/>
              <w:rPr>
                <w:sz w:val="18"/>
              </w:rPr>
            </w:pPr>
            <w:r>
              <w:rPr>
                <w:sz w:val="18"/>
              </w:rPr>
              <w:t>科芬-曼森模型（Coffin Manson）：</w:t>
            </w:r>
            <w:r>
              <w:rPr>
                <w:position w:val="-32"/>
                <w:sz w:val="18"/>
              </w:rPr>
              <w:object>
                <v:shape id="_x0000_i1025" o:spt="75" type="#_x0000_t75" style="height:34.5pt;width:57.4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rPr>
                <w:sz w:val="18"/>
              </w:rPr>
              <w:t>，m=4（典型值）</w:t>
            </w:r>
          </w:p>
        </w:tc>
        <w:tc>
          <w:tcPr>
            <w:tcW w:w="1412" w:type="dxa"/>
            <w:tcBorders>
              <w:top w:val="single" w:color="000000" w:sz="12" w:space="0"/>
            </w:tcBorders>
            <w:shd w:val="clear" w:color="auto" w:fill="auto"/>
            <w:vAlign w:val="center"/>
          </w:tcPr>
          <w:p w14:paraId="388DE097">
            <w:pPr>
              <w:adjustRightInd w:val="0"/>
              <w:snapToGrid w:val="0"/>
              <w:jc w:val="center"/>
              <w:rPr>
                <w:sz w:val="18"/>
              </w:rPr>
            </w:pPr>
            <w:r>
              <w:rPr>
                <w:sz w:val="18"/>
              </w:rPr>
              <w:t>PTC</w:t>
            </w:r>
          </w:p>
        </w:tc>
      </w:tr>
      <w:tr w14:paraId="4FB40D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88" w:hRule="atLeast"/>
          <w:jc w:val="center"/>
        </w:trPr>
        <w:tc>
          <w:tcPr>
            <w:tcW w:w="1129" w:type="dxa"/>
            <w:shd w:val="clear" w:color="auto" w:fill="auto"/>
            <w:vAlign w:val="center"/>
          </w:tcPr>
          <w:p w14:paraId="00BDB269">
            <w:pPr>
              <w:adjustRightInd w:val="0"/>
              <w:snapToGrid w:val="0"/>
              <w:jc w:val="center"/>
              <w:rPr>
                <w:sz w:val="18"/>
                <w:vertAlign w:val="superscript"/>
              </w:rPr>
            </w:pPr>
            <w:r>
              <w:rPr>
                <w:sz w:val="18"/>
              </w:rPr>
              <w:t>湿度</w:t>
            </w:r>
          </w:p>
        </w:tc>
        <w:tc>
          <w:tcPr>
            <w:tcW w:w="6804" w:type="dxa"/>
            <w:shd w:val="clear" w:color="auto" w:fill="auto"/>
            <w:vAlign w:val="center"/>
          </w:tcPr>
          <w:p w14:paraId="08720E62">
            <w:pPr>
              <w:adjustRightInd w:val="0"/>
              <w:snapToGrid w:val="0"/>
              <w:jc w:val="center"/>
              <w:rPr>
                <w:sz w:val="18"/>
              </w:rPr>
            </w:pPr>
            <w:r>
              <w:rPr>
                <w:sz w:val="18"/>
              </w:rPr>
              <w:t>哈尔伯格-佩克公式（Hallberg-Peck）：</w:t>
            </w:r>
            <w:r>
              <w:rPr>
                <w:position w:val="-34"/>
                <w:sz w:val="18"/>
              </w:rPr>
              <w:object>
                <v:shape id="_x0000_i1026" o:spt="75" type="#_x0000_t75" style="height:36pt;width:144.4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sz w:val="18"/>
              </w:rPr>
              <w:t>，p=3，E</w:t>
            </w:r>
            <w:r>
              <w:rPr>
                <w:sz w:val="18"/>
                <w:vertAlign w:val="subscript"/>
              </w:rPr>
              <w:t>a</w:t>
            </w:r>
            <w:r>
              <w:rPr>
                <w:sz w:val="18"/>
              </w:rPr>
              <w:t>=0.8eV，K</w:t>
            </w:r>
            <w:r>
              <w:rPr>
                <w:sz w:val="18"/>
                <w:vertAlign w:val="subscript"/>
              </w:rPr>
              <w:t>B</w:t>
            </w:r>
            <w:r>
              <w:rPr>
                <w:sz w:val="18"/>
              </w:rPr>
              <w:t>=8.61733*10</w:t>
            </w:r>
            <w:r>
              <w:rPr>
                <w:sz w:val="18"/>
                <w:vertAlign w:val="superscript"/>
              </w:rPr>
              <w:t>-5</w:t>
            </w:r>
            <w:r>
              <w:rPr>
                <w:sz w:val="18"/>
              </w:rPr>
              <w:t>eV/K</w:t>
            </w:r>
          </w:p>
        </w:tc>
        <w:tc>
          <w:tcPr>
            <w:tcW w:w="1412" w:type="dxa"/>
            <w:shd w:val="clear" w:color="auto" w:fill="auto"/>
            <w:vAlign w:val="center"/>
          </w:tcPr>
          <w:p w14:paraId="1A9E8DD6">
            <w:pPr>
              <w:adjustRightInd w:val="0"/>
              <w:snapToGrid w:val="0"/>
              <w:jc w:val="center"/>
              <w:rPr>
                <w:sz w:val="18"/>
              </w:rPr>
            </w:pPr>
            <w:r>
              <w:rPr>
                <w:sz w:val="18"/>
              </w:rPr>
              <w:t>HAST、UHST</w:t>
            </w:r>
          </w:p>
        </w:tc>
      </w:tr>
    </w:tbl>
    <w:p w14:paraId="497B3170">
      <w:pPr>
        <w:pStyle w:val="57"/>
        <w:spacing w:before="156" w:after="156"/>
        <w:ind w:left="425"/>
      </w:pPr>
      <w:r>
        <w:rPr>
          <w:rFonts w:hint="eastAsia"/>
        </w:rPr>
        <w:t>顺序试验</w:t>
      </w:r>
    </w:p>
    <w:p w14:paraId="16247F57">
      <w:pPr>
        <w:pStyle w:val="24"/>
        <w:rPr>
          <w:rFonts w:ascii="Times New Roman"/>
        </w:rPr>
      </w:pPr>
      <w:r>
        <w:rPr>
          <w:rFonts w:hint="eastAsia" w:ascii="Times New Roman"/>
        </w:rPr>
        <w:t>汽车多芯片组件必须先执行完TC，才能做HAST，具体需要执行的顺序试验见图1所示。</w:t>
      </w:r>
    </w:p>
    <w:tbl>
      <w:tblPr>
        <w:tblStyle w:val="3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71"/>
      </w:tblGrid>
      <w:tr w14:paraId="5B890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71" w:type="dxa"/>
            <w:vAlign w:val="center"/>
          </w:tcPr>
          <w:p w14:paraId="1135E46E">
            <w:pPr>
              <w:pStyle w:val="24"/>
              <w:ind w:firstLine="0" w:firstLineChars="0"/>
              <w:jc w:val="center"/>
              <w:rPr>
                <w:rFonts w:ascii="Times New Roman"/>
                <w:szCs w:val="18"/>
              </w:rPr>
            </w:pPr>
            <w:r>
              <w:rPr>
                <w:rFonts w:ascii="Times New Roman"/>
                <w:szCs w:val="18"/>
              </w:rPr>
              <w:drawing>
                <wp:inline distT="0" distB="0" distL="0" distR="0">
                  <wp:extent cx="2677795" cy="1955800"/>
                  <wp:effectExtent l="0" t="0" r="8255" b="6350"/>
                  <wp:docPr id="4" name="图片 4" descr="C:\Users\Administrator\Desktop\图片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图片2.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681892" cy="1959131"/>
                          </a:xfrm>
                          <a:prstGeom prst="rect">
                            <a:avLst/>
                          </a:prstGeom>
                          <a:noFill/>
                          <a:ln>
                            <a:noFill/>
                          </a:ln>
                        </pic:spPr>
                      </pic:pic>
                    </a:graphicData>
                  </a:graphic>
                </wp:inline>
              </w:drawing>
            </w:r>
          </w:p>
        </w:tc>
      </w:tr>
      <w:tr w14:paraId="2FE42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71" w:type="dxa"/>
            <w:vAlign w:val="center"/>
          </w:tcPr>
          <w:p w14:paraId="342FFC06">
            <w:pPr>
              <w:pStyle w:val="24"/>
              <w:ind w:firstLine="0" w:firstLineChars="0"/>
              <w:jc w:val="center"/>
              <w:rPr>
                <w:rFonts w:ascii="Times New Roman"/>
                <w:szCs w:val="18"/>
              </w:rPr>
            </w:pPr>
            <w:r>
              <w:rPr>
                <w:rFonts w:hint="eastAsia" w:ascii="Times New Roman"/>
                <w:szCs w:val="18"/>
              </w:rPr>
              <w:t>图1 顺序试验</w:t>
            </w:r>
          </w:p>
        </w:tc>
      </w:tr>
    </w:tbl>
    <w:p w14:paraId="60097E3E">
      <w:pPr>
        <w:pStyle w:val="57"/>
        <w:spacing w:before="156" w:after="156"/>
        <w:ind w:left="425"/>
      </w:pPr>
      <w:r>
        <w:rPr>
          <w:rFonts w:hint="eastAsia"/>
        </w:rPr>
        <w:t>基于任务剖面的</w:t>
      </w:r>
      <w:r>
        <w:t>可靠性分级</w:t>
      </w:r>
      <w:r>
        <w:rPr>
          <w:rFonts w:hint="eastAsia"/>
        </w:rPr>
        <w:t>检测</w:t>
      </w:r>
      <w:r>
        <w:t>要求</w:t>
      </w:r>
    </w:p>
    <w:p w14:paraId="673CFD04">
      <w:pPr>
        <w:pStyle w:val="24"/>
        <w:rPr>
          <w:rFonts w:ascii="Times New Roman"/>
        </w:rPr>
      </w:pPr>
      <w:r>
        <w:rPr>
          <w:rFonts w:hint="eastAsia" w:ascii="Times New Roman"/>
        </w:rPr>
        <w:t>本节基于汽车不同应用领域典型应用场景，给出了基于任务剖面的汽车多芯片组件可靠性分级检测要求。典型应用场景</w:t>
      </w:r>
      <w:r>
        <w:rPr>
          <w:rFonts w:ascii="Times New Roman"/>
        </w:rPr>
        <w:t>（包括但不限于</w:t>
      </w:r>
      <w:r>
        <w:rPr>
          <w:rFonts w:hint="eastAsia" w:ascii="Times New Roman"/>
        </w:rPr>
        <w:t>下表</w:t>
      </w:r>
      <w:r>
        <w:rPr>
          <w:rFonts w:ascii="Times New Roman"/>
        </w:rPr>
        <w:t>）</w:t>
      </w:r>
      <w:r>
        <w:rPr>
          <w:rFonts w:hint="eastAsia" w:ascii="Times New Roman"/>
        </w:rPr>
        <w:t>及推荐的可靠性检测等级如表5所示。不同应用领域介绍见附录。</w:t>
      </w:r>
    </w:p>
    <w:p w14:paraId="29C38342">
      <w:pPr>
        <w:pStyle w:val="24"/>
        <w:ind w:firstLine="0" w:firstLineChars="0"/>
        <w:jc w:val="center"/>
        <w:rPr>
          <w:rFonts w:ascii="Times New Roman" w:eastAsia="黑体"/>
          <w:kern w:val="2"/>
          <w:sz w:val="20"/>
        </w:rPr>
      </w:pPr>
      <w:r>
        <w:rPr>
          <w:rFonts w:ascii="Times New Roman" w:eastAsia="黑体"/>
          <w:kern w:val="2"/>
          <w:sz w:val="20"/>
        </w:rPr>
        <w:t xml:space="preserve">表 </w:t>
      </w:r>
      <w:r>
        <w:rPr>
          <w:rFonts w:ascii="Times New Roman" w:eastAsia="黑体"/>
          <w:kern w:val="2"/>
          <w:sz w:val="20"/>
        </w:rPr>
        <w:fldChar w:fldCharType="begin" w:fldLock="1"/>
      </w:r>
      <w:r>
        <w:rPr>
          <w:rFonts w:ascii="Times New Roman" w:eastAsia="黑体"/>
          <w:kern w:val="2"/>
          <w:sz w:val="20"/>
        </w:rPr>
        <w:instrText xml:space="preserve"> SEQ 表 \* ARABIC </w:instrText>
      </w:r>
      <w:r>
        <w:rPr>
          <w:rFonts w:ascii="Times New Roman" w:eastAsia="黑体"/>
          <w:kern w:val="2"/>
          <w:sz w:val="20"/>
        </w:rPr>
        <w:fldChar w:fldCharType="separate"/>
      </w:r>
      <w:r>
        <w:rPr>
          <w:rFonts w:ascii="Times New Roman" w:eastAsia="黑体"/>
          <w:kern w:val="2"/>
          <w:sz w:val="20"/>
        </w:rPr>
        <w:t>5</w:t>
      </w:r>
      <w:r>
        <w:rPr>
          <w:rFonts w:ascii="Times New Roman" w:eastAsia="黑体"/>
          <w:kern w:val="2"/>
          <w:sz w:val="20"/>
        </w:rPr>
        <w:fldChar w:fldCharType="end"/>
      </w:r>
      <w:r>
        <w:rPr>
          <w:rFonts w:ascii="Times New Roman" w:eastAsia="黑体"/>
          <w:kern w:val="2"/>
          <w:sz w:val="20"/>
        </w:rPr>
        <w:t xml:space="preserve"> </w:t>
      </w:r>
      <w:r>
        <w:rPr>
          <w:rFonts w:hint="eastAsia" w:ascii="Times New Roman" w:eastAsia="黑体"/>
          <w:kern w:val="2"/>
          <w:sz w:val="20"/>
        </w:rPr>
        <w:t>汽车多芯片组件</w:t>
      </w:r>
      <w:r>
        <w:rPr>
          <w:rFonts w:ascii="Times New Roman" w:eastAsia="黑体"/>
          <w:kern w:val="2"/>
          <w:sz w:val="20"/>
        </w:rPr>
        <w:t>可靠性</w:t>
      </w:r>
      <w:r>
        <w:rPr>
          <w:rFonts w:hint="eastAsia" w:ascii="Times New Roman" w:eastAsia="黑体"/>
          <w:kern w:val="2"/>
          <w:sz w:val="20"/>
        </w:rPr>
        <w:t>检测</w:t>
      </w:r>
      <w:r>
        <w:rPr>
          <w:rFonts w:ascii="Times New Roman" w:eastAsia="黑体"/>
          <w:kern w:val="2"/>
          <w:sz w:val="20"/>
        </w:rPr>
        <w:t>等级</w:t>
      </w:r>
    </w:p>
    <w:tbl>
      <w:tblPr>
        <w:tblStyle w:val="33"/>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129"/>
        <w:gridCol w:w="7102"/>
      </w:tblGrid>
      <w:tr w14:paraId="0FEC8A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129" w:type="dxa"/>
            <w:tcBorders>
              <w:top w:val="single" w:color="000000" w:sz="12" w:space="0"/>
              <w:bottom w:val="single" w:color="000000" w:sz="12" w:space="0"/>
            </w:tcBorders>
            <w:shd w:val="clear" w:color="auto" w:fill="auto"/>
            <w:vAlign w:val="center"/>
          </w:tcPr>
          <w:p w14:paraId="4C8F37AB">
            <w:pPr>
              <w:pStyle w:val="24"/>
              <w:adjustRightInd w:val="0"/>
              <w:snapToGrid w:val="0"/>
              <w:spacing w:before="156" w:beforeLines="50" w:after="156" w:afterLines="50"/>
              <w:ind w:firstLine="0" w:firstLineChars="0"/>
              <w:jc w:val="center"/>
              <w:rPr>
                <w:rFonts w:ascii="Times New Roman"/>
                <w:b/>
                <w:sz w:val="18"/>
                <w:szCs w:val="18"/>
              </w:rPr>
            </w:pPr>
            <w:r>
              <w:rPr>
                <w:rFonts w:ascii="Times New Roman"/>
                <w:b/>
                <w:sz w:val="18"/>
                <w:szCs w:val="18"/>
              </w:rPr>
              <w:t>等级</w:t>
            </w:r>
          </w:p>
        </w:tc>
        <w:tc>
          <w:tcPr>
            <w:tcW w:w="7102" w:type="dxa"/>
            <w:tcBorders>
              <w:top w:val="single" w:color="000000" w:sz="12" w:space="0"/>
              <w:bottom w:val="single" w:color="000000" w:sz="12" w:space="0"/>
            </w:tcBorders>
            <w:shd w:val="clear" w:color="auto" w:fill="auto"/>
          </w:tcPr>
          <w:p w14:paraId="2D5779E8">
            <w:pPr>
              <w:pStyle w:val="24"/>
              <w:adjustRightInd w:val="0"/>
              <w:snapToGrid w:val="0"/>
              <w:spacing w:before="156" w:beforeLines="50" w:after="156" w:afterLines="50"/>
              <w:ind w:firstLine="0" w:firstLineChars="0"/>
              <w:jc w:val="center"/>
              <w:rPr>
                <w:rFonts w:ascii="Times New Roman"/>
                <w:b/>
                <w:sz w:val="18"/>
                <w:szCs w:val="18"/>
              </w:rPr>
            </w:pPr>
            <w:r>
              <w:rPr>
                <w:rFonts w:ascii="Times New Roman"/>
                <w:b/>
                <w:sz w:val="18"/>
                <w:szCs w:val="18"/>
              </w:rPr>
              <w:t>典型应用场景</w:t>
            </w:r>
          </w:p>
        </w:tc>
      </w:tr>
      <w:tr w14:paraId="34014B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129" w:type="dxa"/>
            <w:tcBorders>
              <w:top w:val="single" w:color="000000" w:sz="12" w:space="0"/>
            </w:tcBorders>
            <w:shd w:val="clear" w:color="auto" w:fill="auto"/>
            <w:vAlign w:val="center"/>
          </w:tcPr>
          <w:p w14:paraId="008A4CCF">
            <w:pPr>
              <w:pStyle w:val="24"/>
              <w:adjustRightInd w:val="0"/>
              <w:snapToGrid w:val="0"/>
              <w:ind w:firstLine="0" w:firstLineChars="0"/>
              <w:jc w:val="center"/>
              <w:rPr>
                <w:rFonts w:ascii="Times New Roman"/>
                <w:sz w:val="18"/>
                <w:szCs w:val="18"/>
              </w:rPr>
            </w:pPr>
            <w:r>
              <w:rPr>
                <w:rFonts w:ascii="Times New Roman"/>
                <w:sz w:val="18"/>
                <w:szCs w:val="18"/>
              </w:rPr>
              <w:t>0</w:t>
            </w:r>
          </w:p>
        </w:tc>
        <w:tc>
          <w:tcPr>
            <w:tcW w:w="7102" w:type="dxa"/>
            <w:tcBorders>
              <w:top w:val="single" w:color="000000" w:sz="12" w:space="0"/>
            </w:tcBorders>
            <w:shd w:val="clear" w:color="auto" w:fill="auto"/>
          </w:tcPr>
          <w:p w14:paraId="54B161C9">
            <w:pPr>
              <w:pStyle w:val="24"/>
              <w:adjustRightInd w:val="0"/>
              <w:snapToGrid w:val="0"/>
              <w:ind w:firstLine="0" w:firstLineChars="0"/>
              <w:jc w:val="center"/>
              <w:rPr>
                <w:rFonts w:ascii="Times New Roman"/>
                <w:sz w:val="18"/>
                <w:szCs w:val="18"/>
              </w:rPr>
            </w:pPr>
            <w:r>
              <w:rPr>
                <w:rFonts w:ascii="Times New Roman"/>
                <w:sz w:val="18"/>
                <w:szCs w:val="18"/>
              </w:rPr>
              <w:t>传动系统、行驶系统、转向系统、制动系统等</w:t>
            </w:r>
          </w:p>
        </w:tc>
      </w:tr>
      <w:tr w14:paraId="32548DC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129" w:type="dxa"/>
            <w:shd w:val="clear" w:color="auto" w:fill="auto"/>
            <w:vAlign w:val="center"/>
          </w:tcPr>
          <w:p w14:paraId="30C9300A">
            <w:pPr>
              <w:pStyle w:val="24"/>
              <w:adjustRightInd w:val="0"/>
              <w:snapToGrid w:val="0"/>
              <w:ind w:firstLine="0" w:firstLineChars="0"/>
              <w:jc w:val="center"/>
              <w:rPr>
                <w:rFonts w:ascii="Times New Roman"/>
                <w:sz w:val="18"/>
                <w:szCs w:val="18"/>
              </w:rPr>
            </w:pPr>
            <w:r>
              <w:rPr>
                <w:rFonts w:ascii="Times New Roman"/>
                <w:sz w:val="18"/>
                <w:szCs w:val="18"/>
              </w:rPr>
              <w:t>1</w:t>
            </w:r>
          </w:p>
        </w:tc>
        <w:tc>
          <w:tcPr>
            <w:tcW w:w="7102" w:type="dxa"/>
            <w:shd w:val="clear" w:color="auto" w:fill="auto"/>
          </w:tcPr>
          <w:p w14:paraId="3144AAAD">
            <w:pPr>
              <w:pStyle w:val="24"/>
              <w:adjustRightInd w:val="0"/>
              <w:snapToGrid w:val="0"/>
              <w:ind w:firstLine="0" w:firstLineChars="0"/>
              <w:jc w:val="center"/>
              <w:rPr>
                <w:rFonts w:ascii="Times New Roman"/>
                <w:sz w:val="18"/>
                <w:szCs w:val="18"/>
              </w:rPr>
            </w:pPr>
            <w:r>
              <w:rPr>
                <w:rFonts w:ascii="Times New Roman"/>
                <w:sz w:val="18"/>
                <w:szCs w:val="18"/>
              </w:rPr>
              <w:t>发动机系统、新能源电驱系统、能源系统等</w:t>
            </w:r>
          </w:p>
        </w:tc>
      </w:tr>
      <w:tr w14:paraId="25F2B4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129" w:type="dxa"/>
            <w:shd w:val="clear" w:color="auto" w:fill="auto"/>
            <w:vAlign w:val="center"/>
          </w:tcPr>
          <w:p w14:paraId="70D010D0">
            <w:pPr>
              <w:pStyle w:val="24"/>
              <w:adjustRightInd w:val="0"/>
              <w:snapToGrid w:val="0"/>
              <w:ind w:firstLine="0" w:firstLineChars="0"/>
              <w:jc w:val="center"/>
              <w:rPr>
                <w:rFonts w:ascii="Times New Roman"/>
                <w:sz w:val="18"/>
                <w:szCs w:val="18"/>
              </w:rPr>
            </w:pPr>
            <w:r>
              <w:rPr>
                <w:rFonts w:ascii="Times New Roman"/>
                <w:sz w:val="18"/>
                <w:szCs w:val="18"/>
              </w:rPr>
              <w:t>2</w:t>
            </w:r>
          </w:p>
        </w:tc>
        <w:tc>
          <w:tcPr>
            <w:tcW w:w="7102" w:type="dxa"/>
            <w:shd w:val="clear" w:color="auto" w:fill="auto"/>
          </w:tcPr>
          <w:p w14:paraId="7921EFA0">
            <w:pPr>
              <w:pStyle w:val="24"/>
              <w:adjustRightInd w:val="0"/>
              <w:snapToGrid w:val="0"/>
              <w:ind w:firstLine="0" w:firstLineChars="0"/>
              <w:jc w:val="left"/>
              <w:rPr>
                <w:rFonts w:ascii="Times New Roman"/>
                <w:sz w:val="18"/>
                <w:szCs w:val="18"/>
              </w:rPr>
            </w:pPr>
            <w:r>
              <w:rPr>
                <w:rFonts w:ascii="Times New Roman"/>
                <w:sz w:val="18"/>
                <w:szCs w:val="18"/>
              </w:rPr>
              <w:t>车身控制系统、车身内饰系统、车身外饰系统、车身安全系统、开闭件系统、热管理系统等</w:t>
            </w:r>
          </w:p>
        </w:tc>
      </w:tr>
      <w:tr w14:paraId="2BA926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129" w:type="dxa"/>
            <w:shd w:val="clear" w:color="auto" w:fill="auto"/>
            <w:vAlign w:val="center"/>
          </w:tcPr>
          <w:p w14:paraId="6B12CB6C">
            <w:pPr>
              <w:pStyle w:val="24"/>
              <w:adjustRightInd w:val="0"/>
              <w:snapToGrid w:val="0"/>
              <w:ind w:firstLine="0" w:firstLineChars="0"/>
              <w:jc w:val="center"/>
              <w:rPr>
                <w:rFonts w:ascii="Times New Roman"/>
                <w:sz w:val="18"/>
                <w:szCs w:val="18"/>
              </w:rPr>
            </w:pPr>
            <w:r>
              <w:rPr>
                <w:rFonts w:hint="eastAsia" w:ascii="Times New Roman"/>
                <w:sz w:val="18"/>
                <w:szCs w:val="18"/>
              </w:rPr>
              <w:t>3</w:t>
            </w:r>
          </w:p>
        </w:tc>
        <w:tc>
          <w:tcPr>
            <w:tcW w:w="7102" w:type="dxa"/>
            <w:shd w:val="clear" w:color="auto" w:fill="auto"/>
          </w:tcPr>
          <w:p w14:paraId="4B12CF57">
            <w:pPr>
              <w:pStyle w:val="24"/>
              <w:adjustRightInd w:val="0"/>
              <w:snapToGrid w:val="0"/>
              <w:ind w:firstLine="0" w:firstLineChars="0"/>
              <w:jc w:val="left"/>
              <w:rPr>
                <w:rFonts w:ascii="Times New Roman"/>
                <w:sz w:val="18"/>
                <w:szCs w:val="18"/>
              </w:rPr>
            </w:pPr>
            <w:r>
              <w:rPr>
                <w:rFonts w:ascii="Times New Roman"/>
                <w:sz w:val="18"/>
                <w:szCs w:val="18"/>
              </w:rPr>
              <w:t>环境感知系统、通信系统、智能决策系统等</w:t>
            </w:r>
          </w:p>
        </w:tc>
      </w:tr>
      <w:tr w14:paraId="4FFAE60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129" w:type="dxa"/>
            <w:shd w:val="clear" w:color="auto" w:fill="auto"/>
            <w:vAlign w:val="center"/>
          </w:tcPr>
          <w:p w14:paraId="1324CA30">
            <w:pPr>
              <w:pStyle w:val="24"/>
              <w:adjustRightInd w:val="0"/>
              <w:snapToGrid w:val="0"/>
              <w:ind w:firstLine="0" w:firstLineChars="0"/>
              <w:jc w:val="center"/>
              <w:rPr>
                <w:rFonts w:ascii="Times New Roman"/>
                <w:sz w:val="18"/>
                <w:szCs w:val="18"/>
              </w:rPr>
            </w:pPr>
            <w:r>
              <w:rPr>
                <w:rFonts w:ascii="Times New Roman"/>
                <w:sz w:val="18"/>
                <w:szCs w:val="18"/>
              </w:rPr>
              <w:t>4</w:t>
            </w:r>
          </w:p>
        </w:tc>
        <w:tc>
          <w:tcPr>
            <w:tcW w:w="7102" w:type="dxa"/>
            <w:shd w:val="clear" w:color="auto" w:fill="auto"/>
          </w:tcPr>
          <w:p w14:paraId="056D5FA5">
            <w:pPr>
              <w:pStyle w:val="24"/>
              <w:adjustRightInd w:val="0"/>
              <w:snapToGrid w:val="0"/>
              <w:ind w:firstLine="0" w:firstLineChars="0"/>
              <w:jc w:val="left"/>
              <w:rPr>
                <w:rFonts w:ascii="Times New Roman"/>
                <w:sz w:val="18"/>
                <w:szCs w:val="18"/>
              </w:rPr>
            </w:pPr>
            <w:r>
              <w:rPr>
                <w:rFonts w:ascii="Times New Roman"/>
                <w:sz w:val="18"/>
                <w:szCs w:val="18"/>
              </w:rPr>
              <w:t>车载信息娱乐系统、仪表系统、抬头显示系统、流媒体后视镜、电子不停车收费系统、汽车事件数据记录系统等</w:t>
            </w:r>
          </w:p>
        </w:tc>
      </w:tr>
    </w:tbl>
    <w:p w14:paraId="67567C84">
      <w:pPr>
        <w:pStyle w:val="24"/>
        <w:rPr>
          <w:rFonts w:ascii="Times New Roman"/>
        </w:rPr>
      </w:pPr>
      <w:r>
        <w:rPr>
          <w:rFonts w:hint="eastAsia" w:ascii="Times New Roman"/>
        </w:rPr>
        <w:t>表6-表</w:t>
      </w:r>
      <w:r>
        <w:rPr>
          <w:rFonts w:ascii="Times New Roman"/>
        </w:rPr>
        <w:t>10</w:t>
      </w:r>
      <w:r>
        <w:rPr>
          <w:rFonts w:hint="eastAsia" w:ascii="Times New Roman"/>
        </w:rPr>
        <w:t>给出了汽车不同可靠性检测等级对应试验项目、样品数量、试验条件等要求，表中未涉及的试验项目仍参考现有汽车多芯片组件检测标准执行。表6-表</w:t>
      </w:r>
      <w:r>
        <w:rPr>
          <w:rFonts w:ascii="Times New Roman"/>
        </w:rPr>
        <w:t>10</w:t>
      </w:r>
      <w:r>
        <w:rPr>
          <w:rFonts w:hint="eastAsia" w:ascii="Times New Roman"/>
        </w:rPr>
        <w:t>给出的是汽车多芯片组件可靠性试验推荐条件，实际执行以多芯片组件企业与整车/零部件企业协商一致为准，可以根据具体任务剖面，按照4.6.1节换算得到定制化试验条件。</w:t>
      </w:r>
    </w:p>
    <w:p w14:paraId="7BF3D114">
      <w:pPr>
        <w:pStyle w:val="24"/>
        <w:spacing w:before="156" w:beforeLines="50" w:after="156" w:afterLines="50"/>
        <w:ind w:firstLine="0" w:firstLineChars="0"/>
        <w:jc w:val="center"/>
        <w:rPr>
          <w:rFonts w:ascii="Times New Roman"/>
        </w:rPr>
      </w:pPr>
      <w:r>
        <w:rPr>
          <w:rFonts w:ascii="Times New Roman" w:eastAsia="黑体"/>
        </w:rPr>
        <w:t xml:space="preserve">表 </w:t>
      </w:r>
      <w:r>
        <w:rPr>
          <w:rFonts w:ascii="Times New Roman" w:eastAsia="黑体"/>
        </w:rPr>
        <w:fldChar w:fldCharType="begin" w:fldLock="1"/>
      </w:r>
      <w:r>
        <w:rPr>
          <w:rFonts w:ascii="Times New Roman" w:eastAsia="黑体"/>
        </w:rPr>
        <w:instrText xml:space="preserve"> SEQ 表 \* ARABIC </w:instrText>
      </w:r>
      <w:r>
        <w:rPr>
          <w:rFonts w:ascii="Times New Roman" w:eastAsia="黑体"/>
        </w:rPr>
        <w:fldChar w:fldCharType="separate"/>
      </w:r>
      <w:r>
        <w:rPr>
          <w:rFonts w:ascii="Times New Roman" w:eastAsia="黑体"/>
        </w:rPr>
        <w:t>6</w:t>
      </w:r>
      <w:r>
        <w:rPr>
          <w:rFonts w:ascii="Times New Roman" w:eastAsia="黑体"/>
        </w:rPr>
        <w:fldChar w:fldCharType="end"/>
      </w:r>
      <w:r>
        <w:rPr>
          <w:rFonts w:ascii="Times New Roman" w:eastAsia="黑体"/>
        </w:rPr>
        <w:t>汽车多芯片组件0级</w:t>
      </w:r>
      <w:r>
        <w:rPr>
          <w:rFonts w:hint="eastAsia" w:ascii="Times New Roman" w:eastAsia="黑体"/>
        </w:rPr>
        <w:t>可靠性</w:t>
      </w:r>
      <w:r>
        <w:rPr>
          <w:rFonts w:ascii="Times New Roman" w:eastAsia="黑体"/>
        </w:rPr>
        <w:t>检测要求</w:t>
      </w:r>
    </w:p>
    <w:tbl>
      <w:tblPr>
        <w:tblStyle w:val="33"/>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783"/>
        <w:gridCol w:w="591"/>
        <w:gridCol w:w="1551"/>
        <w:gridCol w:w="1600"/>
        <w:gridCol w:w="1807"/>
        <w:gridCol w:w="3239"/>
      </w:tblGrid>
      <w:tr w14:paraId="7092E7C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409" w:type="pct"/>
            <w:tcBorders>
              <w:top w:val="single" w:color="000000" w:sz="12" w:space="0"/>
              <w:bottom w:val="single" w:color="000000" w:sz="12" w:space="0"/>
            </w:tcBorders>
            <w:shd w:val="clear" w:color="auto" w:fill="auto"/>
            <w:vAlign w:val="center"/>
          </w:tcPr>
          <w:p w14:paraId="53A8F981">
            <w:pPr>
              <w:widowControl/>
              <w:autoSpaceDE w:val="0"/>
              <w:autoSpaceDN w:val="0"/>
              <w:adjustRightInd w:val="0"/>
              <w:snapToGrid w:val="0"/>
              <w:spacing w:before="156" w:beforeLines="50" w:after="156" w:afterLines="50"/>
              <w:jc w:val="center"/>
              <w:rPr>
                <w:b/>
                <w:bCs/>
                <w:sz w:val="18"/>
              </w:rPr>
            </w:pPr>
            <w:r>
              <w:rPr>
                <w:b/>
                <w:bCs/>
                <w:sz w:val="18"/>
              </w:rPr>
              <w:t>组别</w:t>
            </w:r>
          </w:p>
        </w:tc>
        <w:tc>
          <w:tcPr>
            <w:tcW w:w="309" w:type="pct"/>
            <w:tcBorders>
              <w:top w:val="single" w:color="000000" w:sz="12" w:space="0"/>
              <w:bottom w:val="single" w:color="000000" w:sz="12" w:space="0"/>
            </w:tcBorders>
            <w:shd w:val="clear" w:color="auto" w:fill="auto"/>
            <w:vAlign w:val="center"/>
          </w:tcPr>
          <w:p w14:paraId="1478B2D7">
            <w:pPr>
              <w:widowControl/>
              <w:autoSpaceDE w:val="0"/>
              <w:autoSpaceDN w:val="0"/>
              <w:adjustRightInd w:val="0"/>
              <w:snapToGrid w:val="0"/>
              <w:spacing w:before="156" w:beforeLines="50" w:after="156" w:afterLines="50"/>
              <w:jc w:val="center"/>
              <w:rPr>
                <w:b/>
                <w:bCs/>
                <w:sz w:val="18"/>
              </w:rPr>
            </w:pPr>
            <w:r>
              <w:rPr>
                <w:b/>
                <w:bCs/>
                <w:sz w:val="18"/>
              </w:rPr>
              <w:t>序号</w:t>
            </w:r>
          </w:p>
        </w:tc>
        <w:tc>
          <w:tcPr>
            <w:tcW w:w="810" w:type="pct"/>
            <w:tcBorders>
              <w:top w:val="single" w:color="000000" w:sz="12" w:space="0"/>
              <w:bottom w:val="single" w:color="000000" w:sz="12" w:space="0"/>
            </w:tcBorders>
            <w:shd w:val="clear" w:color="auto" w:fill="auto"/>
            <w:vAlign w:val="center"/>
          </w:tcPr>
          <w:p w14:paraId="7571A7F0">
            <w:pPr>
              <w:widowControl/>
              <w:autoSpaceDE w:val="0"/>
              <w:autoSpaceDN w:val="0"/>
              <w:adjustRightInd w:val="0"/>
              <w:snapToGrid w:val="0"/>
              <w:spacing w:before="156" w:beforeLines="50" w:after="156" w:afterLines="50"/>
              <w:jc w:val="center"/>
              <w:rPr>
                <w:b/>
                <w:bCs/>
                <w:sz w:val="18"/>
              </w:rPr>
            </w:pPr>
            <w:r>
              <w:rPr>
                <w:b/>
                <w:bCs/>
                <w:sz w:val="18"/>
              </w:rPr>
              <w:t>试验项目</w:t>
            </w:r>
          </w:p>
        </w:tc>
        <w:tc>
          <w:tcPr>
            <w:tcW w:w="836" w:type="pct"/>
            <w:tcBorders>
              <w:top w:val="single" w:color="000000" w:sz="12" w:space="0"/>
              <w:bottom w:val="single" w:color="000000" w:sz="12" w:space="0"/>
            </w:tcBorders>
            <w:shd w:val="clear" w:color="auto" w:fill="auto"/>
            <w:vAlign w:val="center"/>
          </w:tcPr>
          <w:p w14:paraId="2444871E">
            <w:pPr>
              <w:widowControl/>
              <w:autoSpaceDE w:val="0"/>
              <w:autoSpaceDN w:val="0"/>
              <w:adjustRightInd w:val="0"/>
              <w:snapToGrid w:val="0"/>
              <w:spacing w:before="156" w:beforeLines="50" w:after="156" w:afterLines="50"/>
              <w:jc w:val="center"/>
              <w:rPr>
                <w:b/>
                <w:bCs/>
                <w:sz w:val="18"/>
              </w:rPr>
            </w:pPr>
            <w:r>
              <w:rPr>
                <w:b/>
                <w:bCs/>
                <w:sz w:val="18"/>
              </w:rPr>
              <w:t>简称</w:t>
            </w:r>
          </w:p>
        </w:tc>
        <w:tc>
          <w:tcPr>
            <w:tcW w:w="944" w:type="pct"/>
            <w:tcBorders>
              <w:top w:val="single" w:color="000000" w:sz="12" w:space="0"/>
              <w:bottom w:val="single" w:color="000000" w:sz="12" w:space="0"/>
            </w:tcBorders>
            <w:vAlign w:val="center"/>
          </w:tcPr>
          <w:p w14:paraId="74005726">
            <w:pPr>
              <w:widowControl/>
              <w:autoSpaceDE w:val="0"/>
              <w:autoSpaceDN w:val="0"/>
              <w:adjustRightInd w:val="0"/>
              <w:snapToGrid w:val="0"/>
              <w:spacing w:before="156" w:beforeLines="50" w:after="156" w:afterLines="50"/>
              <w:jc w:val="center"/>
              <w:rPr>
                <w:b/>
                <w:bCs/>
                <w:sz w:val="18"/>
              </w:rPr>
            </w:pPr>
            <w:r>
              <w:rPr>
                <w:b/>
                <w:bCs/>
                <w:sz w:val="18"/>
              </w:rPr>
              <w:t>试验样品数量</w:t>
            </w:r>
            <w:r>
              <w:rPr>
                <w:rFonts w:hint="eastAsia"/>
                <w:sz w:val="24"/>
                <w:vertAlign w:val="superscript"/>
              </w:rPr>
              <w:t>e</w:t>
            </w:r>
            <w:r>
              <w:rPr>
                <w:sz w:val="24"/>
                <w:vertAlign w:val="superscript"/>
              </w:rPr>
              <w:t>*</w:t>
            </w:r>
          </w:p>
        </w:tc>
        <w:tc>
          <w:tcPr>
            <w:tcW w:w="1692" w:type="pct"/>
            <w:tcBorders>
              <w:top w:val="single" w:color="000000" w:sz="12" w:space="0"/>
              <w:bottom w:val="single" w:color="000000" w:sz="12" w:space="0"/>
            </w:tcBorders>
            <w:shd w:val="clear" w:color="auto" w:fill="auto"/>
            <w:vAlign w:val="center"/>
          </w:tcPr>
          <w:p w14:paraId="4C1C310F">
            <w:pPr>
              <w:widowControl/>
              <w:autoSpaceDE w:val="0"/>
              <w:autoSpaceDN w:val="0"/>
              <w:adjustRightInd w:val="0"/>
              <w:snapToGrid w:val="0"/>
              <w:spacing w:before="156" w:beforeLines="50" w:after="156" w:afterLines="50"/>
              <w:jc w:val="center"/>
              <w:rPr>
                <w:b/>
                <w:bCs/>
                <w:sz w:val="18"/>
              </w:rPr>
            </w:pPr>
            <w:r>
              <w:rPr>
                <w:b/>
                <w:bCs/>
                <w:sz w:val="18"/>
              </w:rPr>
              <w:t>试验条件</w:t>
            </w:r>
          </w:p>
        </w:tc>
      </w:tr>
      <w:tr w14:paraId="52F72BD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409" w:type="pct"/>
            <w:vMerge w:val="restart"/>
            <w:tcBorders>
              <w:top w:val="single" w:color="000000" w:sz="12" w:space="0"/>
            </w:tcBorders>
            <w:shd w:val="clear" w:color="auto" w:fill="auto"/>
            <w:vAlign w:val="center"/>
          </w:tcPr>
          <w:p w14:paraId="4ED2F3F8">
            <w:pPr>
              <w:adjustRightInd w:val="0"/>
              <w:snapToGrid w:val="0"/>
              <w:jc w:val="center"/>
              <w:rPr>
                <w:sz w:val="18"/>
              </w:rPr>
            </w:pPr>
            <w:r>
              <w:rPr>
                <w:sz w:val="18"/>
              </w:rPr>
              <w:t>A组：加速环境应力试验</w:t>
            </w:r>
            <w:r>
              <w:rPr>
                <w:rFonts w:hint="eastAsia"/>
                <w:sz w:val="24"/>
                <w:vertAlign w:val="superscript"/>
              </w:rPr>
              <w:t>a</w:t>
            </w:r>
            <w:r>
              <w:rPr>
                <w:sz w:val="24"/>
                <w:vertAlign w:val="superscript"/>
              </w:rPr>
              <w:t>*</w:t>
            </w:r>
            <w:r>
              <w:rPr>
                <w:rFonts w:hint="eastAsia"/>
                <w:sz w:val="24"/>
                <w:vertAlign w:val="superscript"/>
              </w:rPr>
              <w:t xml:space="preserve"> d</w:t>
            </w:r>
            <w:r>
              <w:rPr>
                <w:sz w:val="24"/>
                <w:vertAlign w:val="superscript"/>
              </w:rPr>
              <w:t>*</w:t>
            </w:r>
          </w:p>
        </w:tc>
        <w:tc>
          <w:tcPr>
            <w:tcW w:w="309" w:type="pct"/>
            <w:tcBorders>
              <w:top w:val="single" w:color="000000" w:sz="12" w:space="0"/>
            </w:tcBorders>
            <w:shd w:val="clear" w:color="auto" w:fill="auto"/>
            <w:vAlign w:val="center"/>
          </w:tcPr>
          <w:p w14:paraId="0DE644F1">
            <w:pPr>
              <w:adjustRightInd w:val="0"/>
              <w:snapToGrid w:val="0"/>
              <w:jc w:val="center"/>
              <w:rPr>
                <w:sz w:val="18"/>
              </w:rPr>
            </w:pPr>
            <w:r>
              <w:rPr>
                <w:sz w:val="18"/>
              </w:rPr>
              <w:t>A2</w:t>
            </w:r>
          </w:p>
        </w:tc>
        <w:tc>
          <w:tcPr>
            <w:tcW w:w="810" w:type="pct"/>
            <w:tcBorders>
              <w:top w:val="single" w:color="000000" w:sz="12" w:space="0"/>
            </w:tcBorders>
            <w:shd w:val="clear" w:color="auto" w:fill="auto"/>
            <w:vAlign w:val="center"/>
          </w:tcPr>
          <w:p w14:paraId="55EF8ED7">
            <w:pPr>
              <w:adjustRightInd w:val="0"/>
              <w:snapToGrid w:val="0"/>
              <w:jc w:val="center"/>
              <w:rPr>
                <w:sz w:val="18"/>
              </w:rPr>
            </w:pPr>
            <w:r>
              <w:rPr>
                <w:sz w:val="18"/>
              </w:rPr>
              <w:t>带电偏置湿热试验或带电偏置强加速稳态湿热试验</w:t>
            </w:r>
            <w:r>
              <w:rPr>
                <w:kern w:val="0"/>
                <w:sz w:val="24"/>
                <w:vertAlign w:val="superscript"/>
              </w:rPr>
              <w:t>b*</w:t>
            </w:r>
          </w:p>
        </w:tc>
        <w:tc>
          <w:tcPr>
            <w:tcW w:w="836" w:type="pct"/>
            <w:tcBorders>
              <w:top w:val="single" w:color="000000" w:sz="12" w:space="0"/>
            </w:tcBorders>
            <w:shd w:val="clear" w:color="auto" w:fill="auto"/>
            <w:vAlign w:val="center"/>
          </w:tcPr>
          <w:p w14:paraId="6247BE45">
            <w:pPr>
              <w:adjustRightInd w:val="0"/>
              <w:snapToGrid w:val="0"/>
              <w:jc w:val="center"/>
              <w:rPr>
                <w:sz w:val="18"/>
              </w:rPr>
            </w:pPr>
            <w:r>
              <w:rPr>
                <w:sz w:val="18"/>
              </w:rPr>
              <w:t>TH</w:t>
            </w:r>
          </w:p>
          <w:p w14:paraId="755B5A0B">
            <w:pPr>
              <w:adjustRightInd w:val="0"/>
              <w:snapToGrid w:val="0"/>
              <w:jc w:val="center"/>
              <w:rPr>
                <w:sz w:val="18"/>
              </w:rPr>
            </w:pPr>
            <w:r>
              <w:rPr>
                <w:sz w:val="18"/>
              </w:rPr>
              <w:t>/HAST</w:t>
            </w:r>
          </w:p>
        </w:tc>
        <w:tc>
          <w:tcPr>
            <w:tcW w:w="944" w:type="pct"/>
            <w:tcBorders>
              <w:top w:val="single" w:color="000000" w:sz="12" w:space="0"/>
            </w:tcBorders>
            <w:vAlign w:val="center"/>
          </w:tcPr>
          <w:p w14:paraId="5813EFD3">
            <w:pPr>
              <w:adjustRightInd w:val="0"/>
              <w:snapToGrid w:val="0"/>
              <w:jc w:val="center"/>
              <w:rPr>
                <w:b/>
                <w:bCs/>
                <w:sz w:val="18"/>
              </w:rPr>
            </w:pPr>
            <w:r>
              <w:rPr>
                <w:sz w:val="18"/>
              </w:rPr>
              <w:t>30只/批*3批</w:t>
            </w:r>
          </w:p>
        </w:tc>
        <w:tc>
          <w:tcPr>
            <w:tcW w:w="1692" w:type="pct"/>
            <w:tcBorders>
              <w:top w:val="single" w:color="000000" w:sz="12" w:space="0"/>
            </w:tcBorders>
            <w:shd w:val="clear" w:color="auto" w:fill="auto"/>
            <w:vAlign w:val="center"/>
          </w:tcPr>
          <w:p w14:paraId="0FE45D1A">
            <w:pPr>
              <w:jc w:val="left"/>
              <w:rPr>
                <w:sz w:val="18"/>
                <w:szCs w:val="18"/>
              </w:rPr>
            </w:pPr>
            <w:r>
              <w:rPr>
                <w:rFonts w:hint="eastAsia"/>
                <w:sz w:val="18"/>
                <w:szCs w:val="18"/>
              </w:rPr>
              <w:t>（1）温湿度条件（</w:t>
            </w:r>
            <w:r>
              <w:rPr>
                <w:sz w:val="18"/>
                <w:szCs w:val="18"/>
              </w:rPr>
              <w:t>HAST）</w:t>
            </w:r>
          </w:p>
          <w:p w14:paraId="46D4740E">
            <w:pPr>
              <w:jc w:val="left"/>
              <w:rPr>
                <w:sz w:val="18"/>
                <w:szCs w:val="18"/>
              </w:rPr>
            </w:pPr>
            <w:r>
              <w:rPr>
                <w:rFonts w:hint="eastAsia"/>
                <w:sz w:val="18"/>
                <w:szCs w:val="18"/>
              </w:rPr>
              <w:t>1.1）</w:t>
            </w:r>
            <w:r>
              <w:rPr>
                <w:sz w:val="18"/>
                <w:szCs w:val="18"/>
              </w:rPr>
              <w:t>乘用车：</w:t>
            </w:r>
            <w:r>
              <w:rPr>
                <w:rFonts w:hint="eastAsia"/>
                <w:sz w:val="18"/>
                <w:szCs w:val="18"/>
              </w:rPr>
              <w:t>Ta</w:t>
            </w:r>
            <w:r>
              <w:rPr>
                <w:sz w:val="18"/>
                <w:szCs w:val="18"/>
              </w:rPr>
              <w:t>=130℃、</w:t>
            </w:r>
            <w:r>
              <w:rPr>
                <w:rFonts w:hint="eastAsia"/>
                <w:sz w:val="18"/>
                <w:szCs w:val="18"/>
              </w:rPr>
              <w:t>RH</w:t>
            </w:r>
            <w:r>
              <w:rPr>
                <w:sz w:val="18"/>
                <w:szCs w:val="18"/>
              </w:rPr>
              <w:t>=85%，</w:t>
            </w:r>
            <w:r>
              <w:rPr>
                <w:rFonts w:hint="eastAsia"/>
                <w:sz w:val="18"/>
                <w:szCs w:val="18"/>
              </w:rPr>
              <w:t>t</w:t>
            </w:r>
            <w:r>
              <w:rPr>
                <w:sz w:val="18"/>
                <w:szCs w:val="18"/>
              </w:rPr>
              <w:t>=</w:t>
            </w:r>
            <w:r>
              <w:rPr>
                <w:rFonts w:hint="eastAsia"/>
                <w:sz w:val="18"/>
                <w:szCs w:val="18"/>
              </w:rPr>
              <w:t>96</w:t>
            </w:r>
            <w:r>
              <w:rPr>
                <w:sz w:val="18"/>
                <w:szCs w:val="18"/>
              </w:rPr>
              <w:t>h；</w:t>
            </w:r>
          </w:p>
          <w:p w14:paraId="5F750D1C">
            <w:pPr>
              <w:jc w:val="left"/>
              <w:rPr>
                <w:sz w:val="18"/>
                <w:szCs w:val="18"/>
              </w:rPr>
            </w:pPr>
            <w:r>
              <w:rPr>
                <w:rFonts w:hint="eastAsia"/>
                <w:sz w:val="18"/>
                <w:szCs w:val="18"/>
              </w:rPr>
              <w:t>1.2）</w:t>
            </w:r>
            <w:r>
              <w:rPr>
                <w:sz w:val="18"/>
                <w:szCs w:val="18"/>
              </w:rPr>
              <w:t>商用车：</w:t>
            </w:r>
            <w:r>
              <w:rPr>
                <w:rFonts w:hint="eastAsia"/>
                <w:sz w:val="18"/>
                <w:szCs w:val="18"/>
              </w:rPr>
              <w:t>Ta</w:t>
            </w:r>
            <w:r>
              <w:rPr>
                <w:sz w:val="18"/>
                <w:szCs w:val="18"/>
              </w:rPr>
              <w:t>=130℃、</w:t>
            </w:r>
            <w:r>
              <w:rPr>
                <w:rFonts w:hint="eastAsia"/>
                <w:sz w:val="18"/>
                <w:szCs w:val="18"/>
              </w:rPr>
              <w:t>RH</w:t>
            </w:r>
            <w:r>
              <w:rPr>
                <w:sz w:val="18"/>
                <w:szCs w:val="18"/>
              </w:rPr>
              <w:t>=85%，</w:t>
            </w:r>
            <w:r>
              <w:rPr>
                <w:rFonts w:hint="eastAsia"/>
                <w:sz w:val="18"/>
                <w:szCs w:val="18"/>
              </w:rPr>
              <w:t>t</w:t>
            </w:r>
            <w:r>
              <w:rPr>
                <w:sz w:val="18"/>
                <w:szCs w:val="18"/>
              </w:rPr>
              <w:t>=</w:t>
            </w:r>
            <w:r>
              <w:rPr>
                <w:rFonts w:hint="eastAsia"/>
                <w:sz w:val="18"/>
                <w:szCs w:val="18"/>
              </w:rPr>
              <w:t>96</w:t>
            </w:r>
            <w:r>
              <w:rPr>
                <w:sz w:val="18"/>
                <w:szCs w:val="18"/>
              </w:rPr>
              <w:t>h</w:t>
            </w:r>
            <w:r>
              <w:rPr>
                <w:rFonts w:hint="eastAsia"/>
                <w:sz w:val="18"/>
                <w:szCs w:val="18"/>
              </w:rPr>
              <w:t>。</w:t>
            </w:r>
          </w:p>
          <w:p w14:paraId="2884C4B7">
            <w:pPr>
              <w:jc w:val="left"/>
              <w:rPr>
                <w:sz w:val="18"/>
                <w:szCs w:val="18"/>
              </w:rPr>
            </w:pPr>
            <w:r>
              <w:rPr>
                <w:rFonts w:hint="eastAsia"/>
                <w:sz w:val="18"/>
                <w:szCs w:val="18"/>
              </w:rPr>
              <w:t>（2）温湿度条件（</w:t>
            </w:r>
            <w:r>
              <w:rPr>
                <w:sz w:val="18"/>
                <w:szCs w:val="18"/>
              </w:rPr>
              <w:t>THB</w:t>
            </w:r>
            <w:r>
              <w:rPr>
                <w:rFonts w:hint="eastAsia"/>
                <w:sz w:val="18"/>
                <w:szCs w:val="18"/>
              </w:rPr>
              <w:t>）</w:t>
            </w:r>
          </w:p>
          <w:p w14:paraId="087B5648">
            <w:pPr>
              <w:jc w:val="left"/>
              <w:rPr>
                <w:sz w:val="18"/>
                <w:szCs w:val="18"/>
              </w:rPr>
            </w:pPr>
            <w:r>
              <w:rPr>
                <w:rFonts w:hint="eastAsia"/>
                <w:sz w:val="18"/>
                <w:szCs w:val="18"/>
              </w:rPr>
              <w:t>2.1）</w:t>
            </w:r>
            <w:r>
              <w:rPr>
                <w:sz w:val="18"/>
                <w:szCs w:val="18"/>
              </w:rPr>
              <w:t>乘用车：</w:t>
            </w:r>
            <w:r>
              <w:rPr>
                <w:rFonts w:hint="eastAsia"/>
                <w:sz w:val="18"/>
                <w:szCs w:val="18"/>
              </w:rPr>
              <w:t>Ta</w:t>
            </w:r>
            <w:r>
              <w:rPr>
                <w:sz w:val="18"/>
                <w:szCs w:val="18"/>
              </w:rPr>
              <w:t>=85℃、</w:t>
            </w:r>
            <w:r>
              <w:rPr>
                <w:rFonts w:hint="eastAsia"/>
                <w:sz w:val="18"/>
                <w:szCs w:val="18"/>
              </w:rPr>
              <w:t>RH</w:t>
            </w:r>
            <w:r>
              <w:rPr>
                <w:sz w:val="18"/>
                <w:szCs w:val="18"/>
              </w:rPr>
              <w:t>=85%，</w:t>
            </w:r>
            <w:r>
              <w:rPr>
                <w:rFonts w:hint="eastAsia"/>
                <w:sz w:val="18"/>
                <w:szCs w:val="18"/>
              </w:rPr>
              <w:t>t</w:t>
            </w:r>
            <w:r>
              <w:rPr>
                <w:sz w:val="18"/>
                <w:szCs w:val="18"/>
              </w:rPr>
              <w:t>=</w:t>
            </w:r>
            <w:r>
              <w:rPr>
                <w:rFonts w:hint="eastAsia"/>
                <w:sz w:val="18"/>
                <w:szCs w:val="18"/>
              </w:rPr>
              <w:t>1729h</w:t>
            </w:r>
            <w:r>
              <w:rPr>
                <w:sz w:val="18"/>
                <w:szCs w:val="18"/>
              </w:rPr>
              <w:t>；</w:t>
            </w:r>
          </w:p>
          <w:p w14:paraId="7EA9CBAA">
            <w:pPr>
              <w:jc w:val="left"/>
              <w:rPr>
                <w:sz w:val="18"/>
              </w:rPr>
            </w:pPr>
            <w:r>
              <w:rPr>
                <w:rFonts w:hint="eastAsia"/>
                <w:sz w:val="18"/>
                <w:szCs w:val="18"/>
              </w:rPr>
              <w:t>2.2）</w:t>
            </w:r>
            <w:r>
              <w:rPr>
                <w:sz w:val="18"/>
                <w:szCs w:val="18"/>
              </w:rPr>
              <w:t>商用车：</w:t>
            </w:r>
            <w:r>
              <w:rPr>
                <w:rFonts w:hint="eastAsia"/>
                <w:sz w:val="18"/>
                <w:szCs w:val="18"/>
              </w:rPr>
              <w:t>Ta</w:t>
            </w:r>
            <w:r>
              <w:rPr>
                <w:sz w:val="18"/>
                <w:szCs w:val="18"/>
              </w:rPr>
              <w:t>=85</w:t>
            </w:r>
            <w:r>
              <w:rPr>
                <w:sz w:val="18"/>
              </w:rPr>
              <w:t>℃、</w:t>
            </w:r>
            <w:r>
              <w:rPr>
                <w:rFonts w:hint="eastAsia"/>
                <w:sz w:val="18"/>
              </w:rPr>
              <w:t>RH</w:t>
            </w:r>
            <w:r>
              <w:rPr>
                <w:sz w:val="18"/>
              </w:rPr>
              <w:t>=85%，</w:t>
            </w:r>
            <w:r>
              <w:rPr>
                <w:rFonts w:hint="eastAsia"/>
                <w:sz w:val="18"/>
              </w:rPr>
              <w:t>t</w:t>
            </w:r>
            <w:r>
              <w:rPr>
                <w:sz w:val="18"/>
              </w:rPr>
              <w:t>=</w:t>
            </w:r>
            <w:r>
              <w:rPr>
                <w:rFonts w:hint="eastAsia"/>
                <w:sz w:val="18"/>
              </w:rPr>
              <w:t>1729</w:t>
            </w:r>
            <w:r>
              <w:rPr>
                <w:sz w:val="18"/>
              </w:rPr>
              <w:t>h</w:t>
            </w:r>
            <w:r>
              <w:rPr>
                <w:rFonts w:hint="eastAsia"/>
                <w:sz w:val="18"/>
              </w:rPr>
              <w:t>。</w:t>
            </w:r>
          </w:p>
        </w:tc>
      </w:tr>
      <w:tr w14:paraId="0439F4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409" w:type="pct"/>
            <w:vMerge w:val="continue"/>
            <w:shd w:val="clear" w:color="auto" w:fill="auto"/>
            <w:vAlign w:val="center"/>
          </w:tcPr>
          <w:p w14:paraId="6F59FDAB">
            <w:pPr>
              <w:adjustRightInd w:val="0"/>
              <w:snapToGrid w:val="0"/>
              <w:jc w:val="center"/>
              <w:rPr>
                <w:sz w:val="18"/>
              </w:rPr>
            </w:pPr>
          </w:p>
        </w:tc>
        <w:tc>
          <w:tcPr>
            <w:tcW w:w="309" w:type="pct"/>
            <w:shd w:val="clear" w:color="auto" w:fill="auto"/>
            <w:vAlign w:val="center"/>
          </w:tcPr>
          <w:p w14:paraId="6A658127">
            <w:pPr>
              <w:adjustRightInd w:val="0"/>
              <w:snapToGrid w:val="0"/>
              <w:jc w:val="center"/>
              <w:rPr>
                <w:sz w:val="18"/>
              </w:rPr>
            </w:pPr>
            <w:r>
              <w:rPr>
                <w:sz w:val="18"/>
              </w:rPr>
              <w:t>A3</w:t>
            </w:r>
          </w:p>
        </w:tc>
        <w:tc>
          <w:tcPr>
            <w:tcW w:w="810" w:type="pct"/>
            <w:shd w:val="clear" w:color="auto" w:fill="auto"/>
            <w:vAlign w:val="center"/>
          </w:tcPr>
          <w:p w14:paraId="5318B512">
            <w:pPr>
              <w:adjustRightInd w:val="0"/>
              <w:snapToGrid w:val="0"/>
              <w:jc w:val="center"/>
              <w:rPr>
                <w:sz w:val="18"/>
              </w:rPr>
            </w:pPr>
            <w:r>
              <w:rPr>
                <w:sz w:val="18"/>
              </w:rPr>
              <w:t>非偏置湿热试验或非偏置强加速稳态湿热试验</w:t>
            </w:r>
            <w:r>
              <w:rPr>
                <w:kern w:val="0"/>
                <w:sz w:val="24"/>
                <w:vertAlign w:val="superscript"/>
              </w:rPr>
              <w:t>c*</w:t>
            </w:r>
          </w:p>
        </w:tc>
        <w:tc>
          <w:tcPr>
            <w:tcW w:w="836" w:type="pct"/>
            <w:shd w:val="clear" w:color="auto" w:fill="auto"/>
            <w:vAlign w:val="center"/>
          </w:tcPr>
          <w:p w14:paraId="75E74FB3">
            <w:pPr>
              <w:adjustRightInd w:val="0"/>
              <w:snapToGrid w:val="0"/>
              <w:jc w:val="center"/>
              <w:rPr>
                <w:sz w:val="18"/>
              </w:rPr>
            </w:pPr>
            <w:r>
              <w:rPr>
                <w:sz w:val="18"/>
              </w:rPr>
              <w:t>AC</w:t>
            </w:r>
          </w:p>
          <w:p w14:paraId="45E96FE7">
            <w:pPr>
              <w:adjustRightInd w:val="0"/>
              <w:snapToGrid w:val="0"/>
              <w:jc w:val="center"/>
              <w:rPr>
                <w:sz w:val="18"/>
              </w:rPr>
            </w:pPr>
            <w:r>
              <w:rPr>
                <w:sz w:val="18"/>
              </w:rPr>
              <w:t>/UHST</w:t>
            </w:r>
          </w:p>
          <w:p w14:paraId="2776BDB9">
            <w:pPr>
              <w:adjustRightInd w:val="0"/>
              <w:snapToGrid w:val="0"/>
              <w:jc w:val="center"/>
              <w:rPr>
                <w:sz w:val="18"/>
              </w:rPr>
            </w:pPr>
            <w:r>
              <w:rPr>
                <w:sz w:val="18"/>
              </w:rPr>
              <w:t>/TH</w:t>
            </w:r>
          </w:p>
        </w:tc>
        <w:tc>
          <w:tcPr>
            <w:tcW w:w="944" w:type="pct"/>
            <w:vAlign w:val="center"/>
          </w:tcPr>
          <w:p w14:paraId="22AD0039">
            <w:pPr>
              <w:adjustRightInd w:val="0"/>
              <w:snapToGrid w:val="0"/>
              <w:jc w:val="center"/>
              <w:rPr>
                <w:rFonts w:hint="eastAsia"/>
                <w:sz w:val="18"/>
              </w:rPr>
            </w:pPr>
            <w:r>
              <w:rPr>
                <w:sz w:val="18"/>
              </w:rPr>
              <w:t>30只/批*3批</w:t>
            </w:r>
          </w:p>
        </w:tc>
        <w:tc>
          <w:tcPr>
            <w:tcW w:w="1692" w:type="pct"/>
            <w:shd w:val="clear" w:color="auto" w:fill="auto"/>
            <w:vAlign w:val="center"/>
          </w:tcPr>
          <w:p w14:paraId="61EE3E1B">
            <w:pPr>
              <w:jc w:val="left"/>
              <w:rPr>
                <w:sz w:val="24"/>
              </w:rPr>
            </w:pPr>
            <w:r>
              <w:rPr>
                <w:sz w:val="18"/>
                <w:szCs w:val="18"/>
              </w:rPr>
              <w:t>（1）</w:t>
            </w:r>
            <w:r>
              <w:rPr>
                <w:rFonts w:hint="eastAsia"/>
                <w:sz w:val="18"/>
                <w:szCs w:val="18"/>
              </w:rPr>
              <w:t>温湿度条件（UH</w:t>
            </w:r>
            <w:r>
              <w:rPr>
                <w:sz w:val="18"/>
                <w:szCs w:val="18"/>
              </w:rPr>
              <w:t>ST</w:t>
            </w:r>
            <w:r>
              <w:rPr>
                <w:rFonts w:hint="eastAsia"/>
                <w:sz w:val="18"/>
                <w:szCs w:val="18"/>
              </w:rPr>
              <w:t>）</w:t>
            </w:r>
          </w:p>
          <w:p w14:paraId="0BD182E1">
            <w:pPr>
              <w:jc w:val="left"/>
              <w:rPr>
                <w:sz w:val="18"/>
                <w:szCs w:val="18"/>
              </w:rPr>
            </w:pPr>
            <w:r>
              <w:rPr>
                <w:rFonts w:hint="eastAsia"/>
                <w:sz w:val="18"/>
                <w:szCs w:val="18"/>
              </w:rPr>
              <w:t>1.1）</w:t>
            </w:r>
            <w:r>
              <w:rPr>
                <w:sz w:val="18"/>
                <w:szCs w:val="18"/>
              </w:rPr>
              <w:t>乘用车：</w:t>
            </w:r>
            <w:r>
              <w:rPr>
                <w:rFonts w:hint="eastAsia"/>
                <w:sz w:val="18"/>
                <w:szCs w:val="18"/>
              </w:rPr>
              <w:t>Ta</w:t>
            </w:r>
            <w:r>
              <w:rPr>
                <w:sz w:val="18"/>
                <w:szCs w:val="18"/>
              </w:rPr>
              <w:t>=130℃、</w:t>
            </w:r>
            <w:r>
              <w:rPr>
                <w:rFonts w:hint="eastAsia"/>
                <w:sz w:val="18"/>
                <w:szCs w:val="18"/>
              </w:rPr>
              <w:t>RH</w:t>
            </w:r>
            <w:r>
              <w:rPr>
                <w:sz w:val="18"/>
                <w:szCs w:val="18"/>
              </w:rPr>
              <w:t>=85%，</w:t>
            </w:r>
            <w:r>
              <w:rPr>
                <w:rFonts w:hint="eastAsia"/>
                <w:sz w:val="18"/>
                <w:szCs w:val="18"/>
              </w:rPr>
              <w:t>t</w:t>
            </w:r>
            <w:r>
              <w:rPr>
                <w:sz w:val="18"/>
                <w:szCs w:val="18"/>
              </w:rPr>
              <w:t>=</w:t>
            </w:r>
            <w:r>
              <w:rPr>
                <w:rFonts w:hint="eastAsia"/>
                <w:sz w:val="18"/>
                <w:szCs w:val="18"/>
              </w:rPr>
              <w:t>96</w:t>
            </w:r>
            <w:r>
              <w:rPr>
                <w:sz w:val="18"/>
                <w:szCs w:val="18"/>
              </w:rPr>
              <w:t>h；</w:t>
            </w:r>
          </w:p>
          <w:p w14:paraId="7F96A8E2">
            <w:pPr>
              <w:jc w:val="left"/>
              <w:rPr>
                <w:sz w:val="18"/>
                <w:szCs w:val="18"/>
              </w:rPr>
            </w:pPr>
            <w:r>
              <w:rPr>
                <w:rFonts w:hint="eastAsia"/>
                <w:sz w:val="18"/>
                <w:szCs w:val="18"/>
              </w:rPr>
              <w:t>1.2）</w:t>
            </w:r>
            <w:r>
              <w:rPr>
                <w:sz w:val="18"/>
                <w:szCs w:val="18"/>
              </w:rPr>
              <w:t>商用车：</w:t>
            </w:r>
            <w:r>
              <w:rPr>
                <w:rFonts w:hint="eastAsia"/>
                <w:sz w:val="18"/>
                <w:szCs w:val="18"/>
              </w:rPr>
              <w:t>Ta</w:t>
            </w:r>
            <w:r>
              <w:rPr>
                <w:sz w:val="18"/>
                <w:szCs w:val="18"/>
              </w:rPr>
              <w:t>=130℃、</w:t>
            </w:r>
            <w:r>
              <w:rPr>
                <w:rFonts w:hint="eastAsia"/>
                <w:sz w:val="18"/>
                <w:szCs w:val="18"/>
              </w:rPr>
              <w:t>RH</w:t>
            </w:r>
            <w:r>
              <w:rPr>
                <w:sz w:val="18"/>
                <w:szCs w:val="18"/>
              </w:rPr>
              <w:t>=85%，</w:t>
            </w:r>
            <w:r>
              <w:rPr>
                <w:rFonts w:hint="eastAsia"/>
                <w:sz w:val="18"/>
                <w:szCs w:val="18"/>
              </w:rPr>
              <w:t>t</w:t>
            </w:r>
            <w:r>
              <w:rPr>
                <w:sz w:val="18"/>
                <w:szCs w:val="18"/>
              </w:rPr>
              <w:t>=</w:t>
            </w:r>
            <w:r>
              <w:rPr>
                <w:rFonts w:hint="eastAsia"/>
                <w:sz w:val="18"/>
                <w:szCs w:val="18"/>
              </w:rPr>
              <w:t>96</w:t>
            </w:r>
            <w:r>
              <w:rPr>
                <w:sz w:val="18"/>
                <w:szCs w:val="18"/>
              </w:rPr>
              <w:t>h</w:t>
            </w:r>
            <w:r>
              <w:rPr>
                <w:rFonts w:hint="eastAsia"/>
                <w:sz w:val="18"/>
                <w:szCs w:val="18"/>
              </w:rPr>
              <w:t>。</w:t>
            </w:r>
          </w:p>
          <w:p w14:paraId="51D9DA51">
            <w:pPr>
              <w:jc w:val="left"/>
              <w:rPr>
                <w:sz w:val="18"/>
                <w:szCs w:val="18"/>
              </w:rPr>
            </w:pPr>
            <w:r>
              <w:rPr>
                <w:sz w:val="18"/>
                <w:szCs w:val="18"/>
              </w:rPr>
              <w:t>（2）</w:t>
            </w:r>
            <w:r>
              <w:rPr>
                <w:rFonts w:hint="eastAsia"/>
                <w:sz w:val="18"/>
                <w:szCs w:val="18"/>
              </w:rPr>
              <w:t>温湿度条件（</w:t>
            </w:r>
            <w:r>
              <w:rPr>
                <w:sz w:val="18"/>
                <w:szCs w:val="18"/>
              </w:rPr>
              <w:t>TH</w:t>
            </w:r>
            <w:r>
              <w:rPr>
                <w:rFonts w:hint="eastAsia"/>
                <w:sz w:val="18"/>
                <w:szCs w:val="18"/>
              </w:rPr>
              <w:t>）</w:t>
            </w:r>
          </w:p>
          <w:p w14:paraId="2D9924C7">
            <w:pPr>
              <w:jc w:val="left"/>
              <w:rPr>
                <w:sz w:val="18"/>
                <w:szCs w:val="18"/>
              </w:rPr>
            </w:pPr>
            <w:r>
              <w:rPr>
                <w:rFonts w:hint="eastAsia"/>
                <w:sz w:val="18"/>
                <w:szCs w:val="18"/>
              </w:rPr>
              <w:t>2.1）</w:t>
            </w:r>
            <w:r>
              <w:rPr>
                <w:sz w:val="18"/>
                <w:szCs w:val="18"/>
              </w:rPr>
              <w:t>乘用车：</w:t>
            </w:r>
            <w:r>
              <w:rPr>
                <w:rFonts w:hint="eastAsia"/>
                <w:sz w:val="18"/>
                <w:szCs w:val="18"/>
              </w:rPr>
              <w:t>Ta</w:t>
            </w:r>
            <w:r>
              <w:rPr>
                <w:sz w:val="18"/>
                <w:szCs w:val="18"/>
              </w:rPr>
              <w:t>=85℃、</w:t>
            </w:r>
            <w:r>
              <w:rPr>
                <w:rFonts w:hint="eastAsia"/>
                <w:sz w:val="18"/>
                <w:szCs w:val="18"/>
              </w:rPr>
              <w:t>RH</w:t>
            </w:r>
            <w:r>
              <w:rPr>
                <w:sz w:val="18"/>
                <w:szCs w:val="18"/>
              </w:rPr>
              <w:t>=85%，</w:t>
            </w:r>
            <w:r>
              <w:rPr>
                <w:rFonts w:hint="eastAsia"/>
                <w:sz w:val="18"/>
                <w:szCs w:val="18"/>
              </w:rPr>
              <w:t>t</w:t>
            </w:r>
            <w:r>
              <w:rPr>
                <w:sz w:val="18"/>
                <w:szCs w:val="18"/>
              </w:rPr>
              <w:t>=</w:t>
            </w:r>
            <w:r>
              <w:rPr>
                <w:rFonts w:hint="eastAsia"/>
                <w:sz w:val="18"/>
                <w:szCs w:val="18"/>
              </w:rPr>
              <w:t>1729h</w:t>
            </w:r>
            <w:r>
              <w:rPr>
                <w:sz w:val="18"/>
                <w:szCs w:val="18"/>
              </w:rPr>
              <w:t>；</w:t>
            </w:r>
          </w:p>
          <w:p w14:paraId="6724A77B">
            <w:pPr>
              <w:jc w:val="left"/>
              <w:rPr>
                <w:sz w:val="18"/>
                <w:szCs w:val="18"/>
              </w:rPr>
            </w:pPr>
            <w:r>
              <w:rPr>
                <w:rFonts w:hint="eastAsia"/>
                <w:sz w:val="18"/>
                <w:szCs w:val="18"/>
              </w:rPr>
              <w:t>2.2）</w:t>
            </w:r>
            <w:r>
              <w:rPr>
                <w:sz w:val="18"/>
                <w:szCs w:val="18"/>
              </w:rPr>
              <w:t>商用车：</w:t>
            </w:r>
            <w:r>
              <w:rPr>
                <w:rFonts w:hint="eastAsia"/>
                <w:sz w:val="18"/>
                <w:szCs w:val="18"/>
              </w:rPr>
              <w:t>Ta</w:t>
            </w:r>
            <w:r>
              <w:rPr>
                <w:sz w:val="18"/>
                <w:szCs w:val="18"/>
              </w:rPr>
              <w:t>=85℃、</w:t>
            </w:r>
            <w:r>
              <w:rPr>
                <w:rFonts w:hint="eastAsia"/>
                <w:sz w:val="18"/>
                <w:szCs w:val="18"/>
              </w:rPr>
              <w:t>RH</w:t>
            </w:r>
            <w:r>
              <w:rPr>
                <w:sz w:val="18"/>
                <w:szCs w:val="18"/>
              </w:rPr>
              <w:t>=85%，</w:t>
            </w:r>
            <w:r>
              <w:rPr>
                <w:rFonts w:hint="eastAsia"/>
                <w:sz w:val="18"/>
                <w:szCs w:val="18"/>
              </w:rPr>
              <w:t>t</w:t>
            </w:r>
            <w:r>
              <w:rPr>
                <w:sz w:val="18"/>
                <w:szCs w:val="18"/>
              </w:rPr>
              <w:t>=</w:t>
            </w:r>
            <w:r>
              <w:rPr>
                <w:rFonts w:hint="eastAsia"/>
                <w:sz w:val="18"/>
                <w:szCs w:val="18"/>
              </w:rPr>
              <w:t>1729</w:t>
            </w:r>
            <w:r>
              <w:rPr>
                <w:sz w:val="18"/>
                <w:szCs w:val="18"/>
              </w:rPr>
              <w:t>h</w:t>
            </w:r>
            <w:r>
              <w:rPr>
                <w:rFonts w:hint="eastAsia"/>
                <w:sz w:val="18"/>
                <w:szCs w:val="18"/>
              </w:rPr>
              <w:t>。</w:t>
            </w:r>
          </w:p>
        </w:tc>
      </w:tr>
      <w:tr w14:paraId="0E48FBC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409" w:type="pct"/>
            <w:vMerge w:val="continue"/>
            <w:shd w:val="clear" w:color="auto" w:fill="auto"/>
            <w:vAlign w:val="center"/>
          </w:tcPr>
          <w:p w14:paraId="3E686B8B">
            <w:pPr>
              <w:adjustRightInd w:val="0"/>
              <w:snapToGrid w:val="0"/>
              <w:jc w:val="center"/>
              <w:rPr>
                <w:sz w:val="18"/>
              </w:rPr>
            </w:pPr>
          </w:p>
        </w:tc>
        <w:tc>
          <w:tcPr>
            <w:tcW w:w="309" w:type="pct"/>
            <w:shd w:val="clear" w:color="auto" w:fill="auto"/>
            <w:vAlign w:val="center"/>
          </w:tcPr>
          <w:p w14:paraId="46F2798E">
            <w:pPr>
              <w:adjustRightInd w:val="0"/>
              <w:snapToGrid w:val="0"/>
              <w:jc w:val="center"/>
              <w:rPr>
                <w:sz w:val="18"/>
              </w:rPr>
            </w:pPr>
            <w:r>
              <w:rPr>
                <w:sz w:val="18"/>
              </w:rPr>
              <w:t>A4</w:t>
            </w:r>
          </w:p>
        </w:tc>
        <w:tc>
          <w:tcPr>
            <w:tcW w:w="810" w:type="pct"/>
            <w:shd w:val="clear" w:color="auto" w:fill="auto"/>
            <w:vAlign w:val="center"/>
          </w:tcPr>
          <w:p w14:paraId="5F2E100E">
            <w:pPr>
              <w:adjustRightInd w:val="0"/>
              <w:snapToGrid w:val="0"/>
              <w:jc w:val="center"/>
              <w:rPr>
                <w:sz w:val="18"/>
              </w:rPr>
            </w:pPr>
            <w:r>
              <w:rPr>
                <w:sz w:val="18"/>
              </w:rPr>
              <w:t>温度循环</w:t>
            </w:r>
          </w:p>
        </w:tc>
        <w:tc>
          <w:tcPr>
            <w:tcW w:w="836" w:type="pct"/>
            <w:shd w:val="clear" w:color="auto" w:fill="auto"/>
            <w:vAlign w:val="center"/>
          </w:tcPr>
          <w:p w14:paraId="052AD044">
            <w:pPr>
              <w:adjustRightInd w:val="0"/>
              <w:snapToGrid w:val="0"/>
              <w:jc w:val="center"/>
              <w:rPr>
                <w:sz w:val="18"/>
              </w:rPr>
            </w:pPr>
            <w:r>
              <w:rPr>
                <w:sz w:val="18"/>
              </w:rPr>
              <w:t>TC</w:t>
            </w:r>
          </w:p>
        </w:tc>
        <w:tc>
          <w:tcPr>
            <w:tcW w:w="944" w:type="pct"/>
            <w:vAlign w:val="center"/>
          </w:tcPr>
          <w:p w14:paraId="568478C0">
            <w:pPr>
              <w:adjustRightInd w:val="0"/>
              <w:snapToGrid w:val="0"/>
              <w:jc w:val="center"/>
              <w:rPr>
                <w:sz w:val="18"/>
              </w:rPr>
            </w:pPr>
            <w:r>
              <w:rPr>
                <w:sz w:val="18"/>
              </w:rPr>
              <w:t>30只/批*3批</w:t>
            </w:r>
          </w:p>
        </w:tc>
        <w:tc>
          <w:tcPr>
            <w:tcW w:w="1692" w:type="pct"/>
            <w:shd w:val="clear" w:color="auto" w:fill="auto"/>
            <w:vAlign w:val="center"/>
          </w:tcPr>
          <w:p w14:paraId="3319327F">
            <w:pPr>
              <w:jc w:val="left"/>
              <w:rPr>
                <w:sz w:val="18"/>
                <w:szCs w:val="18"/>
              </w:rPr>
            </w:pPr>
            <w:r>
              <w:rPr>
                <w:rFonts w:hint="eastAsia"/>
                <w:sz w:val="18"/>
                <w:szCs w:val="18"/>
              </w:rPr>
              <w:t>（1）温湿度条件（TC）</w:t>
            </w:r>
          </w:p>
          <w:p w14:paraId="68B2F652">
            <w:pPr>
              <w:rPr>
                <w:sz w:val="18"/>
                <w:szCs w:val="18"/>
              </w:rPr>
            </w:pPr>
            <w:r>
              <w:rPr>
                <w:rFonts w:hint="eastAsia"/>
                <w:sz w:val="18"/>
                <w:szCs w:val="18"/>
              </w:rPr>
              <w:t>1.1）</w:t>
            </w:r>
            <w:r>
              <w:rPr>
                <w:sz w:val="18"/>
                <w:szCs w:val="18"/>
              </w:rPr>
              <w:t>乘用车：</w:t>
            </w:r>
            <w:r>
              <w:rPr>
                <w:rFonts w:hint="eastAsia"/>
                <w:sz w:val="18"/>
                <w:szCs w:val="18"/>
              </w:rPr>
              <w:t>Ta</w:t>
            </w:r>
            <w:r>
              <w:rPr>
                <w:sz w:val="18"/>
                <w:szCs w:val="18"/>
              </w:rPr>
              <w:t>=-40℃~+150℃</w:t>
            </w:r>
            <w:r>
              <w:rPr>
                <w:rFonts w:hint="eastAsia"/>
                <w:sz w:val="18"/>
                <w:szCs w:val="18"/>
              </w:rPr>
              <w:t>，Clc</w:t>
            </w:r>
            <w:r>
              <w:rPr>
                <w:sz w:val="18"/>
                <w:szCs w:val="18"/>
              </w:rPr>
              <w:t>=1000循环</w:t>
            </w:r>
            <w:r>
              <w:rPr>
                <w:rFonts w:hint="eastAsia"/>
                <w:sz w:val="18"/>
                <w:szCs w:val="18"/>
              </w:rPr>
              <w:t>；</w:t>
            </w:r>
          </w:p>
          <w:p w14:paraId="34A08CDE">
            <w:pPr>
              <w:rPr>
                <w:sz w:val="18"/>
                <w:szCs w:val="18"/>
              </w:rPr>
            </w:pPr>
            <w:r>
              <w:rPr>
                <w:rFonts w:hint="eastAsia"/>
                <w:sz w:val="18"/>
                <w:szCs w:val="18"/>
              </w:rPr>
              <w:t>1.2）</w:t>
            </w:r>
            <w:r>
              <w:rPr>
                <w:sz w:val="18"/>
                <w:szCs w:val="18"/>
              </w:rPr>
              <w:t>乘用车：</w:t>
            </w:r>
            <w:r>
              <w:rPr>
                <w:rFonts w:hint="eastAsia"/>
                <w:sz w:val="18"/>
                <w:szCs w:val="18"/>
              </w:rPr>
              <w:t>Ta</w:t>
            </w:r>
            <w:r>
              <w:rPr>
                <w:sz w:val="18"/>
                <w:szCs w:val="18"/>
              </w:rPr>
              <w:t>=-40℃~+150℃</w:t>
            </w:r>
            <w:r>
              <w:rPr>
                <w:rFonts w:hint="eastAsia"/>
                <w:sz w:val="18"/>
                <w:szCs w:val="18"/>
              </w:rPr>
              <w:t>，Clc</w:t>
            </w:r>
            <w:r>
              <w:rPr>
                <w:sz w:val="18"/>
                <w:szCs w:val="18"/>
              </w:rPr>
              <w:t>=1000循环</w:t>
            </w:r>
            <w:r>
              <w:rPr>
                <w:rFonts w:hint="eastAsia"/>
                <w:sz w:val="18"/>
                <w:szCs w:val="18"/>
              </w:rPr>
              <w:t>。</w:t>
            </w:r>
          </w:p>
        </w:tc>
      </w:tr>
      <w:tr w14:paraId="349038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409" w:type="pct"/>
            <w:vMerge w:val="continue"/>
            <w:shd w:val="clear" w:color="auto" w:fill="auto"/>
            <w:vAlign w:val="center"/>
          </w:tcPr>
          <w:p w14:paraId="20EF3CE3">
            <w:pPr>
              <w:adjustRightInd w:val="0"/>
              <w:snapToGrid w:val="0"/>
              <w:jc w:val="center"/>
              <w:rPr>
                <w:sz w:val="18"/>
              </w:rPr>
            </w:pPr>
          </w:p>
        </w:tc>
        <w:tc>
          <w:tcPr>
            <w:tcW w:w="309" w:type="pct"/>
            <w:shd w:val="clear" w:color="auto" w:fill="auto"/>
            <w:vAlign w:val="center"/>
          </w:tcPr>
          <w:p w14:paraId="14FF8A2A">
            <w:pPr>
              <w:adjustRightInd w:val="0"/>
              <w:snapToGrid w:val="0"/>
              <w:jc w:val="center"/>
              <w:rPr>
                <w:sz w:val="18"/>
              </w:rPr>
            </w:pPr>
            <w:r>
              <w:rPr>
                <w:sz w:val="18"/>
              </w:rPr>
              <w:t>A5</w:t>
            </w:r>
          </w:p>
        </w:tc>
        <w:tc>
          <w:tcPr>
            <w:tcW w:w="810" w:type="pct"/>
            <w:shd w:val="clear" w:color="auto" w:fill="auto"/>
            <w:vAlign w:val="center"/>
          </w:tcPr>
          <w:p w14:paraId="2A641B7D">
            <w:pPr>
              <w:adjustRightInd w:val="0"/>
              <w:snapToGrid w:val="0"/>
              <w:jc w:val="center"/>
              <w:rPr>
                <w:sz w:val="18"/>
              </w:rPr>
            </w:pPr>
            <w:r>
              <w:rPr>
                <w:sz w:val="18"/>
              </w:rPr>
              <w:t>功率温度循环</w:t>
            </w:r>
          </w:p>
        </w:tc>
        <w:tc>
          <w:tcPr>
            <w:tcW w:w="836" w:type="pct"/>
            <w:shd w:val="clear" w:color="auto" w:fill="auto"/>
            <w:vAlign w:val="center"/>
          </w:tcPr>
          <w:p w14:paraId="5D7F6705">
            <w:pPr>
              <w:adjustRightInd w:val="0"/>
              <w:snapToGrid w:val="0"/>
              <w:jc w:val="center"/>
              <w:rPr>
                <w:sz w:val="18"/>
              </w:rPr>
            </w:pPr>
            <w:r>
              <w:rPr>
                <w:sz w:val="18"/>
              </w:rPr>
              <w:t>PTC</w:t>
            </w:r>
          </w:p>
        </w:tc>
        <w:tc>
          <w:tcPr>
            <w:tcW w:w="944" w:type="pct"/>
            <w:vAlign w:val="center"/>
          </w:tcPr>
          <w:p w14:paraId="47CAD114">
            <w:pPr>
              <w:adjustRightInd w:val="0"/>
              <w:snapToGrid w:val="0"/>
              <w:jc w:val="center"/>
              <w:rPr>
                <w:rFonts w:hint="eastAsia"/>
                <w:sz w:val="18"/>
              </w:rPr>
            </w:pPr>
            <w:r>
              <w:rPr>
                <w:sz w:val="18"/>
              </w:rPr>
              <w:t>30只/批*3批</w:t>
            </w:r>
          </w:p>
        </w:tc>
        <w:tc>
          <w:tcPr>
            <w:tcW w:w="1692" w:type="pct"/>
            <w:shd w:val="clear" w:color="auto" w:fill="auto"/>
            <w:vAlign w:val="center"/>
          </w:tcPr>
          <w:p w14:paraId="4AC3C881">
            <w:pPr>
              <w:jc w:val="left"/>
              <w:rPr>
                <w:sz w:val="18"/>
                <w:szCs w:val="18"/>
              </w:rPr>
            </w:pPr>
            <w:bookmarkStart w:id="61" w:name="OLE_LINK5"/>
            <w:bookmarkStart w:id="62" w:name="OLE_LINK6"/>
            <w:r>
              <w:rPr>
                <w:rFonts w:hint="eastAsia"/>
                <w:sz w:val="18"/>
                <w:szCs w:val="18"/>
              </w:rPr>
              <w:t>（1）温湿度条件（PTC）</w:t>
            </w:r>
          </w:p>
          <w:p w14:paraId="53EFC757">
            <w:pPr>
              <w:rPr>
                <w:sz w:val="18"/>
                <w:szCs w:val="18"/>
              </w:rPr>
            </w:pPr>
            <w:r>
              <w:rPr>
                <w:rFonts w:hint="eastAsia"/>
                <w:sz w:val="18"/>
                <w:szCs w:val="18"/>
              </w:rPr>
              <w:t>1.1）</w:t>
            </w:r>
            <w:r>
              <w:rPr>
                <w:sz w:val="18"/>
                <w:szCs w:val="18"/>
              </w:rPr>
              <w:t>乘用车：Ta=-40~150℃</w:t>
            </w:r>
            <w:r>
              <w:rPr>
                <w:rFonts w:hint="eastAsia"/>
                <w:sz w:val="18"/>
                <w:szCs w:val="18"/>
              </w:rPr>
              <w:t>，Clc</w:t>
            </w:r>
            <w:r>
              <w:rPr>
                <w:sz w:val="18"/>
                <w:szCs w:val="18"/>
              </w:rPr>
              <w:t>=</w:t>
            </w:r>
            <w:r>
              <w:rPr>
                <w:rFonts w:hint="eastAsia"/>
                <w:sz w:val="18"/>
                <w:szCs w:val="18"/>
              </w:rPr>
              <w:t>2803</w:t>
            </w:r>
            <w:r>
              <w:rPr>
                <w:sz w:val="18"/>
                <w:szCs w:val="18"/>
              </w:rPr>
              <w:t>循环；</w:t>
            </w:r>
          </w:p>
          <w:p w14:paraId="30BF4393">
            <w:pPr>
              <w:rPr>
                <w:sz w:val="18"/>
                <w:szCs w:val="18"/>
              </w:rPr>
            </w:pPr>
            <w:r>
              <w:rPr>
                <w:rFonts w:hint="eastAsia"/>
                <w:sz w:val="18"/>
                <w:szCs w:val="18"/>
              </w:rPr>
              <w:t>1.2）</w:t>
            </w:r>
            <w:r>
              <w:rPr>
                <w:sz w:val="18"/>
                <w:szCs w:val="18"/>
              </w:rPr>
              <w:t>商用车：Ta=-40~150℃，</w:t>
            </w:r>
            <w:r>
              <w:rPr>
                <w:rFonts w:hint="eastAsia"/>
                <w:sz w:val="18"/>
                <w:szCs w:val="18"/>
              </w:rPr>
              <w:t>Clc</w:t>
            </w:r>
            <w:r>
              <w:rPr>
                <w:sz w:val="18"/>
                <w:szCs w:val="18"/>
              </w:rPr>
              <w:t>=</w:t>
            </w:r>
            <w:r>
              <w:rPr>
                <w:rFonts w:hint="eastAsia"/>
                <w:sz w:val="18"/>
                <w:szCs w:val="18"/>
              </w:rPr>
              <w:t>1682</w:t>
            </w:r>
            <w:r>
              <w:rPr>
                <w:sz w:val="18"/>
                <w:szCs w:val="18"/>
              </w:rPr>
              <w:t>循环。</w:t>
            </w:r>
            <w:bookmarkEnd w:id="61"/>
            <w:bookmarkEnd w:id="62"/>
          </w:p>
        </w:tc>
      </w:tr>
      <w:tr w14:paraId="4F706B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409" w:type="pct"/>
            <w:vMerge w:val="continue"/>
            <w:shd w:val="clear" w:color="auto" w:fill="auto"/>
            <w:vAlign w:val="center"/>
          </w:tcPr>
          <w:p w14:paraId="1BD8D38D">
            <w:pPr>
              <w:adjustRightInd w:val="0"/>
              <w:snapToGrid w:val="0"/>
              <w:jc w:val="center"/>
              <w:rPr>
                <w:sz w:val="18"/>
              </w:rPr>
            </w:pPr>
          </w:p>
        </w:tc>
        <w:tc>
          <w:tcPr>
            <w:tcW w:w="309" w:type="pct"/>
            <w:shd w:val="clear" w:color="auto" w:fill="auto"/>
            <w:vAlign w:val="center"/>
          </w:tcPr>
          <w:p w14:paraId="68388D01">
            <w:pPr>
              <w:adjustRightInd w:val="0"/>
              <w:snapToGrid w:val="0"/>
              <w:jc w:val="center"/>
              <w:rPr>
                <w:sz w:val="18"/>
              </w:rPr>
            </w:pPr>
            <w:r>
              <w:rPr>
                <w:sz w:val="18"/>
              </w:rPr>
              <w:t>A6</w:t>
            </w:r>
          </w:p>
        </w:tc>
        <w:tc>
          <w:tcPr>
            <w:tcW w:w="810" w:type="pct"/>
            <w:shd w:val="clear" w:color="auto" w:fill="auto"/>
            <w:vAlign w:val="center"/>
          </w:tcPr>
          <w:p w14:paraId="5C8655D3">
            <w:pPr>
              <w:adjustRightInd w:val="0"/>
              <w:snapToGrid w:val="0"/>
              <w:jc w:val="center"/>
              <w:rPr>
                <w:sz w:val="18"/>
              </w:rPr>
            </w:pPr>
            <w:r>
              <w:rPr>
                <w:sz w:val="18"/>
              </w:rPr>
              <w:t>高温贮存</w:t>
            </w:r>
          </w:p>
        </w:tc>
        <w:tc>
          <w:tcPr>
            <w:tcW w:w="836" w:type="pct"/>
            <w:shd w:val="clear" w:color="auto" w:fill="auto"/>
            <w:vAlign w:val="center"/>
          </w:tcPr>
          <w:p w14:paraId="28976029">
            <w:pPr>
              <w:adjustRightInd w:val="0"/>
              <w:snapToGrid w:val="0"/>
              <w:jc w:val="center"/>
              <w:rPr>
                <w:sz w:val="18"/>
              </w:rPr>
            </w:pPr>
            <w:r>
              <w:rPr>
                <w:sz w:val="18"/>
              </w:rPr>
              <w:t>HTSL</w:t>
            </w:r>
          </w:p>
        </w:tc>
        <w:tc>
          <w:tcPr>
            <w:tcW w:w="944" w:type="pct"/>
            <w:vAlign w:val="center"/>
          </w:tcPr>
          <w:p w14:paraId="0338A714">
            <w:pPr>
              <w:adjustRightInd w:val="0"/>
              <w:snapToGrid w:val="0"/>
              <w:jc w:val="center"/>
              <w:rPr>
                <w:rFonts w:hint="eastAsia"/>
                <w:sz w:val="18"/>
              </w:rPr>
            </w:pPr>
            <w:r>
              <w:rPr>
                <w:sz w:val="18"/>
              </w:rPr>
              <w:t>30只/批*3批</w:t>
            </w:r>
          </w:p>
        </w:tc>
        <w:tc>
          <w:tcPr>
            <w:tcW w:w="1692" w:type="pct"/>
            <w:shd w:val="clear" w:color="auto" w:fill="auto"/>
            <w:vAlign w:val="center"/>
          </w:tcPr>
          <w:p w14:paraId="2F6E4D1C">
            <w:pPr>
              <w:rPr>
                <w:sz w:val="18"/>
                <w:szCs w:val="18"/>
              </w:rPr>
            </w:pPr>
            <w:r>
              <w:rPr>
                <w:rFonts w:hint="eastAsia"/>
                <w:sz w:val="18"/>
                <w:szCs w:val="18"/>
              </w:rPr>
              <w:t>（1）温湿度条件（HTSL）</w:t>
            </w:r>
          </w:p>
          <w:p w14:paraId="3590F069">
            <w:pPr>
              <w:rPr>
                <w:sz w:val="18"/>
                <w:szCs w:val="18"/>
              </w:rPr>
            </w:pPr>
            <w:r>
              <w:rPr>
                <w:rFonts w:hint="eastAsia"/>
                <w:sz w:val="18"/>
                <w:szCs w:val="18"/>
              </w:rPr>
              <w:t>1.1）</w:t>
            </w:r>
            <w:r>
              <w:rPr>
                <w:sz w:val="18"/>
                <w:szCs w:val="18"/>
              </w:rPr>
              <w:t>乘用车：Ta=150℃，</w:t>
            </w:r>
            <w:r>
              <w:rPr>
                <w:rFonts w:hint="eastAsia"/>
                <w:sz w:val="18"/>
                <w:szCs w:val="18"/>
              </w:rPr>
              <w:t>t</w:t>
            </w:r>
            <w:r>
              <w:rPr>
                <w:sz w:val="18"/>
                <w:szCs w:val="18"/>
              </w:rPr>
              <w:t>=1000h</w:t>
            </w:r>
            <w:r>
              <w:rPr>
                <w:rFonts w:hint="eastAsia"/>
                <w:sz w:val="18"/>
                <w:szCs w:val="18"/>
              </w:rPr>
              <w:t>；</w:t>
            </w:r>
          </w:p>
          <w:p w14:paraId="1463B055">
            <w:pPr>
              <w:rPr>
                <w:sz w:val="18"/>
                <w:szCs w:val="18"/>
              </w:rPr>
            </w:pPr>
            <w:r>
              <w:rPr>
                <w:rFonts w:hint="eastAsia"/>
                <w:sz w:val="18"/>
                <w:szCs w:val="18"/>
              </w:rPr>
              <w:t>1.2）</w:t>
            </w:r>
            <w:r>
              <w:rPr>
                <w:sz w:val="18"/>
                <w:szCs w:val="18"/>
              </w:rPr>
              <w:t>商用车：Ta=150℃，</w:t>
            </w:r>
            <w:r>
              <w:rPr>
                <w:rFonts w:hint="eastAsia"/>
                <w:sz w:val="18"/>
                <w:szCs w:val="18"/>
              </w:rPr>
              <w:t>t</w:t>
            </w:r>
            <w:r>
              <w:rPr>
                <w:sz w:val="18"/>
                <w:szCs w:val="18"/>
              </w:rPr>
              <w:t>=1000h</w:t>
            </w:r>
            <w:r>
              <w:rPr>
                <w:rFonts w:hint="eastAsia"/>
                <w:sz w:val="18"/>
                <w:szCs w:val="18"/>
              </w:rPr>
              <w:t>。</w:t>
            </w:r>
          </w:p>
        </w:tc>
      </w:tr>
      <w:tr w14:paraId="51C528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409" w:type="pct"/>
            <w:shd w:val="clear" w:color="auto" w:fill="auto"/>
            <w:vAlign w:val="center"/>
          </w:tcPr>
          <w:p w14:paraId="26DC8155">
            <w:pPr>
              <w:adjustRightInd w:val="0"/>
              <w:snapToGrid w:val="0"/>
              <w:jc w:val="center"/>
              <w:rPr>
                <w:sz w:val="18"/>
              </w:rPr>
            </w:pPr>
            <w:r>
              <w:rPr>
                <w:sz w:val="18"/>
              </w:rPr>
              <w:t>B组：加速寿命试验</w:t>
            </w:r>
          </w:p>
        </w:tc>
        <w:tc>
          <w:tcPr>
            <w:tcW w:w="309" w:type="pct"/>
            <w:shd w:val="clear" w:color="auto" w:fill="auto"/>
            <w:vAlign w:val="center"/>
          </w:tcPr>
          <w:p w14:paraId="745A6EEB">
            <w:pPr>
              <w:adjustRightInd w:val="0"/>
              <w:snapToGrid w:val="0"/>
              <w:jc w:val="center"/>
              <w:rPr>
                <w:sz w:val="18"/>
              </w:rPr>
            </w:pPr>
            <w:r>
              <w:rPr>
                <w:sz w:val="18"/>
              </w:rPr>
              <w:t>B1</w:t>
            </w:r>
          </w:p>
        </w:tc>
        <w:tc>
          <w:tcPr>
            <w:tcW w:w="810" w:type="pct"/>
            <w:shd w:val="clear" w:color="auto" w:fill="auto"/>
            <w:vAlign w:val="center"/>
          </w:tcPr>
          <w:p w14:paraId="4C5E33CB">
            <w:pPr>
              <w:adjustRightInd w:val="0"/>
              <w:snapToGrid w:val="0"/>
              <w:jc w:val="center"/>
              <w:rPr>
                <w:sz w:val="18"/>
              </w:rPr>
            </w:pPr>
            <w:r>
              <w:rPr>
                <w:sz w:val="18"/>
              </w:rPr>
              <w:t>高温工作寿命</w:t>
            </w:r>
          </w:p>
        </w:tc>
        <w:tc>
          <w:tcPr>
            <w:tcW w:w="836" w:type="pct"/>
            <w:shd w:val="clear" w:color="auto" w:fill="auto"/>
            <w:vAlign w:val="center"/>
          </w:tcPr>
          <w:p w14:paraId="54F5C77D">
            <w:pPr>
              <w:adjustRightInd w:val="0"/>
              <w:snapToGrid w:val="0"/>
              <w:jc w:val="center"/>
              <w:rPr>
                <w:sz w:val="18"/>
              </w:rPr>
            </w:pPr>
            <w:r>
              <w:rPr>
                <w:sz w:val="18"/>
              </w:rPr>
              <w:t>HTOL</w:t>
            </w:r>
          </w:p>
        </w:tc>
        <w:tc>
          <w:tcPr>
            <w:tcW w:w="944" w:type="pct"/>
            <w:vAlign w:val="center"/>
          </w:tcPr>
          <w:p w14:paraId="4A12CC15">
            <w:pPr>
              <w:adjustRightInd w:val="0"/>
              <w:snapToGrid w:val="0"/>
              <w:jc w:val="center"/>
              <w:rPr>
                <w:rFonts w:hint="eastAsia"/>
                <w:sz w:val="18"/>
              </w:rPr>
            </w:pPr>
            <w:r>
              <w:rPr>
                <w:sz w:val="18"/>
              </w:rPr>
              <w:t>30只/批*3批</w:t>
            </w:r>
          </w:p>
        </w:tc>
        <w:tc>
          <w:tcPr>
            <w:tcW w:w="1692" w:type="pct"/>
            <w:shd w:val="clear" w:color="auto" w:fill="auto"/>
            <w:vAlign w:val="center"/>
          </w:tcPr>
          <w:p w14:paraId="4E2C1CD1">
            <w:pPr>
              <w:rPr>
                <w:sz w:val="18"/>
                <w:szCs w:val="18"/>
              </w:rPr>
            </w:pPr>
            <w:r>
              <w:rPr>
                <w:rFonts w:hint="eastAsia"/>
                <w:sz w:val="18"/>
                <w:szCs w:val="18"/>
              </w:rPr>
              <w:t>（1）温湿度条件（HTOL）</w:t>
            </w:r>
          </w:p>
          <w:p w14:paraId="0D5A59F1">
            <w:pPr>
              <w:rPr>
                <w:sz w:val="18"/>
                <w:szCs w:val="18"/>
              </w:rPr>
            </w:pPr>
            <w:r>
              <w:rPr>
                <w:rFonts w:hint="eastAsia"/>
                <w:sz w:val="18"/>
                <w:szCs w:val="18"/>
              </w:rPr>
              <w:t>1.1）</w:t>
            </w:r>
            <w:r>
              <w:rPr>
                <w:sz w:val="18"/>
                <w:szCs w:val="18"/>
              </w:rPr>
              <w:t>乘用车：Ta=150℃，</w:t>
            </w:r>
            <w:r>
              <w:rPr>
                <w:rFonts w:hint="eastAsia"/>
                <w:sz w:val="18"/>
                <w:szCs w:val="18"/>
              </w:rPr>
              <w:t>t</w:t>
            </w:r>
            <w:r>
              <w:rPr>
                <w:sz w:val="18"/>
                <w:szCs w:val="18"/>
              </w:rPr>
              <w:t>=1000h</w:t>
            </w:r>
            <w:r>
              <w:rPr>
                <w:rFonts w:hint="eastAsia"/>
                <w:sz w:val="18"/>
                <w:szCs w:val="18"/>
              </w:rPr>
              <w:t>；</w:t>
            </w:r>
          </w:p>
          <w:p w14:paraId="5E39281F">
            <w:pPr>
              <w:rPr>
                <w:sz w:val="18"/>
                <w:szCs w:val="18"/>
              </w:rPr>
            </w:pPr>
            <w:r>
              <w:rPr>
                <w:rFonts w:hint="eastAsia"/>
                <w:sz w:val="18"/>
                <w:szCs w:val="18"/>
              </w:rPr>
              <w:t>1.2）</w:t>
            </w:r>
            <w:r>
              <w:rPr>
                <w:sz w:val="18"/>
                <w:szCs w:val="18"/>
              </w:rPr>
              <w:t>商用车：Ta=150℃，</w:t>
            </w:r>
            <w:r>
              <w:rPr>
                <w:rFonts w:hint="eastAsia"/>
                <w:sz w:val="18"/>
                <w:szCs w:val="18"/>
              </w:rPr>
              <w:t>t</w:t>
            </w:r>
            <w:r>
              <w:rPr>
                <w:sz w:val="18"/>
                <w:szCs w:val="18"/>
              </w:rPr>
              <w:t>=1000h</w:t>
            </w:r>
            <w:r>
              <w:rPr>
                <w:rFonts w:hint="eastAsia"/>
                <w:sz w:val="18"/>
                <w:szCs w:val="18"/>
              </w:rPr>
              <w:t>。</w:t>
            </w:r>
          </w:p>
        </w:tc>
      </w:tr>
    </w:tbl>
    <w:p w14:paraId="13B32850">
      <w:pPr>
        <w:pStyle w:val="24"/>
        <w:spacing w:before="156" w:beforeLines="50" w:after="156" w:afterLines="50"/>
        <w:ind w:firstLine="0" w:firstLineChars="0"/>
        <w:jc w:val="center"/>
        <w:rPr>
          <w:rFonts w:ascii="Times New Roman" w:eastAsia="黑体"/>
        </w:rPr>
      </w:pPr>
      <w:bookmarkStart w:id="63" w:name="_Ref192084645"/>
      <w:r>
        <w:rPr>
          <w:rFonts w:ascii="Times New Roman" w:eastAsia="黑体"/>
        </w:rPr>
        <w:t xml:space="preserve">表 </w:t>
      </w:r>
      <w:r>
        <w:rPr>
          <w:rFonts w:ascii="Times New Roman" w:eastAsia="黑体"/>
        </w:rPr>
        <w:fldChar w:fldCharType="begin" w:fldLock="1"/>
      </w:r>
      <w:r>
        <w:rPr>
          <w:rFonts w:ascii="Times New Roman" w:eastAsia="黑体"/>
        </w:rPr>
        <w:instrText xml:space="preserve"> SEQ 表 \* ARABIC </w:instrText>
      </w:r>
      <w:r>
        <w:rPr>
          <w:rFonts w:ascii="Times New Roman" w:eastAsia="黑体"/>
        </w:rPr>
        <w:fldChar w:fldCharType="separate"/>
      </w:r>
      <w:r>
        <w:rPr>
          <w:rFonts w:ascii="Times New Roman" w:eastAsia="黑体"/>
        </w:rPr>
        <w:t>7</w:t>
      </w:r>
      <w:r>
        <w:rPr>
          <w:rFonts w:ascii="Times New Roman" w:eastAsia="黑体"/>
        </w:rPr>
        <w:fldChar w:fldCharType="end"/>
      </w:r>
      <w:bookmarkEnd w:id="63"/>
      <w:r>
        <w:rPr>
          <w:rFonts w:ascii="Times New Roman" w:eastAsia="黑体"/>
        </w:rPr>
        <w:t xml:space="preserve"> </w:t>
      </w:r>
      <w:r>
        <w:rPr>
          <w:rFonts w:hint="eastAsia" w:ascii="Times New Roman" w:eastAsia="黑体"/>
        </w:rPr>
        <w:t>汽车多芯片组件</w:t>
      </w:r>
      <w:r>
        <w:rPr>
          <w:rFonts w:ascii="Times New Roman" w:eastAsia="黑体"/>
        </w:rPr>
        <w:t>1</w:t>
      </w:r>
      <w:r>
        <w:rPr>
          <w:rFonts w:hint="eastAsia" w:ascii="Times New Roman" w:eastAsia="黑体"/>
        </w:rPr>
        <w:t>级可靠性检测要求</w:t>
      </w:r>
    </w:p>
    <w:tbl>
      <w:tblPr>
        <w:tblStyle w:val="33"/>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590"/>
        <w:gridCol w:w="1786"/>
        <w:gridCol w:w="1378"/>
        <w:gridCol w:w="1750"/>
        <w:gridCol w:w="3292"/>
      </w:tblGrid>
      <w:tr w14:paraId="41316B6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405" w:type="pct"/>
            <w:tcBorders>
              <w:top w:val="single" w:color="000000" w:sz="12" w:space="0"/>
              <w:bottom w:val="single" w:color="000000" w:sz="12" w:space="0"/>
            </w:tcBorders>
            <w:shd w:val="clear" w:color="auto" w:fill="auto"/>
            <w:vAlign w:val="center"/>
          </w:tcPr>
          <w:p w14:paraId="5B1E376A">
            <w:pPr>
              <w:widowControl/>
              <w:autoSpaceDE w:val="0"/>
              <w:autoSpaceDN w:val="0"/>
              <w:adjustRightInd w:val="0"/>
              <w:snapToGrid w:val="0"/>
              <w:spacing w:before="156" w:beforeLines="50" w:after="156" w:afterLines="50"/>
              <w:jc w:val="center"/>
              <w:rPr>
                <w:b/>
                <w:bCs/>
                <w:sz w:val="18"/>
              </w:rPr>
            </w:pPr>
            <w:r>
              <w:rPr>
                <w:b/>
                <w:bCs/>
                <w:sz w:val="18"/>
              </w:rPr>
              <w:t>组别</w:t>
            </w:r>
          </w:p>
        </w:tc>
        <w:tc>
          <w:tcPr>
            <w:tcW w:w="308" w:type="pct"/>
            <w:tcBorders>
              <w:top w:val="single" w:color="000000" w:sz="12" w:space="0"/>
              <w:bottom w:val="single" w:color="000000" w:sz="12" w:space="0"/>
            </w:tcBorders>
            <w:shd w:val="clear" w:color="auto" w:fill="auto"/>
            <w:vAlign w:val="center"/>
          </w:tcPr>
          <w:p w14:paraId="3140B9BF">
            <w:pPr>
              <w:widowControl/>
              <w:autoSpaceDE w:val="0"/>
              <w:autoSpaceDN w:val="0"/>
              <w:adjustRightInd w:val="0"/>
              <w:snapToGrid w:val="0"/>
              <w:spacing w:before="156" w:beforeLines="50" w:after="156" w:afterLines="50"/>
              <w:jc w:val="center"/>
              <w:rPr>
                <w:b/>
                <w:bCs/>
                <w:sz w:val="18"/>
              </w:rPr>
            </w:pPr>
            <w:r>
              <w:rPr>
                <w:b/>
                <w:bCs/>
                <w:sz w:val="18"/>
              </w:rPr>
              <w:t>序号</w:t>
            </w:r>
          </w:p>
        </w:tc>
        <w:tc>
          <w:tcPr>
            <w:tcW w:w="933" w:type="pct"/>
            <w:tcBorders>
              <w:top w:val="single" w:color="000000" w:sz="12" w:space="0"/>
              <w:bottom w:val="single" w:color="000000" w:sz="12" w:space="0"/>
            </w:tcBorders>
            <w:shd w:val="clear" w:color="auto" w:fill="auto"/>
            <w:vAlign w:val="center"/>
          </w:tcPr>
          <w:p w14:paraId="1B229EDE">
            <w:pPr>
              <w:widowControl/>
              <w:autoSpaceDE w:val="0"/>
              <w:autoSpaceDN w:val="0"/>
              <w:adjustRightInd w:val="0"/>
              <w:snapToGrid w:val="0"/>
              <w:spacing w:before="156" w:beforeLines="50" w:after="156" w:afterLines="50"/>
              <w:jc w:val="center"/>
              <w:rPr>
                <w:b/>
                <w:bCs/>
                <w:sz w:val="18"/>
              </w:rPr>
            </w:pPr>
            <w:r>
              <w:rPr>
                <w:b/>
                <w:bCs/>
                <w:sz w:val="18"/>
              </w:rPr>
              <w:t>试验项目</w:t>
            </w:r>
          </w:p>
        </w:tc>
        <w:tc>
          <w:tcPr>
            <w:tcW w:w="720" w:type="pct"/>
            <w:tcBorders>
              <w:top w:val="single" w:color="000000" w:sz="12" w:space="0"/>
              <w:bottom w:val="single" w:color="000000" w:sz="12" w:space="0"/>
            </w:tcBorders>
            <w:shd w:val="clear" w:color="auto" w:fill="auto"/>
            <w:vAlign w:val="center"/>
          </w:tcPr>
          <w:p w14:paraId="1A357342">
            <w:pPr>
              <w:widowControl/>
              <w:autoSpaceDE w:val="0"/>
              <w:autoSpaceDN w:val="0"/>
              <w:adjustRightInd w:val="0"/>
              <w:snapToGrid w:val="0"/>
              <w:spacing w:before="156" w:beforeLines="50" w:after="156" w:afterLines="50"/>
              <w:jc w:val="center"/>
              <w:rPr>
                <w:b/>
                <w:bCs/>
                <w:sz w:val="18"/>
              </w:rPr>
            </w:pPr>
            <w:r>
              <w:rPr>
                <w:b/>
                <w:bCs/>
                <w:sz w:val="18"/>
              </w:rPr>
              <w:t>简称</w:t>
            </w:r>
          </w:p>
        </w:tc>
        <w:tc>
          <w:tcPr>
            <w:tcW w:w="914" w:type="pct"/>
            <w:tcBorders>
              <w:top w:val="single" w:color="000000" w:sz="12" w:space="0"/>
              <w:bottom w:val="single" w:color="000000" w:sz="12" w:space="0"/>
            </w:tcBorders>
            <w:vAlign w:val="center"/>
          </w:tcPr>
          <w:p w14:paraId="0F935ED5">
            <w:pPr>
              <w:widowControl/>
              <w:autoSpaceDE w:val="0"/>
              <w:autoSpaceDN w:val="0"/>
              <w:adjustRightInd w:val="0"/>
              <w:snapToGrid w:val="0"/>
              <w:spacing w:before="156" w:beforeLines="50" w:after="156" w:afterLines="50"/>
              <w:jc w:val="center"/>
              <w:rPr>
                <w:b/>
                <w:bCs/>
                <w:sz w:val="18"/>
              </w:rPr>
            </w:pPr>
            <w:r>
              <w:rPr>
                <w:b/>
                <w:bCs/>
                <w:sz w:val="18"/>
              </w:rPr>
              <w:t>试验样品数量</w:t>
            </w:r>
            <w:r>
              <w:rPr>
                <w:rFonts w:hint="eastAsia"/>
                <w:sz w:val="24"/>
                <w:vertAlign w:val="superscript"/>
              </w:rPr>
              <w:t>e</w:t>
            </w:r>
            <w:r>
              <w:rPr>
                <w:sz w:val="24"/>
                <w:vertAlign w:val="superscript"/>
              </w:rPr>
              <w:t>*</w:t>
            </w:r>
          </w:p>
        </w:tc>
        <w:tc>
          <w:tcPr>
            <w:tcW w:w="1720" w:type="pct"/>
            <w:tcBorders>
              <w:top w:val="single" w:color="000000" w:sz="12" w:space="0"/>
              <w:bottom w:val="single" w:color="000000" w:sz="12" w:space="0"/>
            </w:tcBorders>
            <w:shd w:val="clear" w:color="auto" w:fill="auto"/>
            <w:vAlign w:val="center"/>
          </w:tcPr>
          <w:p w14:paraId="23A9B92B">
            <w:pPr>
              <w:widowControl/>
              <w:autoSpaceDE w:val="0"/>
              <w:autoSpaceDN w:val="0"/>
              <w:adjustRightInd w:val="0"/>
              <w:snapToGrid w:val="0"/>
              <w:spacing w:before="156" w:beforeLines="50" w:after="156" w:afterLines="50"/>
              <w:jc w:val="center"/>
              <w:rPr>
                <w:b/>
                <w:bCs/>
                <w:sz w:val="18"/>
              </w:rPr>
            </w:pPr>
            <w:r>
              <w:rPr>
                <w:b/>
                <w:bCs/>
                <w:sz w:val="18"/>
              </w:rPr>
              <w:t>试验条件</w:t>
            </w:r>
          </w:p>
        </w:tc>
      </w:tr>
      <w:tr w14:paraId="0AA97A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405" w:type="pct"/>
            <w:vMerge w:val="restart"/>
            <w:tcBorders>
              <w:top w:val="single" w:color="000000" w:sz="12" w:space="0"/>
            </w:tcBorders>
            <w:shd w:val="clear" w:color="auto" w:fill="auto"/>
            <w:vAlign w:val="center"/>
          </w:tcPr>
          <w:p w14:paraId="1FF244E2">
            <w:pPr>
              <w:adjustRightInd w:val="0"/>
              <w:snapToGrid w:val="0"/>
              <w:jc w:val="center"/>
              <w:rPr>
                <w:sz w:val="18"/>
              </w:rPr>
            </w:pPr>
            <w:r>
              <w:rPr>
                <w:sz w:val="18"/>
              </w:rPr>
              <w:t>A组：加速环境应力试验</w:t>
            </w:r>
            <w:r>
              <w:rPr>
                <w:rFonts w:hint="eastAsia"/>
                <w:sz w:val="24"/>
                <w:vertAlign w:val="superscript"/>
              </w:rPr>
              <w:t>a</w:t>
            </w:r>
            <w:r>
              <w:rPr>
                <w:sz w:val="24"/>
                <w:vertAlign w:val="superscript"/>
              </w:rPr>
              <w:t>*</w:t>
            </w:r>
            <w:r>
              <w:rPr>
                <w:rFonts w:hint="eastAsia"/>
                <w:sz w:val="24"/>
                <w:vertAlign w:val="superscript"/>
              </w:rPr>
              <w:t xml:space="preserve"> d</w:t>
            </w:r>
            <w:r>
              <w:rPr>
                <w:sz w:val="24"/>
                <w:vertAlign w:val="superscript"/>
              </w:rPr>
              <w:t>*</w:t>
            </w:r>
          </w:p>
        </w:tc>
        <w:tc>
          <w:tcPr>
            <w:tcW w:w="308" w:type="pct"/>
            <w:tcBorders>
              <w:top w:val="single" w:color="000000" w:sz="12" w:space="0"/>
            </w:tcBorders>
            <w:shd w:val="clear" w:color="auto" w:fill="auto"/>
            <w:vAlign w:val="center"/>
          </w:tcPr>
          <w:p w14:paraId="2C494C3F">
            <w:pPr>
              <w:adjustRightInd w:val="0"/>
              <w:snapToGrid w:val="0"/>
              <w:jc w:val="center"/>
              <w:rPr>
                <w:sz w:val="18"/>
              </w:rPr>
            </w:pPr>
            <w:r>
              <w:rPr>
                <w:sz w:val="18"/>
              </w:rPr>
              <w:t>A2</w:t>
            </w:r>
          </w:p>
        </w:tc>
        <w:tc>
          <w:tcPr>
            <w:tcW w:w="933" w:type="pct"/>
            <w:tcBorders>
              <w:top w:val="single" w:color="000000" w:sz="12" w:space="0"/>
            </w:tcBorders>
            <w:shd w:val="clear" w:color="auto" w:fill="auto"/>
            <w:vAlign w:val="center"/>
          </w:tcPr>
          <w:p w14:paraId="12FEE4EE">
            <w:pPr>
              <w:adjustRightInd w:val="0"/>
              <w:snapToGrid w:val="0"/>
              <w:jc w:val="center"/>
              <w:rPr>
                <w:sz w:val="18"/>
              </w:rPr>
            </w:pPr>
            <w:r>
              <w:rPr>
                <w:sz w:val="18"/>
              </w:rPr>
              <w:t>带电偏置湿热试验或带电偏置强加速稳态湿热试验</w:t>
            </w:r>
            <w:r>
              <w:rPr>
                <w:kern w:val="0"/>
                <w:sz w:val="24"/>
                <w:vertAlign w:val="superscript"/>
              </w:rPr>
              <w:t>b*</w:t>
            </w:r>
          </w:p>
        </w:tc>
        <w:tc>
          <w:tcPr>
            <w:tcW w:w="720" w:type="pct"/>
            <w:tcBorders>
              <w:top w:val="single" w:color="000000" w:sz="12" w:space="0"/>
            </w:tcBorders>
            <w:shd w:val="clear" w:color="auto" w:fill="auto"/>
            <w:vAlign w:val="center"/>
          </w:tcPr>
          <w:p w14:paraId="57A14258">
            <w:pPr>
              <w:adjustRightInd w:val="0"/>
              <w:snapToGrid w:val="0"/>
              <w:jc w:val="center"/>
              <w:rPr>
                <w:sz w:val="18"/>
              </w:rPr>
            </w:pPr>
            <w:r>
              <w:rPr>
                <w:sz w:val="18"/>
              </w:rPr>
              <w:t>TH</w:t>
            </w:r>
          </w:p>
          <w:p w14:paraId="607B1989">
            <w:pPr>
              <w:adjustRightInd w:val="0"/>
              <w:snapToGrid w:val="0"/>
              <w:jc w:val="center"/>
              <w:rPr>
                <w:sz w:val="18"/>
              </w:rPr>
            </w:pPr>
            <w:r>
              <w:rPr>
                <w:sz w:val="18"/>
              </w:rPr>
              <w:t>/HAST</w:t>
            </w:r>
          </w:p>
        </w:tc>
        <w:tc>
          <w:tcPr>
            <w:tcW w:w="914" w:type="pct"/>
            <w:tcBorders>
              <w:top w:val="single" w:color="000000" w:sz="12" w:space="0"/>
            </w:tcBorders>
            <w:vAlign w:val="center"/>
          </w:tcPr>
          <w:p w14:paraId="366F51B2">
            <w:pPr>
              <w:adjustRightInd w:val="0"/>
              <w:snapToGrid w:val="0"/>
              <w:jc w:val="center"/>
              <w:rPr>
                <w:b/>
                <w:bCs/>
                <w:sz w:val="18"/>
              </w:rPr>
            </w:pPr>
            <w:r>
              <w:rPr>
                <w:sz w:val="18"/>
              </w:rPr>
              <w:t>30只/批*3批</w:t>
            </w:r>
          </w:p>
        </w:tc>
        <w:tc>
          <w:tcPr>
            <w:tcW w:w="1720" w:type="pct"/>
            <w:tcBorders>
              <w:top w:val="single" w:color="000000" w:sz="12" w:space="0"/>
            </w:tcBorders>
            <w:shd w:val="clear" w:color="auto" w:fill="auto"/>
            <w:vAlign w:val="center"/>
          </w:tcPr>
          <w:p w14:paraId="679DE185">
            <w:pPr>
              <w:jc w:val="left"/>
              <w:rPr>
                <w:sz w:val="18"/>
                <w:szCs w:val="18"/>
              </w:rPr>
            </w:pPr>
            <w:r>
              <w:rPr>
                <w:rFonts w:hint="eastAsia"/>
                <w:sz w:val="18"/>
                <w:szCs w:val="18"/>
              </w:rPr>
              <w:t>（1）温湿度条件（</w:t>
            </w:r>
            <w:r>
              <w:rPr>
                <w:sz w:val="18"/>
                <w:szCs w:val="18"/>
              </w:rPr>
              <w:t>HAST）</w:t>
            </w:r>
          </w:p>
          <w:p w14:paraId="2EE18C93">
            <w:pPr>
              <w:jc w:val="left"/>
              <w:rPr>
                <w:sz w:val="18"/>
                <w:szCs w:val="18"/>
              </w:rPr>
            </w:pPr>
            <w:r>
              <w:rPr>
                <w:rFonts w:hint="eastAsia"/>
                <w:sz w:val="18"/>
                <w:szCs w:val="18"/>
              </w:rPr>
              <w:t>1.1）</w:t>
            </w:r>
            <w:r>
              <w:rPr>
                <w:sz w:val="18"/>
                <w:szCs w:val="18"/>
              </w:rPr>
              <w:t>乘用车：</w:t>
            </w:r>
            <w:r>
              <w:rPr>
                <w:rFonts w:hint="eastAsia"/>
                <w:sz w:val="18"/>
                <w:szCs w:val="18"/>
              </w:rPr>
              <w:t>Ta</w:t>
            </w:r>
            <w:r>
              <w:rPr>
                <w:sz w:val="18"/>
                <w:szCs w:val="18"/>
              </w:rPr>
              <w:t>=130℃、</w:t>
            </w:r>
            <w:r>
              <w:rPr>
                <w:rFonts w:hint="eastAsia"/>
                <w:sz w:val="18"/>
                <w:szCs w:val="18"/>
              </w:rPr>
              <w:t>RH</w:t>
            </w:r>
            <w:r>
              <w:rPr>
                <w:sz w:val="18"/>
                <w:szCs w:val="18"/>
              </w:rPr>
              <w:t>=85%，</w:t>
            </w:r>
            <w:r>
              <w:rPr>
                <w:rFonts w:hint="eastAsia"/>
                <w:sz w:val="18"/>
                <w:szCs w:val="18"/>
              </w:rPr>
              <w:t>t</w:t>
            </w:r>
            <w:r>
              <w:rPr>
                <w:sz w:val="18"/>
                <w:szCs w:val="18"/>
              </w:rPr>
              <w:t>=</w:t>
            </w:r>
            <w:r>
              <w:rPr>
                <w:rFonts w:hint="eastAsia"/>
                <w:sz w:val="18"/>
                <w:szCs w:val="18"/>
              </w:rPr>
              <w:t>63</w:t>
            </w:r>
            <w:r>
              <w:rPr>
                <w:sz w:val="18"/>
                <w:szCs w:val="18"/>
              </w:rPr>
              <w:t xml:space="preserve">h；  </w:t>
            </w:r>
          </w:p>
          <w:p w14:paraId="1DDAB467">
            <w:pPr>
              <w:jc w:val="left"/>
              <w:rPr>
                <w:sz w:val="18"/>
                <w:szCs w:val="18"/>
              </w:rPr>
            </w:pPr>
            <w:r>
              <w:rPr>
                <w:rFonts w:hint="eastAsia"/>
                <w:sz w:val="18"/>
                <w:szCs w:val="18"/>
              </w:rPr>
              <w:t>1.2）</w:t>
            </w:r>
            <w:r>
              <w:rPr>
                <w:sz w:val="18"/>
                <w:szCs w:val="18"/>
              </w:rPr>
              <w:t>商用车：</w:t>
            </w:r>
            <w:r>
              <w:rPr>
                <w:rFonts w:hint="eastAsia"/>
                <w:sz w:val="18"/>
                <w:szCs w:val="18"/>
              </w:rPr>
              <w:t>Ta</w:t>
            </w:r>
            <w:r>
              <w:rPr>
                <w:sz w:val="18"/>
                <w:szCs w:val="18"/>
              </w:rPr>
              <w:t>=130℃、</w:t>
            </w:r>
            <w:r>
              <w:rPr>
                <w:rFonts w:hint="eastAsia"/>
                <w:sz w:val="18"/>
                <w:szCs w:val="18"/>
              </w:rPr>
              <w:t>RH</w:t>
            </w:r>
            <w:r>
              <w:rPr>
                <w:sz w:val="18"/>
                <w:szCs w:val="18"/>
              </w:rPr>
              <w:t>=85%，</w:t>
            </w:r>
            <w:r>
              <w:rPr>
                <w:rFonts w:hint="eastAsia"/>
                <w:sz w:val="18"/>
                <w:szCs w:val="18"/>
              </w:rPr>
              <w:t>t</w:t>
            </w:r>
            <w:r>
              <w:rPr>
                <w:sz w:val="18"/>
                <w:szCs w:val="18"/>
              </w:rPr>
              <w:t>=</w:t>
            </w:r>
            <w:r>
              <w:rPr>
                <w:rFonts w:hint="eastAsia"/>
                <w:sz w:val="18"/>
                <w:szCs w:val="18"/>
              </w:rPr>
              <w:t>81</w:t>
            </w:r>
            <w:r>
              <w:rPr>
                <w:sz w:val="18"/>
                <w:szCs w:val="18"/>
              </w:rPr>
              <w:t>h</w:t>
            </w:r>
            <w:r>
              <w:rPr>
                <w:rFonts w:hint="eastAsia"/>
                <w:sz w:val="18"/>
                <w:szCs w:val="18"/>
              </w:rPr>
              <w:t>。</w:t>
            </w:r>
          </w:p>
          <w:p w14:paraId="6A479474">
            <w:pPr>
              <w:jc w:val="left"/>
              <w:rPr>
                <w:sz w:val="18"/>
                <w:szCs w:val="18"/>
              </w:rPr>
            </w:pPr>
            <w:r>
              <w:rPr>
                <w:sz w:val="18"/>
                <w:szCs w:val="18"/>
              </w:rPr>
              <w:t>（2）</w:t>
            </w:r>
            <w:r>
              <w:rPr>
                <w:rFonts w:hint="eastAsia"/>
                <w:sz w:val="18"/>
                <w:szCs w:val="18"/>
              </w:rPr>
              <w:t>温湿度条件（</w:t>
            </w:r>
            <w:r>
              <w:rPr>
                <w:sz w:val="18"/>
                <w:szCs w:val="18"/>
              </w:rPr>
              <w:t>THB</w:t>
            </w:r>
            <w:r>
              <w:rPr>
                <w:rFonts w:hint="eastAsia"/>
                <w:sz w:val="18"/>
                <w:szCs w:val="18"/>
              </w:rPr>
              <w:t>）</w:t>
            </w:r>
          </w:p>
          <w:p w14:paraId="57171974">
            <w:pPr>
              <w:rPr>
                <w:sz w:val="18"/>
                <w:szCs w:val="18"/>
              </w:rPr>
            </w:pPr>
            <w:r>
              <w:rPr>
                <w:rFonts w:hint="eastAsia"/>
                <w:sz w:val="18"/>
                <w:szCs w:val="18"/>
              </w:rPr>
              <w:t>2.1）</w:t>
            </w:r>
            <w:r>
              <w:rPr>
                <w:sz w:val="18"/>
                <w:szCs w:val="18"/>
              </w:rPr>
              <w:t>乘用车：</w:t>
            </w:r>
            <w:r>
              <w:rPr>
                <w:rFonts w:hint="eastAsia"/>
                <w:sz w:val="18"/>
                <w:szCs w:val="18"/>
              </w:rPr>
              <w:t>Ta</w:t>
            </w:r>
            <w:r>
              <w:rPr>
                <w:sz w:val="18"/>
                <w:szCs w:val="18"/>
              </w:rPr>
              <w:t>=85℃、</w:t>
            </w:r>
            <w:r>
              <w:rPr>
                <w:rFonts w:hint="eastAsia"/>
                <w:sz w:val="18"/>
                <w:szCs w:val="18"/>
              </w:rPr>
              <w:t>RH</w:t>
            </w:r>
            <w:r>
              <w:rPr>
                <w:sz w:val="18"/>
                <w:szCs w:val="18"/>
              </w:rPr>
              <w:t>=85%，</w:t>
            </w:r>
            <w:r>
              <w:rPr>
                <w:rFonts w:hint="eastAsia"/>
                <w:sz w:val="18"/>
                <w:szCs w:val="18"/>
              </w:rPr>
              <w:t>t</w:t>
            </w:r>
            <w:r>
              <w:rPr>
                <w:sz w:val="18"/>
                <w:szCs w:val="18"/>
              </w:rPr>
              <w:t>=</w:t>
            </w:r>
            <w:r>
              <w:rPr>
                <w:rFonts w:hint="eastAsia"/>
                <w:sz w:val="18"/>
                <w:szCs w:val="18"/>
              </w:rPr>
              <w:t>1136</w:t>
            </w:r>
            <w:r>
              <w:rPr>
                <w:sz w:val="18"/>
                <w:szCs w:val="18"/>
              </w:rPr>
              <w:t xml:space="preserve">h；  </w:t>
            </w:r>
          </w:p>
          <w:p w14:paraId="2C3865E3">
            <w:pPr>
              <w:rPr>
                <w:sz w:val="18"/>
                <w:szCs w:val="18"/>
              </w:rPr>
            </w:pPr>
            <w:r>
              <w:rPr>
                <w:rFonts w:hint="eastAsia"/>
                <w:sz w:val="18"/>
                <w:szCs w:val="18"/>
              </w:rPr>
              <w:t>2.2）</w:t>
            </w:r>
            <w:r>
              <w:rPr>
                <w:sz w:val="18"/>
                <w:szCs w:val="18"/>
              </w:rPr>
              <w:t>商用车：</w:t>
            </w:r>
            <w:r>
              <w:rPr>
                <w:rFonts w:hint="eastAsia"/>
                <w:sz w:val="18"/>
                <w:szCs w:val="18"/>
              </w:rPr>
              <w:t>Ta</w:t>
            </w:r>
            <w:r>
              <w:rPr>
                <w:sz w:val="18"/>
                <w:szCs w:val="18"/>
              </w:rPr>
              <w:t>=85℃、</w:t>
            </w:r>
            <w:r>
              <w:rPr>
                <w:rFonts w:hint="eastAsia"/>
                <w:sz w:val="18"/>
                <w:szCs w:val="18"/>
              </w:rPr>
              <w:t>RH</w:t>
            </w:r>
            <w:r>
              <w:rPr>
                <w:sz w:val="18"/>
                <w:szCs w:val="18"/>
              </w:rPr>
              <w:t>=85%，</w:t>
            </w:r>
            <w:r>
              <w:rPr>
                <w:rFonts w:hint="eastAsia"/>
                <w:sz w:val="18"/>
                <w:szCs w:val="18"/>
              </w:rPr>
              <w:t>t</w:t>
            </w:r>
            <w:r>
              <w:rPr>
                <w:sz w:val="18"/>
                <w:szCs w:val="18"/>
              </w:rPr>
              <w:t>=</w:t>
            </w:r>
            <w:r>
              <w:rPr>
                <w:rFonts w:hint="eastAsia"/>
                <w:sz w:val="18"/>
                <w:szCs w:val="18"/>
              </w:rPr>
              <w:t>1457</w:t>
            </w:r>
            <w:r>
              <w:rPr>
                <w:sz w:val="18"/>
                <w:szCs w:val="18"/>
              </w:rPr>
              <w:t>h</w:t>
            </w:r>
            <w:r>
              <w:rPr>
                <w:rFonts w:hint="eastAsia"/>
                <w:sz w:val="18"/>
                <w:szCs w:val="18"/>
              </w:rPr>
              <w:t>。</w:t>
            </w:r>
          </w:p>
        </w:tc>
      </w:tr>
      <w:tr w14:paraId="1F958F3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405" w:type="pct"/>
            <w:vMerge w:val="continue"/>
            <w:shd w:val="clear" w:color="auto" w:fill="auto"/>
            <w:vAlign w:val="center"/>
          </w:tcPr>
          <w:p w14:paraId="22D7D872">
            <w:pPr>
              <w:adjustRightInd w:val="0"/>
              <w:snapToGrid w:val="0"/>
              <w:jc w:val="center"/>
              <w:rPr>
                <w:sz w:val="18"/>
              </w:rPr>
            </w:pPr>
          </w:p>
        </w:tc>
        <w:tc>
          <w:tcPr>
            <w:tcW w:w="308" w:type="pct"/>
            <w:shd w:val="clear" w:color="auto" w:fill="auto"/>
            <w:vAlign w:val="center"/>
          </w:tcPr>
          <w:p w14:paraId="4D975113">
            <w:pPr>
              <w:adjustRightInd w:val="0"/>
              <w:snapToGrid w:val="0"/>
              <w:jc w:val="center"/>
              <w:rPr>
                <w:sz w:val="18"/>
              </w:rPr>
            </w:pPr>
            <w:r>
              <w:rPr>
                <w:sz w:val="18"/>
              </w:rPr>
              <w:t>A3</w:t>
            </w:r>
          </w:p>
        </w:tc>
        <w:tc>
          <w:tcPr>
            <w:tcW w:w="933" w:type="pct"/>
            <w:shd w:val="clear" w:color="auto" w:fill="auto"/>
            <w:vAlign w:val="center"/>
          </w:tcPr>
          <w:p w14:paraId="410E2091">
            <w:pPr>
              <w:adjustRightInd w:val="0"/>
              <w:snapToGrid w:val="0"/>
              <w:jc w:val="center"/>
              <w:rPr>
                <w:sz w:val="18"/>
              </w:rPr>
            </w:pPr>
            <w:r>
              <w:rPr>
                <w:sz w:val="18"/>
              </w:rPr>
              <w:t>非偏置湿热试验或非偏置强加速稳态湿热试验</w:t>
            </w:r>
            <w:r>
              <w:rPr>
                <w:kern w:val="0"/>
                <w:sz w:val="24"/>
                <w:vertAlign w:val="superscript"/>
              </w:rPr>
              <w:t>c*</w:t>
            </w:r>
          </w:p>
        </w:tc>
        <w:tc>
          <w:tcPr>
            <w:tcW w:w="720" w:type="pct"/>
            <w:shd w:val="clear" w:color="auto" w:fill="auto"/>
            <w:vAlign w:val="center"/>
          </w:tcPr>
          <w:p w14:paraId="56042C46">
            <w:pPr>
              <w:adjustRightInd w:val="0"/>
              <w:snapToGrid w:val="0"/>
              <w:jc w:val="center"/>
              <w:rPr>
                <w:sz w:val="18"/>
              </w:rPr>
            </w:pPr>
            <w:r>
              <w:rPr>
                <w:sz w:val="18"/>
              </w:rPr>
              <w:t>AC</w:t>
            </w:r>
          </w:p>
          <w:p w14:paraId="79234BD9">
            <w:pPr>
              <w:adjustRightInd w:val="0"/>
              <w:snapToGrid w:val="0"/>
              <w:jc w:val="center"/>
              <w:rPr>
                <w:sz w:val="18"/>
              </w:rPr>
            </w:pPr>
            <w:r>
              <w:rPr>
                <w:sz w:val="18"/>
              </w:rPr>
              <w:t>/UHST/TH</w:t>
            </w:r>
          </w:p>
        </w:tc>
        <w:tc>
          <w:tcPr>
            <w:tcW w:w="914" w:type="pct"/>
            <w:vAlign w:val="center"/>
          </w:tcPr>
          <w:p w14:paraId="5B4AEBF3">
            <w:pPr>
              <w:adjustRightInd w:val="0"/>
              <w:snapToGrid w:val="0"/>
              <w:jc w:val="center"/>
              <w:rPr>
                <w:sz w:val="18"/>
              </w:rPr>
            </w:pPr>
            <w:r>
              <w:rPr>
                <w:sz w:val="18"/>
              </w:rPr>
              <w:t>30只/批*3批</w:t>
            </w:r>
          </w:p>
        </w:tc>
        <w:tc>
          <w:tcPr>
            <w:tcW w:w="1720" w:type="pct"/>
            <w:shd w:val="clear" w:color="auto" w:fill="auto"/>
            <w:vAlign w:val="center"/>
          </w:tcPr>
          <w:p w14:paraId="644A9FBE">
            <w:pPr>
              <w:jc w:val="left"/>
              <w:rPr>
                <w:sz w:val="18"/>
                <w:szCs w:val="18"/>
              </w:rPr>
            </w:pPr>
            <w:r>
              <w:rPr>
                <w:sz w:val="18"/>
                <w:szCs w:val="18"/>
              </w:rPr>
              <w:t>（1）</w:t>
            </w:r>
            <w:r>
              <w:rPr>
                <w:rFonts w:hint="eastAsia"/>
                <w:sz w:val="18"/>
                <w:szCs w:val="18"/>
              </w:rPr>
              <w:t>温湿度条件（UH</w:t>
            </w:r>
            <w:r>
              <w:rPr>
                <w:sz w:val="18"/>
                <w:szCs w:val="18"/>
              </w:rPr>
              <w:t>ST）</w:t>
            </w:r>
          </w:p>
          <w:p w14:paraId="1DDF2D64">
            <w:pPr>
              <w:jc w:val="left"/>
              <w:rPr>
                <w:sz w:val="18"/>
                <w:szCs w:val="18"/>
              </w:rPr>
            </w:pPr>
            <w:r>
              <w:rPr>
                <w:rFonts w:hint="eastAsia"/>
                <w:sz w:val="18"/>
                <w:szCs w:val="18"/>
              </w:rPr>
              <w:t>1.1）</w:t>
            </w:r>
            <w:r>
              <w:rPr>
                <w:sz w:val="18"/>
                <w:szCs w:val="18"/>
              </w:rPr>
              <w:t>乘用车：</w:t>
            </w:r>
            <w:r>
              <w:rPr>
                <w:rFonts w:hint="eastAsia"/>
                <w:sz w:val="18"/>
                <w:szCs w:val="18"/>
              </w:rPr>
              <w:t>Ta</w:t>
            </w:r>
            <w:r>
              <w:rPr>
                <w:sz w:val="18"/>
                <w:szCs w:val="18"/>
              </w:rPr>
              <w:t>=130℃、</w:t>
            </w:r>
            <w:r>
              <w:rPr>
                <w:rFonts w:hint="eastAsia"/>
                <w:sz w:val="18"/>
                <w:szCs w:val="18"/>
              </w:rPr>
              <w:t>RH</w:t>
            </w:r>
            <w:r>
              <w:rPr>
                <w:sz w:val="18"/>
                <w:szCs w:val="18"/>
              </w:rPr>
              <w:t>=85%，</w:t>
            </w:r>
            <w:r>
              <w:rPr>
                <w:rFonts w:hint="eastAsia"/>
                <w:sz w:val="18"/>
                <w:szCs w:val="18"/>
              </w:rPr>
              <w:t>t</w:t>
            </w:r>
            <w:r>
              <w:rPr>
                <w:sz w:val="18"/>
                <w:szCs w:val="18"/>
              </w:rPr>
              <w:t>=</w:t>
            </w:r>
            <w:r>
              <w:rPr>
                <w:rFonts w:hint="eastAsia"/>
                <w:sz w:val="18"/>
                <w:szCs w:val="18"/>
              </w:rPr>
              <w:t>63</w:t>
            </w:r>
            <w:r>
              <w:rPr>
                <w:sz w:val="18"/>
                <w:szCs w:val="18"/>
              </w:rPr>
              <w:t xml:space="preserve">h；  </w:t>
            </w:r>
          </w:p>
          <w:p w14:paraId="15DD285A">
            <w:pPr>
              <w:jc w:val="left"/>
              <w:rPr>
                <w:sz w:val="18"/>
                <w:szCs w:val="18"/>
              </w:rPr>
            </w:pPr>
            <w:r>
              <w:rPr>
                <w:rFonts w:hint="eastAsia"/>
                <w:sz w:val="18"/>
                <w:szCs w:val="18"/>
              </w:rPr>
              <w:t>1.2）</w:t>
            </w:r>
            <w:r>
              <w:rPr>
                <w:sz w:val="18"/>
                <w:szCs w:val="18"/>
              </w:rPr>
              <w:t>商用车：</w:t>
            </w:r>
            <w:r>
              <w:rPr>
                <w:rFonts w:hint="eastAsia"/>
                <w:sz w:val="18"/>
                <w:szCs w:val="18"/>
              </w:rPr>
              <w:t>Ta</w:t>
            </w:r>
            <w:r>
              <w:rPr>
                <w:sz w:val="18"/>
                <w:szCs w:val="18"/>
              </w:rPr>
              <w:t>=130℃、</w:t>
            </w:r>
            <w:r>
              <w:rPr>
                <w:rFonts w:hint="eastAsia"/>
                <w:sz w:val="18"/>
                <w:szCs w:val="18"/>
              </w:rPr>
              <w:t>RH</w:t>
            </w:r>
            <w:r>
              <w:rPr>
                <w:sz w:val="18"/>
                <w:szCs w:val="18"/>
              </w:rPr>
              <w:t>=85%，</w:t>
            </w:r>
            <w:r>
              <w:rPr>
                <w:rFonts w:hint="eastAsia"/>
                <w:sz w:val="18"/>
                <w:szCs w:val="18"/>
              </w:rPr>
              <w:t>t</w:t>
            </w:r>
            <w:r>
              <w:rPr>
                <w:sz w:val="18"/>
                <w:szCs w:val="18"/>
              </w:rPr>
              <w:t>=</w:t>
            </w:r>
            <w:r>
              <w:rPr>
                <w:rFonts w:hint="eastAsia"/>
                <w:sz w:val="18"/>
                <w:szCs w:val="18"/>
              </w:rPr>
              <w:t>81</w:t>
            </w:r>
            <w:r>
              <w:rPr>
                <w:sz w:val="18"/>
                <w:szCs w:val="18"/>
              </w:rPr>
              <w:t>h</w:t>
            </w:r>
            <w:r>
              <w:rPr>
                <w:rFonts w:hint="eastAsia"/>
                <w:sz w:val="18"/>
                <w:szCs w:val="18"/>
              </w:rPr>
              <w:t>。</w:t>
            </w:r>
          </w:p>
          <w:p w14:paraId="6061C20F">
            <w:pPr>
              <w:jc w:val="left"/>
              <w:rPr>
                <w:sz w:val="18"/>
                <w:szCs w:val="18"/>
              </w:rPr>
            </w:pPr>
            <w:r>
              <w:rPr>
                <w:sz w:val="18"/>
                <w:szCs w:val="18"/>
              </w:rPr>
              <w:t>（2）</w:t>
            </w:r>
            <w:r>
              <w:rPr>
                <w:rFonts w:hint="eastAsia"/>
                <w:sz w:val="18"/>
                <w:szCs w:val="18"/>
              </w:rPr>
              <w:t>温湿度条件（</w:t>
            </w:r>
            <w:r>
              <w:rPr>
                <w:sz w:val="18"/>
                <w:szCs w:val="18"/>
              </w:rPr>
              <w:t>TH</w:t>
            </w:r>
            <w:r>
              <w:rPr>
                <w:rFonts w:hint="eastAsia"/>
                <w:sz w:val="18"/>
                <w:szCs w:val="18"/>
              </w:rPr>
              <w:t>）</w:t>
            </w:r>
          </w:p>
          <w:p w14:paraId="215EB096">
            <w:pPr>
              <w:rPr>
                <w:sz w:val="18"/>
                <w:szCs w:val="18"/>
              </w:rPr>
            </w:pPr>
            <w:r>
              <w:rPr>
                <w:rFonts w:hint="eastAsia"/>
                <w:sz w:val="18"/>
                <w:szCs w:val="18"/>
              </w:rPr>
              <w:t>2.1）</w:t>
            </w:r>
            <w:r>
              <w:rPr>
                <w:sz w:val="18"/>
                <w:szCs w:val="18"/>
              </w:rPr>
              <w:t>乘用车：</w:t>
            </w:r>
            <w:r>
              <w:rPr>
                <w:rFonts w:hint="eastAsia"/>
                <w:sz w:val="18"/>
                <w:szCs w:val="18"/>
              </w:rPr>
              <w:t>Ta</w:t>
            </w:r>
            <w:r>
              <w:rPr>
                <w:sz w:val="18"/>
                <w:szCs w:val="18"/>
              </w:rPr>
              <w:t>=85℃、</w:t>
            </w:r>
            <w:r>
              <w:rPr>
                <w:rFonts w:hint="eastAsia"/>
                <w:sz w:val="18"/>
                <w:szCs w:val="18"/>
              </w:rPr>
              <w:t>RH</w:t>
            </w:r>
            <w:r>
              <w:rPr>
                <w:sz w:val="18"/>
                <w:szCs w:val="18"/>
              </w:rPr>
              <w:t>=85%，</w:t>
            </w:r>
            <w:r>
              <w:rPr>
                <w:rFonts w:hint="eastAsia"/>
                <w:sz w:val="18"/>
                <w:szCs w:val="18"/>
              </w:rPr>
              <w:t>t</w:t>
            </w:r>
            <w:r>
              <w:rPr>
                <w:sz w:val="18"/>
                <w:szCs w:val="18"/>
              </w:rPr>
              <w:t>=</w:t>
            </w:r>
            <w:r>
              <w:rPr>
                <w:rFonts w:hint="eastAsia"/>
                <w:sz w:val="18"/>
                <w:szCs w:val="18"/>
              </w:rPr>
              <w:t>1136</w:t>
            </w:r>
            <w:r>
              <w:rPr>
                <w:sz w:val="18"/>
                <w:szCs w:val="18"/>
              </w:rPr>
              <w:t xml:space="preserve">h；  </w:t>
            </w:r>
          </w:p>
          <w:p w14:paraId="48A93CFD">
            <w:pPr>
              <w:rPr>
                <w:sz w:val="18"/>
                <w:szCs w:val="18"/>
              </w:rPr>
            </w:pPr>
            <w:r>
              <w:rPr>
                <w:rFonts w:hint="eastAsia"/>
                <w:sz w:val="18"/>
                <w:szCs w:val="18"/>
              </w:rPr>
              <w:t>2.2）</w:t>
            </w:r>
            <w:r>
              <w:rPr>
                <w:sz w:val="18"/>
                <w:szCs w:val="18"/>
              </w:rPr>
              <w:t>商用车：</w:t>
            </w:r>
            <w:r>
              <w:rPr>
                <w:rFonts w:hint="eastAsia"/>
                <w:sz w:val="18"/>
                <w:szCs w:val="18"/>
              </w:rPr>
              <w:t>Ta</w:t>
            </w:r>
            <w:r>
              <w:rPr>
                <w:sz w:val="18"/>
                <w:szCs w:val="18"/>
              </w:rPr>
              <w:t>=85℃、</w:t>
            </w:r>
            <w:r>
              <w:rPr>
                <w:rFonts w:hint="eastAsia"/>
                <w:sz w:val="18"/>
                <w:szCs w:val="18"/>
              </w:rPr>
              <w:t>RH</w:t>
            </w:r>
            <w:r>
              <w:rPr>
                <w:sz w:val="18"/>
                <w:szCs w:val="18"/>
              </w:rPr>
              <w:t>=85%，</w:t>
            </w:r>
            <w:r>
              <w:rPr>
                <w:rFonts w:hint="eastAsia"/>
                <w:sz w:val="18"/>
                <w:szCs w:val="18"/>
              </w:rPr>
              <w:t>t</w:t>
            </w:r>
            <w:r>
              <w:rPr>
                <w:sz w:val="18"/>
                <w:szCs w:val="18"/>
              </w:rPr>
              <w:t>=</w:t>
            </w:r>
            <w:r>
              <w:rPr>
                <w:rFonts w:hint="eastAsia"/>
                <w:sz w:val="18"/>
                <w:szCs w:val="18"/>
              </w:rPr>
              <w:t>1457</w:t>
            </w:r>
            <w:r>
              <w:rPr>
                <w:sz w:val="18"/>
                <w:szCs w:val="18"/>
              </w:rPr>
              <w:t>h</w:t>
            </w:r>
            <w:r>
              <w:rPr>
                <w:rFonts w:hint="eastAsia"/>
                <w:sz w:val="18"/>
                <w:szCs w:val="18"/>
              </w:rPr>
              <w:t>。</w:t>
            </w:r>
            <w:r>
              <w:rPr>
                <w:sz w:val="18"/>
                <w:szCs w:val="18"/>
              </w:rPr>
              <w:t xml:space="preserve"> </w:t>
            </w:r>
          </w:p>
        </w:tc>
      </w:tr>
      <w:tr w14:paraId="29BCEE1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405" w:type="pct"/>
            <w:vMerge w:val="continue"/>
            <w:shd w:val="clear" w:color="auto" w:fill="auto"/>
            <w:vAlign w:val="center"/>
          </w:tcPr>
          <w:p w14:paraId="47A46B54">
            <w:pPr>
              <w:adjustRightInd w:val="0"/>
              <w:snapToGrid w:val="0"/>
              <w:jc w:val="center"/>
              <w:rPr>
                <w:sz w:val="18"/>
              </w:rPr>
            </w:pPr>
          </w:p>
        </w:tc>
        <w:tc>
          <w:tcPr>
            <w:tcW w:w="308" w:type="pct"/>
            <w:shd w:val="clear" w:color="auto" w:fill="auto"/>
            <w:vAlign w:val="center"/>
          </w:tcPr>
          <w:p w14:paraId="09B64565">
            <w:pPr>
              <w:adjustRightInd w:val="0"/>
              <w:snapToGrid w:val="0"/>
              <w:jc w:val="center"/>
              <w:rPr>
                <w:sz w:val="18"/>
              </w:rPr>
            </w:pPr>
            <w:r>
              <w:rPr>
                <w:sz w:val="18"/>
              </w:rPr>
              <w:t>A4</w:t>
            </w:r>
          </w:p>
        </w:tc>
        <w:tc>
          <w:tcPr>
            <w:tcW w:w="933" w:type="pct"/>
            <w:shd w:val="clear" w:color="auto" w:fill="auto"/>
            <w:vAlign w:val="center"/>
          </w:tcPr>
          <w:p w14:paraId="3090D8EF">
            <w:pPr>
              <w:adjustRightInd w:val="0"/>
              <w:snapToGrid w:val="0"/>
              <w:jc w:val="center"/>
              <w:rPr>
                <w:sz w:val="18"/>
              </w:rPr>
            </w:pPr>
            <w:r>
              <w:rPr>
                <w:sz w:val="18"/>
              </w:rPr>
              <w:t>温度循环</w:t>
            </w:r>
          </w:p>
        </w:tc>
        <w:tc>
          <w:tcPr>
            <w:tcW w:w="720" w:type="pct"/>
            <w:shd w:val="clear" w:color="auto" w:fill="auto"/>
            <w:vAlign w:val="center"/>
          </w:tcPr>
          <w:p w14:paraId="3FDF06DD">
            <w:pPr>
              <w:adjustRightInd w:val="0"/>
              <w:snapToGrid w:val="0"/>
              <w:jc w:val="center"/>
              <w:rPr>
                <w:sz w:val="18"/>
              </w:rPr>
            </w:pPr>
            <w:r>
              <w:rPr>
                <w:sz w:val="18"/>
              </w:rPr>
              <w:t>TC</w:t>
            </w:r>
          </w:p>
        </w:tc>
        <w:tc>
          <w:tcPr>
            <w:tcW w:w="914" w:type="pct"/>
            <w:vAlign w:val="center"/>
          </w:tcPr>
          <w:p w14:paraId="6A173568">
            <w:pPr>
              <w:adjustRightInd w:val="0"/>
              <w:snapToGrid w:val="0"/>
              <w:jc w:val="center"/>
              <w:rPr>
                <w:sz w:val="18"/>
              </w:rPr>
            </w:pPr>
            <w:r>
              <w:rPr>
                <w:sz w:val="18"/>
              </w:rPr>
              <w:t>30只/批*3批</w:t>
            </w:r>
          </w:p>
        </w:tc>
        <w:tc>
          <w:tcPr>
            <w:tcW w:w="1720" w:type="pct"/>
            <w:shd w:val="clear" w:color="auto" w:fill="auto"/>
            <w:vAlign w:val="center"/>
          </w:tcPr>
          <w:p w14:paraId="1768D0EB">
            <w:pPr>
              <w:jc w:val="left"/>
              <w:rPr>
                <w:sz w:val="18"/>
                <w:szCs w:val="18"/>
              </w:rPr>
            </w:pPr>
            <w:r>
              <w:rPr>
                <w:sz w:val="18"/>
                <w:szCs w:val="18"/>
              </w:rPr>
              <w:t>（1）</w:t>
            </w:r>
            <w:r>
              <w:rPr>
                <w:rFonts w:hint="eastAsia"/>
                <w:sz w:val="18"/>
                <w:szCs w:val="18"/>
              </w:rPr>
              <w:t>温湿度条件（TC）</w:t>
            </w:r>
          </w:p>
          <w:p w14:paraId="2B237DB2">
            <w:pPr>
              <w:rPr>
                <w:sz w:val="18"/>
                <w:szCs w:val="18"/>
              </w:rPr>
            </w:pPr>
            <w:r>
              <w:rPr>
                <w:rFonts w:hint="eastAsia"/>
                <w:sz w:val="18"/>
                <w:szCs w:val="18"/>
              </w:rPr>
              <w:t>1.1）</w:t>
            </w:r>
            <w:r>
              <w:rPr>
                <w:sz w:val="18"/>
                <w:szCs w:val="18"/>
              </w:rPr>
              <w:t>乘用车：</w:t>
            </w:r>
            <w:r>
              <w:rPr>
                <w:rFonts w:hint="eastAsia"/>
                <w:sz w:val="18"/>
                <w:szCs w:val="18"/>
              </w:rPr>
              <w:t>Ta</w:t>
            </w:r>
            <w:r>
              <w:rPr>
                <w:sz w:val="18"/>
                <w:szCs w:val="18"/>
              </w:rPr>
              <w:t>=-40℃~+1</w:t>
            </w:r>
            <w:r>
              <w:rPr>
                <w:rFonts w:hint="eastAsia"/>
                <w:sz w:val="18"/>
                <w:szCs w:val="18"/>
              </w:rPr>
              <w:t>2</w:t>
            </w:r>
            <w:r>
              <w:rPr>
                <w:sz w:val="18"/>
                <w:szCs w:val="18"/>
              </w:rPr>
              <w:t>5℃，</w:t>
            </w:r>
            <w:r>
              <w:rPr>
                <w:rFonts w:hint="eastAsia"/>
                <w:sz w:val="18"/>
                <w:szCs w:val="18"/>
              </w:rPr>
              <w:t>Clc</w:t>
            </w:r>
            <w:r>
              <w:rPr>
                <w:sz w:val="18"/>
                <w:szCs w:val="18"/>
              </w:rPr>
              <w:t>=1000次循环</w:t>
            </w:r>
            <w:r>
              <w:rPr>
                <w:rFonts w:hint="eastAsia"/>
                <w:sz w:val="18"/>
                <w:szCs w:val="18"/>
              </w:rPr>
              <w:t>；</w:t>
            </w:r>
          </w:p>
          <w:p w14:paraId="0B99E398">
            <w:pPr>
              <w:rPr>
                <w:sz w:val="18"/>
                <w:szCs w:val="18"/>
              </w:rPr>
            </w:pPr>
            <w:r>
              <w:rPr>
                <w:rFonts w:hint="eastAsia"/>
                <w:sz w:val="18"/>
                <w:szCs w:val="18"/>
              </w:rPr>
              <w:t>1.2）</w:t>
            </w:r>
            <w:r>
              <w:rPr>
                <w:sz w:val="18"/>
                <w:szCs w:val="18"/>
              </w:rPr>
              <w:t>商用车：</w:t>
            </w:r>
            <w:r>
              <w:rPr>
                <w:rFonts w:hint="eastAsia"/>
                <w:sz w:val="18"/>
                <w:szCs w:val="18"/>
              </w:rPr>
              <w:t>Ta</w:t>
            </w:r>
            <w:r>
              <w:rPr>
                <w:sz w:val="18"/>
                <w:szCs w:val="18"/>
              </w:rPr>
              <w:t>=-40℃~+1</w:t>
            </w:r>
            <w:r>
              <w:rPr>
                <w:rFonts w:hint="eastAsia"/>
                <w:sz w:val="18"/>
                <w:szCs w:val="18"/>
              </w:rPr>
              <w:t>2</w:t>
            </w:r>
            <w:r>
              <w:rPr>
                <w:sz w:val="18"/>
                <w:szCs w:val="18"/>
              </w:rPr>
              <w:t>5℃，</w:t>
            </w:r>
            <w:r>
              <w:rPr>
                <w:rFonts w:hint="eastAsia"/>
                <w:sz w:val="18"/>
                <w:szCs w:val="18"/>
              </w:rPr>
              <w:t>Clc</w:t>
            </w:r>
            <w:r>
              <w:rPr>
                <w:sz w:val="18"/>
                <w:szCs w:val="18"/>
              </w:rPr>
              <w:t>=1000次循环</w:t>
            </w:r>
            <w:r>
              <w:rPr>
                <w:rFonts w:hint="eastAsia"/>
                <w:sz w:val="18"/>
                <w:szCs w:val="18"/>
              </w:rPr>
              <w:t>。</w:t>
            </w:r>
          </w:p>
        </w:tc>
      </w:tr>
      <w:tr w14:paraId="3A9DB28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405" w:type="pct"/>
            <w:vMerge w:val="continue"/>
            <w:shd w:val="clear" w:color="auto" w:fill="auto"/>
            <w:vAlign w:val="center"/>
          </w:tcPr>
          <w:p w14:paraId="5007118B">
            <w:pPr>
              <w:adjustRightInd w:val="0"/>
              <w:snapToGrid w:val="0"/>
              <w:jc w:val="center"/>
              <w:rPr>
                <w:sz w:val="18"/>
              </w:rPr>
            </w:pPr>
          </w:p>
        </w:tc>
        <w:tc>
          <w:tcPr>
            <w:tcW w:w="308" w:type="pct"/>
            <w:shd w:val="clear" w:color="auto" w:fill="auto"/>
            <w:vAlign w:val="center"/>
          </w:tcPr>
          <w:p w14:paraId="3A38E0E1">
            <w:pPr>
              <w:adjustRightInd w:val="0"/>
              <w:snapToGrid w:val="0"/>
              <w:jc w:val="center"/>
              <w:rPr>
                <w:sz w:val="18"/>
              </w:rPr>
            </w:pPr>
            <w:r>
              <w:rPr>
                <w:sz w:val="18"/>
              </w:rPr>
              <w:t>A5</w:t>
            </w:r>
          </w:p>
        </w:tc>
        <w:tc>
          <w:tcPr>
            <w:tcW w:w="933" w:type="pct"/>
            <w:shd w:val="clear" w:color="auto" w:fill="auto"/>
            <w:vAlign w:val="center"/>
          </w:tcPr>
          <w:p w14:paraId="3317FA58">
            <w:pPr>
              <w:adjustRightInd w:val="0"/>
              <w:snapToGrid w:val="0"/>
              <w:jc w:val="center"/>
              <w:rPr>
                <w:sz w:val="18"/>
              </w:rPr>
            </w:pPr>
            <w:r>
              <w:rPr>
                <w:sz w:val="18"/>
              </w:rPr>
              <w:t>功率温度循环</w:t>
            </w:r>
          </w:p>
        </w:tc>
        <w:tc>
          <w:tcPr>
            <w:tcW w:w="720" w:type="pct"/>
            <w:shd w:val="clear" w:color="auto" w:fill="auto"/>
            <w:vAlign w:val="center"/>
          </w:tcPr>
          <w:p w14:paraId="39EBDD4F">
            <w:pPr>
              <w:adjustRightInd w:val="0"/>
              <w:snapToGrid w:val="0"/>
              <w:jc w:val="center"/>
              <w:rPr>
                <w:sz w:val="18"/>
              </w:rPr>
            </w:pPr>
            <w:r>
              <w:rPr>
                <w:sz w:val="18"/>
              </w:rPr>
              <w:t>PTC</w:t>
            </w:r>
          </w:p>
        </w:tc>
        <w:tc>
          <w:tcPr>
            <w:tcW w:w="914" w:type="pct"/>
            <w:vAlign w:val="center"/>
          </w:tcPr>
          <w:p w14:paraId="193D3B38">
            <w:pPr>
              <w:adjustRightInd w:val="0"/>
              <w:snapToGrid w:val="0"/>
              <w:jc w:val="center"/>
              <w:rPr>
                <w:sz w:val="18"/>
              </w:rPr>
            </w:pPr>
            <w:r>
              <w:rPr>
                <w:sz w:val="18"/>
              </w:rPr>
              <w:t>30只/批*3批</w:t>
            </w:r>
          </w:p>
        </w:tc>
        <w:tc>
          <w:tcPr>
            <w:tcW w:w="1720" w:type="pct"/>
            <w:shd w:val="clear" w:color="auto" w:fill="auto"/>
            <w:vAlign w:val="center"/>
          </w:tcPr>
          <w:p w14:paraId="5D1582B2">
            <w:pPr>
              <w:jc w:val="left"/>
              <w:rPr>
                <w:sz w:val="18"/>
                <w:szCs w:val="18"/>
              </w:rPr>
            </w:pPr>
            <w:r>
              <w:rPr>
                <w:sz w:val="18"/>
                <w:szCs w:val="18"/>
              </w:rPr>
              <w:t>（1）</w:t>
            </w:r>
            <w:r>
              <w:rPr>
                <w:rFonts w:hint="eastAsia"/>
                <w:sz w:val="18"/>
                <w:szCs w:val="18"/>
              </w:rPr>
              <w:t>温湿度条件（PTC）</w:t>
            </w:r>
          </w:p>
          <w:p w14:paraId="1D43DF14">
            <w:pPr>
              <w:jc w:val="left"/>
              <w:rPr>
                <w:sz w:val="18"/>
                <w:szCs w:val="18"/>
              </w:rPr>
            </w:pPr>
            <w:r>
              <w:rPr>
                <w:rFonts w:hint="eastAsia"/>
                <w:sz w:val="18"/>
                <w:szCs w:val="18"/>
              </w:rPr>
              <w:t>1.1）</w:t>
            </w:r>
            <w:r>
              <w:rPr>
                <w:sz w:val="18"/>
                <w:szCs w:val="18"/>
              </w:rPr>
              <w:t>乘用车：Ta=-40~1</w:t>
            </w:r>
            <w:r>
              <w:rPr>
                <w:rFonts w:hint="eastAsia"/>
                <w:sz w:val="18"/>
                <w:szCs w:val="18"/>
              </w:rPr>
              <w:t>2</w:t>
            </w:r>
            <w:r>
              <w:rPr>
                <w:sz w:val="18"/>
                <w:szCs w:val="18"/>
              </w:rPr>
              <w:t>5℃，</w:t>
            </w:r>
            <w:r>
              <w:rPr>
                <w:rFonts w:hint="eastAsia"/>
                <w:sz w:val="18"/>
                <w:szCs w:val="18"/>
              </w:rPr>
              <w:t>Clc</w:t>
            </w:r>
            <w:r>
              <w:rPr>
                <w:sz w:val="18"/>
                <w:szCs w:val="18"/>
              </w:rPr>
              <w:t>=</w:t>
            </w:r>
            <w:r>
              <w:rPr>
                <w:rFonts w:hint="eastAsia"/>
                <w:sz w:val="18"/>
                <w:szCs w:val="18"/>
              </w:rPr>
              <w:t>2629</w:t>
            </w:r>
            <w:r>
              <w:rPr>
                <w:sz w:val="18"/>
                <w:szCs w:val="18"/>
              </w:rPr>
              <w:t>循环；</w:t>
            </w:r>
          </w:p>
          <w:p w14:paraId="4FD1B1C5">
            <w:pPr>
              <w:jc w:val="left"/>
              <w:rPr>
                <w:sz w:val="18"/>
                <w:szCs w:val="18"/>
              </w:rPr>
            </w:pPr>
            <w:r>
              <w:rPr>
                <w:rFonts w:hint="eastAsia"/>
                <w:sz w:val="18"/>
                <w:szCs w:val="18"/>
              </w:rPr>
              <w:t>1.2）</w:t>
            </w:r>
            <w:r>
              <w:rPr>
                <w:sz w:val="18"/>
                <w:szCs w:val="18"/>
              </w:rPr>
              <w:t>商用车：Ta=-40~1</w:t>
            </w:r>
            <w:r>
              <w:rPr>
                <w:rFonts w:hint="eastAsia"/>
                <w:sz w:val="18"/>
                <w:szCs w:val="18"/>
              </w:rPr>
              <w:t>2</w:t>
            </w:r>
            <w:r>
              <w:rPr>
                <w:sz w:val="18"/>
                <w:szCs w:val="18"/>
              </w:rPr>
              <w:t>5℃，</w:t>
            </w:r>
            <w:r>
              <w:rPr>
                <w:rFonts w:hint="eastAsia"/>
                <w:sz w:val="18"/>
                <w:szCs w:val="18"/>
              </w:rPr>
              <w:t>Clc</w:t>
            </w:r>
            <w:r>
              <w:rPr>
                <w:sz w:val="18"/>
                <w:szCs w:val="18"/>
              </w:rPr>
              <w:t>=</w:t>
            </w:r>
            <w:r>
              <w:rPr>
                <w:rFonts w:hint="eastAsia"/>
                <w:sz w:val="18"/>
                <w:szCs w:val="18"/>
              </w:rPr>
              <w:t>2957</w:t>
            </w:r>
            <w:r>
              <w:rPr>
                <w:sz w:val="18"/>
                <w:szCs w:val="18"/>
              </w:rPr>
              <w:t>循环</w:t>
            </w:r>
            <w:r>
              <w:rPr>
                <w:rFonts w:hint="eastAsia"/>
                <w:sz w:val="18"/>
                <w:szCs w:val="18"/>
              </w:rPr>
              <w:t>。</w:t>
            </w:r>
          </w:p>
        </w:tc>
      </w:tr>
      <w:tr w14:paraId="56283BF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405" w:type="pct"/>
            <w:vMerge w:val="continue"/>
            <w:shd w:val="clear" w:color="auto" w:fill="auto"/>
            <w:vAlign w:val="center"/>
          </w:tcPr>
          <w:p w14:paraId="4ED798D9">
            <w:pPr>
              <w:adjustRightInd w:val="0"/>
              <w:snapToGrid w:val="0"/>
              <w:jc w:val="center"/>
              <w:rPr>
                <w:sz w:val="18"/>
              </w:rPr>
            </w:pPr>
          </w:p>
        </w:tc>
        <w:tc>
          <w:tcPr>
            <w:tcW w:w="308" w:type="pct"/>
            <w:shd w:val="clear" w:color="auto" w:fill="auto"/>
            <w:vAlign w:val="center"/>
          </w:tcPr>
          <w:p w14:paraId="400F9D91">
            <w:pPr>
              <w:adjustRightInd w:val="0"/>
              <w:snapToGrid w:val="0"/>
              <w:jc w:val="center"/>
              <w:rPr>
                <w:sz w:val="18"/>
              </w:rPr>
            </w:pPr>
            <w:r>
              <w:rPr>
                <w:sz w:val="18"/>
              </w:rPr>
              <w:t>A6</w:t>
            </w:r>
          </w:p>
        </w:tc>
        <w:tc>
          <w:tcPr>
            <w:tcW w:w="933" w:type="pct"/>
            <w:shd w:val="clear" w:color="auto" w:fill="auto"/>
            <w:vAlign w:val="center"/>
          </w:tcPr>
          <w:p w14:paraId="321C8A42">
            <w:pPr>
              <w:adjustRightInd w:val="0"/>
              <w:snapToGrid w:val="0"/>
              <w:jc w:val="center"/>
              <w:rPr>
                <w:sz w:val="18"/>
              </w:rPr>
            </w:pPr>
            <w:r>
              <w:rPr>
                <w:sz w:val="18"/>
              </w:rPr>
              <w:t>高温贮存</w:t>
            </w:r>
          </w:p>
        </w:tc>
        <w:tc>
          <w:tcPr>
            <w:tcW w:w="720" w:type="pct"/>
            <w:shd w:val="clear" w:color="auto" w:fill="auto"/>
            <w:vAlign w:val="center"/>
          </w:tcPr>
          <w:p w14:paraId="0BF0E3DD">
            <w:pPr>
              <w:adjustRightInd w:val="0"/>
              <w:snapToGrid w:val="0"/>
              <w:jc w:val="center"/>
              <w:rPr>
                <w:sz w:val="18"/>
              </w:rPr>
            </w:pPr>
            <w:r>
              <w:rPr>
                <w:sz w:val="18"/>
              </w:rPr>
              <w:t>HTSL</w:t>
            </w:r>
          </w:p>
        </w:tc>
        <w:tc>
          <w:tcPr>
            <w:tcW w:w="914" w:type="pct"/>
            <w:vAlign w:val="center"/>
          </w:tcPr>
          <w:p w14:paraId="5FFAEB11">
            <w:pPr>
              <w:adjustRightInd w:val="0"/>
              <w:snapToGrid w:val="0"/>
              <w:jc w:val="center"/>
              <w:rPr>
                <w:sz w:val="18"/>
              </w:rPr>
            </w:pPr>
            <w:r>
              <w:rPr>
                <w:sz w:val="18"/>
              </w:rPr>
              <w:t>30只/批*3批</w:t>
            </w:r>
          </w:p>
        </w:tc>
        <w:tc>
          <w:tcPr>
            <w:tcW w:w="1720" w:type="pct"/>
            <w:shd w:val="clear" w:color="auto" w:fill="auto"/>
            <w:vAlign w:val="center"/>
          </w:tcPr>
          <w:p w14:paraId="3818CDA2">
            <w:pPr>
              <w:rPr>
                <w:sz w:val="18"/>
                <w:szCs w:val="18"/>
              </w:rPr>
            </w:pPr>
            <w:r>
              <w:rPr>
                <w:sz w:val="18"/>
                <w:szCs w:val="18"/>
              </w:rPr>
              <w:t>（1）</w:t>
            </w:r>
            <w:r>
              <w:rPr>
                <w:rFonts w:hint="eastAsia"/>
                <w:sz w:val="18"/>
                <w:szCs w:val="18"/>
              </w:rPr>
              <w:t>温湿度条件（HTSL）</w:t>
            </w:r>
          </w:p>
          <w:p w14:paraId="2A958D41">
            <w:pPr>
              <w:rPr>
                <w:sz w:val="18"/>
                <w:szCs w:val="18"/>
              </w:rPr>
            </w:pPr>
            <w:r>
              <w:rPr>
                <w:rFonts w:hint="eastAsia"/>
                <w:sz w:val="18"/>
                <w:szCs w:val="18"/>
              </w:rPr>
              <w:t>1.1）</w:t>
            </w:r>
            <w:r>
              <w:rPr>
                <w:sz w:val="18"/>
                <w:szCs w:val="18"/>
              </w:rPr>
              <w:t>乘用车：Ta=1</w:t>
            </w:r>
            <w:r>
              <w:rPr>
                <w:rFonts w:hint="eastAsia"/>
                <w:sz w:val="18"/>
                <w:szCs w:val="18"/>
              </w:rPr>
              <w:t>2</w:t>
            </w:r>
            <w:r>
              <w:rPr>
                <w:sz w:val="18"/>
                <w:szCs w:val="18"/>
              </w:rPr>
              <w:t>5℃，</w:t>
            </w:r>
            <w:r>
              <w:rPr>
                <w:rFonts w:hint="eastAsia"/>
                <w:sz w:val="18"/>
                <w:szCs w:val="18"/>
              </w:rPr>
              <w:t>t</w:t>
            </w:r>
            <w:r>
              <w:rPr>
                <w:sz w:val="18"/>
                <w:szCs w:val="18"/>
              </w:rPr>
              <w:t>=1000h；</w:t>
            </w:r>
          </w:p>
          <w:p w14:paraId="4658C271">
            <w:pPr>
              <w:rPr>
                <w:sz w:val="18"/>
                <w:szCs w:val="18"/>
              </w:rPr>
            </w:pPr>
            <w:r>
              <w:rPr>
                <w:rFonts w:hint="eastAsia"/>
                <w:sz w:val="18"/>
                <w:szCs w:val="18"/>
              </w:rPr>
              <w:t>1.2）</w:t>
            </w:r>
            <w:r>
              <w:rPr>
                <w:sz w:val="18"/>
                <w:szCs w:val="18"/>
              </w:rPr>
              <w:t>商用车：Ta=1</w:t>
            </w:r>
            <w:r>
              <w:rPr>
                <w:rFonts w:hint="eastAsia"/>
                <w:sz w:val="18"/>
                <w:szCs w:val="18"/>
              </w:rPr>
              <w:t>2</w:t>
            </w:r>
            <w:r>
              <w:rPr>
                <w:sz w:val="18"/>
                <w:szCs w:val="18"/>
              </w:rPr>
              <w:t>5℃，</w:t>
            </w:r>
            <w:r>
              <w:rPr>
                <w:rFonts w:hint="eastAsia"/>
                <w:sz w:val="18"/>
                <w:szCs w:val="18"/>
              </w:rPr>
              <w:t>t</w:t>
            </w:r>
            <w:r>
              <w:rPr>
                <w:sz w:val="18"/>
                <w:szCs w:val="18"/>
              </w:rPr>
              <w:t>=1000h</w:t>
            </w:r>
            <w:r>
              <w:rPr>
                <w:rFonts w:hint="eastAsia"/>
                <w:sz w:val="18"/>
                <w:szCs w:val="18"/>
              </w:rPr>
              <w:t>。</w:t>
            </w:r>
          </w:p>
        </w:tc>
      </w:tr>
      <w:tr w14:paraId="168AA4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405" w:type="pct"/>
            <w:shd w:val="clear" w:color="auto" w:fill="auto"/>
            <w:vAlign w:val="center"/>
          </w:tcPr>
          <w:p w14:paraId="60928265">
            <w:pPr>
              <w:adjustRightInd w:val="0"/>
              <w:snapToGrid w:val="0"/>
              <w:jc w:val="center"/>
              <w:rPr>
                <w:sz w:val="18"/>
              </w:rPr>
            </w:pPr>
            <w:r>
              <w:rPr>
                <w:sz w:val="18"/>
              </w:rPr>
              <w:t>B组：加速寿命试验</w:t>
            </w:r>
          </w:p>
        </w:tc>
        <w:tc>
          <w:tcPr>
            <w:tcW w:w="308" w:type="pct"/>
            <w:shd w:val="clear" w:color="auto" w:fill="auto"/>
            <w:vAlign w:val="center"/>
          </w:tcPr>
          <w:p w14:paraId="6FA157F2">
            <w:pPr>
              <w:adjustRightInd w:val="0"/>
              <w:snapToGrid w:val="0"/>
              <w:jc w:val="center"/>
              <w:rPr>
                <w:sz w:val="18"/>
              </w:rPr>
            </w:pPr>
            <w:r>
              <w:rPr>
                <w:sz w:val="18"/>
              </w:rPr>
              <w:t>B1</w:t>
            </w:r>
          </w:p>
        </w:tc>
        <w:tc>
          <w:tcPr>
            <w:tcW w:w="933" w:type="pct"/>
            <w:shd w:val="clear" w:color="auto" w:fill="auto"/>
            <w:vAlign w:val="center"/>
          </w:tcPr>
          <w:p w14:paraId="1BB7D767">
            <w:pPr>
              <w:adjustRightInd w:val="0"/>
              <w:snapToGrid w:val="0"/>
              <w:jc w:val="center"/>
              <w:rPr>
                <w:sz w:val="18"/>
              </w:rPr>
            </w:pPr>
            <w:r>
              <w:rPr>
                <w:sz w:val="18"/>
              </w:rPr>
              <w:t>高温工作寿命</w:t>
            </w:r>
          </w:p>
        </w:tc>
        <w:tc>
          <w:tcPr>
            <w:tcW w:w="720" w:type="pct"/>
            <w:shd w:val="clear" w:color="auto" w:fill="auto"/>
            <w:vAlign w:val="center"/>
          </w:tcPr>
          <w:p w14:paraId="76CF40E3">
            <w:pPr>
              <w:adjustRightInd w:val="0"/>
              <w:snapToGrid w:val="0"/>
              <w:jc w:val="center"/>
              <w:rPr>
                <w:sz w:val="18"/>
              </w:rPr>
            </w:pPr>
            <w:r>
              <w:rPr>
                <w:sz w:val="18"/>
              </w:rPr>
              <w:t>HTOL</w:t>
            </w:r>
          </w:p>
        </w:tc>
        <w:tc>
          <w:tcPr>
            <w:tcW w:w="914" w:type="pct"/>
            <w:vAlign w:val="center"/>
          </w:tcPr>
          <w:p w14:paraId="0119C275">
            <w:pPr>
              <w:adjustRightInd w:val="0"/>
              <w:snapToGrid w:val="0"/>
              <w:jc w:val="center"/>
              <w:rPr>
                <w:sz w:val="18"/>
              </w:rPr>
            </w:pPr>
            <w:r>
              <w:rPr>
                <w:sz w:val="18"/>
              </w:rPr>
              <w:t>30只/批*3批</w:t>
            </w:r>
          </w:p>
        </w:tc>
        <w:tc>
          <w:tcPr>
            <w:tcW w:w="1720" w:type="pct"/>
            <w:shd w:val="clear" w:color="auto" w:fill="auto"/>
            <w:vAlign w:val="center"/>
          </w:tcPr>
          <w:p w14:paraId="5445A0ED">
            <w:pPr>
              <w:rPr>
                <w:sz w:val="18"/>
                <w:szCs w:val="18"/>
              </w:rPr>
            </w:pPr>
            <w:r>
              <w:rPr>
                <w:sz w:val="18"/>
                <w:szCs w:val="18"/>
              </w:rPr>
              <w:t>（1）</w:t>
            </w:r>
            <w:r>
              <w:rPr>
                <w:rFonts w:hint="eastAsia"/>
                <w:sz w:val="18"/>
              </w:rPr>
              <w:t>温湿</w:t>
            </w:r>
            <w:r>
              <w:rPr>
                <w:rFonts w:hint="eastAsia"/>
                <w:sz w:val="18"/>
                <w:szCs w:val="18"/>
              </w:rPr>
              <w:t>度条件（HTOL）</w:t>
            </w:r>
          </w:p>
          <w:p w14:paraId="0E3B7433">
            <w:pPr>
              <w:rPr>
                <w:bCs/>
                <w:sz w:val="18"/>
              </w:rPr>
            </w:pPr>
            <w:r>
              <w:rPr>
                <w:rFonts w:hint="eastAsia"/>
                <w:sz w:val="18"/>
                <w:szCs w:val="18"/>
              </w:rPr>
              <w:t>1.1）</w:t>
            </w:r>
            <w:r>
              <w:rPr>
                <w:sz w:val="18"/>
                <w:szCs w:val="18"/>
              </w:rPr>
              <w:t>乘用车：Ta=</w:t>
            </w:r>
            <w:r>
              <w:rPr>
                <w:rFonts w:hint="eastAsia"/>
                <w:sz w:val="18"/>
                <w:szCs w:val="18"/>
              </w:rPr>
              <w:t>12</w:t>
            </w:r>
            <w:r>
              <w:rPr>
                <w:sz w:val="18"/>
              </w:rPr>
              <w:t>5℃，</w:t>
            </w:r>
            <w:r>
              <w:rPr>
                <w:rFonts w:hint="eastAsia"/>
                <w:sz w:val="18"/>
              </w:rPr>
              <w:t>t</w:t>
            </w:r>
            <w:r>
              <w:rPr>
                <w:sz w:val="18"/>
              </w:rPr>
              <w:t>=</w:t>
            </w:r>
            <w:r>
              <w:rPr>
                <w:bCs/>
                <w:sz w:val="18"/>
              </w:rPr>
              <w:t>1000h；</w:t>
            </w:r>
          </w:p>
          <w:p w14:paraId="19E58E23">
            <w:pPr>
              <w:rPr>
                <w:sz w:val="18"/>
              </w:rPr>
            </w:pPr>
            <w:r>
              <w:rPr>
                <w:rFonts w:hint="eastAsia"/>
                <w:sz w:val="18"/>
                <w:szCs w:val="18"/>
              </w:rPr>
              <w:t>1.2）</w:t>
            </w:r>
            <w:r>
              <w:rPr>
                <w:sz w:val="18"/>
                <w:szCs w:val="18"/>
              </w:rPr>
              <w:t>商用车：Ta=</w:t>
            </w:r>
            <w:r>
              <w:rPr>
                <w:rFonts w:hint="eastAsia"/>
                <w:sz w:val="18"/>
                <w:szCs w:val="18"/>
              </w:rPr>
              <w:t>12</w:t>
            </w:r>
            <w:r>
              <w:rPr>
                <w:sz w:val="18"/>
              </w:rPr>
              <w:t>5℃，</w:t>
            </w:r>
            <w:r>
              <w:rPr>
                <w:rFonts w:hint="eastAsia"/>
                <w:sz w:val="18"/>
              </w:rPr>
              <w:t>t</w:t>
            </w:r>
            <w:r>
              <w:rPr>
                <w:sz w:val="18"/>
              </w:rPr>
              <w:t>=</w:t>
            </w:r>
            <w:r>
              <w:rPr>
                <w:bCs/>
                <w:sz w:val="18"/>
              </w:rPr>
              <w:t>1000h</w:t>
            </w:r>
            <w:r>
              <w:rPr>
                <w:rFonts w:hint="eastAsia"/>
                <w:bCs/>
                <w:sz w:val="18"/>
              </w:rPr>
              <w:t>。</w:t>
            </w:r>
          </w:p>
        </w:tc>
      </w:tr>
    </w:tbl>
    <w:p w14:paraId="5FDEC033">
      <w:pPr>
        <w:pStyle w:val="24"/>
        <w:spacing w:before="156" w:beforeLines="50" w:after="156" w:afterLines="50"/>
        <w:ind w:firstLine="0" w:firstLineChars="0"/>
        <w:jc w:val="center"/>
        <w:rPr>
          <w:rFonts w:ascii="Times New Roman"/>
        </w:rPr>
      </w:pPr>
      <w:bookmarkStart w:id="64" w:name="_Ref192084684"/>
      <w:r>
        <w:rPr>
          <w:rFonts w:ascii="Times New Roman" w:eastAsia="黑体"/>
        </w:rPr>
        <w:t xml:space="preserve">表 </w:t>
      </w:r>
      <w:r>
        <w:rPr>
          <w:rFonts w:ascii="Times New Roman" w:eastAsia="黑体"/>
        </w:rPr>
        <w:fldChar w:fldCharType="begin" w:fldLock="1"/>
      </w:r>
      <w:r>
        <w:rPr>
          <w:rFonts w:ascii="Times New Roman" w:eastAsia="黑体"/>
        </w:rPr>
        <w:instrText xml:space="preserve"> SEQ 表 \* ARABIC </w:instrText>
      </w:r>
      <w:r>
        <w:rPr>
          <w:rFonts w:ascii="Times New Roman" w:eastAsia="黑体"/>
        </w:rPr>
        <w:fldChar w:fldCharType="separate"/>
      </w:r>
      <w:r>
        <w:rPr>
          <w:rFonts w:ascii="Times New Roman" w:eastAsia="黑体"/>
        </w:rPr>
        <w:t>8</w:t>
      </w:r>
      <w:r>
        <w:rPr>
          <w:rFonts w:ascii="Times New Roman" w:eastAsia="黑体"/>
        </w:rPr>
        <w:fldChar w:fldCharType="end"/>
      </w:r>
      <w:bookmarkEnd w:id="64"/>
      <w:r>
        <w:rPr>
          <w:rFonts w:ascii="Times New Roman" w:eastAsia="黑体"/>
        </w:rPr>
        <w:t xml:space="preserve"> 汽车多芯片组件2级</w:t>
      </w:r>
      <w:r>
        <w:rPr>
          <w:rFonts w:hint="eastAsia" w:ascii="Times New Roman" w:eastAsia="黑体"/>
        </w:rPr>
        <w:t>可靠性</w:t>
      </w:r>
      <w:r>
        <w:rPr>
          <w:rFonts w:ascii="Times New Roman" w:eastAsia="黑体"/>
        </w:rPr>
        <w:t>检测要求</w:t>
      </w:r>
    </w:p>
    <w:tbl>
      <w:tblPr>
        <w:tblStyle w:val="33"/>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572"/>
        <w:gridCol w:w="1836"/>
        <w:gridCol w:w="1543"/>
        <w:gridCol w:w="1619"/>
        <w:gridCol w:w="3226"/>
      </w:tblGrid>
      <w:tr w14:paraId="124BEBC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405" w:type="pct"/>
            <w:tcBorders>
              <w:top w:val="single" w:color="000000" w:sz="12" w:space="0"/>
              <w:bottom w:val="single" w:color="000000" w:sz="12" w:space="0"/>
            </w:tcBorders>
            <w:shd w:val="clear" w:color="auto" w:fill="auto"/>
            <w:vAlign w:val="center"/>
          </w:tcPr>
          <w:p w14:paraId="7F8040B0">
            <w:pPr>
              <w:widowControl/>
              <w:autoSpaceDE w:val="0"/>
              <w:autoSpaceDN w:val="0"/>
              <w:adjustRightInd w:val="0"/>
              <w:snapToGrid w:val="0"/>
              <w:spacing w:before="156" w:beforeLines="50" w:after="156" w:afterLines="50"/>
              <w:jc w:val="center"/>
              <w:rPr>
                <w:b/>
                <w:bCs/>
                <w:sz w:val="18"/>
              </w:rPr>
            </w:pPr>
            <w:r>
              <w:rPr>
                <w:b/>
                <w:bCs/>
                <w:sz w:val="18"/>
              </w:rPr>
              <w:t>组别</w:t>
            </w:r>
          </w:p>
        </w:tc>
        <w:tc>
          <w:tcPr>
            <w:tcW w:w="299" w:type="pct"/>
            <w:tcBorders>
              <w:top w:val="single" w:color="000000" w:sz="12" w:space="0"/>
              <w:bottom w:val="single" w:color="000000" w:sz="12" w:space="0"/>
            </w:tcBorders>
            <w:shd w:val="clear" w:color="auto" w:fill="auto"/>
            <w:vAlign w:val="center"/>
          </w:tcPr>
          <w:p w14:paraId="763E89CF">
            <w:pPr>
              <w:widowControl/>
              <w:autoSpaceDE w:val="0"/>
              <w:autoSpaceDN w:val="0"/>
              <w:adjustRightInd w:val="0"/>
              <w:snapToGrid w:val="0"/>
              <w:spacing w:before="156" w:beforeLines="50" w:after="156" w:afterLines="50"/>
              <w:jc w:val="center"/>
              <w:rPr>
                <w:b/>
                <w:bCs/>
                <w:sz w:val="18"/>
              </w:rPr>
            </w:pPr>
            <w:r>
              <w:rPr>
                <w:b/>
                <w:bCs/>
                <w:sz w:val="18"/>
              </w:rPr>
              <w:t>序号</w:t>
            </w:r>
          </w:p>
        </w:tc>
        <w:tc>
          <w:tcPr>
            <w:tcW w:w="959" w:type="pct"/>
            <w:tcBorders>
              <w:top w:val="single" w:color="000000" w:sz="12" w:space="0"/>
              <w:bottom w:val="single" w:color="000000" w:sz="12" w:space="0"/>
            </w:tcBorders>
            <w:shd w:val="clear" w:color="auto" w:fill="auto"/>
            <w:vAlign w:val="center"/>
          </w:tcPr>
          <w:p w14:paraId="5839BD5D">
            <w:pPr>
              <w:widowControl/>
              <w:autoSpaceDE w:val="0"/>
              <w:autoSpaceDN w:val="0"/>
              <w:adjustRightInd w:val="0"/>
              <w:snapToGrid w:val="0"/>
              <w:spacing w:before="156" w:beforeLines="50" w:after="156" w:afterLines="50"/>
              <w:jc w:val="center"/>
              <w:rPr>
                <w:b/>
                <w:bCs/>
                <w:sz w:val="18"/>
              </w:rPr>
            </w:pPr>
            <w:r>
              <w:rPr>
                <w:b/>
                <w:bCs/>
                <w:sz w:val="18"/>
              </w:rPr>
              <w:t>试验项目</w:t>
            </w:r>
          </w:p>
        </w:tc>
        <w:tc>
          <w:tcPr>
            <w:tcW w:w="806" w:type="pct"/>
            <w:tcBorders>
              <w:top w:val="single" w:color="000000" w:sz="12" w:space="0"/>
              <w:bottom w:val="single" w:color="000000" w:sz="12" w:space="0"/>
            </w:tcBorders>
            <w:shd w:val="clear" w:color="auto" w:fill="auto"/>
            <w:vAlign w:val="center"/>
          </w:tcPr>
          <w:p w14:paraId="3A2279AB">
            <w:pPr>
              <w:widowControl/>
              <w:autoSpaceDE w:val="0"/>
              <w:autoSpaceDN w:val="0"/>
              <w:adjustRightInd w:val="0"/>
              <w:snapToGrid w:val="0"/>
              <w:spacing w:before="156" w:beforeLines="50" w:after="156" w:afterLines="50"/>
              <w:jc w:val="center"/>
              <w:rPr>
                <w:b/>
                <w:bCs/>
                <w:sz w:val="18"/>
              </w:rPr>
            </w:pPr>
            <w:r>
              <w:rPr>
                <w:b/>
                <w:bCs/>
                <w:sz w:val="18"/>
              </w:rPr>
              <w:t>简称</w:t>
            </w:r>
          </w:p>
        </w:tc>
        <w:tc>
          <w:tcPr>
            <w:tcW w:w="846" w:type="pct"/>
            <w:tcBorders>
              <w:top w:val="single" w:color="000000" w:sz="12" w:space="0"/>
              <w:bottom w:val="single" w:color="000000" w:sz="12" w:space="0"/>
            </w:tcBorders>
            <w:vAlign w:val="center"/>
          </w:tcPr>
          <w:p w14:paraId="57A269A4">
            <w:pPr>
              <w:widowControl/>
              <w:autoSpaceDE w:val="0"/>
              <w:autoSpaceDN w:val="0"/>
              <w:adjustRightInd w:val="0"/>
              <w:snapToGrid w:val="0"/>
              <w:spacing w:before="156" w:beforeLines="50" w:after="156" w:afterLines="50"/>
              <w:jc w:val="center"/>
              <w:rPr>
                <w:b/>
                <w:bCs/>
                <w:sz w:val="18"/>
              </w:rPr>
            </w:pPr>
            <w:r>
              <w:rPr>
                <w:b/>
                <w:bCs/>
                <w:sz w:val="18"/>
              </w:rPr>
              <w:t>试验样品数量</w:t>
            </w:r>
            <w:r>
              <w:rPr>
                <w:rFonts w:hint="eastAsia"/>
                <w:sz w:val="24"/>
                <w:vertAlign w:val="superscript"/>
              </w:rPr>
              <w:t>e</w:t>
            </w:r>
            <w:r>
              <w:rPr>
                <w:sz w:val="24"/>
                <w:vertAlign w:val="superscript"/>
              </w:rPr>
              <w:t>*</w:t>
            </w:r>
          </w:p>
        </w:tc>
        <w:tc>
          <w:tcPr>
            <w:tcW w:w="1685" w:type="pct"/>
            <w:tcBorders>
              <w:top w:val="single" w:color="000000" w:sz="12" w:space="0"/>
              <w:bottom w:val="single" w:color="000000" w:sz="12" w:space="0"/>
            </w:tcBorders>
            <w:shd w:val="clear" w:color="auto" w:fill="auto"/>
            <w:vAlign w:val="center"/>
          </w:tcPr>
          <w:p w14:paraId="0CBB8E3A">
            <w:pPr>
              <w:widowControl/>
              <w:autoSpaceDE w:val="0"/>
              <w:autoSpaceDN w:val="0"/>
              <w:adjustRightInd w:val="0"/>
              <w:snapToGrid w:val="0"/>
              <w:spacing w:before="156" w:beforeLines="50" w:after="156" w:afterLines="50"/>
              <w:jc w:val="center"/>
              <w:rPr>
                <w:b/>
                <w:bCs/>
                <w:sz w:val="18"/>
              </w:rPr>
            </w:pPr>
            <w:r>
              <w:rPr>
                <w:b/>
                <w:bCs/>
                <w:sz w:val="18"/>
              </w:rPr>
              <w:t>试验条件</w:t>
            </w:r>
          </w:p>
        </w:tc>
      </w:tr>
      <w:tr w14:paraId="679071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405" w:type="pct"/>
            <w:vMerge w:val="restart"/>
            <w:tcBorders>
              <w:top w:val="single" w:color="000000" w:sz="12" w:space="0"/>
            </w:tcBorders>
            <w:shd w:val="clear" w:color="auto" w:fill="auto"/>
            <w:vAlign w:val="center"/>
          </w:tcPr>
          <w:p w14:paraId="05A15803">
            <w:pPr>
              <w:adjustRightInd w:val="0"/>
              <w:snapToGrid w:val="0"/>
              <w:jc w:val="center"/>
              <w:rPr>
                <w:sz w:val="18"/>
              </w:rPr>
            </w:pPr>
            <w:r>
              <w:rPr>
                <w:sz w:val="18"/>
              </w:rPr>
              <w:t>A组：加速环境应力试验</w:t>
            </w:r>
            <w:r>
              <w:rPr>
                <w:rFonts w:hint="eastAsia"/>
                <w:sz w:val="24"/>
                <w:vertAlign w:val="superscript"/>
              </w:rPr>
              <w:t>a</w:t>
            </w:r>
            <w:r>
              <w:rPr>
                <w:sz w:val="24"/>
                <w:vertAlign w:val="superscript"/>
              </w:rPr>
              <w:t>*</w:t>
            </w:r>
            <w:r>
              <w:rPr>
                <w:rFonts w:hint="eastAsia"/>
                <w:sz w:val="24"/>
                <w:vertAlign w:val="superscript"/>
              </w:rPr>
              <w:t xml:space="preserve"> d</w:t>
            </w:r>
            <w:r>
              <w:rPr>
                <w:sz w:val="24"/>
                <w:vertAlign w:val="superscript"/>
              </w:rPr>
              <w:t>*</w:t>
            </w:r>
          </w:p>
        </w:tc>
        <w:tc>
          <w:tcPr>
            <w:tcW w:w="299" w:type="pct"/>
            <w:tcBorders>
              <w:top w:val="single" w:color="000000" w:sz="12" w:space="0"/>
            </w:tcBorders>
            <w:shd w:val="clear" w:color="auto" w:fill="auto"/>
            <w:vAlign w:val="center"/>
          </w:tcPr>
          <w:p w14:paraId="19BA2456">
            <w:pPr>
              <w:adjustRightInd w:val="0"/>
              <w:snapToGrid w:val="0"/>
              <w:jc w:val="center"/>
              <w:rPr>
                <w:sz w:val="18"/>
              </w:rPr>
            </w:pPr>
            <w:r>
              <w:rPr>
                <w:sz w:val="18"/>
              </w:rPr>
              <w:t>A2</w:t>
            </w:r>
          </w:p>
        </w:tc>
        <w:tc>
          <w:tcPr>
            <w:tcW w:w="959" w:type="pct"/>
            <w:tcBorders>
              <w:top w:val="single" w:color="000000" w:sz="12" w:space="0"/>
            </w:tcBorders>
            <w:shd w:val="clear" w:color="auto" w:fill="auto"/>
            <w:vAlign w:val="center"/>
          </w:tcPr>
          <w:p w14:paraId="1510C864">
            <w:pPr>
              <w:adjustRightInd w:val="0"/>
              <w:snapToGrid w:val="0"/>
              <w:jc w:val="center"/>
              <w:rPr>
                <w:sz w:val="18"/>
              </w:rPr>
            </w:pPr>
            <w:r>
              <w:rPr>
                <w:sz w:val="18"/>
              </w:rPr>
              <w:t>带电偏置湿热试验或带电偏置强加速稳态湿热试验</w:t>
            </w:r>
            <w:r>
              <w:rPr>
                <w:kern w:val="0"/>
                <w:sz w:val="24"/>
                <w:vertAlign w:val="superscript"/>
              </w:rPr>
              <w:t>b*</w:t>
            </w:r>
          </w:p>
        </w:tc>
        <w:tc>
          <w:tcPr>
            <w:tcW w:w="806" w:type="pct"/>
            <w:tcBorders>
              <w:top w:val="single" w:color="000000" w:sz="12" w:space="0"/>
            </w:tcBorders>
            <w:shd w:val="clear" w:color="auto" w:fill="auto"/>
            <w:vAlign w:val="center"/>
          </w:tcPr>
          <w:p w14:paraId="3FE4734E">
            <w:pPr>
              <w:adjustRightInd w:val="0"/>
              <w:snapToGrid w:val="0"/>
              <w:jc w:val="center"/>
              <w:rPr>
                <w:sz w:val="18"/>
              </w:rPr>
            </w:pPr>
            <w:r>
              <w:rPr>
                <w:sz w:val="18"/>
              </w:rPr>
              <w:t>THB/</w:t>
            </w:r>
          </w:p>
          <w:p w14:paraId="3A283C0C">
            <w:pPr>
              <w:adjustRightInd w:val="0"/>
              <w:snapToGrid w:val="0"/>
              <w:jc w:val="center"/>
              <w:rPr>
                <w:sz w:val="18"/>
              </w:rPr>
            </w:pPr>
            <w:r>
              <w:rPr>
                <w:sz w:val="18"/>
              </w:rPr>
              <w:t>HAST</w:t>
            </w:r>
          </w:p>
        </w:tc>
        <w:tc>
          <w:tcPr>
            <w:tcW w:w="846" w:type="pct"/>
            <w:tcBorders>
              <w:top w:val="single" w:color="000000" w:sz="12" w:space="0"/>
            </w:tcBorders>
            <w:vAlign w:val="center"/>
          </w:tcPr>
          <w:p w14:paraId="3B6CDD0A">
            <w:pPr>
              <w:adjustRightInd w:val="0"/>
              <w:snapToGrid w:val="0"/>
              <w:jc w:val="center"/>
              <w:rPr>
                <w:sz w:val="18"/>
              </w:rPr>
            </w:pPr>
            <w:r>
              <w:rPr>
                <w:sz w:val="18"/>
              </w:rPr>
              <w:t>30只/批*3批</w:t>
            </w:r>
          </w:p>
        </w:tc>
        <w:tc>
          <w:tcPr>
            <w:tcW w:w="1685" w:type="pct"/>
            <w:tcBorders>
              <w:top w:val="single" w:color="000000" w:sz="12" w:space="0"/>
            </w:tcBorders>
            <w:shd w:val="clear" w:color="auto" w:fill="auto"/>
            <w:vAlign w:val="center"/>
          </w:tcPr>
          <w:p w14:paraId="5A68A04C">
            <w:pPr>
              <w:jc w:val="left"/>
              <w:rPr>
                <w:sz w:val="18"/>
                <w:szCs w:val="18"/>
              </w:rPr>
            </w:pPr>
            <w:bookmarkStart w:id="65" w:name="OLE_LINK2"/>
            <w:bookmarkStart w:id="66" w:name="OLE_LINK1"/>
            <w:r>
              <w:rPr>
                <w:rFonts w:hint="eastAsia"/>
                <w:sz w:val="18"/>
                <w:szCs w:val="18"/>
              </w:rPr>
              <w:t>（1）温湿度条件（</w:t>
            </w:r>
            <w:r>
              <w:rPr>
                <w:sz w:val="18"/>
                <w:szCs w:val="18"/>
              </w:rPr>
              <w:t>HAST）</w:t>
            </w:r>
          </w:p>
          <w:p w14:paraId="7ADA7160">
            <w:pPr>
              <w:jc w:val="left"/>
              <w:rPr>
                <w:sz w:val="18"/>
                <w:szCs w:val="18"/>
              </w:rPr>
            </w:pPr>
            <w:r>
              <w:rPr>
                <w:rFonts w:hint="eastAsia"/>
                <w:sz w:val="18"/>
                <w:szCs w:val="18"/>
              </w:rPr>
              <w:t>1.1）</w:t>
            </w:r>
            <w:r>
              <w:rPr>
                <w:sz w:val="18"/>
                <w:szCs w:val="18"/>
              </w:rPr>
              <w:t>乘用车：</w:t>
            </w:r>
            <w:r>
              <w:rPr>
                <w:rFonts w:hint="eastAsia"/>
                <w:sz w:val="18"/>
                <w:szCs w:val="18"/>
              </w:rPr>
              <w:t>Ta</w:t>
            </w:r>
            <w:r>
              <w:rPr>
                <w:sz w:val="18"/>
                <w:szCs w:val="18"/>
              </w:rPr>
              <w:t>=130℃、</w:t>
            </w:r>
            <w:r>
              <w:rPr>
                <w:rFonts w:hint="eastAsia"/>
                <w:sz w:val="18"/>
                <w:szCs w:val="18"/>
              </w:rPr>
              <w:t>RH</w:t>
            </w:r>
            <w:r>
              <w:rPr>
                <w:sz w:val="18"/>
                <w:szCs w:val="18"/>
              </w:rPr>
              <w:t>=85%，</w:t>
            </w:r>
            <w:r>
              <w:rPr>
                <w:rFonts w:hint="eastAsia"/>
                <w:sz w:val="18"/>
                <w:szCs w:val="18"/>
              </w:rPr>
              <w:t>t</w:t>
            </w:r>
            <w:r>
              <w:rPr>
                <w:sz w:val="18"/>
                <w:szCs w:val="18"/>
              </w:rPr>
              <w:t>=</w:t>
            </w:r>
            <w:r>
              <w:rPr>
                <w:rFonts w:hint="eastAsia"/>
                <w:sz w:val="18"/>
                <w:szCs w:val="18"/>
              </w:rPr>
              <w:t>56</w:t>
            </w:r>
            <w:r>
              <w:rPr>
                <w:sz w:val="18"/>
                <w:szCs w:val="18"/>
              </w:rPr>
              <w:t xml:space="preserve">h；  </w:t>
            </w:r>
          </w:p>
          <w:p w14:paraId="293C740D">
            <w:pPr>
              <w:jc w:val="left"/>
              <w:rPr>
                <w:sz w:val="18"/>
                <w:szCs w:val="18"/>
              </w:rPr>
            </w:pPr>
            <w:r>
              <w:rPr>
                <w:rFonts w:hint="eastAsia"/>
                <w:sz w:val="18"/>
                <w:szCs w:val="18"/>
              </w:rPr>
              <w:t>1.2）</w:t>
            </w:r>
            <w:r>
              <w:rPr>
                <w:sz w:val="18"/>
                <w:szCs w:val="18"/>
              </w:rPr>
              <w:t>商用车：</w:t>
            </w:r>
            <w:r>
              <w:rPr>
                <w:rFonts w:hint="eastAsia"/>
                <w:sz w:val="18"/>
                <w:szCs w:val="18"/>
              </w:rPr>
              <w:t>Ta</w:t>
            </w:r>
            <w:r>
              <w:rPr>
                <w:sz w:val="18"/>
                <w:szCs w:val="18"/>
              </w:rPr>
              <w:t>=130℃、</w:t>
            </w:r>
            <w:r>
              <w:rPr>
                <w:rFonts w:hint="eastAsia"/>
                <w:sz w:val="18"/>
                <w:szCs w:val="18"/>
              </w:rPr>
              <w:t>RH</w:t>
            </w:r>
            <w:r>
              <w:rPr>
                <w:sz w:val="18"/>
                <w:szCs w:val="18"/>
              </w:rPr>
              <w:t>=85%，</w:t>
            </w:r>
            <w:r>
              <w:rPr>
                <w:rFonts w:hint="eastAsia"/>
                <w:sz w:val="18"/>
                <w:szCs w:val="18"/>
              </w:rPr>
              <w:t>t</w:t>
            </w:r>
            <w:r>
              <w:rPr>
                <w:sz w:val="18"/>
                <w:szCs w:val="18"/>
              </w:rPr>
              <w:t>=</w:t>
            </w:r>
            <w:r>
              <w:rPr>
                <w:rFonts w:hint="eastAsia"/>
                <w:sz w:val="18"/>
                <w:szCs w:val="18"/>
              </w:rPr>
              <w:t>53</w:t>
            </w:r>
            <w:r>
              <w:rPr>
                <w:sz w:val="18"/>
                <w:szCs w:val="18"/>
              </w:rPr>
              <w:t>h</w:t>
            </w:r>
            <w:r>
              <w:rPr>
                <w:rFonts w:hint="eastAsia"/>
                <w:sz w:val="18"/>
                <w:szCs w:val="18"/>
              </w:rPr>
              <w:t>。</w:t>
            </w:r>
          </w:p>
          <w:p w14:paraId="0F3CDA16">
            <w:pPr>
              <w:jc w:val="left"/>
              <w:rPr>
                <w:sz w:val="18"/>
                <w:szCs w:val="18"/>
              </w:rPr>
            </w:pPr>
            <w:r>
              <w:rPr>
                <w:sz w:val="18"/>
                <w:szCs w:val="18"/>
              </w:rPr>
              <w:t>（2）</w:t>
            </w:r>
            <w:r>
              <w:rPr>
                <w:rFonts w:hint="eastAsia"/>
                <w:sz w:val="18"/>
                <w:szCs w:val="18"/>
              </w:rPr>
              <w:t>温湿度条件（</w:t>
            </w:r>
            <w:r>
              <w:rPr>
                <w:sz w:val="18"/>
                <w:szCs w:val="18"/>
              </w:rPr>
              <w:t>THB</w:t>
            </w:r>
            <w:r>
              <w:rPr>
                <w:rFonts w:hint="eastAsia"/>
                <w:sz w:val="18"/>
                <w:szCs w:val="18"/>
              </w:rPr>
              <w:t>）</w:t>
            </w:r>
          </w:p>
          <w:p w14:paraId="2C873CC9">
            <w:pPr>
              <w:rPr>
                <w:sz w:val="18"/>
                <w:szCs w:val="18"/>
              </w:rPr>
            </w:pPr>
            <w:bookmarkStart w:id="67" w:name="OLE_LINK8"/>
            <w:r>
              <w:rPr>
                <w:rFonts w:hint="eastAsia"/>
                <w:sz w:val="18"/>
                <w:szCs w:val="18"/>
              </w:rPr>
              <w:t>2.1）</w:t>
            </w:r>
            <w:r>
              <w:rPr>
                <w:sz w:val="18"/>
                <w:szCs w:val="18"/>
              </w:rPr>
              <w:t>乘用车：</w:t>
            </w:r>
            <w:r>
              <w:rPr>
                <w:rFonts w:hint="eastAsia"/>
                <w:sz w:val="18"/>
                <w:szCs w:val="18"/>
              </w:rPr>
              <w:t>Ta</w:t>
            </w:r>
            <w:r>
              <w:rPr>
                <w:sz w:val="18"/>
                <w:szCs w:val="18"/>
              </w:rPr>
              <w:t>=85℃、</w:t>
            </w:r>
            <w:r>
              <w:rPr>
                <w:rFonts w:hint="eastAsia"/>
                <w:sz w:val="18"/>
                <w:szCs w:val="18"/>
              </w:rPr>
              <w:t>RH</w:t>
            </w:r>
            <w:r>
              <w:rPr>
                <w:sz w:val="18"/>
                <w:szCs w:val="18"/>
              </w:rPr>
              <w:t xml:space="preserve">=85%，1005h；  </w:t>
            </w:r>
          </w:p>
          <w:p w14:paraId="5B33A6BC">
            <w:pPr>
              <w:rPr>
                <w:sz w:val="18"/>
                <w:szCs w:val="18"/>
              </w:rPr>
            </w:pPr>
            <w:r>
              <w:rPr>
                <w:rFonts w:hint="eastAsia"/>
                <w:sz w:val="18"/>
                <w:szCs w:val="18"/>
              </w:rPr>
              <w:t>2.2）</w:t>
            </w:r>
            <w:r>
              <w:rPr>
                <w:sz w:val="18"/>
                <w:szCs w:val="18"/>
              </w:rPr>
              <w:t>商用车：</w:t>
            </w:r>
            <w:r>
              <w:rPr>
                <w:rFonts w:hint="eastAsia"/>
                <w:sz w:val="18"/>
                <w:szCs w:val="18"/>
              </w:rPr>
              <w:t>Ta</w:t>
            </w:r>
            <w:r>
              <w:rPr>
                <w:sz w:val="18"/>
                <w:szCs w:val="18"/>
              </w:rPr>
              <w:t>=85℃、</w:t>
            </w:r>
            <w:r>
              <w:rPr>
                <w:rFonts w:hint="eastAsia"/>
                <w:sz w:val="18"/>
                <w:szCs w:val="18"/>
              </w:rPr>
              <w:t>RH</w:t>
            </w:r>
            <w:r>
              <w:rPr>
                <w:sz w:val="18"/>
                <w:szCs w:val="18"/>
              </w:rPr>
              <w:t>=85%，</w:t>
            </w:r>
            <w:r>
              <w:rPr>
                <w:rFonts w:hint="eastAsia"/>
                <w:sz w:val="18"/>
                <w:szCs w:val="18"/>
              </w:rPr>
              <w:t>t</w:t>
            </w:r>
            <w:r>
              <w:rPr>
                <w:sz w:val="18"/>
                <w:szCs w:val="18"/>
              </w:rPr>
              <w:t>=</w:t>
            </w:r>
            <w:r>
              <w:rPr>
                <w:rFonts w:hint="eastAsia"/>
                <w:sz w:val="18"/>
                <w:szCs w:val="18"/>
              </w:rPr>
              <w:t>9</w:t>
            </w:r>
            <w:r>
              <w:rPr>
                <w:sz w:val="18"/>
                <w:szCs w:val="18"/>
              </w:rPr>
              <w:t>61h</w:t>
            </w:r>
            <w:bookmarkEnd w:id="65"/>
            <w:bookmarkEnd w:id="66"/>
            <w:bookmarkEnd w:id="67"/>
            <w:r>
              <w:rPr>
                <w:rFonts w:hint="eastAsia"/>
                <w:sz w:val="18"/>
                <w:szCs w:val="18"/>
              </w:rPr>
              <w:t>。</w:t>
            </w:r>
          </w:p>
        </w:tc>
      </w:tr>
      <w:tr w14:paraId="18B591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405" w:type="pct"/>
            <w:vMerge w:val="continue"/>
            <w:shd w:val="clear" w:color="auto" w:fill="auto"/>
            <w:vAlign w:val="center"/>
          </w:tcPr>
          <w:p w14:paraId="2B624190">
            <w:pPr>
              <w:adjustRightInd w:val="0"/>
              <w:snapToGrid w:val="0"/>
              <w:jc w:val="center"/>
              <w:rPr>
                <w:sz w:val="18"/>
              </w:rPr>
            </w:pPr>
          </w:p>
        </w:tc>
        <w:tc>
          <w:tcPr>
            <w:tcW w:w="299" w:type="pct"/>
            <w:shd w:val="clear" w:color="auto" w:fill="auto"/>
            <w:vAlign w:val="center"/>
          </w:tcPr>
          <w:p w14:paraId="737A0262">
            <w:pPr>
              <w:adjustRightInd w:val="0"/>
              <w:snapToGrid w:val="0"/>
              <w:jc w:val="center"/>
              <w:rPr>
                <w:sz w:val="18"/>
              </w:rPr>
            </w:pPr>
            <w:r>
              <w:rPr>
                <w:sz w:val="18"/>
              </w:rPr>
              <w:t>A3</w:t>
            </w:r>
          </w:p>
        </w:tc>
        <w:tc>
          <w:tcPr>
            <w:tcW w:w="959" w:type="pct"/>
            <w:shd w:val="clear" w:color="auto" w:fill="auto"/>
            <w:vAlign w:val="center"/>
          </w:tcPr>
          <w:p w14:paraId="2ABA57F9">
            <w:pPr>
              <w:adjustRightInd w:val="0"/>
              <w:snapToGrid w:val="0"/>
              <w:jc w:val="center"/>
              <w:rPr>
                <w:sz w:val="18"/>
              </w:rPr>
            </w:pPr>
            <w:r>
              <w:rPr>
                <w:sz w:val="18"/>
              </w:rPr>
              <w:t>非偏置湿热试验或非偏置强加速稳态湿热试验</w:t>
            </w:r>
            <w:r>
              <w:rPr>
                <w:kern w:val="0"/>
                <w:sz w:val="24"/>
                <w:vertAlign w:val="superscript"/>
              </w:rPr>
              <w:t>c*</w:t>
            </w:r>
          </w:p>
        </w:tc>
        <w:tc>
          <w:tcPr>
            <w:tcW w:w="806" w:type="pct"/>
            <w:shd w:val="clear" w:color="auto" w:fill="auto"/>
            <w:vAlign w:val="center"/>
          </w:tcPr>
          <w:p w14:paraId="49CDB45D">
            <w:pPr>
              <w:adjustRightInd w:val="0"/>
              <w:snapToGrid w:val="0"/>
              <w:jc w:val="center"/>
              <w:rPr>
                <w:sz w:val="18"/>
              </w:rPr>
            </w:pPr>
            <w:r>
              <w:rPr>
                <w:sz w:val="18"/>
              </w:rPr>
              <w:t>AC</w:t>
            </w:r>
          </w:p>
          <w:p w14:paraId="738D2382">
            <w:pPr>
              <w:adjustRightInd w:val="0"/>
              <w:snapToGrid w:val="0"/>
              <w:jc w:val="center"/>
              <w:rPr>
                <w:sz w:val="18"/>
              </w:rPr>
            </w:pPr>
            <w:r>
              <w:rPr>
                <w:sz w:val="18"/>
              </w:rPr>
              <w:t>/UHST</w:t>
            </w:r>
          </w:p>
          <w:p w14:paraId="08981642">
            <w:pPr>
              <w:adjustRightInd w:val="0"/>
              <w:snapToGrid w:val="0"/>
              <w:jc w:val="center"/>
              <w:rPr>
                <w:sz w:val="18"/>
              </w:rPr>
            </w:pPr>
            <w:r>
              <w:rPr>
                <w:sz w:val="18"/>
              </w:rPr>
              <w:t>/TH</w:t>
            </w:r>
          </w:p>
        </w:tc>
        <w:tc>
          <w:tcPr>
            <w:tcW w:w="846" w:type="pct"/>
            <w:vAlign w:val="center"/>
          </w:tcPr>
          <w:p w14:paraId="4138B439">
            <w:pPr>
              <w:adjustRightInd w:val="0"/>
              <w:snapToGrid w:val="0"/>
              <w:jc w:val="center"/>
              <w:rPr>
                <w:sz w:val="18"/>
              </w:rPr>
            </w:pPr>
            <w:r>
              <w:rPr>
                <w:sz w:val="18"/>
              </w:rPr>
              <w:t>30只/批*3批</w:t>
            </w:r>
          </w:p>
        </w:tc>
        <w:tc>
          <w:tcPr>
            <w:tcW w:w="1685" w:type="pct"/>
            <w:shd w:val="clear" w:color="auto" w:fill="auto"/>
            <w:vAlign w:val="center"/>
          </w:tcPr>
          <w:p w14:paraId="3766C566">
            <w:pPr>
              <w:jc w:val="left"/>
              <w:rPr>
                <w:sz w:val="18"/>
                <w:szCs w:val="18"/>
              </w:rPr>
            </w:pPr>
            <w:r>
              <w:rPr>
                <w:rFonts w:hint="eastAsia"/>
                <w:sz w:val="18"/>
                <w:szCs w:val="18"/>
              </w:rPr>
              <w:t>（1）温湿度条件（U</w:t>
            </w:r>
            <w:r>
              <w:rPr>
                <w:sz w:val="18"/>
                <w:szCs w:val="18"/>
              </w:rPr>
              <w:t>HST）</w:t>
            </w:r>
          </w:p>
          <w:p w14:paraId="7CAFB9F6">
            <w:pPr>
              <w:jc w:val="left"/>
              <w:rPr>
                <w:sz w:val="18"/>
                <w:szCs w:val="18"/>
              </w:rPr>
            </w:pPr>
            <w:r>
              <w:rPr>
                <w:rFonts w:hint="eastAsia"/>
                <w:sz w:val="18"/>
                <w:szCs w:val="18"/>
              </w:rPr>
              <w:t>1.1）</w:t>
            </w:r>
            <w:r>
              <w:rPr>
                <w:sz w:val="18"/>
                <w:szCs w:val="18"/>
              </w:rPr>
              <w:t>乘用车：</w:t>
            </w:r>
            <w:r>
              <w:rPr>
                <w:rFonts w:hint="eastAsia"/>
                <w:sz w:val="18"/>
                <w:szCs w:val="18"/>
              </w:rPr>
              <w:t>Ta</w:t>
            </w:r>
            <w:r>
              <w:rPr>
                <w:sz w:val="18"/>
                <w:szCs w:val="18"/>
              </w:rPr>
              <w:t>=130℃、</w:t>
            </w:r>
            <w:r>
              <w:rPr>
                <w:rFonts w:hint="eastAsia"/>
                <w:sz w:val="18"/>
                <w:szCs w:val="18"/>
              </w:rPr>
              <w:t>RH</w:t>
            </w:r>
            <w:r>
              <w:rPr>
                <w:sz w:val="18"/>
                <w:szCs w:val="18"/>
              </w:rPr>
              <w:t>=85%，</w:t>
            </w:r>
            <w:r>
              <w:rPr>
                <w:rFonts w:hint="eastAsia"/>
                <w:sz w:val="18"/>
                <w:szCs w:val="18"/>
              </w:rPr>
              <w:t>t</w:t>
            </w:r>
            <w:r>
              <w:rPr>
                <w:sz w:val="18"/>
                <w:szCs w:val="18"/>
              </w:rPr>
              <w:t>=</w:t>
            </w:r>
            <w:r>
              <w:rPr>
                <w:rFonts w:hint="eastAsia"/>
                <w:sz w:val="18"/>
                <w:szCs w:val="18"/>
              </w:rPr>
              <w:t>56</w:t>
            </w:r>
            <w:r>
              <w:rPr>
                <w:sz w:val="18"/>
                <w:szCs w:val="18"/>
              </w:rPr>
              <w:t xml:space="preserve">h；  </w:t>
            </w:r>
          </w:p>
          <w:p w14:paraId="7C7DFF62">
            <w:pPr>
              <w:jc w:val="left"/>
              <w:rPr>
                <w:sz w:val="18"/>
                <w:szCs w:val="18"/>
              </w:rPr>
            </w:pPr>
            <w:r>
              <w:rPr>
                <w:rFonts w:hint="eastAsia"/>
                <w:sz w:val="18"/>
                <w:szCs w:val="18"/>
              </w:rPr>
              <w:t>1.2）</w:t>
            </w:r>
            <w:r>
              <w:rPr>
                <w:sz w:val="18"/>
                <w:szCs w:val="18"/>
              </w:rPr>
              <w:t>商用车：</w:t>
            </w:r>
            <w:r>
              <w:rPr>
                <w:rFonts w:hint="eastAsia"/>
                <w:sz w:val="18"/>
                <w:szCs w:val="18"/>
              </w:rPr>
              <w:t>Ta</w:t>
            </w:r>
            <w:r>
              <w:rPr>
                <w:sz w:val="18"/>
                <w:szCs w:val="18"/>
              </w:rPr>
              <w:t>=130℃、</w:t>
            </w:r>
            <w:r>
              <w:rPr>
                <w:rFonts w:hint="eastAsia"/>
                <w:sz w:val="18"/>
                <w:szCs w:val="18"/>
              </w:rPr>
              <w:t>RH</w:t>
            </w:r>
            <w:r>
              <w:rPr>
                <w:sz w:val="18"/>
                <w:szCs w:val="18"/>
              </w:rPr>
              <w:t>=85%，</w:t>
            </w:r>
            <w:r>
              <w:rPr>
                <w:rFonts w:hint="eastAsia"/>
                <w:sz w:val="18"/>
                <w:szCs w:val="18"/>
              </w:rPr>
              <w:t>t</w:t>
            </w:r>
            <w:r>
              <w:rPr>
                <w:sz w:val="18"/>
                <w:szCs w:val="18"/>
              </w:rPr>
              <w:t>=</w:t>
            </w:r>
            <w:r>
              <w:rPr>
                <w:rFonts w:hint="eastAsia"/>
                <w:sz w:val="18"/>
                <w:szCs w:val="18"/>
              </w:rPr>
              <w:t>53</w:t>
            </w:r>
            <w:r>
              <w:rPr>
                <w:sz w:val="18"/>
                <w:szCs w:val="18"/>
              </w:rPr>
              <w:t>h；</w:t>
            </w:r>
          </w:p>
          <w:p w14:paraId="08BB5DE6">
            <w:pPr>
              <w:jc w:val="left"/>
              <w:rPr>
                <w:sz w:val="18"/>
                <w:szCs w:val="18"/>
              </w:rPr>
            </w:pPr>
            <w:r>
              <w:rPr>
                <w:sz w:val="18"/>
                <w:szCs w:val="18"/>
              </w:rPr>
              <w:t>（2）</w:t>
            </w:r>
            <w:r>
              <w:rPr>
                <w:rFonts w:hint="eastAsia"/>
                <w:sz w:val="18"/>
                <w:szCs w:val="18"/>
              </w:rPr>
              <w:t>温湿度条件（</w:t>
            </w:r>
            <w:r>
              <w:rPr>
                <w:sz w:val="18"/>
                <w:szCs w:val="18"/>
              </w:rPr>
              <w:t>TH</w:t>
            </w:r>
            <w:r>
              <w:rPr>
                <w:rFonts w:hint="eastAsia"/>
                <w:sz w:val="18"/>
                <w:szCs w:val="18"/>
              </w:rPr>
              <w:t>）</w:t>
            </w:r>
          </w:p>
          <w:p w14:paraId="170DE772">
            <w:pPr>
              <w:jc w:val="left"/>
              <w:rPr>
                <w:sz w:val="18"/>
                <w:szCs w:val="18"/>
              </w:rPr>
            </w:pPr>
            <w:r>
              <w:rPr>
                <w:rFonts w:hint="eastAsia"/>
                <w:sz w:val="18"/>
                <w:szCs w:val="18"/>
              </w:rPr>
              <w:t>2.1）</w:t>
            </w:r>
            <w:r>
              <w:rPr>
                <w:sz w:val="18"/>
                <w:szCs w:val="18"/>
              </w:rPr>
              <w:t>乘用车：</w:t>
            </w:r>
            <w:r>
              <w:rPr>
                <w:rFonts w:hint="eastAsia"/>
                <w:sz w:val="18"/>
                <w:szCs w:val="18"/>
              </w:rPr>
              <w:t>Ta</w:t>
            </w:r>
            <w:r>
              <w:rPr>
                <w:sz w:val="18"/>
                <w:szCs w:val="18"/>
              </w:rPr>
              <w:t>=85℃、</w:t>
            </w:r>
            <w:r>
              <w:rPr>
                <w:rFonts w:hint="eastAsia"/>
                <w:sz w:val="18"/>
                <w:szCs w:val="18"/>
              </w:rPr>
              <w:t>RH</w:t>
            </w:r>
            <w:r>
              <w:rPr>
                <w:sz w:val="18"/>
                <w:szCs w:val="18"/>
              </w:rPr>
              <w:t xml:space="preserve">=85%，1005h；  </w:t>
            </w:r>
          </w:p>
          <w:p w14:paraId="0B74BE4F">
            <w:pPr>
              <w:jc w:val="left"/>
              <w:rPr>
                <w:sz w:val="18"/>
                <w:szCs w:val="18"/>
              </w:rPr>
            </w:pPr>
            <w:r>
              <w:rPr>
                <w:rFonts w:hint="eastAsia"/>
                <w:sz w:val="18"/>
                <w:szCs w:val="18"/>
              </w:rPr>
              <w:t>2.2）</w:t>
            </w:r>
            <w:r>
              <w:rPr>
                <w:sz w:val="18"/>
                <w:szCs w:val="18"/>
              </w:rPr>
              <w:t>商用车：</w:t>
            </w:r>
            <w:r>
              <w:rPr>
                <w:rFonts w:hint="eastAsia"/>
                <w:sz w:val="18"/>
                <w:szCs w:val="18"/>
              </w:rPr>
              <w:t>Ta</w:t>
            </w:r>
            <w:r>
              <w:rPr>
                <w:sz w:val="18"/>
                <w:szCs w:val="18"/>
              </w:rPr>
              <w:t>=85℃、</w:t>
            </w:r>
            <w:r>
              <w:rPr>
                <w:rFonts w:hint="eastAsia"/>
                <w:sz w:val="18"/>
                <w:szCs w:val="18"/>
              </w:rPr>
              <w:t>RH</w:t>
            </w:r>
            <w:r>
              <w:rPr>
                <w:sz w:val="18"/>
                <w:szCs w:val="18"/>
              </w:rPr>
              <w:t>=85%，</w:t>
            </w:r>
            <w:r>
              <w:rPr>
                <w:rFonts w:hint="eastAsia"/>
                <w:sz w:val="18"/>
                <w:szCs w:val="18"/>
              </w:rPr>
              <w:t>t</w:t>
            </w:r>
            <w:r>
              <w:rPr>
                <w:sz w:val="18"/>
                <w:szCs w:val="18"/>
              </w:rPr>
              <w:t>=</w:t>
            </w:r>
            <w:r>
              <w:rPr>
                <w:rFonts w:hint="eastAsia"/>
                <w:sz w:val="18"/>
                <w:szCs w:val="18"/>
              </w:rPr>
              <w:t>9</w:t>
            </w:r>
            <w:r>
              <w:rPr>
                <w:sz w:val="18"/>
                <w:szCs w:val="18"/>
              </w:rPr>
              <w:t>61h</w:t>
            </w:r>
            <w:r>
              <w:rPr>
                <w:rFonts w:hint="eastAsia"/>
                <w:sz w:val="18"/>
                <w:szCs w:val="18"/>
              </w:rPr>
              <w:t>。</w:t>
            </w:r>
          </w:p>
        </w:tc>
      </w:tr>
      <w:tr w14:paraId="7B5059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405" w:type="pct"/>
            <w:vMerge w:val="continue"/>
            <w:shd w:val="clear" w:color="auto" w:fill="auto"/>
            <w:vAlign w:val="center"/>
          </w:tcPr>
          <w:p w14:paraId="089C9DB2">
            <w:pPr>
              <w:adjustRightInd w:val="0"/>
              <w:snapToGrid w:val="0"/>
              <w:jc w:val="center"/>
              <w:rPr>
                <w:sz w:val="18"/>
              </w:rPr>
            </w:pPr>
          </w:p>
        </w:tc>
        <w:tc>
          <w:tcPr>
            <w:tcW w:w="299" w:type="pct"/>
            <w:shd w:val="clear" w:color="auto" w:fill="auto"/>
            <w:vAlign w:val="center"/>
          </w:tcPr>
          <w:p w14:paraId="7B5A6B3C">
            <w:pPr>
              <w:adjustRightInd w:val="0"/>
              <w:snapToGrid w:val="0"/>
              <w:jc w:val="center"/>
              <w:rPr>
                <w:sz w:val="18"/>
              </w:rPr>
            </w:pPr>
            <w:r>
              <w:rPr>
                <w:sz w:val="18"/>
              </w:rPr>
              <w:t>A4</w:t>
            </w:r>
          </w:p>
        </w:tc>
        <w:tc>
          <w:tcPr>
            <w:tcW w:w="959" w:type="pct"/>
            <w:shd w:val="clear" w:color="auto" w:fill="auto"/>
            <w:vAlign w:val="center"/>
          </w:tcPr>
          <w:p w14:paraId="56D0D821">
            <w:pPr>
              <w:adjustRightInd w:val="0"/>
              <w:snapToGrid w:val="0"/>
              <w:jc w:val="center"/>
              <w:rPr>
                <w:sz w:val="18"/>
              </w:rPr>
            </w:pPr>
            <w:r>
              <w:rPr>
                <w:sz w:val="18"/>
              </w:rPr>
              <w:t>温度循环</w:t>
            </w:r>
          </w:p>
        </w:tc>
        <w:tc>
          <w:tcPr>
            <w:tcW w:w="806" w:type="pct"/>
            <w:shd w:val="clear" w:color="auto" w:fill="auto"/>
            <w:vAlign w:val="center"/>
          </w:tcPr>
          <w:p w14:paraId="2500433B">
            <w:pPr>
              <w:adjustRightInd w:val="0"/>
              <w:snapToGrid w:val="0"/>
              <w:jc w:val="center"/>
              <w:rPr>
                <w:sz w:val="18"/>
              </w:rPr>
            </w:pPr>
            <w:r>
              <w:rPr>
                <w:sz w:val="18"/>
              </w:rPr>
              <w:t>TC</w:t>
            </w:r>
          </w:p>
        </w:tc>
        <w:tc>
          <w:tcPr>
            <w:tcW w:w="846" w:type="pct"/>
            <w:vAlign w:val="center"/>
          </w:tcPr>
          <w:p w14:paraId="161FEEBA">
            <w:pPr>
              <w:adjustRightInd w:val="0"/>
              <w:snapToGrid w:val="0"/>
              <w:jc w:val="center"/>
              <w:rPr>
                <w:sz w:val="18"/>
              </w:rPr>
            </w:pPr>
            <w:r>
              <w:rPr>
                <w:sz w:val="18"/>
              </w:rPr>
              <w:t>30只/批*3批</w:t>
            </w:r>
          </w:p>
        </w:tc>
        <w:tc>
          <w:tcPr>
            <w:tcW w:w="1685" w:type="pct"/>
            <w:shd w:val="clear" w:color="auto" w:fill="auto"/>
            <w:vAlign w:val="center"/>
          </w:tcPr>
          <w:p w14:paraId="62160333">
            <w:pPr>
              <w:jc w:val="left"/>
              <w:rPr>
                <w:sz w:val="18"/>
                <w:szCs w:val="18"/>
              </w:rPr>
            </w:pPr>
            <w:r>
              <w:rPr>
                <w:rFonts w:hint="eastAsia"/>
                <w:sz w:val="18"/>
                <w:szCs w:val="18"/>
              </w:rPr>
              <w:t>（1）温湿度条件（TC）</w:t>
            </w:r>
          </w:p>
          <w:p w14:paraId="0185AD1F">
            <w:pPr>
              <w:jc w:val="left"/>
              <w:rPr>
                <w:sz w:val="18"/>
                <w:szCs w:val="18"/>
              </w:rPr>
            </w:pPr>
            <w:r>
              <w:rPr>
                <w:rFonts w:hint="eastAsia"/>
                <w:sz w:val="18"/>
                <w:szCs w:val="18"/>
              </w:rPr>
              <w:t>1.1）</w:t>
            </w:r>
            <w:r>
              <w:rPr>
                <w:sz w:val="18"/>
                <w:szCs w:val="18"/>
              </w:rPr>
              <w:t>乘用车：</w:t>
            </w:r>
            <w:r>
              <w:rPr>
                <w:rFonts w:hint="eastAsia"/>
                <w:sz w:val="18"/>
                <w:szCs w:val="18"/>
              </w:rPr>
              <w:t>Ta</w:t>
            </w:r>
            <w:r>
              <w:rPr>
                <w:sz w:val="18"/>
                <w:szCs w:val="18"/>
              </w:rPr>
              <w:t>=-40~1</w:t>
            </w:r>
            <w:r>
              <w:rPr>
                <w:rFonts w:hint="eastAsia"/>
                <w:sz w:val="18"/>
                <w:szCs w:val="18"/>
              </w:rPr>
              <w:t>0</w:t>
            </w:r>
            <w:r>
              <w:rPr>
                <w:sz w:val="18"/>
                <w:szCs w:val="18"/>
              </w:rPr>
              <w:t>5℃，</w:t>
            </w:r>
            <w:r>
              <w:rPr>
                <w:rFonts w:hint="eastAsia"/>
                <w:sz w:val="18"/>
                <w:szCs w:val="18"/>
              </w:rPr>
              <w:t>Clc</w:t>
            </w:r>
            <w:r>
              <w:rPr>
                <w:sz w:val="18"/>
                <w:szCs w:val="18"/>
              </w:rPr>
              <w:t>=</w:t>
            </w:r>
            <w:r>
              <w:rPr>
                <w:rFonts w:hint="eastAsia"/>
                <w:sz w:val="18"/>
                <w:szCs w:val="18"/>
              </w:rPr>
              <w:t>1000</w:t>
            </w:r>
            <w:r>
              <w:rPr>
                <w:sz w:val="18"/>
                <w:szCs w:val="18"/>
              </w:rPr>
              <w:t>循环；</w:t>
            </w:r>
          </w:p>
          <w:p w14:paraId="004F3FD4">
            <w:pPr>
              <w:jc w:val="left"/>
              <w:rPr>
                <w:sz w:val="18"/>
                <w:szCs w:val="18"/>
              </w:rPr>
            </w:pPr>
            <w:r>
              <w:rPr>
                <w:rFonts w:hint="eastAsia"/>
                <w:sz w:val="18"/>
                <w:szCs w:val="18"/>
              </w:rPr>
              <w:t>1.2）</w:t>
            </w:r>
            <w:r>
              <w:rPr>
                <w:sz w:val="18"/>
                <w:szCs w:val="18"/>
              </w:rPr>
              <w:t>商用车：</w:t>
            </w:r>
            <w:r>
              <w:rPr>
                <w:rFonts w:hint="eastAsia"/>
                <w:sz w:val="18"/>
                <w:szCs w:val="18"/>
              </w:rPr>
              <w:t>Ta</w:t>
            </w:r>
            <w:r>
              <w:rPr>
                <w:sz w:val="18"/>
                <w:szCs w:val="18"/>
              </w:rPr>
              <w:t>=-40~1</w:t>
            </w:r>
            <w:r>
              <w:rPr>
                <w:rFonts w:hint="eastAsia"/>
                <w:sz w:val="18"/>
                <w:szCs w:val="18"/>
              </w:rPr>
              <w:t>0</w:t>
            </w:r>
            <w:r>
              <w:rPr>
                <w:sz w:val="18"/>
                <w:szCs w:val="18"/>
              </w:rPr>
              <w:t>5℃，</w:t>
            </w:r>
            <w:r>
              <w:rPr>
                <w:rFonts w:hint="eastAsia"/>
                <w:sz w:val="18"/>
                <w:szCs w:val="18"/>
              </w:rPr>
              <w:t>Clc</w:t>
            </w:r>
            <w:r>
              <w:rPr>
                <w:sz w:val="18"/>
                <w:szCs w:val="18"/>
              </w:rPr>
              <w:t>=</w:t>
            </w:r>
            <w:r>
              <w:rPr>
                <w:rFonts w:hint="eastAsia"/>
                <w:sz w:val="18"/>
                <w:szCs w:val="18"/>
              </w:rPr>
              <w:t>1000</w:t>
            </w:r>
            <w:r>
              <w:rPr>
                <w:sz w:val="18"/>
                <w:szCs w:val="18"/>
              </w:rPr>
              <w:t>循环</w:t>
            </w:r>
            <w:r>
              <w:rPr>
                <w:rFonts w:hint="eastAsia"/>
                <w:sz w:val="18"/>
                <w:szCs w:val="18"/>
              </w:rPr>
              <w:t>。</w:t>
            </w:r>
          </w:p>
        </w:tc>
      </w:tr>
      <w:tr w14:paraId="37A889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405" w:type="pct"/>
            <w:vMerge w:val="continue"/>
            <w:shd w:val="clear" w:color="auto" w:fill="auto"/>
            <w:vAlign w:val="center"/>
          </w:tcPr>
          <w:p w14:paraId="5473F236">
            <w:pPr>
              <w:adjustRightInd w:val="0"/>
              <w:snapToGrid w:val="0"/>
              <w:jc w:val="center"/>
              <w:rPr>
                <w:sz w:val="18"/>
              </w:rPr>
            </w:pPr>
          </w:p>
        </w:tc>
        <w:tc>
          <w:tcPr>
            <w:tcW w:w="299" w:type="pct"/>
            <w:shd w:val="clear" w:color="auto" w:fill="auto"/>
            <w:vAlign w:val="center"/>
          </w:tcPr>
          <w:p w14:paraId="7F1FEA70">
            <w:pPr>
              <w:adjustRightInd w:val="0"/>
              <w:snapToGrid w:val="0"/>
              <w:jc w:val="center"/>
              <w:rPr>
                <w:sz w:val="18"/>
              </w:rPr>
            </w:pPr>
            <w:r>
              <w:rPr>
                <w:sz w:val="18"/>
              </w:rPr>
              <w:t>A5</w:t>
            </w:r>
          </w:p>
        </w:tc>
        <w:tc>
          <w:tcPr>
            <w:tcW w:w="959" w:type="pct"/>
            <w:shd w:val="clear" w:color="auto" w:fill="auto"/>
            <w:vAlign w:val="center"/>
          </w:tcPr>
          <w:p w14:paraId="0671CF50">
            <w:pPr>
              <w:adjustRightInd w:val="0"/>
              <w:snapToGrid w:val="0"/>
              <w:jc w:val="center"/>
              <w:rPr>
                <w:sz w:val="18"/>
              </w:rPr>
            </w:pPr>
            <w:r>
              <w:rPr>
                <w:sz w:val="18"/>
              </w:rPr>
              <w:t>功率温度循环</w:t>
            </w:r>
          </w:p>
        </w:tc>
        <w:tc>
          <w:tcPr>
            <w:tcW w:w="806" w:type="pct"/>
            <w:shd w:val="clear" w:color="auto" w:fill="auto"/>
            <w:vAlign w:val="center"/>
          </w:tcPr>
          <w:p w14:paraId="572AF705">
            <w:pPr>
              <w:adjustRightInd w:val="0"/>
              <w:snapToGrid w:val="0"/>
              <w:jc w:val="center"/>
              <w:rPr>
                <w:sz w:val="18"/>
              </w:rPr>
            </w:pPr>
            <w:r>
              <w:rPr>
                <w:sz w:val="18"/>
              </w:rPr>
              <w:t>PTC</w:t>
            </w:r>
          </w:p>
        </w:tc>
        <w:tc>
          <w:tcPr>
            <w:tcW w:w="846" w:type="pct"/>
            <w:vAlign w:val="center"/>
          </w:tcPr>
          <w:p w14:paraId="65F7A1CC">
            <w:pPr>
              <w:adjustRightInd w:val="0"/>
              <w:snapToGrid w:val="0"/>
              <w:jc w:val="center"/>
              <w:rPr>
                <w:sz w:val="18"/>
              </w:rPr>
            </w:pPr>
            <w:r>
              <w:rPr>
                <w:sz w:val="18"/>
              </w:rPr>
              <w:t>30只/批*3批</w:t>
            </w:r>
          </w:p>
        </w:tc>
        <w:tc>
          <w:tcPr>
            <w:tcW w:w="1685" w:type="pct"/>
            <w:shd w:val="clear" w:color="auto" w:fill="auto"/>
            <w:vAlign w:val="center"/>
          </w:tcPr>
          <w:p w14:paraId="6806F203">
            <w:pPr>
              <w:jc w:val="left"/>
              <w:rPr>
                <w:sz w:val="18"/>
                <w:szCs w:val="18"/>
              </w:rPr>
            </w:pPr>
            <w:r>
              <w:rPr>
                <w:rFonts w:hint="eastAsia"/>
                <w:sz w:val="18"/>
                <w:szCs w:val="18"/>
              </w:rPr>
              <w:t>（1）温湿度条件（PTC）</w:t>
            </w:r>
          </w:p>
          <w:p w14:paraId="6D7F544C">
            <w:pPr>
              <w:jc w:val="left"/>
              <w:rPr>
                <w:sz w:val="18"/>
                <w:szCs w:val="18"/>
              </w:rPr>
            </w:pPr>
            <w:r>
              <w:rPr>
                <w:rFonts w:hint="eastAsia"/>
                <w:sz w:val="18"/>
                <w:szCs w:val="18"/>
              </w:rPr>
              <w:t>1.1）</w:t>
            </w:r>
            <w:r>
              <w:rPr>
                <w:sz w:val="18"/>
                <w:szCs w:val="18"/>
              </w:rPr>
              <w:t>乘用车：Ta=-40~1</w:t>
            </w:r>
            <w:r>
              <w:rPr>
                <w:rFonts w:hint="eastAsia"/>
                <w:sz w:val="18"/>
                <w:szCs w:val="18"/>
              </w:rPr>
              <w:t>0</w:t>
            </w:r>
            <w:r>
              <w:rPr>
                <w:sz w:val="18"/>
                <w:szCs w:val="18"/>
              </w:rPr>
              <w:t>5℃，</w:t>
            </w:r>
            <w:r>
              <w:rPr>
                <w:rFonts w:hint="eastAsia"/>
                <w:sz w:val="18"/>
                <w:szCs w:val="18"/>
              </w:rPr>
              <w:t>Clc</w:t>
            </w:r>
            <w:r>
              <w:rPr>
                <w:sz w:val="18"/>
                <w:szCs w:val="18"/>
              </w:rPr>
              <w:t>=</w:t>
            </w:r>
            <w:r>
              <w:rPr>
                <w:rFonts w:hint="eastAsia"/>
                <w:sz w:val="18"/>
                <w:szCs w:val="18"/>
              </w:rPr>
              <w:t>4132</w:t>
            </w:r>
            <w:r>
              <w:rPr>
                <w:sz w:val="18"/>
                <w:szCs w:val="18"/>
              </w:rPr>
              <w:t>循环；</w:t>
            </w:r>
          </w:p>
          <w:p w14:paraId="48D1E770">
            <w:pPr>
              <w:jc w:val="left"/>
              <w:rPr>
                <w:sz w:val="18"/>
                <w:szCs w:val="18"/>
              </w:rPr>
            </w:pPr>
            <w:r>
              <w:rPr>
                <w:rFonts w:hint="eastAsia"/>
                <w:sz w:val="18"/>
                <w:szCs w:val="18"/>
              </w:rPr>
              <w:t>1.2）</w:t>
            </w:r>
            <w:r>
              <w:rPr>
                <w:sz w:val="18"/>
                <w:szCs w:val="18"/>
              </w:rPr>
              <w:t>商用车：Ta=-40~1</w:t>
            </w:r>
            <w:r>
              <w:rPr>
                <w:rFonts w:hint="eastAsia"/>
                <w:sz w:val="18"/>
                <w:szCs w:val="18"/>
              </w:rPr>
              <w:t>05</w:t>
            </w:r>
            <w:r>
              <w:rPr>
                <w:sz w:val="18"/>
                <w:szCs w:val="18"/>
              </w:rPr>
              <w:t>℃，</w:t>
            </w:r>
            <w:r>
              <w:rPr>
                <w:rFonts w:hint="eastAsia"/>
                <w:sz w:val="18"/>
                <w:szCs w:val="18"/>
              </w:rPr>
              <w:t>Clc</w:t>
            </w:r>
            <w:r>
              <w:rPr>
                <w:sz w:val="18"/>
                <w:szCs w:val="18"/>
              </w:rPr>
              <w:t>=</w:t>
            </w:r>
            <w:r>
              <w:rPr>
                <w:rFonts w:hint="eastAsia"/>
                <w:sz w:val="18"/>
                <w:szCs w:val="18"/>
              </w:rPr>
              <w:t>4958</w:t>
            </w:r>
            <w:r>
              <w:rPr>
                <w:sz w:val="18"/>
                <w:szCs w:val="18"/>
              </w:rPr>
              <w:t>循环</w:t>
            </w:r>
            <w:r>
              <w:rPr>
                <w:rFonts w:hint="eastAsia"/>
                <w:sz w:val="18"/>
                <w:szCs w:val="18"/>
              </w:rPr>
              <w:t>。</w:t>
            </w:r>
          </w:p>
        </w:tc>
      </w:tr>
      <w:tr w14:paraId="157D4E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405" w:type="pct"/>
            <w:vMerge w:val="continue"/>
            <w:shd w:val="clear" w:color="auto" w:fill="auto"/>
            <w:vAlign w:val="center"/>
          </w:tcPr>
          <w:p w14:paraId="579DCD79">
            <w:pPr>
              <w:adjustRightInd w:val="0"/>
              <w:snapToGrid w:val="0"/>
              <w:jc w:val="center"/>
              <w:rPr>
                <w:sz w:val="18"/>
              </w:rPr>
            </w:pPr>
          </w:p>
        </w:tc>
        <w:tc>
          <w:tcPr>
            <w:tcW w:w="299" w:type="pct"/>
            <w:shd w:val="clear" w:color="auto" w:fill="auto"/>
            <w:vAlign w:val="center"/>
          </w:tcPr>
          <w:p w14:paraId="5BE0856E">
            <w:pPr>
              <w:adjustRightInd w:val="0"/>
              <w:snapToGrid w:val="0"/>
              <w:jc w:val="center"/>
              <w:rPr>
                <w:sz w:val="18"/>
              </w:rPr>
            </w:pPr>
            <w:r>
              <w:rPr>
                <w:sz w:val="18"/>
              </w:rPr>
              <w:t>A6</w:t>
            </w:r>
          </w:p>
        </w:tc>
        <w:tc>
          <w:tcPr>
            <w:tcW w:w="959" w:type="pct"/>
            <w:shd w:val="clear" w:color="auto" w:fill="auto"/>
            <w:vAlign w:val="center"/>
          </w:tcPr>
          <w:p w14:paraId="4F6BAB12">
            <w:pPr>
              <w:adjustRightInd w:val="0"/>
              <w:snapToGrid w:val="0"/>
              <w:jc w:val="center"/>
              <w:rPr>
                <w:sz w:val="18"/>
              </w:rPr>
            </w:pPr>
            <w:r>
              <w:rPr>
                <w:sz w:val="18"/>
              </w:rPr>
              <w:t>高温贮存</w:t>
            </w:r>
          </w:p>
        </w:tc>
        <w:tc>
          <w:tcPr>
            <w:tcW w:w="806" w:type="pct"/>
            <w:shd w:val="clear" w:color="auto" w:fill="auto"/>
            <w:vAlign w:val="center"/>
          </w:tcPr>
          <w:p w14:paraId="708EB0C5">
            <w:pPr>
              <w:adjustRightInd w:val="0"/>
              <w:snapToGrid w:val="0"/>
              <w:jc w:val="center"/>
              <w:rPr>
                <w:sz w:val="18"/>
              </w:rPr>
            </w:pPr>
            <w:r>
              <w:rPr>
                <w:sz w:val="18"/>
              </w:rPr>
              <w:t>HTSL</w:t>
            </w:r>
          </w:p>
        </w:tc>
        <w:tc>
          <w:tcPr>
            <w:tcW w:w="846" w:type="pct"/>
            <w:vAlign w:val="center"/>
          </w:tcPr>
          <w:p w14:paraId="508C8150">
            <w:pPr>
              <w:adjustRightInd w:val="0"/>
              <w:snapToGrid w:val="0"/>
              <w:jc w:val="center"/>
              <w:rPr>
                <w:sz w:val="18"/>
              </w:rPr>
            </w:pPr>
            <w:r>
              <w:rPr>
                <w:sz w:val="18"/>
              </w:rPr>
              <w:t>30只/批*3批</w:t>
            </w:r>
          </w:p>
        </w:tc>
        <w:tc>
          <w:tcPr>
            <w:tcW w:w="1685" w:type="pct"/>
            <w:shd w:val="clear" w:color="auto" w:fill="auto"/>
            <w:vAlign w:val="center"/>
          </w:tcPr>
          <w:p w14:paraId="3949AAD6">
            <w:pPr>
              <w:rPr>
                <w:sz w:val="18"/>
                <w:szCs w:val="18"/>
              </w:rPr>
            </w:pPr>
            <w:r>
              <w:rPr>
                <w:rFonts w:hint="eastAsia"/>
                <w:sz w:val="18"/>
                <w:szCs w:val="18"/>
              </w:rPr>
              <w:t>（1）温湿度条件（HTSL）</w:t>
            </w:r>
          </w:p>
          <w:p w14:paraId="5A2BA63D">
            <w:pPr>
              <w:rPr>
                <w:sz w:val="18"/>
                <w:szCs w:val="18"/>
              </w:rPr>
            </w:pPr>
            <w:r>
              <w:rPr>
                <w:rFonts w:hint="eastAsia"/>
                <w:sz w:val="18"/>
                <w:szCs w:val="18"/>
              </w:rPr>
              <w:t>1.1）</w:t>
            </w:r>
            <w:r>
              <w:rPr>
                <w:sz w:val="18"/>
                <w:szCs w:val="18"/>
              </w:rPr>
              <w:t>乘用车：Ta =105℃，</w:t>
            </w:r>
            <w:r>
              <w:rPr>
                <w:rFonts w:hint="eastAsia"/>
                <w:sz w:val="18"/>
                <w:szCs w:val="18"/>
              </w:rPr>
              <w:t>t</w:t>
            </w:r>
            <w:r>
              <w:rPr>
                <w:sz w:val="18"/>
                <w:szCs w:val="18"/>
              </w:rPr>
              <w:t>=1000h</w:t>
            </w:r>
            <w:r>
              <w:rPr>
                <w:rFonts w:hint="eastAsia"/>
                <w:sz w:val="18"/>
                <w:szCs w:val="18"/>
              </w:rPr>
              <w:t>；</w:t>
            </w:r>
          </w:p>
          <w:p w14:paraId="57954B79">
            <w:pPr>
              <w:rPr>
                <w:sz w:val="18"/>
                <w:szCs w:val="18"/>
              </w:rPr>
            </w:pPr>
            <w:r>
              <w:rPr>
                <w:rFonts w:hint="eastAsia"/>
                <w:sz w:val="18"/>
                <w:szCs w:val="18"/>
              </w:rPr>
              <w:t>1.2）</w:t>
            </w:r>
            <w:r>
              <w:rPr>
                <w:sz w:val="18"/>
                <w:szCs w:val="18"/>
              </w:rPr>
              <w:t>商用车：Ta =105℃，</w:t>
            </w:r>
            <w:r>
              <w:rPr>
                <w:rFonts w:hint="eastAsia"/>
                <w:sz w:val="18"/>
                <w:szCs w:val="18"/>
              </w:rPr>
              <w:t>t</w:t>
            </w:r>
            <w:r>
              <w:rPr>
                <w:sz w:val="18"/>
                <w:szCs w:val="18"/>
              </w:rPr>
              <w:t>=1000h</w:t>
            </w:r>
            <w:r>
              <w:rPr>
                <w:rFonts w:hint="eastAsia"/>
                <w:sz w:val="18"/>
                <w:szCs w:val="18"/>
              </w:rPr>
              <w:t>。</w:t>
            </w:r>
          </w:p>
        </w:tc>
      </w:tr>
      <w:tr w14:paraId="4FC645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405" w:type="pct"/>
            <w:shd w:val="clear" w:color="auto" w:fill="auto"/>
            <w:vAlign w:val="center"/>
          </w:tcPr>
          <w:p w14:paraId="033C53A5">
            <w:pPr>
              <w:adjustRightInd w:val="0"/>
              <w:snapToGrid w:val="0"/>
              <w:jc w:val="center"/>
              <w:rPr>
                <w:sz w:val="18"/>
              </w:rPr>
            </w:pPr>
            <w:r>
              <w:rPr>
                <w:sz w:val="18"/>
              </w:rPr>
              <w:t>B组：加速寿命试验</w:t>
            </w:r>
          </w:p>
        </w:tc>
        <w:tc>
          <w:tcPr>
            <w:tcW w:w="299" w:type="pct"/>
            <w:shd w:val="clear" w:color="auto" w:fill="auto"/>
            <w:vAlign w:val="center"/>
          </w:tcPr>
          <w:p w14:paraId="3C61862E">
            <w:pPr>
              <w:adjustRightInd w:val="0"/>
              <w:snapToGrid w:val="0"/>
              <w:jc w:val="center"/>
              <w:rPr>
                <w:sz w:val="18"/>
              </w:rPr>
            </w:pPr>
            <w:r>
              <w:rPr>
                <w:sz w:val="18"/>
              </w:rPr>
              <w:t>B1</w:t>
            </w:r>
          </w:p>
        </w:tc>
        <w:tc>
          <w:tcPr>
            <w:tcW w:w="959" w:type="pct"/>
            <w:shd w:val="clear" w:color="auto" w:fill="auto"/>
            <w:vAlign w:val="center"/>
          </w:tcPr>
          <w:p w14:paraId="0465771F">
            <w:pPr>
              <w:adjustRightInd w:val="0"/>
              <w:snapToGrid w:val="0"/>
              <w:jc w:val="center"/>
              <w:rPr>
                <w:sz w:val="18"/>
              </w:rPr>
            </w:pPr>
            <w:r>
              <w:rPr>
                <w:sz w:val="18"/>
              </w:rPr>
              <w:t>高温工作寿命</w:t>
            </w:r>
          </w:p>
        </w:tc>
        <w:tc>
          <w:tcPr>
            <w:tcW w:w="806" w:type="pct"/>
            <w:shd w:val="clear" w:color="auto" w:fill="auto"/>
            <w:vAlign w:val="center"/>
          </w:tcPr>
          <w:p w14:paraId="439793AA">
            <w:pPr>
              <w:adjustRightInd w:val="0"/>
              <w:snapToGrid w:val="0"/>
              <w:jc w:val="center"/>
              <w:rPr>
                <w:sz w:val="18"/>
              </w:rPr>
            </w:pPr>
            <w:r>
              <w:rPr>
                <w:sz w:val="18"/>
              </w:rPr>
              <w:t>HTOL</w:t>
            </w:r>
          </w:p>
        </w:tc>
        <w:tc>
          <w:tcPr>
            <w:tcW w:w="846" w:type="pct"/>
            <w:vAlign w:val="center"/>
          </w:tcPr>
          <w:p w14:paraId="4CA6AB61">
            <w:pPr>
              <w:adjustRightInd w:val="0"/>
              <w:snapToGrid w:val="0"/>
              <w:jc w:val="center"/>
              <w:rPr>
                <w:sz w:val="18"/>
              </w:rPr>
            </w:pPr>
            <w:r>
              <w:rPr>
                <w:sz w:val="18"/>
              </w:rPr>
              <w:t>30只/批*3批</w:t>
            </w:r>
          </w:p>
        </w:tc>
        <w:tc>
          <w:tcPr>
            <w:tcW w:w="1685" w:type="pct"/>
            <w:shd w:val="clear" w:color="auto" w:fill="auto"/>
            <w:vAlign w:val="center"/>
          </w:tcPr>
          <w:p w14:paraId="31097617">
            <w:pPr>
              <w:rPr>
                <w:sz w:val="18"/>
                <w:szCs w:val="18"/>
              </w:rPr>
            </w:pPr>
            <w:r>
              <w:rPr>
                <w:rFonts w:hint="eastAsia"/>
                <w:sz w:val="18"/>
                <w:szCs w:val="18"/>
              </w:rPr>
              <w:t>（1）温湿度条件（HTOL）</w:t>
            </w:r>
          </w:p>
          <w:p w14:paraId="53041FA1">
            <w:pPr>
              <w:rPr>
                <w:sz w:val="18"/>
                <w:szCs w:val="18"/>
              </w:rPr>
            </w:pPr>
            <w:r>
              <w:rPr>
                <w:rFonts w:hint="eastAsia"/>
                <w:sz w:val="18"/>
                <w:szCs w:val="18"/>
              </w:rPr>
              <w:t>1.1）</w:t>
            </w:r>
            <w:r>
              <w:rPr>
                <w:sz w:val="18"/>
                <w:szCs w:val="18"/>
              </w:rPr>
              <w:t>乘用车：Ta =105℃，</w:t>
            </w:r>
            <w:r>
              <w:rPr>
                <w:rFonts w:hint="eastAsia"/>
                <w:sz w:val="18"/>
                <w:szCs w:val="18"/>
              </w:rPr>
              <w:t>t</w:t>
            </w:r>
            <w:r>
              <w:rPr>
                <w:sz w:val="18"/>
                <w:szCs w:val="18"/>
              </w:rPr>
              <w:t>=1000h</w:t>
            </w:r>
            <w:r>
              <w:rPr>
                <w:rFonts w:hint="eastAsia"/>
                <w:sz w:val="18"/>
                <w:szCs w:val="18"/>
              </w:rPr>
              <w:t>；</w:t>
            </w:r>
          </w:p>
          <w:p w14:paraId="603E4412">
            <w:pPr>
              <w:rPr>
                <w:sz w:val="18"/>
                <w:szCs w:val="18"/>
              </w:rPr>
            </w:pPr>
            <w:r>
              <w:rPr>
                <w:rFonts w:hint="eastAsia"/>
                <w:sz w:val="18"/>
                <w:szCs w:val="18"/>
              </w:rPr>
              <w:t>1.2）</w:t>
            </w:r>
            <w:r>
              <w:rPr>
                <w:sz w:val="18"/>
                <w:szCs w:val="18"/>
              </w:rPr>
              <w:t>商用车：Ta =105℃，</w:t>
            </w:r>
            <w:r>
              <w:rPr>
                <w:rFonts w:hint="eastAsia"/>
                <w:sz w:val="18"/>
                <w:szCs w:val="18"/>
              </w:rPr>
              <w:t>t</w:t>
            </w:r>
            <w:r>
              <w:rPr>
                <w:sz w:val="18"/>
                <w:szCs w:val="18"/>
              </w:rPr>
              <w:t>=1000h</w:t>
            </w:r>
            <w:r>
              <w:rPr>
                <w:rFonts w:hint="eastAsia"/>
                <w:sz w:val="18"/>
                <w:szCs w:val="18"/>
              </w:rPr>
              <w:t>。</w:t>
            </w:r>
          </w:p>
        </w:tc>
      </w:tr>
    </w:tbl>
    <w:p w14:paraId="0466F1FE">
      <w:pPr>
        <w:pStyle w:val="24"/>
        <w:spacing w:before="156" w:beforeLines="50" w:after="156" w:afterLines="50"/>
        <w:ind w:firstLine="0" w:firstLineChars="0"/>
        <w:jc w:val="center"/>
        <w:rPr>
          <w:rFonts w:ascii="Times New Roman"/>
        </w:rPr>
      </w:pPr>
      <w:bookmarkStart w:id="68" w:name="_Ref192084677"/>
      <w:r>
        <w:rPr>
          <w:rFonts w:ascii="Times New Roman" w:eastAsia="黑体"/>
        </w:rPr>
        <w:t xml:space="preserve">表 </w:t>
      </w:r>
      <w:r>
        <w:rPr>
          <w:rFonts w:ascii="Times New Roman" w:eastAsia="黑体"/>
        </w:rPr>
        <w:fldChar w:fldCharType="begin" w:fldLock="1"/>
      </w:r>
      <w:r>
        <w:rPr>
          <w:rFonts w:ascii="Times New Roman" w:eastAsia="黑体"/>
        </w:rPr>
        <w:instrText xml:space="preserve"> SEQ 表 \* ARABIC </w:instrText>
      </w:r>
      <w:r>
        <w:rPr>
          <w:rFonts w:ascii="Times New Roman" w:eastAsia="黑体"/>
        </w:rPr>
        <w:fldChar w:fldCharType="separate"/>
      </w:r>
      <w:r>
        <w:rPr>
          <w:rFonts w:ascii="Times New Roman" w:eastAsia="黑体"/>
        </w:rPr>
        <w:t>9</w:t>
      </w:r>
      <w:r>
        <w:rPr>
          <w:rFonts w:ascii="Times New Roman" w:eastAsia="黑体"/>
        </w:rPr>
        <w:fldChar w:fldCharType="end"/>
      </w:r>
      <w:r>
        <w:rPr>
          <w:rFonts w:ascii="Times New Roman" w:eastAsia="黑体"/>
        </w:rPr>
        <w:t xml:space="preserve"> 汽车多芯片组件3级</w:t>
      </w:r>
      <w:r>
        <w:rPr>
          <w:rFonts w:hint="eastAsia" w:ascii="Times New Roman" w:eastAsia="黑体"/>
        </w:rPr>
        <w:t>可靠性</w:t>
      </w:r>
      <w:r>
        <w:rPr>
          <w:rFonts w:ascii="Times New Roman" w:eastAsia="黑体"/>
        </w:rPr>
        <w:t>检测要求</w:t>
      </w:r>
    </w:p>
    <w:tbl>
      <w:tblPr>
        <w:tblStyle w:val="33"/>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572"/>
        <w:gridCol w:w="1836"/>
        <w:gridCol w:w="1543"/>
        <w:gridCol w:w="1619"/>
        <w:gridCol w:w="3226"/>
      </w:tblGrid>
      <w:tr w14:paraId="186EE0D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405" w:type="pct"/>
            <w:tcBorders>
              <w:top w:val="single" w:color="000000" w:sz="12" w:space="0"/>
              <w:bottom w:val="single" w:color="000000" w:sz="12" w:space="0"/>
            </w:tcBorders>
            <w:shd w:val="clear" w:color="auto" w:fill="auto"/>
            <w:vAlign w:val="center"/>
          </w:tcPr>
          <w:p w14:paraId="7C5E407D">
            <w:pPr>
              <w:widowControl/>
              <w:autoSpaceDE w:val="0"/>
              <w:autoSpaceDN w:val="0"/>
              <w:adjustRightInd w:val="0"/>
              <w:snapToGrid w:val="0"/>
              <w:spacing w:before="156" w:beforeLines="50" w:after="156" w:afterLines="50"/>
              <w:jc w:val="center"/>
              <w:rPr>
                <w:b/>
                <w:bCs/>
                <w:sz w:val="18"/>
              </w:rPr>
            </w:pPr>
            <w:r>
              <w:rPr>
                <w:b/>
                <w:bCs/>
                <w:sz w:val="18"/>
              </w:rPr>
              <w:t>组别</w:t>
            </w:r>
          </w:p>
        </w:tc>
        <w:tc>
          <w:tcPr>
            <w:tcW w:w="299" w:type="pct"/>
            <w:tcBorders>
              <w:top w:val="single" w:color="000000" w:sz="12" w:space="0"/>
              <w:bottom w:val="single" w:color="000000" w:sz="12" w:space="0"/>
            </w:tcBorders>
            <w:shd w:val="clear" w:color="auto" w:fill="auto"/>
            <w:vAlign w:val="center"/>
          </w:tcPr>
          <w:p w14:paraId="46DCE37C">
            <w:pPr>
              <w:widowControl/>
              <w:autoSpaceDE w:val="0"/>
              <w:autoSpaceDN w:val="0"/>
              <w:adjustRightInd w:val="0"/>
              <w:snapToGrid w:val="0"/>
              <w:spacing w:before="156" w:beforeLines="50" w:after="156" w:afterLines="50"/>
              <w:jc w:val="center"/>
              <w:rPr>
                <w:b/>
                <w:bCs/>
                <w:sz w:val="18"/>
              </w:rPr>
            </w:pPr>
            <w:r>
              <w:rPr>
                <w:b/>
                <w:bCs/>
                <w:sz w:val="18"/>
              </w:rPr>
              <w:t>序号</w:t>
            </w:r>
          </w:p>
        </w:tc>
        <w:tc>
          <w:tcPr>
            <w:tcW w:w="959" w:type="pct"/>
            <w:tcBorders>
              <w:top w:val="single" w:color="000000" w:sz="12" w:space="0"/>
              <w:bottom w:val="single" w:color="000000" w:sz="12" w:space="0"/>
            </w:tcBorders>
            <w:shd w:val="clear" w:color="auto" w:fill="auto"/>
            <w:vAlign w:val="center"/>
          </w:tcPr>
          <w:p w14:paraId="230FF16D">
            <w:pPr>
              <w:widowControl/>
              <w:autoSpaceDE w:val="0"/>
              <w:autoSpaceDN w:val="0"/>
              <w:adjustRightInd w:val="0"/>
              <w:snapToGrid w:val="0"/>
              <w:spacing w:before="156" w:beforeLines="50" w:after="156" w:afterLines="50"/>
              <w:jc w:val="center"/>
              <w:rPr>
                <w:b/>
                <w:bCs/>
                <w:sz w:val="18"/>
              </w:rPr>
            </w:pPr>
            <w:r>
              <w:rPr>
                <w:b/>
                <w:bCs/>
                <w:sz w:val="18"/>
              </w:rPr>
              <w:t>试验项目</w:t>
            </w:r>
          </w:p>
        </w:tc>
        <w:tc>
          <w:tcPr>
            <w:tcW w:w="806" w:type="pct"/>
            <w:tcBorders>
              <w:top w:val="single" w:color="000000" w:sz="12" w:space="0"/>
              <w:bottom w:val="single" w:color="000000" w:sz="12" w:space="0"/>
            </w:tcBorders>
            <w:shd w:val="clear" w:color="auto" w:fill="auto"/>
            <w:vAlign w:val="center"/>
          </w:tcPr>
          <w:p w14:paraId="35ADB339">
            <w:pPr>
              <w:widowControl/>
              <w:autoSpaceDE w:val="0"/>
              <w:autoSpaceDN w:val="0"/>
              <w:adjustRightInd w:val="0"/>
              <w:snapToGrid w:val="0"/>
              <w:spacing w:before="156" w:beforeLines="50" w:after="156" w:afterLines="50"/>
              <w:jc w:val="center"/>
              <w:rPr>
                <w:b/>
                <w:bCs/>
                <w:sz w:val="18"/>
              </w:rPr>
            </w:pPr>
            <w:r>
              <w:rPr>
                <w:b/>
                <w:bCs/>
                <w:sz w:val="18"/>
              </w:rPr>
              <w:t>简称</w:t>
            </w:r>
          </w:p>
        </w:tc>
        <w:tc>
          <w:tcPr>
            <w:tcW w:w="846" w:type="pct"/>
            <w:tcBorders>
              <w:top w:val="single" w:color="000000" w:sz="12" w:space="0"/>
              <w:bottom w:val="single" w:color="000000" w:sz="12" w:space="0"/>
            </w:tcBorders>
            <w:vAlign w:val="center"/>
          </w:tcPr>
          <w:p w14:paraId="63C15644">
            <w:pPr>
              <w:widowControl/>
              <w:autoSpaceDE w:val="0"/>
              <w:autoSpaceDN w:val="0"/>
              <w:adjustRightInd w:val="0"/>
              <w:snapToGrid w:val="0"/>
              <w:spacing w:before="156" w:beforeLines="50" w:after="156" w:afterLines="50"/>
              <w:jc w:val="center"/>
              <w:rPr>
                <w:b/>
                <w:bCs/>
                <w:sz w:val="18"/>
              </w:rPr>
            </w:pPr>
            <w:r>
              <w:rPr>
                <w:b/>
                <w:bCs/>
                <w:sz w:val="18"/>
              </w:rPr>
              <w:t>试验样品数量</w:t>
            </w:r>
            <w:r>
              <w:rPr>
                <w:rFonts w:hint="eastAsia"/>
                <w:sz w:val="24"/>
                <w:vertAlign w:val="superscript"/>
              </w:rPr>
              <w:t>e</w:t>
            </w:r>
            <w:r>
              <w:rPr>
                <w:sz w:val="24"/>
                <w:vertAlign w:val="superscript"/>
              </w:rPr>
              <w:t>*</w:t>
            </w:r>
          </w:p>
        </w:tc>
        <w:tc>
          <w:tcPr>
            <w:tcW w:w="1685" w:type="pct"/>
            <w:tcBorders>
              <w:top w:val="single" w:color="000000" w:sz="12" w:space="0"/>
              <w:bottom w:val="single" w:color="000000" w:sz="12" w:space="0"/>
            </w:tcBorders>
            <w:shd w:val="clear" w:color="auto" w:fill="auto"/>
            <w:vAlign w:val="center"/>
          </w:tcPr>
          <w:p w14:paraId="0B175043">
            <w:pPr>
              <w:widowControl/>
              <w:autoSpaceDE w:val="0"/>
              <w:autoSpaceDN w:val="0"/>
              <w:adjustRightInd w:val="0"/>
              <w:snapToGrid w:val="0"/>
              <w:spacing w:before="156" w:beforeLines="50" w:after="156" w:afterLines="50"/>
              <w:jc w:val="center"/>
              <w:rPr>
                <w:b/>
                <w:bCs/>
                <w:sz w:val="18"/>
              </w:rPr>
            </w:pPr>
            <w:r>
              <w:rPr>
                <w:b/>
                <w:bCs/>
                <w:sz w:val="18"/>
              </w:rPr>
              <w:t>试验条件</w:t>
            </w:r>
          </w:p>
        </w:tc>
      </w:tr>
      <w:tr w14:paraId="18AE65E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405" w:type="pct"/>
            <w:vMerge w:val="restart"/>
            <w:tcBorders>
              <w:top w:val="single" w:color="000000" w:sz="12" w:space="0"/>
            </w:tcBorders>
            <w:shd w:val="clear" w:color="auto" w:fill="auto"/>
            <w:vAlign w:val="center"/>
          </w:tcPr>
          <w:p w14:paraId="70B4BBBF">
            <w:pPr>
              <w:adjustRightInd w:val="0"/>
              <w:snapToGrid w:val="0"/>
              <w:jc w:val="center"/>
              <w:rPr>
                <w:sz w:val="18"/>
              </w:rPr>
            </w:pPr>
            <w:r>
              <w:rPr>
                <w:sz w:val="18"/>
              </w:rPr>
              <w:t>A组：加速环境应力试验</w:t>
            </w:r>
            <w:r>
              <w:rPr>
                <w:rFonts w:hint="eastAsia"/>
                <w:sz w:val="24"/>
                <w:vertAlign w:val="superscript"/>
              </w:rPr>
              <w:t>a</w:t>
            </w:r>
            <w:r>
              <w:rPr>
                <w:sz w:val="24"/>
                <w:vertAlign w:val="superscript"/>
              </w:rPr>
              <w:t>*</w:t>
            </w:r>
            <w:r>
              <w:rPr>
                <w:rFonts w:hint="eastAsia"/>
                <w:sz w:val="24"/>
                <w:vertAlign w:val="superscript"/>
              </w:rPr>
              <w:t xml:space="preserve"> d</w:t>
            </w:r>
            <w:r>
              <w:rPr>
                <w:sz w:val="24"/>
                <w:vertAlign w:val="superscript"/>
              </w:rPr>
              <w:t>*</w:t>
            </w:r>
          </w:p>
        </w:tc>
        <w:tc>
          <w:tcPr>
            <w:tcW w:w="299" w:type="pct"/>
            <w:tcBorders>
              <w:top w:val="single" w:color="000000" w:sz="12" w:space="0"/>
            </w:tcBorders>
            <w:shd w:val="clear" w:color="auto" w:fill="auto"/>
            <w:vAlign w:val="center"/>
          </w:tcPr>
          <w:p w14:paraId="60938333">
            <w:pPr>
              <w:adjustRightInd w:val="0"/>
              <w:snapToGrid w:val="0"/>
              <w:jc w:val="center"/>
              <w:rPr>
                <w:sz w:val="18"/>
              </w:rPr>
            </w:pPr>
            <w:r>
              <w:rPr>
                <w:sz w:val="18"/>
              </w:rPr>
              <w:t>A2</w:t>
            </w:r>
          </w:p>
        </w:tc>
        <w:tc>
          <w:tcPr>
            <w:tcW w:w="959" w:type="pct"/>
            <w:tcBorders>
              <w:top w:val="single" w:color="000000" w:sz="12" w:space="0"/>
            </w:tcBorders>
            <w:shd w:val="clear" w:color="auto" w:fill="auto"/>
            <w:vAlign w:val="center"/>
          </w:tcPr>
          <w:p w14:paraId="161D1C43">
            <w:pPr>
              <w:adjustRightInd w:val="0"/>
              <w:snapToGrid w:val="0"/>
              <w:jc w:val="center"/>
              <w:rPr>
                <w:sz w:val="18"/>
              </w:rPr>
            </w:pPr>
            <w:r>
              <w:rPr>
                <w:sz w:val="18"/>
              </w:rPr>
              <w:t>带电偏置湿热试验或带电偏置强加速稳态湿热试验</w:t>
            </w:r>
            <w:r>
              <w:rPr>
                <w:kern w:val="0"/>
                <w:sz w:val="24"/>
                <w:vertAlign w:val="superscript"/>
              </w:rPr>
              <w:t>b*</w:t>
            </w:r>
          </w:p>
        </w:tc>
        <w:tc>
          <w:tcPr>
            <w:tcW w:w="806" w:type="pct"/>
            <w:tcBorders>
              <w:top w:val="single" w:color="000000" w:sz="12" w:space="0"/>
            </w:tcBorders>
            <w:shd w:val="clear" w:color="auto" w:fill="auto"/>
            <w:vAlign w:val="center"/>
          </w:tcPr>
          <w:p w14:paraId="75D1FCEB">
            <w:pPr>
              <w:adjustRightInd w:val="0"/>
              <w:snapToGrid w:val="0"/>
              <w:jc w:val="center"/>
              <w:rPr>
                <w:sz w:val="18"/>
              </w:rPr>
            </w:pPr>
            <w:r>
              <w:rPr>
                <w:sz w:val="18"/>
              </w:rPr>
              <w:t>THB/</w:t>
            </w:r>
          </w:p>
          <w:p w14:paraId="13E0C79F">
            <w:pPr>
              <w:adjustRightInd w:val="0"/>
              <w:snapToGrid w:val="0"/>
              <w:jc w:val="center"/>
              <w:rPr>
                <w:sz w:val="18"/>
              </w:rPr>
            </w:pPr>
            <w:r>
              <w:rPr>
                <w:sz w:val="18"/>
              </w:rPr>
              <w:t>HAST</w:t>
            </w:r>
          </w:p>
        </w:tc>
        <w:tc>
          <w:tcPr>
            <w:tcW w:w="846" w:type="pct"/>
            <w:tcBorders>
              <w:top w:val="single" w:color="000000" w:sz="12" w:space="0"/>
            </w:tcBorders>
            <w:vAlign w:val="center"/>
          </w:tcPr>
          <w:p w14:paraId="6E3BD841">
            <w:pPr>
              <w:adjustRightInd w:val="0"/>
              <w:snapToGrid w:val="0"/>
              <w:jc w:val="center"/>
              <w:rPr>
                <w:sz w:val="18"/>
              </w:rPr>
            </w:pPr>
            <w:r>
              <w:rPr>
                <w:sz w:val="18"/>
              </w:rPr>
              <w:t>30只/批*3批</w:t>
            </w:r>
          </w:p>
        </w:tc>
        <w:tc>
          <w:tcPr>
            <w:tcW w:w="1685" w:type="pct"/>
            <w:tcBorders>
              <w:top w:val="single" w:color="000000" w:sz="12" w:space="0"/>
            </w:tcBorders>
            <w:shd w:val="clear" w:color="auto" w:fill="auto"/>
            <w:vAlign w:val="center"/>
          </w:tcPr>
          <w:p w14:paraId="08E43A51">
            <w:pPr>
              <w:jc w:val="left"/>
              <w:rPr>
                <w:sz w:val="24"/>
              </w:rPr>
            </w:pPr>
            <w:bookmarkStart w:id="69" w:name="OLE_LINK4"/>
            <w:r>
              <w:rPr>
                <w:rFonts w:hint="eastAsia"/>
                <w:sz w:val="18"/>
                <w:szCs w:val="18"/>
              </w:rPr>
              <w:t>（1）温湿度条件（</w:t>
            </w:r>
            <w:r>
              <w:rPr>
                <w:sz w:val="18"/>
                <w:szCs w:val="18"/>
              </w:rPr>
              <w:t>HAST）</w:t>
            </w:r>
          </w:p>
          <w:p w14:paraId="369DDCEA">
            <w:pPr>
              <w:jc w:val="left"/>
              <w:rPr>
                <w:sz w:val="18"/>
                <w:szCs w:val="18"/>
              </w:rPr>
            </w:pPr>
            <w:r>
              <w:rPr>
                <w:rFonts w:hint="eastAsia"/>
                <w:sz w:val="18"/>
                <w:szCs w:val="18"/>
              </w:rPr>
              <w:t>1.1）</w:t>
            </w:r>
            <w:r>
              <w:rPr>
                <w:sz w:val="18"/>
                <w:szCs w:val="18"/>
              </w:rPr>
              <w:t>乘用车：</w:t>
            </w:r>
            <w:r>
              <w:rPr>
                <w:rFonts w:hint="eastAsia"/>
                <w:sz w:val="18"/>
                <w:szCs w:val="18"/>
              </w:rPr>
              <w:t>Ta</w:t>
            </w:r>
            <w:r>
              <w:rPr>
                <w:sz w:val="18"/>
                <w:szCs w:val="18"/>
              </w:rPr>
              <w:t>=130℃、</w:t>
            </w:r>
            <w:r>
              <w:rPr>
                <w:rFonts w:hint="eastAsia"/>
                <w:sz w:val="18"/>
                <w:szCs w:val="18"/>
              </w:rPr>
              <w:t>RH</w:t>
            </w:r>
            <w:r>
              <w:rPr>
                <w:sz w:val="18"/>
                <w:szCs w:val="18"/>
              </w:rPr>
              <w:t>=85%，</w:t>
            </w:r>
            <w:r>
              <w:rPr>
                <w:rFonts w:hint="eastAsia"/>
                <w:sz w:val="18"/>
                <w:szCs w:val="18"/>
              </w:rPr>
              <w:t>t</w:t>
            </w:r>
            <w:r>
              <w:rPr>
                <w:sz w:val="18"/>
                <w:szCs w:val="18"/>
              </w:rPr>
              <w:t>=</w:t>
            </w:r>
            <w:r>
              <w:rPr>
                <w:rFonts w:hint="eastAsia"/>
                <w:sz w:val="18"/>
                <w:szCs w:val="18"/>
              </w:rPr>
              <w:t>45</w:t>
            </w:r>
            <w:r>
              <w:rPr>
                <w:sz w:val="18"/>
                <w:szCs w:val="18"/>
              </w:rPr>
              <w:t xml:space="preserve">h；  </w:t>
            </w:r>
          </w:p>
          <w:p w14:paraId="6130CC48">
            <w:pPr>
              <w:jc w:val="left"/>
              <w:rPr>
                <w:sz w:val="18"/>
                <w:szCs w:val="18"/>
              </w:rPr>
            </w:pPr>
            <w:r>
              <w:rPr>
                <w:rFonts w:hint="eastAsia"/>
                <w:sz w:val="18"/>
                <w:szCs w:val="18"/>
              </w:rPr>
              <w:t>1.2）</w:t>
            </w:r>
            <w:r>
              <w:rPr>
                <w:sz w:val="18"/>
                <w:szCs w:val="18"/>
              </w:rPr>
              <w:t>商用车：</w:t>
            </w:r>
            <w:r>
              <w:rPr>
                <w:rFonts w:hint="eastAsia"/>
                <w:sz w:val="18"/>
                <w:szCs w:val="18"/>
              </w:rPr>
              <w:t>Ta</w:t>
            </w:r>
            <w:r>
              <w:rPr>
                <w:sz w:val="18"/>
                <w:szCs w:val="18"/>
              </w:rPr>
              <w:t>=130℃、</w:t>
            </w:r>
            <w:r>
              <w:rPr>
                <w:rFonts w:hint="eastAsia"/>
                <w:sz w:val="18"/>
                <w:szCs w:val="18"/>
              </w:rPr>
              <w:t>RH</w:t>
            </w:r>
            <w:r>
              <w:rPr>
                <w:sz w:val="18"/>
                <w:szCs w:val="18"/>
              </w:rPr>
              <w:t>=85%，</w:t>
            </w:r>
            <w:r>
              <w:rPr>
                <w:rFonts w:hint="eastAsia"/>
                <w:sz w:val="18"/>
                <w:szCs w:val="18"/>
              </w:rPr>
              <w:t>t</w:t>
            </w:r>
            <w:r>
              <w:rPr>
                <w:sz w:val="18"/>
                <w:szCs w:val="18"/>
              </w:rPr>
              <w:t>=</w:t>
            </w:r>
            <w:r>
              <w:rPr>
                <w:rFonts w:hint="eastAsia"/>
                <w:sz w:val="18"/>
                <w:szCs w:val="18"/>
              </w:rPr>
              <w:t>36</w:t>
            </w:r>
            <w:r>
              <w:rPr>
                <w:sz w:val="18"/>
                <w:szCs w:val="18"/>
              </w:rPr>
              <w:t>h</w:t>
            </w:r>
            <w:r>
              <w:rPr>
                <w:rFonts w:hint="eastAsia"/>
                <w:sz w:val="18"/>
                <w:szCs w:val="18"/>
              </w:rPr>
              <w:t>。</w:t>
            </w:r>
          </w:p>
          <w:p w14:paraId="2819C6BE">
            <w:pPr>
              <w:jc w:val="left"/>
              <w:rPr>
                <w:sz w:val="18"/>
                <w:szCs w:val="18"/>
              </w:rPr>
            </w:pPr>
            <w:r>
              <w:rPr>
                <w:sz w:val="18"/>
                <w:szCs w:val="18"/>
              </w:rPr>
              <w:t>（2）</w:t>
            </w:r>
            <w:r>
              <w:rPr>
                <w:rFonts w:hint="eastAsia"/>
                <w:sz w:val="18"/>
                <w:szCs w:val="18"/>
              </w:rPr>
              <w:t>温湿度条件（</w:t>
            </w:r>
            <w:r>
              <w:rPr>
                <w:sz w:val="18"/>
                <w:szCs w:val="18"/>
              </w:rPr>
              <w:t>THB</w:t>
            </w:r>
            <w:r>
              <w:rPr>
                <w:rFonts w:hint="eastAsia"/>
                <w:sz w:val="18"/>
                <w:szCs w:val="18"/>
              </w:rPr>
              <w:t>）</w:t>
            </w:r>
          </w:p>
          <w:p w14:paraId="7FEA1FAA">
            <w:pPr>
              <w:jc w:val="left"/>
              <w:rPr>
                <w:sz w:val="18"/>
                <w:szCs w:val="18"/>
              </w:rPr>
            </w:pPr>
            <w:r>
              <w:rPr>
                <w:rFonts w:hint="eastAsia"/>
                <w:sz w:val="18"/>
                <w:szCs w:val="18"/>
              </w:rPr>
              <w:t>2.1）</w:t>
            </w:r>
            <w:r>
              <w:rPr>
                <w:sz w:val="18"/>
                <w:szCs w:val="18"/>
              </w:rPr>
              <w:t>乘用车：</w:t>
            </w:r>
            <w:r>
              <w:rPr>
                <w:rFonts w:hint="eastAsia"/>
                <w:sz w:val="18"/>
                <w:szCs w:val="18"/>
              </w:rPr>
              <w:t>Ta</w:t>
            </w:r>
            <w:r>
              <w:rPr>
                <w:sz w:val="18"/>
                <w:szCs w:val="18"/>
              </w:rPr>
              <w:t>=85℃、</w:t>
            </w:r>
            <w:r>
              <w:rPr>
                <w:rFonts w:hint="eastAsia"/>
                <w:sz w:val="18"/>
                <w:szCs w:val="18"/>
              </w:rPr>
              <w:t>RH</w:t>
            </w:r>
            <w:r>
              <w:rPr>
                <w:sz w:val="18"/>
                <w:szCs w:val="18"/>
              </w:rPr>
              <w:t>=85%，</w:t>
            </w:r>
            <w:r>
              <w:rPr>
                <w:rFonts w:hint="eastAsia"/>
                <w:sz w:val="18"/>
                <w:szCs w:val="18"/>
              </w:rPr>
              <w:t>t</w:t>
            </w:r>
            <w:r>
              <w:rPr>
                <w:sz w:val="18"/>
                <w:szCs w:val="18"/>
              </w:rPr>
              <w:t>=</w:t>
            </w:r>
            <w:r>
              <w:rPr>
                <w:rFonts w:hint="eastAsia"/>
                <w:sz w:val="18"/>
                <w:szCs w:val="18"/>
              </w:rPr>
              <w:t>804</w:t>
            </w:r>
            <w:r>
              <w:rPr>
                <w:sz w:val="18"/>
                <w:szCs w:val="18"/>
              </w:rPr>
              <w:t xml:space="preserve">h；  </w:t>
            </w:r>
          </w:p>
          <w:p w14:paraId="53CDC93F">
            <w:pPr>
              <w:jc w:val="left"/>
              <w:rPr>
                <w:sz w:val="18"/>
                <w:szCs w:val="18"/>
              </w:rPr>
            </w:pPr>
            <w:r>
              <w:rPr>
                <w:rFonts w:hint="eastAsia"/>
                <w:sz w:val="18"/>
                <w:szCs w:val="18"/>
              </w:rPr>
              <w:t>2.2）</w:t>
            </w:r>
            <w:r>
              <w:rPr>
                <w:sz w:val="18"/>
                <w:szCs w:val="18"/>
              </w:rPr>
              <w:t>商用车：</w:t>
            </w:r>
            <w:r>
              <w:rPr>
                <w:rFonts w:hint="eastAsia"/>
                <w:sz w:val="18"/>
                <w:szCs w:val="18"/>
              </w:rPr>
              <w:t>Ta</w:t>
            </w:r>
            <w:r>
              <w:rPr>
                <w:sz w:val="18"/>
                <w:szCs w:val="18"/>
              </w:rPr>
              <w:t>=85℃、</w:t>
            </w:r>
            <w:r>
              <w:rPr>
                <w:rFonts w:hint="eastAsia"/>
                <w:sz w:val="18"/>
                <w:szCs w:val="18"/>
              </w:rPr>
              <w:t>RH</w:t>
            </w:r>
            <w:r>
              <w:rPr>
                <w:sz w:val="18"/>
                <w:szCs w:val="18"/>
              </w:rPr>
              <w:t>=85%，</w:t>
            </w:r>
            <w:r>
              <w:rPr>
                <w:rFonts w:hint="eastAsia"/>
                <w:sz w:val="18"/>
                <w:szCs w:val="18"/>
              </w:rPr>
              <w:t>t</w:t>
            </w:r>
            <w:r>
              <w:rPr>
                <w:sz w:val="18"/>
                <w:szCs w:val="18"/>
              </w:rPr>
              <w:t>=</w:t>
            </w:r>
            <w:r>
              <w:rPr>
                <w:rFonts w:hint="eastAsia"/>
                <w:sz w:val="18"/>
                <w:szCs w:val="18"/>
              </w:rPr>
              <w:t>651</w:t>
            </w:r>
            <w:r>
              <w:rPr>
                <w:sz w:val="18"/>
                <w:szCs w:val="18"/>
              </w:rPr>
              <w:t>h</w:t>
            </w:r>
            <w:bookmarkEnd w:id="69"/>
            <w:r>
              <w:rPr>
                <w:rFonts w:hint="eastAsia"/>
                <w:sz w:val="18"/>
                <w:szCs w:val="18"/>
              </w:rPr>
              <w:t>。</w:t>
            </w:r>
          </w:p>
        </w:tc>
      </w:tr>
      <w:tr w14:paraId="050EB67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405" w:type="pct"/>
            <w:vMerge w:val="continue"/>
            <w:shd w:val="clear" w:color="auto" w:fill="auto"/>
            <w:vAlign w:val="center"/>
          </w:tcPr>
          <w:p w14:paraId="75883DF5">
            <w:pPr>
              <w:adjustRightInd w:val="0"/>
              <w:snapToGrid w:val="0"/>
              <w:jc w:val="center"/>
              <w:rPr>
                <w:sz w:val="18"/>
              </w:rPr>
            </w:pPr>
          </w:p>
        </w:tc>
        <w:tc>
          <w:tcPr>
            <w:tcW w:w="299" w:type="pct"/>
            <w:shd w:val="clear" w:color="auto" w:fill="auto"/>
            <w:vAlign w:val="center"/>
          </w:tcPr>
          <w:p w14:paraId="06BDE78E">
            <w:pPr>
              <w:adjustRightInd w:val="0"/>
              <w:snapToGrid w:val="0"/>
              <w:jc w:val="center"/>
              <w:rPr>
                <w:sz w:val="18"/>
              </w:rPr>
            </w:pPr>
            <w:r>
              <w:rPr>
                <w:sz w:val="18"/>
              </w:rPr>
              <w:t>A3</w:t>
            </w:r>
          </w:p>
        </w:tc>
        <w:tc>
          <w:tcPr>
            <w:tcW w:w="959" w:type="pct"/>
            <w:shd w:val="clear" w:color="auto" w:fill="auto"/>
            <w:vAlign w:val="center"/>
          </w:tcPr>
          <w:p w14:paraId="3E68D654">
            <w:pPr>
              <w:adjustRightInd w:val="0"/>
              <w:snapToGrid w:val="0"/>
              <w:jc w:val="center"/>
              <w:rPr>
                <w:sz w:val="18"/>
              </w:rPr>
            </w:pPr>
            <w:r>
              <w:rPr>
                <w:sz w:val="18"/>
              </w:rPr>
              <w:t>非偏置湿热试验或非偏置强加速稳态湿热试验</w:t>
            </w:r>
            <w:r>
              <w:rPr>
                <w:kern w:val="0"/>
                <w:sz w:val="24"/>
                <w:vertAlign w:val="superscript"/>
              </w:rPr>
              <w:t>c*</w:t>
            </w:r>
          </w:p>
        </w:tc>
        <w:tc>
          <w:tcPr>
            <w:tcW w:w="806" w:type="pct"/>
            <w:shd w:val="clear" w:color="auto" w:fill="auto"/>
            <w:vAlign w:val="center"/>
          </w:tcPr>
          <w:p w14:paraId="56F320A4">
            <w:pPr>
              <w:adjustRightInd w:val="0"/>
              <w:snapToGrid w:val="0"/>
              <w:jc w:val="center"/>
              <w:rPr>
                <w:sz w:val="18"/>
              </w:rPr>
            </w:pPr>
            <w:r>
              <w:rPr>
                <w:sz w:val="18"/>
              </w:rPr>
              <w:t>AC</w:t>
            </w:r>
          </w:p>
          <w:p w14:paraId="48382266">
            <w:pPr>
              <w:adjustRightInd w:val="0"/>
              <w:snapToGrid w:val="0"/>
              <w:jc w:val="center"/>
              <w:rPr>
                <w:sz w:val="18"/>
              </w:rPr>
            </w:pPr>
            <w:r>
              <w:rPr>
                <w:sz w:val="18"/>
              </w:rPr>
              <w:t>/UHST</w:t>
            </w:r>
          </w:p>
          <w:p w14:paraId="2C8C6F55">
            <w:pPr>
              <w:adjustRightInd w:val="0"/>
              <w:snapToGrid w:val="0"/>
              <w:jc w:val="center"/>
              <w:rPr>
                <w:sz w:val="18"/>
              </w:rPr>
            </w:pPr>
            <w:r>
              <w:rPr>
                <w:sz w:val="18"/>
              </w:rPr>
              <w:t>/TH</w:t>
            </w:r>
          </w:p>
        </w:tc>
        <w:tc>
          <w:tcPr>
            <w:tcW w:w="846" w:type="pct"/>
            <w:vAlign w:val="center"/>
          </w:tcPr>
          <w:p w14:paraId="3869CF77">
            <w:pPr>
              <w:adjustRightInd w:val="0"/>
              <w:snapToGrid w:val="0"/>
              <w:jc w:val="center"/>
              <w:rPr>
                <w:sz w:val="18"/>
              </w:rPr>
            </w:pPr>
            <w:r>
              <w:rPr>
                <w:sz w:val="18"/>
              </w:rPr>
              <w:t>30只/批*3批</w:t>
            </w:r>
          </w:p>
        </w:tc>
        <w:tc>
          <w:tcPr>
            <w:tcW w:w="1685" w:type="pct"/>
            <w:shd w:val="clear" w:color="auto" w:fill="auto"/>
            <w:vAlign w:val="center"/>
          </w:tcPr>
          <w:p w14:paraId="4E48DF5F">
            <w:pPr>
              <w:jc w:val="left"/>
              <w:rPr>
                <w:sz w:val="18"/>
                <w:szCs w:val="18"/>
              </w:rPr>
            </w:pPr>
            <w:r>
              <w:rPr>
                <w:rFonts w:hint="eastAsia"/>
                <w:sz w:val="18"/>
                <w:szCs w:val="18"/>
              </w:rPr>
              <w:t>（1）温湿度条件</w:t>
            </w:r>
            <w:r>
              <w:rPr>
                <w:sz w:val="18"/>
                <w:szCs w:val="18"/>
              </w:rPr>
              <w:t>（</w:t>
            </w:r>
            <w:r>
              <w:rPr>
                <w:rFonts w:hint="eastAsia"/>
                <w:sz w:val="18"/>
                <w:szCs w:val="18"/>
              </w:rPr>
              <w:t>UH</w:t>
            </w:r>
            <w:r>
              <w:rPr>
                <w:sz w:val="18"/>
                <w:szCs w:val="18"/>
              </w:rPr>
              <w:t>ST）</w:t>
            </w:r>
          </w:p>
          <w:p w14:paraId="5CAE22DD">
            <w:pPr>
              <w:rPr>
                <w:sz w:val="18"/>
                <w:szCs w:val="18"/>
              </w:rPr>
            </w:pPr>
            <w:r>
              <w:rPr>
                <w:rFonts w:hint="eastAsia"/>
                <w:sz w:val="18"/>
                <w:szCs w:val="18"/>
              </w:rPr>
              <w:t>1.1）</w:t>
            </w:r>
            <w:r>
              <w:rPr>
                <w:sz w:val="18"/>
                <w:szCs w:val="18"/>
              </w:rPr>
              <w:t>乘用车：</w:t>
            </w:r>
            <w:r>
              <w:rPr>
                <w:rFonts w:hint="eastAsia"/>
                <w:sz w:val="18"/>
                <w:szCs w:val="18"/>
              </w:rPr>
              <w:t>Ta</w:t>
            </w:r>
            <w:r>
              <w:rPr>
                <w:sz w:val="18"/>
                <w:szCs w:val="18"/>
              </w:rPr>
              <w:t>=130℃、</w:t>
            </w:r>
            <w:r>
              <w:rPr>
                <w:rFonts w:hint="eastAsia"/>
                <w:sz w:val="18"/>
                <w:szCs w:val="18"/>
              </w:rPr>
              <w:t>RH</w:t>
            </w:r>
            <w:r>
              <w:rPr>
                <w:sz w:val="18"/>
                <w:szCs w:val="18"/>
              </w:rPr>
              <w:t>=85%，</w:t>
            </w:r>
            <w:r>
              <w:rPr>
                <w:rFonts w:hint="eastAsia"/>
                <w:sz w:val="18"/>
                <w:szCs w:val="18"/>
              </w:rPr>
              <w:t>t</w:t>
            </w:r>
            <w:r>
              <w:rPr>
                <w:sz w:val="18"/>
                <w:szCs w:val="18"/>
              </w:rPr>
              <w:t>=</w:t>
            </w:r>
            <w:r>
              <w:rPr>
                <w:rFonts w:hint="eastAsia"/>
                <w:sz w:val="18"/>
                <w:szCs w:val="18"/>
              </w:rPr>
              <w:t>45</w:t>
            </w:r>
            <w:r>
              <w:rPr>
                <w:sz w:val="18"/>
                <w:szCs w:val="18"/>
              </w:rPr>
              <w:t xml:space="preserve">h；  </w:t>
            </w:r>
          </w:p>
          <w:p w14:paraId="1F7C72F2">
            <w:pPr>
              <w:rPr>
                <w:sz w:val="18"/>
                <w:szCs w:val="18"/>
              </w:rPr>
            </w:pPr>
            <w:r>
              <w:rPr>
                <w:rFonts w:hint="eastAsia"/>
                <w:sz w:val="18"/>
                <w:szCs w:val="18"/>
              </w:rPr>
              <w:t>1.2）</w:t>
            </w:r>
            <w:r>
              <w:rPr>
                <w:sz w:val="18"/>
                <w:szCs w:val="18"/>
              </w:rPr>
              <w:t>商用车：</w:t>
            </w:r>
            <w:r>
              <w:rPr>
                <w:rFonts w:hint="eastAsia"/>
                <w:sz w:val="18"/>
                <w:szCs w:val="18"/>
              </w:rPr>
              <w:t>Ta</w:t>
            </w:r>
            <w:r>
              <w:rPr>
                <w:sz w:val="18"/>
                <w:szCs w:val="18"/>
              </w:rPr>
              <w:t>=130℃、</w:t>
            </w:r>
            <w:r>
              <w:rPr>
                <w:rFonts w:hint="eastAsia"/>
                <w:sz w:val="18"/>
                <w:szCs w:val="18"/>
              </w:rPr>
              <w:t>RH</w:t>
            </w:r>
            <w:r>
              <w:rPr>
                <w:sz w:val="18"/>
                <w:szCs w:val="18"/>
              </w:rPr>
              <w:t>=85%，</w:t>
            </w:r>
            <w:r>
              <w:rPr>
                <w:rFonts w:hint="eastAsia"/>
                <w:sz w:val="18"/>
                <w:szCs w:val="18"/>
              </w:rPr>
              <w:t>t</w:t>
            </w:r>
            <w:r>
              <w:rPr>
                <w:sz w:val="18"/>
                <w:szCs w:val="18"/>
              </w:rPr>
              <w:t>=</w:t>
            </w:r>
            <w:r>
              <w:rPr>
                <w:rFonts w:hint="eastAsia"/>
                <w:sz w:val="18"/>
                <w:szCs w:val="18"/>
              </w:rPr>
              <w:t>36</w:t>
            </w:r>
            <w:r>
              <w:rPr>
                <w:sz w:val="18"/>
                <w:szCs w:val="18"/>
              </w:rPr>
              <w:t>h</w:t>
            </w:r>
            <w:r>
              <w:rPr>
                <w:rFonts w:hint="eastAsia"/>
                <w:sz w:val="18"/>
                <w:szCs w:val="18"/>
              </w:rPr>
              <w:t>。</w:t>
            </w:r>
          </w:p>
          <w:p w14:paraId="04526EA8">
            <w:pPr>
              <w:rPr>
                <w:sz w:val="18"/>
                <w:szCs w:val="18"/>
              </w:rPr>
            </w:pPr>
            <w:r>
              <w:rPr>
                <w:sz w:val="18"/>
                <w:szCs w:val="18"/>
              </w:rPr>
              <w:t>（2）</w:t>
            </w:r>
            <w:r>
              <w:rPr>
                <w:rFonts w:hint="eastAsia"/>
                <w:sz w:val="18"/>
                <w:szCs w:val="18"/>
              </w:rPr>
              <w:t>温湿度条件</w:t>
            </w:r>
            <w:r>
              <w:rPr>
                <w:sz w:val="18"/>
                <w:szCs w:val="18"/>
              </w:rPr>
              <w:t>（TH</w:t>
            </w:r>
            <w:r>
              <w:rPr>
                <w:rFonts w:hint="eastAsia"/>
                <w:sz w:val="18"/>
                <w:szCs w:val="18"/>
              </w:rPr>
              <w:t>）</w:t>
            </w:r>
          </w:p>
          <w:p w14:paraId="696BD41B">
            <w:pPr>
              <w:rPr>
                <w:sz w:val="18"/>
                <w:szCs w:val="18"/>
              </w:rPr>
            </w:pPr>
            <w:r>
              <w:rPr>
                <w:rFonts w:hint="eastAsia"/>
                <w:sz w:val="18"/>
                <w:szCs w:val="18"/>
              </w:rPr>
              <w:t>2.1）</w:t>
            </w:r>
            <w:r>
              <w:rPr>
                <w:sz w:val="18"/>
                <w:szCs w:val="18"/>
              </w:rPr>
              <w:t>乘用车：</w:t>
            </w:r>
            <w:r>
              <w:rPr>
                <w:rFonts w:hint="eastAsia"/>
                <w:sz w:val="18"/>
                <w:szCs w:val="18"/>
              </w:rPr>
              <w:t>Ta</w:t>
            </w:r>
            <w:r>
              <w:rPr>
                <w:sz w:val="18"/>
                <w:szCs w:val="18"/>
              </w:rPr>
              <w:t>=85℃、</w:t>
            </w:r>
            <w:r>
              <w:rPr>
                <w:rFonts w:hint="eastAsia"/>
                <w:sz w:val="18"/>
                <w:szCs w:val="18"/>
              </w:rPr>
              <w:t>RH</w:t>
            </w:r>
            <w:r>
              <w:rPr>
                <w:sz w:val="18"/>
                <w:szCs w:val="18"/>
              </w:rPr>
              <w:t>=85%，</w:t>
            </w:r>
            <w:r>
              <w:rPr>
                <w:rFonts w:hint="eastAsia"/>
                <w:sz w:val="18"/>
                <w:szCs w:val="18"/>
              </w:rPr>
              <w:t>t</w:t>
            </w:r>
            <w:r>
              <w:rPr>
                <w:sz w:val="18"/>
                <w:szCs w:val="18"/>
              </w:rPr>
              <w:t>=</w:t>
            </w:r>
            <w:r>
              <w:rPr>
                <w:rFonts w:hint="eastAsia"/>
                <w:sz w:val="18"/>
                <w:szCs w:val="18"/>
              </w:rPr>
              <w:t>804</w:t>
            </w:r>
            <w:r>
              <w:rPr>
                <w:sz w:val="18"/>
                <w:szCs w:val="18"/>
              </w:rPr>
              <w:t xml:space="preserve">h；  </w:t>
            </w:r>
          </w:p>
          <w:p w14:paraId="68B50F09">
            <w:pPr>
              <w:rPr>
                <w:sz w:val="18"/>
                <w:szCs w:val="18"/>
              </w:rPr>
            </w:pPr>
            <w:r>
              <w:rPr>
                <w:rFonts w:hint="eastAsia"/>
                <w:sz w:val="18"/>
                <w:szCs w:val="18"/>
              </w:rPr>
              <w:t>2.2）</w:t>
            </w:r>
            <w:r>
              <w:rPr>
                <w:sz w:val="18"/>
                <w:szCs w:val="18"/>
              </w:rPr>
              <w:t>商用车：</w:t>
            </w:r>
            <w:r>
              <w:rPr>
                <w:rFonts w:hint="eastAsia"/>
                <w:sz w:val="18"/>
                <w:szCs w:val="18"/>
              </w:rPr>
              <w:t>Ta</w:t>
            </w:r>
            <w:r>
              <w:rPr>
                <w:sz w:val="18"/>
                <w:szCs w:val="18"/>
              </w:rPr>
              <w:t>=85℃、</w:t>
            </w:r>
            <w:r>
              <w:rPr>
                <w:rFonts w:hint="eastAsia"/>
                <w:sz w:val="18"/>
                <w:szCs w:val="18"/>
              </w:rPr>
              <w:t>RH</w:t>
            </w:r>
            <w:r>
              <w:rPr>
                <w:sz w:val="18"/>
                <w:szCs w:val="18"/>
              </w:rPr>
              <w:t>=85%，</w:t>
            </w:r>
            <w:r>
              <w:rPr>
                <w:rFonts w:hint="eastAsia"/>
                <w:sz w:val="18"/>
                <w:szCs w:val="18"/>
              </w:rPr>
              <w:t>t</w:t>
            </w:r>
            <w:r>
              <w:rPr>
                <w:sz w:val="18"/>
                <w:szCs w:val="18"/>
              </w:rPr>
              <w:t>=</w:t>
            </w:r>
            <w:r>
              <w:rPr>
                <w:rFonts w:hint="eastAsia"/>
                <w:sz w:val="18"/>
                <w:szCs w:val="18"/>
              </w:rPr>
              <w:t>651</w:t>
            </w:r>
            <w:r>
              <w:rPr>
                <w:sz w:val="18"/>
                <w:szCs w:val="18"/>
              </w:rPr>
              <w:t>h</w:t>
            </w:r>
            <w:r>
              <w:rPr>
                <w:rFonts w:hint="eastAsia"/>
                <w:sz w:val="18"/>
                <w:szCs w:val="18"/>
              </w:rPr>
              <w:t>。</w:t>
            </w:r>
          </w:p>
        </w:tc>
      </w:tr>
      <w:tr w14:paraId="25B5559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405" w:type="pct"/>
            <w:vMerge w:val="continue"/>
            <w:shd w:val="clear" w:color="auto" w:fill="auto"/>
            <w:vAlign w:val="center"/>
          </w:tcPr>
          <w:p w14:paraId="2079F5A7">
            <w:pPr>
              <w:adjustRightInd w:val="0"/>
              <w:snapToGrid w:val="0"/>
              <w:jc w:val="center"/>
              <w:rPr>
                <w:sz w:val="18"/>
              </w:rPr>
            </w:pPr>
          </w:p>
        </w:tc>
        <w:tc>
          <w:tcPr>
            <w:tcW w:w="299" w:type="pct"/>
            <w:shd w:val="clear" w:color="auto" w:fill="auto"/>
            <w:vAlign w:val="center"/>
          </w:tcPr>
          <w:p w14:paraId="01D1D107">
            <w:pPr>
              <w:adjustRightInd w:val="0"/>
              <w:snapToGrid w:val="0"/>
              <w:jc w:val="center"/>
              <w:rPr>
                <w:sz w:val="18"/>
              </w:rPr>
            </w:pPr>
            <w:r>
              <w:rPr>
                <w:sz w:val="18"/>
              </w:rPr>
              <w:t>A4</w:t>
            </w:r>
          </w:p>
        </w:tc>
        <w:tc>
          <w:tcPr>
            <w:tcW w:w="959" w:type="pct"/>
            <w:shd w:val="clear" w:color="auto" w:fill="auto"/>
            <w:vAlign w:val="center"/>
          </w:tcPr>
          <w:p w14:paraId="694CA659">
            <w:pPr>
              <w:adjustRightInd w:val="0"/>
              <w:snapToGrid w:val="0"/>
              <w:jc w:val="center"/>
              <w:rPr>
                <w:sz w:val="18"/>
              </w:rPr>
            </w:pPr>
            <w:r>
              <w:rPr>
                <w:sz w:val="18"/>
              </w:rPr>
              <w:t>温度循环</w:t>
            </w:r>
          </w:p>
        </w:tc>
        <w:tc>
          <w:tcPr>
            <w:tcW w:w="806" w:type="pct"/>
            <w:shd w:val="clear" w:color="auto" w:fill="auto"/>
            <w:vAlign w:val="center"/>
          </w:tcPr>
          <w:p w14:paraId="3C969600">
            <w:pPr>
              <w:adjustRightInd w:val="0"/>
              <w:snapToGrid w:val="0"/>
              <w:jc w:val="center"/>
              <w:rPr>
                <w:sz w:val="18"/>
              </w:rPr>
            </w:pPr>
            <w:r>
              <w:rPr>
                <w:sz w:val="18"/>
              </w:rPr>
              <w:t>TC</w:t>
            </w:r>
          </w:p>
        </w:tc>
        <w:tc>
          <w:tcPr>
            <w:tcW w:w="846" w:type="pct"/>
            <w:vAlign w:val="center"/>
          </w:tcPr>
          <w:p w14:paraId="78055D88">
            <w:pPr>
              <w:adjustRightInd w:val="0"/>
              <w:snapToGrid w:val="0"/>
              <w:jc w:val="center"/>
              <w:rPr>
                <w:sz w:val="18"/>
              </w:rPr>
            </w:pPr>
            <w:r>
              <w:rPr>
                <w:sz w:val="18"/>
              </w:rPr>
              <w:t>30只/批*3批</w:t>
            </w:r>
          </w:p>
        </w:tc>
        <w:tc>
          <w:tcPr>
            <w:tcW w:w="1685" w:type="pct"/>
            <w:shd w:val="clear" w:color="auto" w:fill="auto"/>
            <w:vAlign w:val="center"/>
          </w:tcPr>
          <w:p w14:paraId="00E21AF4">
            <w:pPr>
              <w:jc w:val="left"/>
              <w:rPr>
                <w:sz w:val="18"/>
                <w:szCs w:val="18"/>
              </w:rPr>
            </w:pPr>
            <w:r>
              <w:rPr>
                <w:rFonts w:hint="eastAsia"/>
                <w:sz w:val="18"/>
                <w:szCs w:val="18"/>
              </w:rPr>
              <w:t>（1）温湿度条件（TC）</w:t>
            </w:r>
          </w:p>
          <w:p w14:paraId="7D30AF85">
            <w:pPr>
              <w:jc w:val="left"/>
              <w:rPr>
                <w:sz w:val="18"/>
                <w:szCs w:val="18"/>
              </w:rPr>
            </w:pPr>
            <w:r>
              <w:rPr>
                <w:rFonts w:hint="eastAsia"/>
                <w:sz w:val="18"/>
                <w:szCs w:val="18"/>
              </w:rPr>
              <w:t>1.1）</w:t>
            </w:r>
            <w:r>
              <w:rPr>
                <w:sz w:val="18"/>
                <w:szCs w:val="18"/>
              </w:rPr>
              <w:t>乘用车：</w:t>
            </w:r>
            <w:r>
              <w:rPr>
                <w:rFonts w:hint="eastAsia"/>
                <w:sz w:val="18"/>
                <w:szCs w:val="18"/>
              </w:rPr>
              <w:t>Ta</w:t>
            </w:r>
            <w:r>
              <w:rPr>
                <w:sz w:val="18"/>
                <w:szCs w:val="18"/>
              </w:rPr>
              <w:t>=-40~1</w:t>
            </w:r>
            <w:r>
              <w:rPr>
                <w:rFonts w:hint="eastAsia"/>
                <w:sz w:val="18"/>
                <w:szCs w:val="18"/>
              </w:rPr>
              <w:t>0</w:t>
            </w:r>
            <w:r>
              <w:rPr>
                <w:sz w:val="18"/>
                <w:szCs w:val="18"/>
              </w:rPr>
              <w:t>5℃，</w:t>
            </w:r>
            <w:r>
              <w:rPr>
                <w:rFonts w:hint="eastAsia"/>
                <w:sz w:val="18"/>
                <w:szCs w:val="18"/>
              </w:rPr>
              <w:t>Clc</w:t>
            </w:r>
            <w:r>
              <w:rPr>
                <w:sz w:val="18"/>
                <w:szCs w:val="18"/>
              </w:rPr>
              <w:t>=</w:t>
            </w:r>
            <w:r>
              <w:rPr>
                <w:rFonts w:hint="eastAsia"/>
                <w:sz w:val="18"/>
                <w:szCs w:val="18"/>
              </w:rPr>
              <w:t>1000</w:t>
            </w:r>
            <w:r>
              <w:rPr>
                <w:sz w:val="18"/>
                <w:szCs w:val="18"/>
              </w:rPr>
              <w:t>循环；</w:t>
            </w:r>
          </w:p>
          <w:p w14:paraId="4FCA79F4">
            <w:pPr>
              <w:jc w:val="left"/>
              <w:rPr>
                <w:sz w:val="18"/>
                <w:szCs w:val="18"/>
              </w:rPr>
            </w:pPr>
            <w:r>
              <w:rPr>
                <w:rFonts w:hint="eastAsia"/>
                <w:sz w:val="18"/>
                <w:szCs w:val="18"/>
              </w:rPr>
              <w:t>1.2）</w:t>
            </w:r>
            <w:r>
              <w:rPr>
                <w:sz w:val="18"/>
                <w:szCs w:val="18"/>
              </w:rPr>
              <w:t>商用车：</w:t>
            </w:r>
            <w:r>
              <w:rPr>
                <w:rFonts w:hint="eastAsia"/>
                <w:sz w:val="18"/>
                <w:szCs w:val="18"/>
              </w:rPr>
              <w:t>Ta</w:t>
            </w:r>
            <w:r>
              <w:rPr>
                <w:sz w:val="18"/>
                <w:szCs w:val="18"/>
              </w:rPr>
              <w:t>=-40~1</w:t>
            </w:r>
            <w:r>
              <w:rPr>
                <w:rFonts w:hint="eastAsia"/>
                <w:sz w:val="18"/>
                <w:szCs w:val="18"/>
              </w:rPr>
              <w:t>0</w:t>
            </w:r>
            <w:r>
              <w:rPr>
                <w:sz w:val="18"/>
                <w:szCs w:val="18"/>
              </w:rPr>
              <w:t>5℃，</w:t>
            </w:r>
            <w:r>
              <w:rPr>
                <w:rFonts w:hint="eastAsia"/>
                <w:sz w:val="18"/>
                <w:szCs w:val="18"/>
              </w:rPr>
              <w:t>Clc</w:t>
            </w:r>
            <w:r>
              <w:rPr>
                <w:sz w:val="18"/>
                <w:szCs w:val="18"/>
              </w:rPr>
              <w:t>=</w:t>
            </w:r>
            <w:r>
              <w:rPr>
                <w:rFonts w:hint="eastAsia"/>
                <w:sz w:val="18"/>
                <w:szCs w:val="18"/>
              </w:rPr>
              <w:t>1000</w:t>
            </w:r>
            <w:r>
              <w:rPr>
                <w:sz w:val="18"/>
                <w:szCs w:val="18"/>
              </w:rPr>
              <w:t>循环</w:t>
            </w:r>
            <w:r>
              <w:rPr>
                <w:rFonts w:hint="eastAsia"/>
                <w:sz w:val="18"/>
                <w:szCs w:val="18"/>
              </w:rPr>
              <w:t>。</w:t>
            </w:r>
          </w:p>
        </w:tc>
      </w:tr>
      <w:tr w14:paraId="6537507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405" w:type="pct"/>
            <w:vMerge w:val="continue"/>
            <w:shd w:val="clear" w:color="auto" w:fill="auto"/>
            <w:vAlign w:val="center"/>
          </w:tcPr>
          <w:p w14:paraId="38A1546D">
            <w:pPr>
              <w:adjustRightInd w:val="0"/>
              <w:snapToGrid w:val="0"/>
              <w:jc w:val="center"/>
              <w:rPr>
                <w:sz w:val="18"/>
              </w:rPr>
            </w:pPr>
          </w:p>
        </w:tc>
        <w:tc>
          <w:tcPr>
            <w:tcW w:w="299" w:type="pct"/>
            <w:shd w:val="clear" w:color="auto" w:fill="auto"/>
            <w:vAlign w:val="center"/>
          </w:tcPr>
          <w:p w14:paraId="2030B9E2">
            <w:pPr>
              <w:adjustRightInd w:val="0"/>
              <w:snapToGrid w:val="0"/>
              <w:jc w:val="center"/>
              <w:rPr>
                <w:sz w:val="18"/>
              </w:rPr>
            </w:pPr>
            <w:r>
              <w:rPr>
                <w:sz w:val="18"/>
              </w:rPr>
              <w:t>A5</w:t>
            </w:r>
          </w:p>
        </w:tc>
        <w:tc>
          <w:tcPr>
            <w:tcW w:w="959" w:type="pct"/>
            <w:shd w:val="clear" w:color="auto" w:fill="auto"/>
            <w:vAlign w:val="center"/>
          </w:tcPr>
          <w:p w14:paraId="0857D63E">
            <w:pPr>
              <w:adjustRightInd w:val="0"/>
              <w:snapToGrid w:val="0"/>
              <w:jc w:val="center"/>
              <w:rPr>
                <w:sz w:val="18"/>
              </w:rPr>
            </w:pPr>
            <w:r>
              <w:rPr>
                <w:sz w:val="18"/>
              </w:rPr>
              <w:t>功率温度循环</w:t>
            </w:r>
          </w:p>
        </w:tc>
        <w:tc>
          <w:tcPr>
            <w:tcW w:w="806" w:type="pct"/>
            <w:shd w:val="clear" w:color="auto" w:fill="auto"/>
            <w:vAlign w:val="center"/>
          </w:tcPr>
          <w:p w14:paraId="2CC2B269">
            <w:pPr>
              <w:adjustRightInd w:val="0"/>
              <w:snapToGrid w:val="0"/>
              <w:jc w:val="center"/>
              <w:rPr>
                <w:sz w:val="18"/>
              </w:rPr>
            </w:pPr>
            <w:r>
              <w:rPr>
                <w:sz w:val="18"/>
              </w:rPr>
              <w:t>PTC</w:t>
            </w:r>
          </w:p>
        </w:tc>
        <w:tc>
          <w:tcPr>
            <w:tcW w:w="846" w:type="pct"/>
            <w:vAlign w:val="center"/>
          </w:tcPr>
          <w:p w14:paraId="605136DE">
            <w:pPr>
              <w:adjustRightInd w:val="0"/>
              <w:snapToGrid w:val="0"/>
              <w:jc w:val="center"/>
              <w:rPr>
                <w:sz w:val="18"/>
              </w:rPr>
            </w:pPr>
            <w:r>
              <w:rPr>
                <w:sz w:val="18"/>
              </w:rPr>
              <w:t>30只/批*3批</w:t>
            </w:r>
          </w:p>
        </w:tc>
        <w:tc>
          <w:tcPr>
            <w:tcW w:w="1685" w:type="pct"/>
            <w:shd w:val="clear" w:color="auto" w:fill="auto"/>
            <w:vAlign w:val="center"/>
          </w:tcPr>
          <w:p w14:paraId="26B2CDA6">
            <w:pPr>
              <w:jc w:val="left"/>
              <w:rPr>
                <w:sz w:val="18"/>
                <w:szCs w:val="18"/>
              </w:rPr>
            </w:pPr>
            <w:r>
              <w:rPr>
                <w:rFonts w:hint="eastAsia"/>
                <w:sz w:val="18"/>
                <w:szCs w:val="18"/>
              </w:rPr>
              <w:t>（1）温湿度条件（PTC）</w:t>
            </w:r>
          </w:p>
          <w:p w14:paraId="34881B78">
            <w:pPr>
              <w:jc w:val="left"/>
              <w:rPr>
                <w:sz w:val="18"/>
                <w:szCs w:val="18"/>
              </w:rPr>
            </w:pPr>
            <w:r>
              <w:rPr>
                <w:rFonts w:hint="eastAsia"/>
                <w:sz w:val="18"/>
                <w:szCs w:val="18"/>
              </w:rPr>
              <w:t>1.1）</w:t>
            </w:r>
            <w:r>
              <w:rPr>
                <w:sz w:val="18"/>
                <w:szCs w:val="18"/>
              </w:rPr>
              <w:t>乘用车：Ta=-40~1</w:t>
            </w:r>
            <w:r>
              <w:rPr>
                <w:rFonts w:hint="eastAsia"/>
                <w:sz w:val="18"/>
                <w:szCs w:val="18"/>
              </w:rPr>
              <w:t>0</w:t>
            </w:r>
            <w:r>
              <w:rPr>
                <w:sz w:val="18"/>
                <w:szCs w:val="18"/>
              </w:rPr>
              <w:t>5℃，</w:t>
            </w:r>
            <w:r>
              <w:rPr>
                <w:rFonts w:hint="eastAsia"/>
                <w:sz w:val="18"/>
                <w:szCs w:val="18"/>
              </w:rPr>
              <w:t>Clc</w:t>
            </w:r>
            <w:r>
              <w:rPr>
                <w:sz w:val="18"/>
                <w:szCs w:val="18"/>
              </w:rPr>
              <w:t>=</w:t>
            </w:r>
            <w:r>
              <w:rPr>
                <w:rFonts w:hint="eastAsia"/>
                <w:sz w:val="18"/>
                <w:szCs w:val="18"/>
              </w:rPr>
              <w:t>4132</w:t>
            </w:r>
            <w:r>
              <w:rPr>
                <w:sz w:val="18"/>
                <w:szCs w:val="18"/>
              </w:rPr>
              <w:t>循环；</w:t>
            </w:r>
          </w:p>
          <w:p w14:paraId="64928CFA">
            <w:pPr>
              <w:jc w:val="left"/>
              <w:rPr>
                <w:sz w:val="18"/>
                <w:szCs w:val="18"/>
              </w:rPr>
            </w:pPr>
            <w:r>
              <w:rPr>
                <w:rFonts w:hint="eastAsia"/>
                <w:sz w:val="18"/>
                <w:szCs w:val="18"/>
              </w:rPr>
              <w:t>1.2）</w:t>
            </w:r>
            <w:r>
              <w:rPr>
                <w:sz w:val="18"/>
                <w:szCs w:val="18"/>
              </w:rPr>
              <w:t>商用车：Ta=-40~1</w:t>
            </w:r>
            <w:r>
              <w:rPr>
                <w:rFonts w:hint="eastAsia"/>
                <w:sz w:val="18"/>
                <w:szCs w:val="18"/>
              </w:rPr>
              <w:t>05</w:t>
            </w:r>
            <w:r>
              <w:rPr>
                <w:sz w:val="18"/>
                <w:szCs w:val="18"/>
              </w:rPr>
              <w:t>℃，</w:t>
            </w:r>
            <w:r>
              <w:rPr>
                <w:rFonts w:hint="eastAsia"/>
                <w:sz w:val="18"/>
                <w:szCs w:val="18"/>
              </w:rPr>
              <w:t>Clc</w:t>
            </w:r>
            <w:r>
              <w:rPr>
                <w:sz w:val="18"/>
                <w:szCs w:val="18"/>
              </w:rPr>
              <w:t>=</w:t>
            </w:r>
            <w:r>
              <w:rPr>
                <w:rFonts w:hint="eastAsia"/>
                <w:sz w:val="18"/>
                <w:szCs w:val="18"/>
              </w:rPr>
              <w:t>4958</w:t>
            </w:r>
            <w:r>
              <w:rPr>
                <w:sz w:val="18"/>
                <w:szCs w:val="18"/>
              </w:rPr>
              <w:t>循环</w:t>
            </w:r>
            <w:r>
              <w:rPr>
                <w:rFonts w:hint="eastAsia"/>
                <w:sz w:val="18"/>
                <w:szCs w:val="18"/>
              </w:rPr>
              <w:t>。</w:t>
            </w:r>
          </w:p>
        </w:tc>
      </w:tr>
      <w:tr w14:paraId="44E138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405" w:type="pct"/>
            <w:vMerge w:val="continue"/>
            <w:shd w:val="clear" w:color="auto" w:fill="auto"/>
            <w:vAlign w:val="center"/>
          </w:tcPr>
          <w:p w14:paraId="16172340">
            <w:pPr>
              <w:adjustRightInd w:val="0"/>
              <w:snapToGrid w:val="0"/>
              <w:jc w:val="center"/>
              <w:rPr>
                <w:sz w:val="18"/>
              </w:rPr>
            </w:pPr>
          </w:p>
        </w:tc>
        <w:tc>
          <w:tcPr>
            <w:tcW w:w="299" w:type="pct"/>
            <w:shd w:val="clear" w:color="auto" w:fill="auto"/>
            <w:vAlign w:val="center"/>
          </w:tcPr>
          <w:p w14:paraId="10B01A4E">
            <w:pPr>
              <w:adjustRightInd w:val="0"/>
              <w:snapToGrid w:val="0"/>
              <w:jc w:val="center"/>
              <w:rPr>
                <w:sz w:val="18"/>
              </w:rPr>
            </w:pPr>
            <w:r>
              <w:rPr>
                <w:sz w:val="18"/>
              </w:rPr>
              <w:t>A6</w:t>
            </w:r>
          </w:p>
        </w:tc>
        <w:tc>
          <w:tcPr>
            <w:tcW w:w="959" w:type="pct"/>
            <w:shd w:val="clear" w:color="auto" w:fill="auto"/>
            <w:vAlign w:val="center"/>
          </w:tcPr>
          <w:p w14:paraId="4EEDE3D3">
            <w:pPr>
              <w:adjustRightInd w:val="0"/>
              <w:snapToGrid w:val="0"/>
              <w:jc w:val="center"/>
              <w:rPr>
                <w:sz w:val="18"/>
              </w:rPr>
            </w:pPr>
            <w:r>
              <w:rPr>
                <w:sz w:val="18"/>
              </w:rPr>
              <w:t>高温贮存</w:t>
            </w:r>
          </w:p>
        </w:tc>
        <w:tc>
          <w:tcPr>
            <w:tcW w:w="806" w:type="pct"/>
            <w:shd w:val="clear" w:color="auto" w:fill="auto"/>
            <w:vAlign w:val="center"/>
          </w:tcPr>
          <w:p w14:paraId="1749E60E">
            <w:pPr>
              <w:adjustRightInd w:val="0"/>
              <w:snapToGrid w:val="0"/>
              <w:jc w:val="center"/>
              <w:rPr>
                <w:sz w:val="18"/>
              </w:rPr>
            </w:pPr>
            <w:r>
              <w:rPr>
                <w:sz w:val="18"/>
              </w:rPr>
              <w:t>HTSL</w:t>
            </w:r>
          </w:p>
        </w:tc>
        <w:tc>
          <w:tcPr>
            <w:tcW w:w="846" w:type="pct"/>
            <w:vAlign w:val="center"/>
          </w:tcPr>
          <w:p w14:paraId="130B7E95">
            <w:pPr>
              <w:adjustRightInd w:val="0"/>
              <w:snapToGrid w:val="0"/>
              <w:jc w:val="center"/>
              <w:rPr>
                <w:sz w:val="18"/>
              </w:rPr>
            </w:pPr>
            <w:r>
              <w:rPr>
                <w:sz w:val="18"/>
              </w:rPr>
              <w:t>30只/批*3批</w:t>
            </w:r>
          </w:p>
        </w:tc>
        <w:tc>
          <w:tcPr>
            <w:tcW w:w="1685" w:type="pct"/>
            <w:shd w:val="clear" w:color="auto" w:fill="auto"/>
            <w:vAlign w:val="center"/>
          </w:tcPr>
          <w:p w14:paraId="3B03DF83">
            <w:pPr>
              <w:rPr>
                <w:sz w:val="18"/>
                <w:szCs w:val="18"/>
              </w:rPr>
            </w:pPr>
            <w:r>
              <w:rPr>
                <w:rFonts w:hint="eastAsia"/>
                <w:sz w:val="18"/>
                <w:szCs w:val="18"/>
              </w:rPr>
              <w:t>（1）温湿度条件（HTSL）</w:t>
            </w:r>
          </w:p>
          <w:p w14:paraId="1EA28613">
            <w:pPr>
              <w:rPr>
                <w:sz w:val="18"/>
                <w:szCs w:val="18"/>
              </w:rPr>
            </w:pPr>
            <w:r>
              <w:rPr>
                <w:rFonts w:hint="eastAsia"/>
                <w:sz w:val="18"/>
                <w:szCs w:val="18"/>
              </w:rPr>
              <w:t>1.1）</w:t>
            </w:r>
            <w:r>
              <w:rPr>
                <w:sz w:val="18"/>
                <w:szCs w:val="18"/>
              </w:rPr>
              <w:t>乘用车：Ta =105℃，</w:t>
            </w:r>
            <w:r>
              <w:rPr>
                <w:rFonts w:hint="eastAsia"/>
                <w:sz w:val="18"/>
                <w:szCs w:val="18"/>
              </w:rPr>
              <w:t>t</w:t>
            </w:r>
            <w:r>
              <w:rPr>
                <w:sz w:val="18"/>
                <w:szCs w:val="18"/>
              </w:rPr>
              <w:t>=1000h</w:t>
            </w:r>
            <w:r>
              <w:rPr>
                <w:rFonts w:hint="eastAsia"/>
                <w:sz w:val="18"/>
                <w:szCs w:val="18"/>
              </w:rPr>
              <w:t>；</w:t>
            </w:r>
          </w:p>
          <w:p w14:paraId="5BFE4671">
            <w:pPr>
              <w:rPr>
                <w:sz w:val="18"/>
                <w:szCs w:val="18"/>
              </w:rPr>
            </w:pPr>
            <w:r>
              <w:rPr>
                <w:rFonts w:hint="eastAsia"/>
                <w:sz w:val="18"/>
                <w:szCs w:val="18"/>
              </w:rPr>
              <w:t>1.2）</w:t>
            </w:r>
            <w:r>
              <w:rPr>
                <w:sz w:val="18"/>
                <w:szCs w:val="18"/>
              </w:rPr>
              <w:t>乘用车：Ta =105℃，</w:t>
            </w:r>
            <w:r>
              <w:rPr>
                <w:rFonts w:hint="eastAsia"/>
                <w:sz w:val="18"/>
                <w:szCs w:val="18"/>
              </w:rPr>
              <w:t>t</w:t>
            </w:r>
            <w:r>
              <w:rPr>
                <w:sz w:val="18"/>
                <w:szCs w:val="18"/>
              </w:rPr>
              <w:t>=1000h</w:t>
            </w:r>
            <w:r>
              <w:rPr>
                <w:rFonts w:hint="eastAsia"/>
                <w:sz w:val="18"/>
                <w:szCs w:val="18"/>
              </w:rPr>
              <w:t>。</w:t>
            </w:r>
          </w:p>
        </w:tc>
      </w:tr>
      <w:tr w14:paraId="6AB2CA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405" w:type="pct"/>
            <w:shd w:val="clear" w:color="auto" w:fill="auto"/>
            <w:vAlign w:val="center"/>
          </w:tcPr>
          <w:p w14:paraId="0F31986F">
            <w:pPr>
              <w:adjustRightInd w:val="0"/>
              <w:snapToGrid w:val="0"/>
              <w:jc w:val="center"/>
              <w:rPr>
                <w:sz w:val="18"/>
              </w:rPr>
            </w:pPr>
            <w:r>
              <w:rPr>
                <w:sz w:val="18"/>
              </w:rPr>
              <w:t>B组：加速寿命试验</w:t>
            </w:r>
          </w:p>
        </w:tc>
        <w:tc>
          <w:tcPr>
            <w:tcW w:w="299" w:type="pct"/>
            <w:shd w:val="clear" w:color="auto" w:fill="auto"/>
            <w:vAlign w:val="center"/>
          </w:tcPr>
          <w:p w14:paraId="7CB19823">
            <w:pPr>
              <w:adjustRightInd w:val="0"/>
              <w:snapToGrid w:val="0"/>
              <w:jc w:val="center"/>
              <w:rPr>
                <w:sz w:val="18"/>
              </w:rPr>
            </w:pPr>
            <w:r>
              <w:rPr>
                <w:sz w:val="18"/>
              </w:rPr>
              <w:t>B1</w:t>
            </w:r>
          </w:p>
        </w:tc>
        <w:tc>
          <w:tcPr>
            <w:tcW w:w="959" w:type="pct"/>
            <w:shd w:val="clear" w:color="auto" w:fill="auto"/>
            <w:vAlign w:val="center"/>
          </w:tcPr>
          <w:p w14:paraId="4426714C">
            <w:pPr>
              <w:adjustRightInd w:val="0"/>
              <w:snapToGrid w:val="0"/>
              <w:jc w:val="center"/>
              <w:rPr>
                <w:sz w:val="18"/>
              </w:rPr>
            </w:pPr>
            <w:r>
              <w:rPr>
                <w:sz w:val="18"/>
              </w:rPr>
              <w:t>高温工作寿命</w:t>
            </w:r>
          </w:p>
        </w:tc>
        <w:tc>
          <w:tcPr>
            <w:tcW w:w="806" w:type="pct"/>
            <w:shd w:val="clear" w:color="auto" w:fill="auto"/>
            <w:vAlign w:val="center"/>
          </w:tcPr>
          <w:p w14:paraId="11D550BF">
            <w:pPr>
              <w:adjustRightInd w:val="0"/>
              <w:snapToGrid w:val="0"/>
              <w:jc w:val="center"/>
              <w:rPr>
                <w:sz w:val="18"/>
              </w:rPr>
            </w:pPr>
            <w:r>
              <w:rPr>
                <w:sz w:val="18"/>
              </w:rPr>
              <w:t>HTOL</w:t>
            </w:r>
          </w:p>
        </w:tc>
        <w:tc>
          <w:tcPr>
            <w:tcW w:w="846" w:type="pct"/>
            <w:vAlign w:val="center"/>
          </w:tcPr>
          <w:p w14:paraId="482AA6FB">
            <w:pPr>
              <w:adjustRightInd w:val="0"/>
              <w:snapToGrid w:val="0"/>
              <w:jc w:val="center"/>
              <w:rPr>
                <w:sz w:val="18"/>
              </w:rPr>
            </w:pPr>
            <w:r>
              <w:rPr>
                <w:sz w:val="18"/>
              </w:rPr>
              <w:t>30只/批*3批</w:t>
            </w:r>
          </w:p>
        </w:tc>
        <w:tc>
          <w:tcPr>
            <w:tcW w:w="1685" w:type="pct"/>
            <w:shd w:val="clear" w:color="auto" w:fill="auto"/>
            <w:vAlign w:val="center"/>
          </w:tcPr>
          <w:p w14:paraId="2754D8E1">
            <w:pPr>
              <w:rPr>
                <w:sz w:val="18"/>
                <w:szCs w:val="18"/>
              </w:rPr>
            </w:pPr>
            <w:r>
              <w:rPr>
                <w:rFonts w:hint="eastAsia"/>
                <w:sz w:val="18"/>
                <w:szCs w:val="18"/>
              </w:rPr>
              <w:t>（1）温湿度条件（HTOL）</w:t>
            </w:r>
          </w:p>
          <w:p w14:paraId="7D110694">
            <w:pPr>
              <w:rPr>
                <w:sz w:val="18"/>
                <w:szCs w:val="18"/>
              </w:rPr>
            </w:pPr>
            <w:r>
              <w:rPr>
                <w:rFonts w:hint="eastAsia"/>
                <w:sz w:val="18"/>
                <w:szCs w:val="18"/>
              </w:rPr>
              <w:t>1.1）</w:t>
            </w:r>
            <w:r>
              <w:rPr>
                <w:sz w:val="18"/>
                <w:szCs w:val="18"/>
              </w:rPr>
              <w:t>乘用车：Ta =105℃，</w:t>
            </w:r>
            <w:r>
              <w:rPr>
                <w:rFonts w:hint="eastAsia"/>
                <w:sz w:val="18"/>
                <w:szCs w:val="18"/>
              </w:rPr>
              <w:t>t</w:t>
            </w:r>
            <w:r>
              <w:rPr>
                <w:sz w:val="18"/>
                <w:szCs w:val="18"/>
              </w:rPr>
              <w:t>=1000h</w:t>
            </w:r>
            <w:r>
              <w:rPr>
                <w:rFonts w:hint="eastAsia"/>
                <w:sz w:val="18"/>
                <w:szCs w:val="18"/>
              </w:rPr>
              <w:t>；</w:t>
            </w:r>
          </w:p>
          <w:p w14:paraId="1136499D">
            <w:pPr>
              <w:rPr>
                <w:sz w:val="18"/>
              </w:rPr>
            </w:pPr>
            <w:r>
              <w:rPr>
                <w:rFonts w:hint="eastAsia"/>
                <w:sz w:val="18"/>
                <w:szCs w:val="18"/>
              </w:rPr>
              <w:t>1.2）</w:t>
            </w:r>
            <w:r>
              <w:rPr>
                <w:sz w:val="18"/>
                <w:szCs w:val="18"/>
              </w:rPr>
              <w:t>乘用车：Ta =105℃，</w:t>
            </w:r>
            <w:r>
              <w:rPr>
                <w:rFonts w:hint="eastAsia"/>
                <w:sz w:val="18"/>
                <w:szCs w:val="18"/>
              </w:rPr>
              <w:t>t</w:t>
            </w:r>
            <w:r>
              <w:rPr>
                <w:sz w:val="18"/>
                <w:szCs w:val="18"/>
              </w:rPr>
              <w:t>=1000h</w:t>
            </w:r>
            <w:r>
              <w:rPr>
                <w:rFonts w:hint="eastAsia"/>
                <w:sz w:val="18"/>
                <w:szCs w:val="18"/>
              </w:rPr>
              <w:t>。</w:t>
            </w:r>
          </w:p>
        </w:tc>
      </w:tr>
    </w:tbl>
    <w:p w14:paraId="6813431F">
      <w:pPr>
        <w:pStyle w:val="24"/>
        <w:spacing w:before="156" w:beforeLines="50" w:after="156" w:afterLines="50"/>
        <w:ind w:firstLine="0" w:firstLineChars="0"/>
        <w:jc w:val="center"/>
        <w:rPr>
          <w:rFonts w:ascii="Times New Roman"/>
        </w:rPr>
      </w:pPr>
      <w:r>
        <w:rPr>
          <w:rFonts w:ascii="Times New Roman" w:eastAsia="黑体"/>
        </w:rPr>
        <w:t xml:space="preserve">表 </w:t>
      </w:r>
      <w:r>
        <w:rPr>
          <w:rFonts w:ascii="Times New Roman" w:eastAsia="黑体"/>
        </w:rPr>
        <w:fldChar w:fldCharType="begin" w:fldLock="1"/>
      </w:r>
      <w:r>
        <w:rPr>
          <w:rFonts w:ascii="Times New Roman" w:eastAsia="黑体"/>
        </w:rPr>
        <w:instrText xml:space="preserve"> SEQ 表 \* ARABIC </w:instrText>
      </w:r>
      <w:r>
        <w:rPr>
          <w:rFonts w:ascii="Times New Roman" w:eastAsia="黑体"/>
        </w:rPr>
        <w:fldChar w:fldCharType="separate"/>
      </w:r>
      <w:r>
        <w:rPr>
          <w:rFonts w:ascii="Times New Roman" w:eastAsia="黑体"/>
        </w:rPr>
        <w:t>10</w:t>
      </w:r>
      <w:r>
        <w:rPr>
          <w:rFonts w:ascii="Times New Roman" w:eastAsia="黑体"/>
        </w:rPr>
        <w:fldChar w:fldCharType="end"/>
      </w:r>
      <w:bookmarkEnd w:id="68"/>
      <w:r>
        <w:rPr>
          <w:rFonts w:ascii="Times New Roman" w:eastAsia="黑体"/>
        </w:rPr>
        <w:t xml:space="preserve"> </w:t>
      </w:r>
      <w:r>
        <w:rPr>
          <w:rFonts w:hint="eastAsia" w:ascii="Times New Roman" w:eastAsia="黑体"/>
        </w:rPr>
        <w:t>汽车多芯片组件</w:t>
      </w:r>
      <w:r>
        <w:rPr>
          <w:rFonts w:ascii="Times New Roman" w:eastAsia="黑体"/>
        </w:rPr>
        <w:t>4级</w:t>
      </w:r>
      <w:r>
        <w:rPr>
          <w:rFonts w:hint="eastAsia" w:ascii="Times New Roman" w:eastAsia="黑体"/>
        </w:rPr>
        <w:t>可靠性检测要求</w:t>
      </w:r>
    </w:p>
    <w:tbl>
      <w:tblPr>
        <w:tblStyle w:val="33"/>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754"/>
        <w:gridCol w:w="570"/>
        <w:gridCol w:w="1472"/>
        <w:gridCol w:w="1533"/>
        <w:gridCol w:w="1874"/>
        <w:gridCol w:w="3368"/>
      </w:tblGrid>
      <w:tr w14:paraId="52DE51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394" w:type="pct"/>
            <w:tcBorders>
              <w:top w:val="single" w:color="000000" w:sz="12" w:space="0"/>
              <w:bottom w:val="single" w:color="000000" w:sz="12" w:space="0"/>
            </w:tcBorders>
            <w:shd w:val="clear" w:color="auto" w:fill="auto"/>
            <w:vAlign w:val="center"/>
          </w:tcPr>
          <w:p w14:paraId="4602D98C">
            <w:pPr>
              <w:widowControl/>
              <w:autoSpaceDE w:val="0"/>
              <w:autoSpaceDN w:val="0"/>
              <w:adjustRightInd w:val="0"/>
              <w:snapToGrid w:val="0"/>
              <w:spacing w:before="156" w:beforeLines="50" w:after="156" w:afterLines="50"/>
              <w:jc w:val="center"/>
              <w:rPr>
                <w:b/>
                <w:bCs/>
                <w:sz w:val="18"/>
              </w:rPr>
            </w:pPr>
            <w:r>
              <w:rPr>
                <w:b/>
                <w:bCs/>
                <w:sz w:val="18"/>
              </w:rPr>
              <w:t>组别</w:t>
            </w:r>
          </w:p>
        </w:tc>
        <w:tc>
          <w:tcPr>
            <w:tcW w:w="298" w:type="pct"/>
            <w:tcBorders>
              <w:top w:val="single" w:color="000000" w:sz="12" w:space="0"/>
              <w:bottom w:val="single" w:color="000000" w:sz="12" w:space="0"/>
            </w:tcBorders>
            <w:shd w:val="clear" w:color="auto" w:fill="auto"/>
            <w:vAlign w:val="center"/>
          </w:tcPr>
          <w:p w14:paraId="7660AF2A">
            <w:pPr>
              <w:widowControl/>
              <w:autoSpaceDE w:val="0"/>
              <w:autoSpaceDN w:val="0"/>
              <w:adjustRightInd w:val="0"/>
              <w:snapToGrid w:val="0"/>
              <w:spacing w:before="156" w:beforeLines="50" w:after="156" w:afterLines="50"/>
              <w:jc w:val="center"/>
              <w:rPr>
                <w:b/>
                <w:bCs/>
                <w:sz w:val="18"/>
              </w:rPr>
            </w:pPr>
            <w:r>
              <w:rPr>
                <w:b/>
                <w:bCs/>
                <w:sz w:val="18"/>
              </w:rPr>
              <w:t>序号</w:t>
            </w:r>
          </w:p>
        </w:tc>
        <w:tc>
          <w:tcPr>
            <w:tcW w:w="769" w:type="pct"/>
            <w:tcBorders>
              <w:top w:val="single" w:color="000000" w:sz="12" w:space="0"/>
              <w:bottom w:val="single" w:color="000000" w:sz="12" w:space="0"/>
            </w:tcBorders>
            <w:shd w:val="clear" w:color="auto" w:fill="auto"/>
            <w:vAlign w:val="center"/>
          </w:tcPr>
          <w:p w14:paraId="762CE041">
            <w:pPr>
              <w:widowControl/>
              <w:autoSpaceDE w:val="0"/>
              <w:autoSpaceDN w:val="0"/>
              <w:adjustRightInd w:val="0"/>
              <w:snapToGrid w:val="0"/>
              <w:spacing w:before="156" w:beforeLines="50" w:after="156" w:afterLines="50"/>
              <w:jc w:val="center"/>
              <w:rPr>
                <w:b/>
                <w:bCs/>
                <w:sz w:val="18"/>
              </w:rPr>
            </w:pPr>
            <w:r>
              <w:rPr>
                <w:b/>
                <w:bCs/>
                <w:sz w:val="18"/>
              </w:rPr>
              <w:t>试验项目</w:t>
            </w:r>
          </w:p>
        </w:tc>
        <w:tc>
          <w:tcPr>
            <w:tcW w:w="801" w:type="pct"/>
            <w:tcBorders>
              <w:top w:val="single" w:color="000000" w:sz="12" w:space="0"/>
              <w:bottom w:val="single" w:color="000000" w:sz="12" w:space="0"/>
            </w:tcBorders>
            <w:shd w:val="clear" w:color="auto" w:fill="auto"/>
            <w:vAlign w:val="center"/>
          </w:tcPr>
          <w:p w14:paraId="32A42383">
            <w:pPr>
              <w:widowControl/>
              <w:autoSpaceDE w:val="0"/>
              <w:autoSpaceDN w:val="0"/>
              <w:adjustRightInd w:val="0"/>
              <w:snapToGrid w:val="0"/>
              <w:spacing w:before="156" w:beforeLines="50" w:after="156" w:afterLines="50"/>
              <w:jc w:val="center"/>
              <w:rPr>
                <w:b/>
                <w:bCs/>
                <w:sz w:val="18"/>
              </w:rPr>
            </w:pPr>
            <w:r>
              <w:rPr>
                <w:b/>
                <w:bCs/>
                <w:sz w:val="18"/>
              </w:rPr>
              <w:t>简称</w:t>
            </w:r>
          </w:p>
        </w:tc>
        <w:tc>
          <w:tcPr>
            <w:tcW w:w="979" w:type="pct"/>
            <w:tcBorders>
              <w:top w:val="single" w:color="000000" w:sz="12" w:space="0"/>
              <w:bottom w:val="single" w:color="000000" w:sz="12" w:space="0"/>
            </w:tcBorders>
            <w:vAlign w:val="center"/>
          </w:tcPr>
          <w:p w14:paraId="5DF322D8">
            <w:pPr>
              <w:widowControl/>
              <w:autoSpaceDE w:val="0"/>
              <w:autoSpaceDN w:val="0"/>
              <w:adjustRightInd w:val="0"/>
              <w:snapToGrid w:val="0"/>
              <w:spacing w:before="156" w:beforeLines="50" w:after="156" w:afterLines="50"/>
              <w:jc w:val="center"/>
              <w:rPr>
                <w:b/>
                <w:bCs/>
                <w:sz w:val="18"/>
              </w:rPr>
            </w:pPr>
            <w:r>
              <w:rPr>
                <w:b/>
                <w:bCs/>
                <w:sz w:val="18"/>
              </w:rPr>
              <w:t>试验样品数量</w:t>
            </w:r>
            <w:r>
              <w:rPr>
                <w:rFonts w:hint="eastAsia"/>
                <w:sz w:val="24"/>
                <w:vertAlign w:val="superscript"/>
              </w:rPr>
              <w:t>e</w:t>
            </w:r>
            <w:r>
              <w:rPr>
                <w:sz w:val="24"/>
                <w:vertAlign w:val="superscript"/>
              </w:rPr>
              <w:t>*</w:t>
            </w:r>
          </w:p>
        </w:tc>
        <w:tc>
          <w:tcPr>
            <w:tcW w:w="1759" w:type="pct"/>
            <w:tcBorders>
              <w:top w:val="single" w:color="000000" w:sz="12" w:space="0"/>
              <w:bottom w:val="single" w:color="000000" w:sz="12" w:space="0"/>
            </w:tcBorders>
            <w:shd w:val="clear" w:color="auto" w:fill="auto"/>
            <w:vAlign w:val="center"/>
          </w:tcPr>
          <w:p w14:paraId="538C9288">
            <w:pPr>
              <w:widowControl/>
              <w:autoSpaceDE w:val="0"/>
              <w:autoSpaceDN w:val="0"/>
              <w:adjustRightInd w:val="0"/>
              <w:snapToGrid w:val="0"/>
              <w:spacing w:before="156" w:beforeLines="50" w:after="156" w:afterLines="50"/>
              <w:jc w:val="center"/>
              <w:rPr>
                <w:b/>
                <w:bCs/>
                <w:sz w:val="18"/>
              </w:rPr>
            </w:pPr>
            <w:r>
              <w:rPr>
                <w:b/>
                <w:bCs/>
                <w:sz w:val="18"/>
              </w:rPr>
              <w:t>试验条件</w:t>
            </w:r>
          </w:p>
        </w:tc>
      </w:tr>
      <w:tr w14:paraId="34AC5D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394" w:type="pct"/>
            <w:vMerge w:val="restart"/>
            <w:tcBorders>
              <w:top w:val="single" w:color="000000" w:sz="12" w:space="0"/>
            </w:tcBorders>
            <w:shd w:val="clear" w:color="auto" w:fill="auto"/>
            <w:vAlign w:val="center"/>
          </w:tcPr>
          <w:p w14:paraId="35FBFD93">
            <w:pPr>
              <w:adjustRightInd w:val="0"/>
              <w:snapToGrid w:val="0"/>
              <w:jc w:val="center"/>
              <w:rPr>
                <w:sz w:val="18"/>
              </w:rPr>
            </w:pPr>
            <w:r>
              <w:rPr>
                <w:sz w:val="18"/>
              </w:rPr>
              <w:t>A组：加速环境应力试验</w:t>
            </w:r>
            <w:r>
              <w:rPr>
                <w:rFonts w:hint="eastAsia"/>
                <w:sz w:val="24"/>
                <w:vertAlign w:val="superscript"/>
              </w:rPr>
              <w:t>a</w:t>
            </w:r>
            <w:r>
              <w:rPr>
                <w:sz w:val="24"/>
                <w:vertAlign w:val="superscript"/>
              </w:rPr>
              <w:t>*</w:t>
            </w:r>
            <w:r>
              <w:rPr>
                <w:rFonts w:hint="eastAsia"/>
                <w:sz w:val="24"/>
                <w:vertAlign w:val="superscript"/>
              </w:rPr>
              <w:t xml:space="preserve"> d</w:t>
            </w:r>
            <w:r>
              <w:rPr>
                <w:sz w:val="24"/>
                <w:vertAlign w:val="superscript"/>
              </w:rPr>
              <w:t>*</w:t>
            </w:r>
          </w:p>
        </w:tc>
        <w:tc>
          <w:tcPr>
            <w:tcW w:w="298" w:type="pct"/>
            <w:tcBorders>
              <w:top w:val="single" w:color="000000" w:sz="12" w:space="0"/>
            </w:tcBorders>
            <w:shd w:val="clear" w:color="auto" w:fill="auto"/>
            <w:vAlign w:val="center"/>
          </w:tcPr>
          <w:p w14:paraId="1F3BBFC1">
            <w:pPr>
              <w:adjustRightInd w:val="0"/>
              <w:snapToGrid w:val="0"/>
              <w:jc w:val="center"/>
              <w:rPr>
                <w:sz w:val="18"/>
              </w:rPr>
            </w:pPr>
            <w:r>
              <w:rPr>
                <w:sz w:val="18"/>
              </w:rPr>
              <w:t>A2</w:t>
            </w:r>
          </w:p>
        </w:tc>
        <w:tc>
          <w:tcPr>
            <w:tcW w:w="769" w:type="pct"/>
            <w:tcBorders>
              <w:top w:val="single" w:color="000000" w:sz="12" w:space="0"/>
            </w:tcBorders>
            <w:shd w:val="clear" w:color="auto" w:fill="auto"/>
            <w:vAlign w:val="center"/>
          </w:tcPr>
          <w:p w14:paraId="5238104D">
            <w:pPr>
              <w:adjustRightInd w:val="0"/>
              <w:snapToGrid w:val="0"/>
              <w:jc w:val="center"/>
              <w:rPr>
                <w:sz w:val="18"/>
              </w:rPr>
            </w:pPr>
            <w:r>
              <w:rPr>
                <w:sz w:val="18"/>
              </w:rPr>
              <w:t>带电偏置湿热试验或带电偏置强加速稳态湿热试验</w:t>
            </w:r>
            <w:r>
              <w:rPr>
                <w:kern w:val="0"/>
                <w:szCs w:val="18"/>
                <w:vertAlign w:val="superscript"/>
              </w:rPr>
              <w:t>b*</w:t>
            </w:r>
          </w:p>
        </w:tc>
        <w:tc>
          <w:tcPr>
            <w:tcW w:w="801" w:type="pct"/>
            <w:tcBorders>
              <w:top w:val="single" w:color="000000" w:sz="12" w:space="0"/>
            </w:tcBorders>
            <w:shd w:val="clear" w:color="auto" w:fill="auto"/>
            <w:vAlign w:val="center"/>
          </w:tcPr>
          <w:p w14:paraId="4BD634DC">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TH</w:t>
            </w:r>
          </w:p>
          <w:p w14:paraId="73B6C26C">
            <w:pPr>
              <w:adjustRightInd w:val="0"/>
              <w:snapToGrid w:val="0"/>
              <w:jc w:val="center"/>
              <w:rPr>
                <w:sz w:val="18"/>
                <w:szCs w:val="18"/>
              </w:rPr>
            </w:pPr>
            <w:r>
              <w:rPr>
                <w:color w:val="000000" w:themeColor="text1"/>
                <w:sz w:val="18"/>
                <w:szCs w:val="18"/>
                <w14:textFill>
                  <w14:solidFill>
                    <w14:schemeClr w14:val="tx1"/>
                  </w14:solidFill>
                </w14:textFill>
              </w:rPr>
              <w:t>/HAST</w:t>
            </w:r>
          </w:p>
        </w:tc>
        <w:tc>
          <w:tcPr>
            <w:tcW w:w="979" w:type="pct"/>
            <w:tcBorders>
              <w:top w:val="single" w:color="000000" w:sz="12" w:space="0"/>
            </w:tcBorders>
            <w:vAlign w:val="center"/>
          </w:tcPr>
          <w:p w14:paraId="4C732193">
            <w:pPr>
              <w:adjustRightInd w:val="0"/>
              <w:snapToGrid w:val="0"/>
              <w:jc w:val="center"/>
              <w:rPr>
                <w:b/>
                <w:bCs/>
                <w:sz w:val="18"/>
              </w:rPr>
            </w:pPr>
            <w:r>
              <w:rPr>
                <w:sz w:val="18"/>
              </w:rPr>
              <w:t>30只/批*3批</w:t>
            </w:r>
          </w:p>
        </w:tc>
        <w:tc>
          <w:tcPr>
            <w:tcW w:w="1759" w:type="pct"/>
            <w:tcBorders>
              <w:top w:val="single" w:color="000000" w:sz="12" w:space="0"/>
            </w:tcBorders>
            <w:shd w:val="clear" w:color="auto" w:fill="auto"/>
            <w:vAlign w:val="center"/>
          </w:tcPr>
          <w:p w14:paraId="77DBF28B">
            <w:pPr>
              <w:jc w:val="left"/>
              <w:rPr>
                <w:sz w:val="18"/>
                <w:szCs w:val="18"/>
              </w:rPr>
            </w:pPr>
            <w:r>
              <w:rPr>
                <w:rFonts w:hint="eastAsia"/>
                <w:sz w:val="18"/>
                <w:szCs w:val="18"/>
              </w:rPr>
              <w:t>（1）温湿度条件（</w:t>
            </w:r>
            <w:r>
              <w:rPr>
                <w:sz w:val="18"/>
                <w:szCs w:val="18"/>
              </w:rPr>
              <w:t>HAST）</w:t>
            </w:r>
          </w:p>
          <w:p w14:paraId="4BF4BF26">
            <w:pPr>
              <w:jc w:val="left"/>
              <w:rPr>
                <w:sz w:val="18"/>
                <w:szCs w:val="18"/>
              </w:rPr>
            </w:pPr>
            <w:r>
              <w:rPr>
                <w:rFonts w:hint="eastAsia"/>
                <w:sz w:val="18"/>
                <w:szCs w:val="18"/>
              </w:rPr>
              <w:t>1.1）</w:t>
            </w:r>
            <w:r>
              <w:rPr>
                <w:sz w:val="18"/>
                <w:szCs w:val="18"/>
              </w:rPr>
              <w:t>乘用车：</w:t>
            </w:r>
            <w:r>
              <w:rPr>
                <w:rFonts w:hint="eastAsia"/>
                <w:sz w:val="18"/>
                <w:szCs w:val="18"/>
              </w:rPr>
              <w:t>Ta</w:t>
            </w:r>
            <w:r>
              <w:rPr>
                <w:sz w:val="18"/>
                <w:szCs w:val="18"/>
              </w:rPr>
              <w:t>=130℃、</w:t>
            </w:r>
            <w:r>
              <w:rPr>
                <w:rFonts w:hint="eastAsia"/>
                <w:sz w:val="18"/>
                <w:szCs w:val="18"/>
              </w:rPr>
              <w:t>RH</w:t>
            </w:r>
            <w:r>
              <w:rPr>
                <w:sz w:val="18"/>
                <w:szCs w:val="18"/>
              </w:rPr>
              <w:t>=85%，</w:t>
            </w:r>
            <w:r>
              <w:rPr>
                <w:rFonts w:hint="eastAsia"/>
                <w:sz w:val="18"/>
                <w:szCs w:val="18"/>
              </w:rPr>
              <w:t>t</w:t>
            </w:r>
            <w:r>
              <w:rPr>
                <w:sz w:val="18"/>
                <w:szCs w:val="18"/>
              </w:rPr>
              <w:t>=</w:t>
            </w:r>
            <w:r>
              <w:rPr>
                <w:rFonts w:hint="eastAsia"/>
                <w:sz w:val="18"/>
                <w:szCs w:val="18"/>
              </w:rPr>
              <w:t>36</w:t>
            </w:r>
            <w:r>
              <w:rPr>
                <w:sz w:val="18"/>
                <w:szCs w:val="18"/>
              </w:rPr>
              <w:t xml:space="preserve">h；  </w:t>
            </w:r>
          </w:p>
          <w:p w14:paraId="0755EA00">
            <w:pPr>
              <w:jc w:val="left"/>
              <w:rPr>
                <w:sz w:val="18"/>
                <w:szCs w:val="18"/>
              </w:rPr>
            </w:pPr>
            <w:r>
              <w:rPr>
                <w:rFonts w:hint="eastAsia"/>
                <w:sz w:val="18"/>
                <w:szCs w:val="18"/>
              </w:rPr>
              <w:t>1.2）</w:t>
            </w:r>
            <w:r>
              <w:rPr>
                <w:sz w:val="18"/>
                <w:szCs w:val="18"/>
              </w:rPr>
              <w:t>商用车：</w:t>
            </w:r>
            <w:r>
              <w:rPr>
                <w:rFonts w:hint="eastAsia"/>
                <w:sz w:val="18"/>
                <w:szCs w:val="18"/>
              </w:rPr>
              <w:t>Ta</w:t>
            </w:r>
            <w:r>
              <w:rPr>
                <w:sz w:val="18"/>
                <w:szCs w:val="18"/>
              </w:rPr>
              <w:t>=130℃、</w:t>
            </w:r>
            <w:r>
              <w:rPr>
                <w:rFonts w:hint="eastAsia"/>
                <w:sz w:val="18"/>
                <w:szCs w:val="18"/>
              </w:rPr>
              <w:t>RH</w:t>
            </w:r>
            <w:r>
              <w:rPr>
                <w:sz w:val="18"/>
                <w:szCs w:val="18"/>
              </w:rPr>
              <w:t>=85%，</w:t>
            </w:r>
            <w:r>
              <w:rPr>
                <w:rFonts w:hint="eastAsia"/>
                <w:sz w:val="18"/>
                <w:szCs w:val="18"/>
              </w:rPr>
              <w:t>t</w:t>
            </w:r>
            <w:r>
              <w:rPr>
                <w:sz w:val="18"/>
                <w:szCs w:val="18"/>
              </w:rPr>
              <w:t>=</w:t>
            </w:r>
            <w:r>
              <w:rPr>
                <w:rFonts w:hint="eastAsia"/>
                <w:sz w:val="18"/>
                <w:szCs w:val="18"/>
              </w:rPr>
              <w:t>28</w:t>
            </w:r>
            <w:r>
              <w:rPr>
                <w:sz w:val="18"/>
                <w:szCs w:val="18"/>
              </w:rPr>
              <w:t>h</w:t>
            </w:r>
            <w:r>
              <w:rPr>
                <w:rFonts w:hint="eastAsia"/>
                <w:sz w:val="18"/>
                <w:szCs w:val="18"/>
              </w:rPr>
              <w:t>。</w:t>
            </w:r>
          </w:p>
          <w:p w14:paraId="05FEC9A3">
            <w:pPr>
              <w:jc w:val="left"/>
              <w:rPr>
                <w:sz w:val="18"/>
                <w:szCs w:val="18"/>
              </w:rPr>
            </w:pPr>
            <w:r>
              <w:rPr>
                <w:sz w:val="18"/>
                <w:szCs w:val="18"/>
              </w:rPr>
              <w:t>（2）</w:t>
            </w:r>
            <w:r>
              <w:rPr>
                <w:rFonts w:hint="eastAsia"/>
                <w:sz w:val="18"/>
                <w:szCs w:val="18"/>
              </w:rPr>
              <w:t>温湿度条件（</w:t>
            </w:r>
            <w:r>
              <w:rPr>
                <w:sz w:val="18"/>
                <w:szCs w:val="18"/>
              </w:rPr>
              <w:t>THB</w:t>
            </w:r>
            <w:r>
              <w:rPr>
                <w:rFonts w:hint="eastAsia"/>
                <w:sz w:val="18"/>
                <w:szCs w:val="18"/>
              </w:rPr>
              <w:t>）</w:t>
            </w:r>
          </w:p>
          <w:p w14:paraId="1A8A1835">
            <w:pPr>
              <w:jc w:val="left"/>
              <w:rPr>
                <w:sz w:val="18"/>
                <w:szCs w:val="18"/>
              </w:rPr>
            </w:pPr>
            <w:r>
              <w:rPr>
                <w:rFonts w:hint="eastAsia"/>
                <w:sz w:val="18"/>
                <w:szCs w:val="18"/>
              </w:rPr>
              <w:t>2.1）</w:t>
            </w:r>
            <w:r>
              <w:rPr>
                <w:sz w:val="18"/>
                <w:szCs w:val="18"/>
              </w:rPr>
              <w:t>乘用车：</w:t>
            </w:r>
            <w:r>
              <w:rPr>
                <w:rFonts w:hint="eastAsia"/>
                <w:sz w:val="18"/>
                <w:szCs w:val="18"/>
              </w:rPr>
              <w:t>Ta</w:t>
            </w:r>
            <w:r>
              <w:rPr>
                <w:sz w:val="18"/>
                <w:szCs w:val="18"/>
              </w:rPr>
              <w:t>=85℃、</w:t>
            </w:r>
            <w:r>
              <w:rPr>
                <w:rFonts w:hint="eastAsia"/>
                <w:sz w:val="18"/>
                <w:szCs w:val="18"/>
              </w:rPr>
              <w:t>RH</w:t>
            </w:r>
            <w:r>
              <w:rPr>
                <w:sz w:val="18"/>
                <w:szCs w:val="18"/>
              </w:rPr>
              <w:t>=85%，</w:t>
            </w:r>
            <w:r>
              <w:rPr>
                <w:rFonts w:hint="eastAsia"/>
                <w:sz w:val="18"/>
                <w:szCs w:val="18"/>
              </w:rPr>
              <w:t>t</w:t>
            </w:r>
            <w:r>
              <w:rPr>
                <w:sz w:val="18"/>
                <w:szCs w:val="18"/>
              </w:rPr>
              <w:t>=</w:t>
            </w:r>
            <w:r>
              <w:rPr>
                <w:rFonts w:hint="eastAsia"/>
                <w:sz w:val="18"/>
                <w:szCs w:val="18"/>
              </w:rPr>
              <w:t>651</w:t>
            </w:r>
            <w:r>
              <w:rPr>
                <w:sz w:val="18"/>
                <w:szCs w:val="18"/>
              </w:rPr>
              <w:t xml:space="preserve">h；  </w:t>
            </w:r>
          </w:p>
          <w:p w14:paraId="3ECF6040">
            <w:pPr>
              <w:jc w:val="left"/>
              <w:rPr>
                <w:sz w:val="18"/>
                <w:szCs w:val="18"/>
              </w:rPr>
            </w:pPr>
            <w:r>
              <w:rPr>
                <w:rFonts w:hint="eastAsia"/>
                <w:sz w:val="18"/>
                <w:szCs w:val="18"/>
              </w:rPr>
              <w:t>2.2）</w:t>
            </w:r>
            <w:r>
              <w:rPr>
                <w:sz w:val="18"/>
                <w:szCs w:val="18"/>
              </w:rPr>
              <w:t>商用车：</w:t>
            </w:r>
            <w:r>
              <w:rPr>
                <w:rFonts w:hint="eastAsia"/>
                <w:sz w:val="18"/>
                <w:szCs w:val="18"/>
              </w:rPr>
              <w:t>Ta</w:t>
            </w:r>
            <w:r>
              <w:rPr>
                <w:sz w:val="18"/>
                <w:szCs w:val="18"/>
              </w:rPr>
              <w:t>=85℃、</w:t>
            </w:r>
            <w:r>
              <w:rPr>
                <w:rFonts w:hint="eastAsia"/>
                <w:sz w:val="18"/>
                <w:szCs w:val="18"/>
              </w:rPr>
              <w:t>RH</w:t>
            </w:r>
            <w:r>
              <w:rPr>
                <w:sz w:val="18"/>
                <w:szCs w:val="18"/>
              </w:rPr>
              <w:t>=85%，</w:t>
            </w:r>
            <w:r>
              <w:rPr>
                <w:rFonts w:hint="eastAsia"/>
                <w:sz w:val="18"/>
                <w:szCs w:val="18"/>
              </w:rPr>
              <w:t>t</w:t>
            </w:r>
            <w:r>
              <w:rPr>
                <w:sz w:val="18"/>
                <w:szCs w:val="18"/>
              </w:rPr>
              <w:t>=</w:t>
            </w:r>
            <w:r>
              <w:rPr>
                <w:rFonts w:hint="eastAsia"/>
                <w:sz w:val="18"/>
                <w:szCs w:val="18"/>
              </w:rPr>
              <w:t>512</w:t>
            </w:r>
            <w:r>
              <w:rPr>
                <w:sz w:val="18"/>
                <w:szCs w:val="18"/>
              </w:rPr>
              <w:t>h</w:t>
            </w:r>
            <w:r>
              <w:rPr>
                <w:rFonts w:hint="eastAsia"/>
                <w:sz w:val="18"/>
                <w:szCs w:val="18"/>
              </w:rPr>
              <w:t>。</w:t>
            </w:r>
          </w:p>
        </w:tc>
      </w:tr>
      <w:tr w14:paraId="7465826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394" w:type="pct"/>
            <w:vMerge w:val="continue"/>
            <w:shd w:val="clear" w:color="auto" w:fill="auto"/>
            <w:vAlign w:val="center"/>
          </w:tcPr>
          <w:p w14:paraId="538CDB8F">
            <w:pPr>
              <w:adjustRightInd w:val="0"/>
              <w:snapToGrid w:val="0"/>
              <w:jc w:val="center"/>
              <w:rPr>
                <w:sz w:val="18"/>
              </w:rPr>
            </w:pPr>
          </w:p>
        </w:tc>
        <w:tc>
          <w:tcPr>
            <w:tcW w:w="298" w:type="pct"/>
            <w:shd w:val="clear" w:color="auto" w:fill="auto"/>
            <w:vAlign w:val="center"/>
          </w:tcPr>
          <w:p w14:paraId="5DCFDCC8">
            <w:pPr>
              <w:adjustRightInd w:val="0"/>
              <w:snapToGrid w:val="0"/>
              <w:jc w:val="center"/>
              <w:rPr>
                <w:sz w:val="18"/>
              </w:rPr>
            </w:pPr>
            <w:r>
              <w:rPr>
                <w:sz w:val="18"/>
              </w:rPr>
              <w:t>A3</w:t>
            </w:r>
          </w:p>
        </w:tc>
        <w:tc>
          <w:tcPr>
            <w:tcW w:w="769" w:type="pct"/>
            <w:shd w:val="clear" w:color="auto" w:fill="auto"/>
            <w:vAlign w:val="center"/>
          </w:tcPr>
          <w:p w14:paraId="0A55CAB6">
            <w:pPr>
              <w:adjustRightInd w:val="0"/>
              <w:snapToGrid w:val="0"/>
              <w:jc w:val="center"/>
              <w:rPr>
                <w:sz w:val="18"/>
              </w:rPr>
            </w:pPr>
            <w:r>
              <w:rPr>
                <w:sz w:val="18"/>
              </w:rPr>
              <w:t>非偏置湿热试验或非偏置强加速稳态湿热试验</w:t>
            </w:r>
          </w:p>
        </w:tc>
        <w:tc>
          <w:tcPr>
            <w:tcW w:w="801" w:type="pct"/>
            <w:shd w:val="clear" w:color="auto" w:fill="auto"/>
            <w:vAlign w:val="center"/>
          </w:tcPr>
          <w:p w14:paraId="184E6ABB">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AC</w:t>
            </w:r>
          </w:p>
          <w:p w14:paraId="13614DC5">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/UHST</w:t>
            </w:r>
          </w:p>
          <w:p w14:paraId="16F13D22">
            <w:pPr>
              <w:adjustRightInd w:val="0"/>
              <w:snapToGrid w:val="0"/>
              <w:jc w:val="center"/>
              <w:rPr>
                <w:sz w:val="18"/>
                <w:szCs w:val="18"/>
              </w:rPr>
            </w:pPr>
            <w:r>
              <w:rPr>
                <w:color w:val="000000" w:themeColor="text1"/>
                <w:sz w:val="18"/>
                <w:szCs w:val="18"/>
                <w14:textFill>
                  <w14:solidFill>
                    <w14:schemeClr w14:val="tx1"/>
                  </w14:solidFill>
                </w14:textFill>
              </w:rPr>
              <w:t>/TH</w:t>
            </w:r>
          </w:p>
        </w:tc>
        <w:tc>
          <w:tcPr>
            <w:tcW w:w="979" w:type="pct"/>
            <w:vAlign w:val="center"/>
          </w:tcPr>
          <w:p w14:paraId="39112E54">
            <w:pPr>
              <w:adjustRightInd w:val="0"/>
              <w:snapToGrid w:val="0"/>
              <w:jc w:val="center"/>
              <w:rPr>
                <w:sz w:val="18"/>
              </w:rPr>
            </w:pPr>
            <w:r>
              <w:rPr>
                <w:sz w:val="18"/>
              </w:rPr>
              <w:t>30只/批*3批</w:t>
            </w:r>
          </w:p>
        </w:tc>
        <w:tc>
          <w:tcPr>
            <w:tcW w:w="1759" w:type="pct"/>
            <w:shd w:val="clear" w:color="auto" w:fill="auto"/>
            <w:vAlign w:val="center"/>
          </w:tcPr>
          <w:p w14:paraId="632B2BD3">
            <w:pPr>
              <w:jc w:val="left"/>
              <w:rPr>
                <w:sz w:val="18"/>
                <w:szCs w:val="18"/>
              </w:rPr>
            </w:pPr>
            <w:r>
              <w:rPr>
                <w:rFonts w:hint="eastAsia"/>
                <w:sz w:val="18"/>
                <w:szCs w:val="18"/>
              </w:rPr>
              <w:t>（1）温湿度条件（UHST）</w:t>
            </w:r>
          </w:p>
          <w:p w14:paraId="0A3D194B">
            <w:pPr>
              <w:jc w:val="left"/>
              <w:rPr>
                <w:sz w:val="18"/>
                <w:szCs w:val="18"/>
              </w:rPr>
            </w:pPr>
            <w:r>
              <w:rPr>
                <w:rFonts w:hint="eastAsia"/>
                <w:sz w:val="18"/>
                <w:szCs w:val="18"/>
              </w:rPr>
              <w:t>1.1）</w:t>
            </w:r>
            <w:r>
              <w:rPr>
                <w:sz w:val="18"/>
                <w:szCs w:val="18"/>
              </w:rPr>
              <w:t>乘用车：</w:t>
            </w:r>
            <w:r>
              <w:rPr>
                <w:rFonts w:hint="eastAsia"/>
                <w:sz w:val="18"/>
                <w:szCs w:val="18"/>
              </w:rPr>
              <w:t>Ta</w:t>
            </w:r>
            <w:r>
              <w:rPr>
                <w:sz w:val="18"/>
                <w:szCs w:val="18"/>
              </w:rPr>
              <w:t>=130℃、</w:t>
            </w:r>
            <w:r>
              <w:rPr>
                <w:rFonts w:hint="eastAsia"/>
                <w:sz w:val="18"/>
                <w:szCs w:val="18"/>
              </w:rPr>
              <w:t>RH</w:t>
            </w:r>
            <w:r>
              <w:rPr>
                <w:sz w:val="18"/>
                <w:szCs w:val="18"/>
              </w:rPr>
              <w:t>=85%，</w:t>
            </w:r>
            <w:r>
              <w:rPr>
                <w:rFonts w:hint="eastAsia"/>
                <w:sz w:val="18"/>
                <w:szCs w:val="18"/>
              </w:rPr>
              <w:t>t</w:t>
            </w:r>
            <w:r>
              <w:rPr>
                <w:sz w:val="18"/>
                <w:szCs w:val="18"/>
              </w:rPr>
              <w:t>=</w:t>
            </w:r>
            <w:r>
              <w:rPr>
                <w:rFonts w:hint="eastAsia"/>
                <w:sz w:val="18"/>
                <w:szCs w:val="18"/>
              </w:rPr>
              <w:t>36</w:t>
            </w:r>
            <w:r>
              <w:rPr>
                <w:sz w:val="18"/>
                <w:szCs w:val="18"/>
              </w:rPr>
              <w:t xml:space="preserve">h；  </w:t>
            </w:r>
          </w:p>
          <w:p w14:paraId="65000B57">
            <w:pPr>
              <w:jc w:val="left"/>
              <w:rPr>
                <w:sz w:val="18"/>
                <w:szCs w:val="18"/>
              </w:rPr>
            </w:pPr>
            <w:r>
              <w:rPr>
                <w:rFonts w:hint="eastAsia"/>
                <w:sz w:val="18"/>
                <w:szCs w:val="18"/>
              </w:rPr>
              <w:t>1.2）</w:t>
            </w:r>
            <w:r>
              <w:rPr>
                <w:sz w:val="18"/>
                <w:szCs w:val="18"/>
              </w:rPr>
              <w:t>商用车：</w:t>
            </w:r>
            <w:r>
              <w:rPr>
                <w:rFonts w:hint="eastAsia"/>
                <w:sz w:val="18"/>
                <w:szCs w:val="18"/>
              </w:rPr>
              <w:t>Ta</w:t>
            </w:r>
            <w:r>
              <w:rPr>
                <w:sz w:val="18"/>
                <w:szCs w:val="18"/>
              </w:rPr>
              <w:t>=130℃、</w:t>
            </w:r>
            <w:r>
              <w:rPr>
                <w:rFonts w:hint="eastAsia"/>
                <w:sz w:val="18"/>
                <w:szCs w:val="18"/>
              </w:rPr>
              <w:t>RH</w:t>
            </w:r>
            <w:r>
              <w:rPr>
                <w:sz w:val="18"/>
                <w:szCs w:val="18"/>
              </w:rPr>
              <w:t>=85%，</w:t>
            </w:r>
            <w:r>
              <w:rPr>
                <w:rFonts w:hint="eastAsia"/>
                <w:sz w:val="18"/>
                <w:szCs w:val="18"/>
              </w:rPr>
              <w:t>t</w:t>
            </w:r>
            <w:r>
              <w:rPr>
                <w:sz w:val="18"/>
                <w:szCs w:val="18"/>
              </w:rPr>
              <w:t>=</w:t>
            </w:r>
            <w:r>
              <w:rPr>
                <w:rFonts w:hint="eastAsia"/>
                <w:sz w:val="18"/>
                <w:szCs w:val="18"/>
              </w:rPr>
              <w:t>28</w:t>
            </w:r>
            <w:r>
              <w:rPr>
                <w:sz w:val="18"/>
                <w:szCs w:val="18"/>
              </w:rPr>
              <w:t>h</w:t>
            </w:r>
            <w:r>
              <w:rPr>
                <w:rFonts w:hint="eastAsia"/>
                <w:sz w:val="18"/>
                <w:szCs w:val="18"/>
              </w:rPr>
              <w:t>。</w:t>
            </w:r>
          </w:p>
          <w:p w14:paraId="4DBFF22E">
            <w:pPr>
              <w:jc w:val="left"/>
              <w:rPr>
                <w:sz w:val="18"/>
                <w:szCs w:val="18"/>
              </w:rPr>
            </w:pPr>
            <w:r>
              <w:rPr>
                <w:sz w:val="18"/>
                <w:szCs w:val="18"/>
              </w:rPr>
              <w:t>（2）</w:t>
            </w:r>
            <w:r>
              <w:rPr>
                <w:rFonts w:hint="eastAsia"/>
                <w:sz w:val="18"/>
                <w:szCs w:val="18"/>
              </w:rPr>
              <w:t>温湿度条件（</w:t>
            </w:r>
            <w:r>
              <w:rPr>
                <w:sz w:val="18"/>
                <w:szCs w:val="18"/>
              </w:rPr>
              <w:t>TH</w:t>
            </w:r>
            <w:r>
              <w:rPr>
                <w:rFonts w:hint="eastAsia"/>
                <w:sz w:val="18"/>
                <w:szCs w:val="18"/>
              </w:rPr>
              <w:t>）</w:t>
            </w:r>
          </w:p>
          <w:p w14:paraId="57BAA5ED">
            <w:pPr>
              <w:jc w:val="left"/>
              <w:rPr>
                <w:sz w:val="18"/>
                <w:szCs w:val="18"/>
              </w:rPr>
            </w:pPr>
            <w:r>
              <w:rPr>
                <w:rFonts w:hint="eastAsia"/>
                <w:sz w:val="18"/>
                <w:szCs w:val="18"/>
              </w:rPr>
              <w:t>2.1）</w:t>
            </w:r>
            <w:r>
              <w:rPr>
                <w:sz w:val="18"/>
                <w:szCs w:val="18"/>
              </w:rPr>
              <w:t>乘用车：</w:t>
            </w:r>
            <w:r>
              <w:rPr>
                <w:rFonts w:hint="eastAsia"/>
                <w:sz w:val="18"/>
                <w:szCs w:val="18"/>
              </w:rPr>
              <w:t>Ta</w:t>
            </w:r>
            <w:r>
              <w:rPr>
                <w:sz w:val="18"/>
                <w:szCs w:val="18"/>
              </w:rPr>
              <w:t>=85℃、</w:t>
            </w:r>
            <w:r>
              <w:rPr>
                <w:rFonts w:hint="eastAsia"/>
                <w:sz w:val="18"/>
                <w:szCs w:val="18"/>
              </w:rPr>
              <w:t>RH</w:t>
            </w:r>
            <w:r>
              <w:rPr>
                <w:sz w:val="18"/>
                <w:szCs w:val="18"/>
              </w:rPr>
              <w:t>=85%，</w:t>
            </w:r>
            <w:r>
              <w:rPr>
                <w:rFonts w:hint="eastAsia"/>
                <w:sz w:val="18"/>
                <w:szCs w:val="18"/>
              </w:rPr>
              <w:t>t</w:t>
            </w:r>
            <w:r>
              <w:rPr>
                <w:sz w:val="18"/>
                <w:szCs w:val="18"/>
              </w:rPr>
              <w:t>=</w:t>
            </w:r>
            <w:r>
              <w:rPr>
                <w:rFonts w:hint="eastAsia"/>
                <w:sz w:val="18"/>
                <w:szCs w:val="18"/>
              </w:rPr>
              <w:t>651</w:t>
            </w:r>
            <w:r>
              <w:rPr>
                <w:sz w:val="18"/>
                <w:szCs w:val="18"/>
              </w:rPr>
              <w:t xml:space="preserve">h；  </w:t>
            </w:r>
          </w:p>
          <w:p w14:paraId="2E7C5F6C">
            <w:pPr>
              <w:jc w:val="left"/>
              <w:rPr>
                <w:sz w:val="18"/>
                <w:szCs w:val="18"/>
              </w:rPr>
            </w:pPr>
            <w:r>
              <w:rPr>
                <w:rFonts w:hint="eastAsia"/>
                <w:sz w:val="18"/>
                <w:szCs w:val="18"/>
              </w:rPr>
              <w:t>2.2）</w:t>
            </w:r>
            <w:r>
              <w:rPr>
                <w:sz w:val="18"/>
                <w:szCs w:val="18"/>
              </w:rPr>
              <w:t>商用车：</w:t>
            </w:r>
            <w:r>
              <w:rPr>
                <w:rFonts w:hint="eastAsia"/>
                <w:sz w:val="18"/>
                <w:szCs w:val="18"/>
              </w:rPr>
              <w:t>Ta</w:t>
            </w:r>
            <w:r>
              <w:rPr>
                <w:sz w:val="18"/>
                <w:szCs w:val="18"/>
              </w:rPr>
              <w:t>=85℃、</w:t>
            </w:r>
            <w:r>
              <w:rPr>
                <w:rFonts w:hint="eastAsia"/>
                <w:sz w:val="18"/>
                <w:szCs w:val="18"/>
              </w:rPr>
              <w:t>RH</w:t>
            </w:r>
            <w:r>
              <w:rPr>
                <w:sz w:val="18"/>
                <w:szCs w:val="18"/>
              </w:rPr>
              <w:t>=85%，</w:t>
            </w:r>
            <w:r>
              <w:rPr>
                <w:rFonts w:hint="eastAsia"/>
                <w:sz w:val="18"/>
                <w:szCs w:val="18"/>
              </w:rPr>
              <w:t>t</w:t>
            </w:r>
            <w:r>
              <w:rPr>
                <w:sz w:val="18"/>
                <w:szCs w:val="18"/>
              </w:rPr>
              <w:t>=</w:t>
            </w:r>
            <w:r>
              <w:rPr>
                <w:rFonts w:hint="eastAsia"/>
                <w:sz w:val="18"/>
                <w:szCs w:val="18"/>
              </w:rPr>
              <w:t>512</w:t>
            </w:r>
            <w:r>
              <w:rPr>
                <w:sz w:val="18"/>
                <w:szCs w:val="18"/>
              </w:rPr>
              <w:t>h</w:t>
            </w:r>
            <w:r>
              <w:rPr>
                <w:rFonts w:hint="eastAsia"/>
                <w:sz w:val="18"/>
                <w:szCs w:val="18"/>
              </w:rPr>
              <w:t>。</w:t>
            </w:r>
          </w:p>
        </w:tc>
      </w:tr>
      <w:tr w14:paraId="4AD30C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394" w:type="pct"/>
            <w:vMerge w:val="continue"/>
            <w:shd w:val="clear" w:color="auto" w:fill="auto"/>
            <w:vAlign w:val="center"/>
          </w:tcPr>
          <w:p w14:paraId="7548B741">
            <w:pPr>
              <w:adjustRightInd w:val="0"/>
              <w:snapToGrid w:val="0"/>
              <w:jc w:val="center"/>
              <w:rPr>
                <w:sz w:val="18"/>
              </w:rPr>
            </w:pPr>
          </w:p>
        </w:tc>
        <w:tc>
          <w:tcPr>
            <w:tcW w:w="298" w:type="pct"/>
            <w:shd w:val="clear" w:color="auto" w:fill="auto"/>
            <w:vAlign w:val="center"/>
          </w:tcPr>
          <w:p w14:paraId="01AB32FA">
            <w:pPr>
              <w:adjustRightInd w:val="0"/>
              <w:snapToGrid w:val="0"/>
              <w:jc w:val="center"/>
              <w:rPr>
                <w:sz w:val="18"/>
              </w:rPr>
            </w:pPr>
            <w:r>
              <w:rPr>
                <w:sz w:val="18"/>
              </w:rPr>
              <w:t>A4</w:t>
            </w:r>
          </w:p>
        </w:tc>
        <w:tc>
          <w:tcPr>
            <w:tcW w:w="769" w:type="pct"/>
            <w:shd w:val="clear" w:color="auto" w:fill="auto"/>
            <w:vAlign w:val="center"/>
          </w:tcPr>
          <w:p w14:paraId="1FCF45C3">
            <w:pPr>
              <w:adjustRightInd w:val="0"/>
              <w:snapToGrid w:val="0"/>
              <w:jc w:val="center"/>
              <w:rPr>
                <w:sz w:val="18"/>
              </w:rPr>
            </w:pPr>
            <w:r>
              <w:rPr>
                <w:sz w:val="18"/>
              </w:rPr>
              <w:t>温度循环</w:t>
            </w:r>
          </w:p>
        </w:tc>
        <w:tc>
          <w:tcPr>
            <w:tcW w:w="801" w:type="pct"/>
            <w:shd w:val="clear" w:color="auto" w:fill="auto"/>
            <w:vAlign w:val="center"/>
          </w:tcPr>
          <w:p w14:paraId="6DB4125F">
            <w:pPr>
              <w:adjustRightInd w:val="0"/>
              <w:snapToGrid w:val="0"/>
              <w:jc w:val="center"/>
              <w:rPr>
                <w:sz w:val="18"/>
                <w:szCs w:val="18"/>
              </w:rPr>
            </w:pPr>
            <w:r>
              <w:rPr>
                <w:color w:val="000000" w:themeColor="text1"/>
                <w:sz w:val="18"/>
                <w:szCs w:val="18"/>
                <w14:textFill>
                  <w14:solidFill>
                    <w14:schemeClr w14:val="tx1"/>
                  </w14:solidFill>
                </w14:textFill>
              </w:rPr>
              <w:t>TC</w:t>
            </w:r>
          </w:p>
        </w:tc>
        <w:tc>
          <w:tcPr>
            <w:tcW w:w="979" w:type="pct"/>
            <w:vAlign w:val="center"/>
          </w:tcPr>
          <w:p w14:paraId="3031B0C3">
            <w:pPr>
              <w:adjustRightInd w:val="0"/>
              <w:snapToGrid w:val="0"/>
              <w:jc w:val="center"/>
              <w:rPr>
                <w:sz w:val="18"/>
              </w:rPr>
            </w:pPr>
            <w:r>
              <w:rPr>
                <w:sz w:val="18"/>
              </w:rPr>
              <w:t>30只/批*3批</w:t>
            </w:r>
          </w:p>
        </w:tc>
        <w:tc>
          <w:tcPr>
            <w:tcW w:w="1759" w:type="pct"/>
            <w:shd w:val="clear" w:color="auto" w:fill="auto"/>
            <w:vAlign w:val="center"/>
          </w:tcPr>
          <w:p w14:paraId="7D56F231">
            <w:pPr>
              <w:rPr>
                <w:sz w:val="18"/>
                <w:szCs w:val="18"/>
              </w:rPr>
            </w:pPr>
            <w:r>
              <w:rPr>
                <w:rFonts w:hint="eastAsia"/>
                <w:sz w:val="18"/>
                <w:szCs w:val="18"/>
              </w:rPr>
              <w:t>（1）温湿度条件（TC）</w:t>
            </w:r>
          </w:p>
          <w:p w14:paraId="0B963B57">
            <w:pPr>
              <w:rPr>
                <w:sz w:val="18"/>
                <w:szCs w:val="18"/>
              </w:rPr>
            </w:pPr>
            <w:r>
              <w:rPr>
                <w:rFonts w:hint="eastAsia"/>
                <w:sz w:val="18"/>
                <w:szCs w:val="18"/>
              </w:rPr>
              <w:t>1.1）</w:t>
            </w:r>
            <w:r>
              <w:rPr>
                <w:sz w:val="18"/>
                <w:szCs w:val="18"/>
              </w:rPr>
              <w:t>乘用车：</w:t>
            </w:r>
            <w:r>
              <w:rPr>
                <w:rFonts w:hint="eastAsia"/>
                <w:sz w:val="18"/>
                <w:szCs w:val="18"/>
              </w:rPr>
              <w:t>Ta</w:t>
            </w:r>
            <w:r>
              <w:rPr>
                <w:sz w:val="18"/>
                <w:szCs w:val="18"/>
              </w:rPr>
              <w:t>=-40℃~+85℃，</w:t>
            </w:r>
            <w:r>
              <w:rPr>
                <w:rFonts w:hint="eastAsia"/>
                <w:sz w:val="18"/>
                <w:szCs w:val="18"/>
              </w:rPr>
              <w:t>Clc</w:t>
            </w:r>
            <w:r>
              <w:rPr>
                <w:sz w:val="18"/>
                <w:szCs w:val="18"/>
              </w:rPr>
              <w:t>=1000循环</w:t>
            </w:r>
            <w:r>
              <w:rPr>
                <w:rFonts w:hint="eastAsia"/>
                <w:sz w:val="18"/>
                <w:szCs w:val="18"/>
              </w:rPr>
              <w:t>；</w:t>
            </w:r>
          </w:p>
          <w:p w14:paraId="1D6F1DB3">
            <w:pPr>
              <w:rPr>
                <w:sz w:val="18"/>
                <w:szCs w:val="18"/>
              </w:rPr>
            </w:pPr>
            <w:r>
              <w:rPr>
                <w:rFonts w:hint="eastAsia"/>
                <w:sz w:val="18"/>
                <w:szCs w:val="18"/>
              </w:rPr>
              <w:t>1.2）</w:t>
            </w:r>
            <w:r>
              <w:rPr>
                <w:sz w:val="18"/>
                <w:szCs w:val="18"/>
              </w:rPr>
              <w:t>商用车：</w:t>
            </w:r>
            <w:r>
              <w:rPr>
                <w:rFonts w:hint="eastAsia"/>
                <w:sz w:val="18"/>
                <w:szCs w:val="18"/>
              </w:rPr>
              <w:t>Ta</w:t>
            </w:r>
            <w:r>
              <w:rPr>
                <w:sz w:val="18"/>
                <w:szCs w:val="18"/>
              </w:rPr>
              <w:t>=-40℃~+85℃，</w:t>
            </w:r>
            <w:r>
              <w:rPr>
                <w:rFonts w:hint="eastAsia"/>
                <w:sz w:val="18"/>
                <w:szCs w:val="18"/>
              </w:rPr>
              <w:t>Clc</w:t>
            </w:r>
            <w:r>
              <w:rPr>
                <w:sz w:val="18"/>
                <w:szCs w:val="18"/>
              </w:rPr>
              <w:t>=1000循环</w:t>
            </w:r>
            <w:r>
              <w:rPr>
                <w:rFonts w:hint="eastAsia"/>
                <w:sz w:val="18"/>
                <w:szCs w:val="18"/>
              </w:rPr>
              <w:t>。</w:t>
            </w:r>
          </w:p>
        </w:tc>
      </w:tr>
      <w:tr w14:paraId="7D49FA4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394" w:type="pct"/>
            <w:vMerge w:val="continue"/>
            <w:shd w:val="clear" w:color="auto" w:fill="auto"/>
            <w:vAlign w:val="center"/>
          </w:tcPr>
          <w:p w14:paraId="1D853F5B">
            <w:pPr>
              <w:adjustRightInd w:val="0"/>
              <w:snapToGrid w:val="0"/>
              <w:jc w:val="center"/>
              <w:rPr>
                <w:sz w:val="18"/>
              </w:rPr>
            </w:pPr>
          </w:p>
        </w:tc>
        <w:tc>
          <w:tcPr>
            <w:tcW w:w="298" w:type="pct"/>
            <w:shd w:val="clear" w:color="auto" w:fill="auto"/>
            <w:vAlign w:val="center"/>
          </w:tcPr>
          <w:p w14:paraId="1BDC5915">
            <w:pPr>
              <w:adjustRightInd w:val="0"/>
              <w:snapToGrid w:val="0"/>
              <w:jc w:val="center"/>
              <w:rPr>
                <w:sz w:val="18"/>
              </w:rPr>
            </w:pPr>
            <w:r>
              <w:rPr>
                <w:sz w:val="18"/>
              </w:rPr>
              <w:t>A5</w:t>
            </w:r>
          </w:p>
        </w:tc>
        <w:tc>
          <w:tcPr>
            <w:tcW w:w="769" w:type="pct"/>
            <w:shd w:val="clear" w:color="auto" w:fill="auto"/>
            <w:vAlign w:val="center"/>
          </w:tcPr>
          <w:p w14:paraId="6F5237FE">
            <w:pPr>
              <w:adjustRightInd w:val="0"/>
              <w:snapToGrid w:val="0"/>
              <w:jc w:val="center"/>
              <w:rPr>
                <w:sz w:val="18"/>
              </w:rPr>
            </w:pPr>
            <w:r>
              <w:rPr>
                <w:sz w:val="18"/>
              </w:rPr>
              <w:t>功率温度循环</w:t>
            </w:r>
          </w:p>
        </w:tc>
        <w:tc>
          <w:tcPr>
            <w:tcW w:w="801" w:type="pct"/>
            <w:shd w:val="clear" w:color="auto" w:fill="auto"/>
            <w:vAlign w:val="center"/>
          </w:tcPr>
          <w:p w14:paraId="403B0269">
            <w:pPr>
              <w:adjustRightInd w:val="0"/>
              <w:snapToGrid w:val="0"/>
              <w:jc w:val="center"/>
              <w:rPr>
                <w:sz w:val="18"/>
                <w:szCs w:val="18"/>
              </w:rPr>
            </w:pPr>
            <w:r>
              <w:rPr>
                <w:color w:val="000000" w:themeColor="text1"/>
                <w:sz w:val="18"/>
                <w:szCs w:val="18"/>
                <w14:textFill>
                  <w14:solidFill>
                    <w14:schemeClr w14:val="tx1"/>
                  </w14:solidFill>
                </w14:textFill>
              </w:rPr>
              <w:t>PTC</w:t>
            </w:r>
          </w:p>
        </w:tc>
        <w:tc>
          <w:tcPr>
            <w:tcW w:w="979" w:type="pct"/>
            <w:vAlign w:val="center"/>
          </w:tcPr>
          <w:p w14:paraId="2E6D54A3">
            <w:pPr>
              <w:adjustRightInd w:val="0"/>
              <w:snapToGrid w:val="0"/>
              <w:jc w:val="center"/>
              <w:rPr>
                <w:b/>
                <w:bCs/>
                <w:sz w:val="18"/>
              </w:rPr>
            </w:pPr>
            <w:r>
              <w:rPr>
                <w:sz w:val="18"/>
              </w:rPr>
              <w:t>30只/批*3批</w:t>
            </w:r>
          </w:p>
        </w:tc>
        <w:tc>
          <w:tcPr>
            <w:tcW w:w="1759" w:type="pct"/>
            <w:shd w:val="clear" w:color="auto" w:fill="auto"/>
            <w:vAlign w:val="center"/>
          </w:tcPr>
          <w:p w14:paraId="3354B03B">
            <w:pPr>
              <w:rPr>
                <w:sz w:val="18"/>
                <w:szCs w:val="18"/>
              </w:rPr>
            </w:pPr>
            <w:r>
              <w:rPr>
                <w:rFonts w:hint="eastAsia"/>
                <w:sz w:val="18"/>
                <w:szCs w:val="18"/>
              </w:rPr>
              <w:t>（1）温湿度条件（PTC）</w:t>
            </w:r>
          </w:p>
          <w:p w14:paraId="52F9980E">
            <w:pPr>
              <w:rPr>
                <w:sz w:val="18"/>
                <w:szCs w:val="18"/>
              </w:rPr>
            </w:pPr>
            <w:r>
              <w:rPr>
                <w:rFonts w:hint="eastAsia"/>
                <w:sz w:val="18"/>
                <w:szCs w:val="18"/>
              </w:rPr>
              <w:t>1.1）</w:t>
            </w:r>
            <w:r>
              <w:rPr>
                <w:sz w:val="18"/>
                <w:szCs w:val="18"/>
              </w:rPr>
              <w:t>乘用车：Ta=-40~</w:t>
            </w:r>
            <w:r>
              <w:rPr>
                <w:rFonts w:hint="eastAsia"/>
                <w:sz w:val="18"/>
                <w:szCs w:val="18"/>
              </w:rPr>
              <w:t>10</w:t>
            </w:r>
            <w:r>
              <w:rPr>
                <w:sz w:val="18"/>
                <w:szCs w:val="18"/>
              </w:rPr>
              <w:t>5℃，</w:t>
            </w:r>
            <w:r>
              <w:rPr>
                <w:rFonts w:hint="eastAsia"/>
                <w:sz w:val="18"/>
                <w:szCs w:val="18"/>
              </w:rPr>
              <w:t>Clc</w:t>
            </w:r>
            <w:r>
              <w:rPr>
                <w:sz w:val="18"/>
                <w:szCs w:val="18"/>
              </w:rPr>
              <w:t>=</w:t>
            </w:r>
            <w:r>
              <w:rPr>
                <w:rFonts w:hint="eastAsia"/>
                <w:sz w:val="18"/>
                <w:szCs w:val="18"/>
              </w:rPr>
              <w:t>4132</w:t>
            </w:r>
            <w:r>
              <w:rPr>
                <w:sz w:val="18"/>
                <w:szCs w:val="18"/>
              </w:rPr>
              <w:t>循环；</w:t>
            </w:r>
          </w:p>
          <w:p w14:paraId="4C4B3C02">
            <w:pPr>
              <w:rPr>
                <w:sz w:val="18"/>
                <w:szCs w:val="18"/>
              </w:rPr>
            </w:pPr>
            <w:r>
              <w:rPr>
                <w:rFonts w:hint="eastAsia"/>
                <w:sz w:val="18"/>
                <w:szCs w:val="18"/>
              </w:rPr>
              <w:t>1.2）</w:t>
            </w:r>
            <w:r>
              <w:rPr>
                <w:sz w:val="18"/>
                <w:szCs w:val="18"/>
              </w:rPr>
              <w:t>商用车：Ta=-40~</w:t>
            </w:r>
            <w:r>
              <w:rPr>
                <w:rFonts w:hint="eastAsia"/>
                <w:sz w:val="18"/>
                <w:szCs w:val="18"/>
              </w:rPr>
              <w:t>105</w:t>
            </w:r>
            <w:r>
              <w:rPr>
                <w:sz w:val="18"/>
                <w:szCs w:val="18"/>
              </w:rPr>
              <w:t>℃，</w:t>
            </w:r>
            <w:r>
              <w:rPr>
                <w:rFonts w:hint="eastAsia"/>
                <w:sz w:val="18"/>
                <w:szCs w:val="18"/>
              </w:rPr>
              <w:t>Clc</w:t>
            </w:r>
            <w:r>
              <w:rPr>
                <w:sz w:val="18"/>
                <w:szCs w:val="18"/>
              </w:rPr>
              <w:t>=</w:t>
            </w:r>
            <w:r>
              <w:rPr>
                <w:rFonts w:hint="eastAsia"/>
                <w:sz w:val="18"/>
                <w:szCs w:val="18"/>
              </w:rPr>
              <w:t>4958</w:t>
            </w:r>
            <w:r>
              <w:rPr>
                <w:sz w:val="18"/>
                <w:szCs w:val="18"/>
              </w:rPr>
              <w:t>循环</w:t>
            </w:r>
            <w:r>
              <w:rPr>
                <w:rFonts w:hint="eastAsia"/>
                <w:sz w:val="18"/>
                <w:szCs w:val="18"/>
              </w:rPr>
              <w:t>。</w:t>
            </w:r>
          </w:p>
        </w:tc>
      </w:tr>
      <w:tr w14:paraId="0CE8DF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394" w:type="pct"/>
            <w:vMerge w:val="continue"/>
            <w:shd w:val="clear" w:color="auto" w:fill="auto"/>
            <w:vAlign w:val="center"/>
          </w:tcPr>
          <w:p w14:paraId="1A138908">
            <w:pPr>
              <w:adjustRightInd w:val="0"/>
              <w:snapToGrid w:val="0"/>
              <w:jc w:val="center"/>
              <w:rPr>
                <w:sz w:val="18"/>
              </w:rPr>
            </w:pPr>
          </w:p>
        </w:tc>
        <w:tc>
          <w:tcPr>
            <w:tcW w:w="298" w:type="pct"/>
            <w:shd w:val="clear" w:color="auto" w:fill="auto"/>
            <w:vAlign w:val="center"/>
          </w:tcPr>
          <w:p w14:paraId="7A7CA888">
            <w:pPr>
              <w:adjustRightInd w:val="0"/>
              <w:snapToGrid w:val="0"/>
              <w:jc w:val="center"/>
              <w:rPr>
                <w:sz w:val="18"/>
              </w:rPr>
            </w:pPr>
            <w:r>
              <w:rPr>
                <w:sz w:val="18"/>
              </w:rPr>
              <w:t>A6</w:t>
            </w:r>
          </w:p>
        </w:tc>
        <w:tc>
          <w:tcPr>
            <w:tcW w:w="769" w:type="pct"/>
            <w:shd w:val="clear" w:color="auto" w:fill="auto"/>
            <w:vAlign w:val="center"/>
          </w:tcPr>
          <w:p w14:paraId="1B5A6531">
            <w:pPr>
              <w:adjustRightInd w:val="0"/>
              <w:snapToGrid w:val="0"/>
              <w:jc w:val="center"/>
              <w:rPr>
                <w:sz w:val="18"/>
              </w:rPr>
            </w:pPr>
            <w:r>
              <w:rPr>
                <w:sz w:val="18"/>
              </w:rPr>
              <w:t>高温贮存</w:t>
            </w:r>
          </w:p>
        </w:tc>
        <w:tc>
          <w:tcPr>
            <w:tcW w:w="801" w:type="pct"/>
            <w:shd w:val="clear" w:color="auto" w:fill="auto"/>
            <w:vAlign w:val="center"/>
          </w:tcPr>
          <w:p w14:paraId="75E8BEF9">
            <w:pPr>
              <w:adjustRightInd w:val="0"/>
              <w:snapToGrid w:val="0"/>
              <w:jc w:val="center"/>
              <w:rPr>
                <w:sz w:val="18"/>
                <w:szCs w:val="18"/>
              </w:rPr>
            </w:pPr>
            <w:r>
              <w:rPr>
                <w:color w:val="000000" w:themeColor="text1"/>
                <w:sz w:val="18"/>
                <w:szCs w:val="18"/>
                <w14:textFill>
                  <w14:solidFill>
                    <w14:schemeClr w14:val="tx1"/>
                  </w14:solidFill>
                </w14:textFill>
              </w:rPr>
              <w:t>HTSL</w:t>
            </w:r>
          </w:p>
        </w:tc>
        <w:tc>
          <w:tcPr>
            <w:tcW w:w="979" w:type="pct"/>
            <w:vAlign w:val="center"/>
          </w:tcPr>
          <w:p w14:paraId="1A70AFD6">
            <w:pPr>
              <w:adjustRightInd w:val="0"/>
              <w:snapToGrid w:val="0"/>
              <w:jc w:val="center"/>
              <w:rPr>
                <w:sz w:val="18"/>
              </w:rPr>
            </w:pPr>
            <w:r>
              <w:rPr>
                <w:sz w:val="18"/>
              </w:rPr>
              <w:t>30只/批*3批</w:t>
            </w:r>
          </w:p>
        </w:tc>
        <w:tc>
          <w:tcPr>
            <w:tcW w:w="1759" w:type="pct"/>
            <w:shd w:val="clear" w:color="auto" w:fill="auto"/>
            <w:vAlign w:val="center"/>
          </w:tcPr>
          <w:p w14:paraId="7016681A">
            <w:pPr>
              <w:rPr>
                <w:sz w:val="18"/>
                <w:szCs w:val="18"/>
              </w:rPr>
            </w:pPr>
            <w:r>
              <w:rPr>
                <w:rFonts w:hint="eastAsia"/>
                <w:sz w:val="18"/>
                <w:szCs w:val="18"/>
              </w:rPr>
              <w:t>（1）温湿度条件（HTSL）</w:t>
            </w:r>
          </w:p>
          <w:p w14:paraId="26A4929A">
            <w:pPr>
              <w:rPr>
                <w:sz w:val="18"/>
                <w:szCs w:val="18"/>
              </w:rPr>
            </w:pPr>
            <w:r>
              <w:rPr>
                <w:rFonts w:hint="eastAsia"/>
                <w:sz w:val="18"/>
                <w:szCs w:val="18"/>
              </w:rPr>
              <w:t>1.1）</w:t>
            </w:r>
            <w:r>
              <w:rPr>
                <w:sz w:val="18"/>
                <w:szCs w:val="18"/>
              </w:rPr>
              <w:t>乘用车：Ta=85℃，</w:t>
            </w:r>
            <w:r>
              <w:rPr>
                <w:rFonts w:hint="eastAsia"/>
                <w:sz w:val="18"/>
                <w:szCs w:val="18"/>
              </w:rPr>
              <w:t>t</w:t>
            </w:r>
            <w:r>
              <w:rPr>
                <w:sz w:val="18"/>
                <w:szCs w:val="18"/>
              </w:rPr>
              <w:t>=1000h</w:t>
            </w:r>
            <w:r>
              <w:rPr>
                <w:rFonts w:hint="eastAsia"/>
                <w:sz w:val="18"/>
                <w:szCs w:val="18"/>
              </w:rPr>
              <w:t>；</w:t>
            </w:r>
          </w:p>
          <w:p w14:paraId="1298D9D1">
            <w:pPr>
              <w:rPr>
                <w:sz w:val="18"/>
                <w:szCs w:val="18"/>
              </w:rPr>
            </w:pPr>
            <w:r>
              <w:rPr>
                <w:rFonts w:hint="eastAsia"/>
                <w:sz w:val="18"/>
                <w:szCs w:val="18"/>
              </w:rPr>
              <w:t>1.2）</w:t>
            </w:r>
            <w:r>
              <w:rPr>
                <w:sz w:val="18"/>
                <w:szCs w:val="18"/>
              </w:rPr>
              <w:t>商用车：Ta=85℃，</w:t>
            </w:r>
            <w:r>
              <w:rPr>
                <w:rFonts w:hint="eastAsia"/>
                <w:sz w:val="18"/>
                <w:szCs w:val="18"/>
              </w:rPr>
              <w:t>t</w:t>
            </w:r>
            <w:r>
              <w:rPr>
                <w:sz w:val="18"/>
                <w:szCs w:val="18"/>
              </w:rPr>
              <w:t>=1000h</w:t>
            </w:r>
            <w:r>
              <w:rPr>
                <w:rFonts w:hint="eastAsia"/>
                <w:sz w:val="18"/>
                <w:szCs w:val="18"/>
              </w:rPr>
              <w:t>。</w:t>
            </w:r>
          </w:p>
        </w:tc>
      </w:tr>
      <w:tr w14:paraId="400CEF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394" w:type="pct"/>
            <w:shd w:val="clear" w:color="auto" w:fill="auto"/>
            <w:vAlign w:val="center"/>
          </w:tcPr>
          <w:p w14:paraId="5CD00A6C">
            <w:pPr>
              <w:adjustRightInd w:val="0"/>
              <w:snapToGrid w:val="0"/>
              <w:jc w:val="center"/>
              <w:rPr>
                <w:sz w:val="18"/>
              </w:rPr>
            </w:pPr>
            <w:r>
              <w:rPr>
                <w:sz w:val="18"/>
              </w:rPr>
              <w:t>B组：加速寿命试验</w:t>
            </w:r>
          </w:p>
        </w:tc>
        <w:tc>
          <w:tcPr>
            <w:tcW w:w="298" w:type="pct"/>
            <w:shd w:val="clear" w:color="auto" w:fill="auto"/>
            <w:vAlign w:val="center"/>
          </w:tcPr>
          <w:p w14:paraId="342CC96C">
            <w:pPr>
              <w:adjustRightInd w:val="0"/>
              <w:snapToGrid w:val="0"/>
              <w:jc w:val="center"/>
              <w:rPr>
                <w:sz w:val="18"/>
              </w:rPr>
            </w:pPr>
            <w:r>
              <w:rPr>
                <w:sz w:val="18"/>
              </w:rPr>
              <w:t>B1</w:t>
            </w:r>
          </w:p>
        </w:tc>
        <w:tc>
          <w:tcPr>
            <w:tcW w:w="769" w:type="pct"/>
            <w:shd w:val="clear" w:color="auto" w:fill="auto"/>
            <w:vAlign w:val="center"/>
          </w:tcPr>
          <w:p w14:paraId="3537F533">
            <w:pPr>
              <w:adjustRightInd w:val="0"/>
              <w:snapToGrid w:val="0"/>
              <w:jc w:val="center"/>
              <w:rPr>
                <w:sz w:val="18"/>
              </w:rPr>
            </w:pPr>
            <w:r>
              <w:rPr>
                <w:sz w:val="18"/>
              </w:rPr>
              <w:t>高温工作寿命</w:t>
            </w:r>
          </w:p>
        </w:tc>
        <w:tc>
          <w:tcPr>
            <w:tcW w:w="801" w:type="pct"/>
            <w:shd w:val="clear" w:color="auto" w:fill="auto"/>
            <w:vAlign w:val="center"/>
          </w:tcPr>
          <w:p w14:paraId="3EC66B83">
            <w:pPr>
              <w:adjustRightInd w:val="0"/>
              <w:snapToGrid w:val="0"/>
              <w:jc w:val="center"/>
              <w:rPr>
                <w:sz w:val="18"/>
                <w:szCs w:val="18"/>
              </w:rPr>
            </w:pPr>
            <w:r>
              <w:rPr>
                <w:color w:val="000000" w:themeColor="text1"/>
                <w:sz w:val="18"/>
                <w:szCs w:val="18"/>
                <w14:textFill>
                  <w14:solidFill>
                    <w14:schemeClr w14:val="tx1"/>
                  </w14:solidFill>
                </w14:textFill>
              </w:rPr>
              <w:t>HTOL</w:t>
            </w:r>
          </w:p>
        </w:tc>
        <w:tc>
          <w:tcPr>
            <w:tcW w:w="979" w:type="pct"/>
            <w:vAlign w:val="center"/>
          </w:tcPr>
          <w:p w14:paraId="61F556A7">
            <w:pPr>
              <w:adjustRightInd w:val="0"/>
              <w:snapToGrid w:val="0"/>
              <w:jc w:val="center"/>
              <w:rPr>
                <w:sz w:val="18"/>
              </w:rPr>
            </w:pPr>
            <w:r>
              <w:rPr>
                <w:sz w:val="18"/>
              </w:rPr>
              <w:t>30只/批*3批</w:t>
            </w:r>
          </w:p>
        </w:tc>
        <w:tc>
          <w:tcPr>
            <w:tcW w:w="1759" w:type="pct"/>
            <w:shd w:val="clear" w:color="auto" w:fill="auto"/>
            <w:vAlign w:val="center"/>
          </w:tcPr>
          <w:p w14:paraId="1C0A22B5">
            <w:pPr>
              <w:rPr>
                <w:sz w:val="18"/>
                <w:szCs w:val="18"/>
              </w:rPr>
            </w:pPr>
            <w:r>
              <w:rPr>
                <w:rFonts w:hint="eastAsia"/>
                <w:sz w:val="18"/>
                <w:szCs w:val="18"/>
              </w:rPr>
              <w:t>（1）温湿度条件（HTL）</w:t>
            </w:r>
          </w:p>
          <w:p w14:paraId="4BE22BA8">
            <w:pPr>
              <w:rPr>
                <w:sz w:val="18"/>
                <w:szCs w:val="18"/>
              </w:rPr>
            </w:pPr>
            <w:r>
              <w:rPr>
                <w:rFonts w:hint="eastAsia"/>
                <w:sz w:val="18"/>
                <w:szCs w:val="18"/>
              </w:rPr>
              <w:t>1.1）</w:t>
            </w:r>
            <w:r>
              <w:rPr>
                <w:sz w:val="18"/>
                <w:szCs w:val="18"/>
              </w:rPr>
              <w:t>乘用车：Ta=85℃，</w:t>
            </w:r>
            <w:r>
              <w:rPr>
                <w:rFonts w:hint="eastAsia"/>
                <w:sz w:val="18"/>
                <w:szCs w:val="18"/>
              </w:rPr>
              <w:t>t</w:t>
            </w:r>
            <w:r>
              <w:rPr>
                <w:sz w:val="18"/>
                <w:szCs w:val="18"/>
              </w:rPr>
              <w:t>=1000h</w:t>
            </w:r>
            <w:r>
              <w:rPr>
                <w:rFonts w:hint="eastAsia"/>
                <w:sz w:val="18"/>
                <w:szCs w:val="18"/>
              </w:rPr>
              <w:t>；</w:t>
            </w:r>
          </w:p>
          <w:p w14:paraId="3EB1A4D2">
            <w:pPr>
              <w:rPr>
                <w:sz w:val="18"/>
                <w:szCs w:val="18"/>
              </w:rPr>
            </w:pPr>
            <w:r>
              <w:rPr>
                <w:rFonts w:hint="eastAsia"/>
                <w:sz w:val="18"/>
                <w:szCs w:val="18"/>
              </w:rPr>
              <w:t>1.2）</w:t>
            </w:r>
            <w:r>
              <w:rPr>
                <w:sz w:val="18"/>
                <w:szCs w:val="18"/>
              </w:rPr>
              <w:t>商用车：Ta=85℃，</w:t>
            </w:r>
            <w:r>
              <w:rPr>
                <w:rFonts w:hint="eastAsia"/>
                <w:sz w:val="18"/>
                <w:szCs w:val="18"/>
              </w:rPr>
              <w:t>t</w:t>
            </w:r>
            <w:r>
              <w:rPr>
                <w:sz w:val="18"/>
                <w:szCs w:val="18"/>
              </w:rPr>
              <w:t>=1000h</w:t>
            </w:r>
            <w:r>
              <w:rPr>
                <w:rFonts w:hint="eastAsia"/>
                <w:sz w:val="18"/>
                <w:szCs w:val="18"/>
              </w:rPr>
              <w:t>。</w:t>
            </w:r>
          </w:p>
        </w:tc>
      </w:tr>
    </w:tbl>
    <w:p w14:paraId="4B4CA17E">
      <w:pPr>
        <w:pStyle w:val="73"/>
        <w:numPr>
          <w:ilvl w:val="0"/>
          <w:numId w:val="0"/>
        </w:numPr>
        <w:spacing w:before="0" w:beforeLines="0" w:after="0" w:afterLines="0"/>
        <w:ind w:firstLine="480" w:firstLineChars="200"/>
        <w:outlineLvl w:val="9"/>
        <w:rPr>
          <w:rFonts w:ascii="Times New Roman" w:eastAsia="宋体"/>
        </w:rPr>
      </w:pPr>
      <w:bookmarkStart w:id="70" w:name="_Toc199063397"/>
      <w:bookmarkStart w:id="71" w:name="_Toc201506407"/>
      <w:bookmarkStart w:id="72" w:name="_Toc199203875"/>
      <w:r>
        <w:rPr>
          <w:rFonts w:ascii="Times New Roman" w:eastAsia="宋体"/>
          <w:sz w:val="24"/>
          <w:szCs w:val="24"/>
          <w:vertAlign w:val="superscript"/>
        </w:rPr>
        <w:t>a*</w:t>
      </w:r>
      <w:r>
        <w:rPr>
          <w:rFonts w:ascii="Times New Roman" w:eastAsia="宋体"/>
        </w:rPr>
        <w:t>：预处理（仅适用于表面贴装芯片）应在A2、A3、A4和A5项之前进行（参考《SJ/T 11875-2022  电动汽车用半导体集成电路应力试验程序》开展）。</w:t>
      </w:r>
    </w:p>
    <w:p w14:paraId="55DC4E1E">
      <w:pPr>
        <w:pStyle w:val="73"/>
        <w:numPr>
          <w:ilvl w:val="0"/>
          <w:numId w:val="0"/>
        </w:numPr>
        <w:spacing w:before="0" w:beforeLines="0" w:after="0" w:afterLines="0"/>
        <w:ind w:firstLine="480" w:firstLineChars="200"/>
        <w:outlineLvl w:val="9"/>
        <w:rPr>
          <w:rFonts w:ascii="Times New Roman" w:eastAsia="宋体"/>
        </w:rPr>
      </w:pPr>
      <w:r>
        <w:rPr>
          <w:rFonts w:ascii="Times New Roman" w:eastAsia="宋体"/>
          <w:sz w:val="24"/>
          <w:szCs w:val="24"/>
          <w:vertAlign w:val="superscript"/>
        </w:rPr>
        <w:t>b*</w:t>
      </w:r>
      <w:r>
        <w:rPr>
          <w:rFonts w:ascii="Times New Roman" w:eastAsia="宋体"/>
        </w:rPr>
        <w:t>：对于对高温和高压敏感的封装（如BGA），应用PC后接THB替代HAST。</w:t>
      </w:r>
    </w:p>
    <w:p w14:paraId="7FADAB96">
      <w:pPr>
        <w:pStyle w:val="24"/>
        <w:ind w:firstLine="480"/>
        <w:rPr>
          <w:rFonts w:hint="eastAsia" w:ascii="Times New Roman"/>
        </w:rPr>
      </w:pPr>
      <w:r>
        <w:rPr>
          <w:rFonts w:ascii="Times New Roman"/>
          <w:sz w:val="24"/>
          <w:szCs w:val="24"/>
          <w:vertAlign w:val="superscript"/>
        </w:rPr>
        <w:t>c*</w:t>
      </w:r>
      <w:r>
        <w:rPr>
          <w:rFonts w:ascii="Times New Roman"/>
        </w:rPr>
        <w:t>：对于对高温和高压敏感的封装（如BGA），应用PC后接TH替代UHST。</w:t>
      </w:r>
    </w:p>
    <w:p w14:paraId="449C9FC4">
      <w:pPr>
        <w:pStyle w:val="24"/>
        <w:ind w:firstLine="480"/>
        <w:rPr>
          <w:rFonts w:ascii="Times New Roman"/>
        </w:rPr>
      </w:pPr>
      <w:r>
        <w:rPr>
          <w:rFonts w:ascii="Times New Roman"/>
          <w:sz w:val="24"/>
          <w:szCs w:val="22"/>
          <w:vertAlign w:val="superscript"/>
        </w:rPr>
        <w:t>d*</w:t>
      </w:r>
      <w:r>
        <w:rPr>
          <w:rFonts w:ascii="Times New Roman"/>
        </w:rPr>
        <w:t>：对于铜线键合的芯片，A组应力试验需要在此基础上加严为2倍。</w:t>
      </w:r>
    </w:p>
    <w:p w14:paraId="55D6AE9A">
      <w:pPr>
        <w:pStyle w:val="24"/>
        <w:ind w:firstLine="480"/>
        <w:rPr>
          <w:rFonts w:hint="eastAsia" w:ascii="Times New Roman"/>
          <w:sz w:val="24"/>
          <w:szCs w:val="22"/>
          <w:vertAlign w:val="superscript"/>
        </w:rPr>
      </w:pPr>
      <w:r>
        <w:rPr>
          <w:rFonts w:hint="eastAsia" w:ascii="Times New Roman"/>
          <w:sz w:val="24"/>
          <w:szCs w:val="22"/>
          <w:vertAlign w:val="superscript"/>
        </w:rPr>
        <w:t>e</w:t>
      </w:r>
      <w:r>
        <w:rPr>
          <w:rFonts w:ascii="Times New Roman"/>
          <w:sz w:val="24"/>
          <w:szCs w:val="22"/>
          <w:vertAlign w:val="superscript"/>
        </w:rPr>
        <w:t>*</w:t>
      </w:r>
      <w:r>
        <w:rPr>
          <w:rFonts w:ascii="Times New Roman"/>
        </w:rPr>
        <w:t>：</w:t>
      </w:r>
      <w:r>
        <w:rPr>
          <w:rFonts w:hint="eastAsia" w:ascii="Times New Roman"/>
        </w:rPr>
        <w:t>本标准给出推荐的试验样品数量，</w:t>
      </w:r>
      <w:r>
        <w:rPr>
          <w:rFonts w:hint="eastAsia"/>
          <w:szCs w:val="18"/>
        </w:rPr>
        <w:t>实际以多芯片组件供应商和用户企业协商确认为准。</w:t>
      </w:r>
    </w:p>
    <w:p w14:paraId="5C5724C6">
      <w:pPr>
        <w:pStyle w:val="73"/>
        <w:ind w:left="0"/>
        <w:rPr>
          <w:rFonts w:ascii="Times New Roman"/>
        </w:rPr>
      </w:pPr>
      <w:bookmarkStart w:id="73" w:name="_Toc204873419"/>
      <w:r>
        <w:rPr>
          <w:rFonts w:ascii="Times New Roman"/>
        </w:rPr>
        <w:t>功能安全</w:t>
      </w:r>
      <w:r>
        <w:rPr>
          <w:rFonts w:hint="eastAsia" w:ascii="Times New Roman"/>
        </w:rPr>
        <w:t>分级要求</w:t>
      </w:r>
      <w:bookmarkEnd w:id="70"/>
      <w:bookmarkEnd w:id="71"/>
      <w:bookmarkEnd w:id="72"/>
      <w:bookmarkEnd w:id="73"/>
    </w:p>
    <w:p w14:paraId="162AAC81">
      <w:pPr>
        <w:pStyle w:val="24"/>
        <w:ind w:left="210" w:leftChars="100"/>
        <w:rPr>
          <w:rFonts w:ascii="Times New Roman"/>
        </w:rPr>
      </w:pPr>
      <w:r>
        <w:rPr>
          <w:rFonts w:hint="eastAsia" w:ascii="Times New Roman"/>
        </w:rPr>
        <w:t>汽车多芯片组件</w:t>
      </w:r>
      <w:r>
        <w:rPr>
          <w:rFonts w:ascii="Times New Roman"/>
        </w:rPr>
        <w:t>功能安全按等级由低到高分</w:t>
      </w:r>
      <w:r>
        <w:rPr>
          <w:rFonts w:hint="eastAsia" w:ascii="Times New Roman"/>
        </w:rPr>
        <w:t>为</w:t>
      </w:r>
      <w:r>
        <w:rPr>
          <w:rFonts w:ascii="Times New Roman"/>
        </w:rPr>
        <w:t>ASIL A、ASIL B、ASIL C和ASIL D</w:t>
      </w:r>
      <w:r>
        <w:rPr>
          <w:rFonts w:hint="eastAsia" w:ascii="Times New Roman"/>
        </w:rPr>
        <w:t xml:space="preserve"> </w:t>
      </w:r>
      <w:r>
        <w:rPr>
          <w:rFonts w:ascii="Times New Roman"/>
        </w:rPr>
        <w:t>4</w:t>
      </w:r>
      <w:r>
        <w:rPr>
          <w:rFonts w:hint="eastAsia" w:ascii="Times New Roman"/>
        </w:rPr>
        <w:t>个等级</w:t>
      </w:r>
      <w:r>
        <w:rPr>
          <w:rFonts w:ascii="Times New Roman"/>
        </w:rPr>
        <w:t>。不同功能安全等级对应的故障覆盖率如</w:t>
      </w:r>
      <w:r>
        <w:rPr>
          <w:rFonts w:hint="eastAsia" w:ascii="Times New Roman"/>
        </w:rPr>
        <w:t>表11</w:t>
      </w:r>
      <w:r>
        <w:rPr>
          <w:rFonts w:ascii="Times New Roman"/>
        </w:rPr>
        <w:t>所示。</w:t>
      </w:r>
    </w:p>
    <w:p w14:paraId="7E288BE7">
      <w:pPr>
        <w:pStyle w:val="24"/>
        <w:spacing w:before="156" w:beforeLines="50" w:after="156" w:afterLines="50"/>
        <w:ind w:firstLine="0" w:firstLineChars="0"/>
        <w:jc w:val="center"/>
        <w:rPr>
          <w:rFonts w:ascii="Times New Roman" w:eastAsia="黑体"/>
          <w:kern w:val="2"/>
          <w:sz w:val="20"/>
        </w:rPr>
      </w:pPr>
      <w:r>
        <w:rPr>
          <w:rFonts w:ascii="Times New Roman" w:eastAsia="黑体"/>
          <w:kern w:val="2"/>
          <w:sz w:val="20"/>
        </w:rPr>
        <w:t xml:space="preserve">表 </w:t>
      </w:r>
      <w:r>
        <w:rPr>
          <w:rFonts w:ascii="Times New Roman" w:eastAsia="黑体"/>
          <w:kern w:val="2"/>
          <w:sz w:val="20"/>
        </w:rPr>
        <w:fldChar w:fldCharType="begin" w:fldLock="1"/>
      </w:r>
      <w:r>
        <w:rPr>
          <w:rFonts w:ascii="Times New Roman" w:eastAsia="黑体"/>
          <w:kern w:val="2"/>
          <w:sz w:val="20"/>
        </w:rPr>
        <w:instrText xml:space="preserve"> SEQ 表 \* ARABIC </w:instrText>
      </w:r>
      <w:r>
        <w:rPr>
          <w:rFonts w:ascii="Times New Roman" w:eastAsia="黑体"/>
          <w:kern w:val="2"/>
          <w:sz w:val="20"/>
        </w:rPr>
        <w:fldChar w:fldCharType="separate"/>
      </w:r>
      <w:r>
        <w:rPr>
          <w:rFonts w:ascii="Times New Roman" w:eastAsia="黑体"/>
          <w:kern w:val="2"/>
          <w:sz w:val="20"/>
        </w:rPr>
        <w:t>11</w:t>
      </w:r>
      <w:r>
        <w:rPr>
          <w:rFonts w:ascii="Times New Roman" w:eastAsia="黑体"/>
          <w:kern w:val="2"/>
          <w:sz w:val="20"/>
        </w:rPr>
        <w:fldChar w:fldCharType="end"/>
      </w:r>
      <w:r>
        <w:rPr>
          <w:rFonts w:ascii="Times New Roman" w:eastAsia="黑体"/>
          <w:kern w:val="2"/>
          <w:sz w:val="20"/>
        </w:rPr>
        <w:t xml:space="preserve"> 不同功能安全等级对应的故障覆盖率</w:t>
      </w:r>
    </w:p>
    <w:tbl>
      <w:tblPr>
        <w:tblStyle w:val="33"/>
        <w:tblW w:w="7993"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942"/>
        <w:gridCol w:w="1962"/>
        <w:gridCol w:w="1929"/>
        <w:gridCol w:w="2160"/>
      </w:tblGrid>
      <w:tr w14:paraId="761B7D3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942" w:type="dxa"/>
            <w:tcBorders>
              <w:top w:val="single" w:color="000000" w:sz="12" w:space="0"/>
              <w:bottom w:val="single" w:color="000000" w:sz="12" w:space="0"/>
            </w:tcBorders>
            <w:shd w:val="clear" w:color="auto" w:fill="auto"/>
          </w:tcPr>
          <w:p w14:paraId="748C2236">
            <w:pPr>
              <w:pStyle w:val="24"/>
              <w:adjustRightInd w:val="0"/>
              <w:snapToGrid w:val="0"/>
              <w:spacing w:before="156" w:beforeLines="50" w:after="156" w:afterLines="50"/>
              <w:ind w:firstLine="0" w:firstLineChars="0"/>
              <w:jc w:val="center"/>
              <w:rPr>
                <w:rFonts w:ascii="Times New Roman"/>
                <w:szCs w:val="18"/>
              </w:rPr>
            </w:pPr>
            <w:r>
              <w:rPr>
                <w:rFonts w:ascii="Times New Roman"/>
                <w:szCs w:val="18"/>
              </w:rPr>
              <w:t>功能安全等级</w:t>
            </w:r>
          </w:p>
        </w:tc>
        <w:tc>
          <w:tcPr>
            <w:tcW w:w="1962" w:type="dxa"/>
            <w:tcBorders>
              <w:top w:val="single" w:color="000000" w:sz="12" w:space="0"/>
              <w:bottom w:val="single" w:color="000000" w:sz="12" w:space="0"/>
            </w:tcBorders>
            <w:shd w:val="clear" w:color="auto" w:fill="auto"/>
          </w:tcPr>
          <w:p w14:paraId="3F097737">
            <w:pPr>
              <w:pStyle w:val="24"/>
              <w:adjustRightInd w:val="0"/>
              <w:snapToGrid w:val="0"/>
              <w:spacing w:before="156" w:beforeLines="50" w:after="156" w:afterLines="50"/>
              <w:ind w:firstLine="0" w:firstLineChars="0"/>
              <w:jc w:val="center"/>
              <w:rPr>
                <w:rFonts w:ascii="Times New Roman"/>
                <w:szCs w:val="18"/>
              </w:rPr>
            </w:pPr>
            <w:r>
              <w:rPr>
                <w:rFonts w:ascii="Times New Roman"/>
                <w:szCs w:val="18"/>
              </w:rPr>
              <w:t>单点故障度量</w:t>
            </w:r>
          </w:p>
        </w:tc>
        <w:tc>
          <w:tcPr>
            <w:tcW w:w="1929" w:type="dxa"/>
            <w:tcBorders>
              <w:top w:val="single" w:color="000000" w:sz="12" w:space="0"/>
              <w:bottom w:val="single" w:color="000000" w:sz="12" w:space="0"/>
            </w:tcBorders>
          </w:tcPr>
          <w:p w14:paraId="692F4DB9">
            <w:pPr>
              <w:pStyle w:val="24"/>
              <w:adjustRightInd w:val="0"/>
              <w:snapToGrid w:val="0"/>
              <w:spacing w:before="156" w:beforeLines="50" w:after="156" w:afterLines="50"/>
              <w:ind w:firstLine="0" w:firstLineChars="0"/>
              <w:jc w:val="center"/>
              <w:rPr>
                <w:rFonts w:ascii="Times New Roman"/>
                <w:szCs w:val="18"/>
              </w:rPr>
            </w:pPr>
            <w:r>
              <w:rPr>
                <w:rFonts w:ascii="Times New Roman"/>
                <w:szCs w:val="18"/>
              </w:rPr>
              <w:t>潜伏故障度量</w:t>
            </w:r>
          </w:p>
        </w:tc>
        <w:tc>
          <w:tcPr>
            <w:tcW w:w="2160" w:type="dxa"/>
            <w:tcBorders>
              <w:top w:val="single" w:color="000000" w:sz="12" w:space="0"/>
              <w:bottom w:val="single" w:color="000000" w:sz="12" w:space="0"/>
            </w:tcBorders>
          </w:tcPr>
          <w:p w14:paraId="56C59CC1">
            <w:pPr>
              <w:pStyle w:val="24"/>
              <w:adjustRightInd w:val="0"/>
              <w:snapToGrid w:val="0"/>
              <w:spacing w:before="156" w:beforeLines="50" w:after="156" w:afterLines="50"/>
              <w:ind w:firstLine="0" w:firstLineChars="0"/>
              <w:jc w:val="center"/>
              <w:rPr>
                <w:rFonts w:ascii="Times New Roman"/>
                <w:szCs w:val="18"/>
              </w:rPr>
            </w:pPr>
            <w:r>
              <w:rPr>
                <w:rFonts w:ascii="Times New Roman"/>
                <w:szCs w:val="18"/>
              </w:rPr>
              <w:t>随机硬件失效目标值</w:t>
            </w:r>
          </w:p>
        </w:tc>
      </w:tr>
      <w:tr w14:paraId="3036D7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942" w:type="dxa"/>
            <w:tcBorders>
              <w:top w:val="single" w:color="000000" w:sz="12" w:space="0"/>
            </w:tcBorders>
            <w:shd w:val="clear" w:color="auto" w:fill="auto"/>
          </w:tcPr>
          <w:p w14:paraId="179E9BEB">
            <w:pPr>
              <w:pStyle w:val="24"/>
              <w:adjustRightInd w:val="0"/>
              <w:snapToGrid w:val="0"/>
              <w:ind w:firstLine="0" w:firstLineChars="0"/>
              <w:jc w:val="center"/>
              <w:rPr>
                <w:rFonts w:ascii="Times New Roman"/>
                <w:szCs w:val="18"/>
              </w:rPr>
            </w:pPr>
            <w:r>
              <w:rPr>
                <w:rFonts w:ascii="Times New Roman"/>
              </w:rPr>
              <w:t>ASIL B</w:t>
            </w:r>
          </w:p>
        </w:tc>
        <w:tc>
          <w:tcPr>
            <w:tcW w:w="1962" w:type="dxa"/>
            <w:tcBorders>
              <w:top w:val="single" w:color="000000" w:sz="12" w:space="0"/>
            </w:tcBorders>
            <w:shd w:val="clear" w:color="auto" w:fill="auto"/>
          </w:tcPr>
          <w:p w14:paraId="3AD0350D">
            <w:pPr>
              <w:pStyle w:val="24"/>
              <w:adjustRightInd w:val="0"/>
              <w:snapToGrid w:val="0"/>
              <w:ind w:firstLine="0" w:firstLineChars="0"/>
              <w:jc w:val="center"/>
              <w:rPr>
                <w:rFonts w:ascii="Times New Roman"/>
                <w:szCs w:val="18"/>
              </w:rPr>
            </w:pPr>
            <w:r>
              <w:rPr>
                <w:rFonts w:ascii="Times New Roman"/>
                <w:szCs w:val="18"/>
              </w:rPr>
              <w:t>≥90%</w:t>
            </w:r>
          </w:p>
        </w:tc>
        <w:tc>
          <w:tcPr>
            <w:tcW w:w="1929" w:type="dxa"/>
            <w:tcBorders>
              <w:top w:val="single" w:color="000000" w:sz="12" w:space="0"/>
            </w:tcBorders>
          </w:tcPr>
          <w:p w14:paraId="609013C7">
            <w:pPr>
              <w:pStyle w:val="24"/>
              <w:adjustRightInd w:val="0"/>
              <w:snapToGrid w:val="0"/>
              <w:ind w:firstLine="0" w:firstLineChars="0"/>
              <w:jc w:val="center"/>
              <w:rPr>
                <w:rFonts w:ascii="Times New Roman"/>
                <w:szCs w:val="18"/>
              </w:rPr>
            </w:pPr>
            <w:r>
              <w:rPr>
                <w:rFonts w:ascii="Times New Roman"/>
                <w:szCs w:val="18"/>
              </w:rPr>
              <w:t>≥60%</w:t>
            </w:r>
          </w:p>
        </w:tc>
        <w:tc>
          <w:tcPr>
            <w:tcW w:w="2160" w:type="dxa"/>
            <w:tcBorders>
              <w:top w:val="single" w:color="000000" w:sz="12" w:space="0"/>
            </w:tcBorders>
          </w:tcPr>
          <w:p w14:paraId="1253B441">
            <w:pPr>
              <w:pStyle w:val="24"/>
              <w:adjustRightInd w:val="0"/>
              <w:snapToGrid w:val="0"/>
              <w:ind w:firstLine="0" w:firstLineChars="0"/>
              <w:jc w:val="center"/>
              <w:rPr>
                <w:rFonts w:ascii="Times New Roman"/>
                <w:szCs w:val="18"/>
                <w:vertAlign w:val="superscript"/>
              </w:rPr>
            </w:pPr>
            <w:r>
              <w:rPr>
                <w:rFonts w:ascii="Times New Roman"/>
                <w:szCs w:val="18"/>
              </w:rPr>
              <w:t>&lt;10</w:t>
            </w:r>
            <w:r>
              <w:rPr>
                <w:rFonts w:ascii="Times New Roman"/>
                <w:szCs w:val="18"/>
                <w:vertAlign w:val="superscript"/>
              </w:rPr>
              <w:t>-7h</w:t>
            </w:r>
          </w:p>
        </w:tc>
      </w:tr>
      <w:tr w14:paraId="6805CA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942" w:type="dxa"/>
            <w:shd w:val="clear" w:color="auto" w:fill="auto"/>
          </w:tcPr>
          <w:p w14:paraId="4304003E">
            <w:pPr>
              <w:pStyle w:val="24"/>
              <w:adjustRightInd w:val="0"/>
              <w:snapToGrid w:val="0"/>
              <w:ind w:firstLine="0" w:firstLineChars="0"/>
              <w:jc w:val="center"/>
              <w:rPr>
                <w:rFonts w:ascii="Times New Roman"/>
                <w:szCs w:val="18"/>
              </w:rPr>
            </w:pPr>
            <w:r>
              <w:rPr>
                <w:rFonts w:ascii="Times New Roman"/>
              </w:rPr>
              <w:t>ASIL C</w:t>
            </w:r>
          </w:p>
        </w:tc>
        <w:tc>
          <w:tcPr>
            <w:tcW w:w="1962" w:type="dxa"/>
            <w:shd w:val="clear" w:color="auto" w:fill="auto"/>
          </w:tcPr>
          <w:p w14:paraId="0B8A24E4">
            <w:pPr>
              <w:pStyle w:val="24"/>
              <w:adjustRightInd w:val="0"/>
              <w:snapToGrid w:val="0"/>
              <w:ind w:firstLine="0" w:firstLineChars="0"/>
              <w:jc w:val="center"/>
              <w:rPr>
                <w:rFonts w:ascii="Times New Roman"/>
                <w:szCs w:val="18"/>
              </w:rPr>
            </w:pPr>
            <w:r>
              <w:rPr>
                <w:rFonts w:ascii="Times New Roman"/>
                <w:szCs w:val="18"/>
              </w:rPr>
              <w:t>≥97%</w:t>
            </w:r>
          </w:p>
        </w:tc>
        <w:tc>
          <w:tcPr>
            <w:tcW w:w="1929" w:type="dxa"/>
          </w:tcPr>
          <w:p w14:paraId="4DB5F48D">
            <w:pPr>
              <w:pStyle w:val="24"/>
              <w:adjustRightInd w:val="0"/>
              <w:snapToGrid w:val="0"/>
              <w:ind w:firstLine="0" w:firstLineChars="0"/>
              <w:jc w:val="center"/>
              <w:rPr>
                <w:rFonts w:ascii="Times New Roman"/>
                <w:szCs w:val="18"/>
              </w:rPr>
            </w:pPr>
            <w:r>
              <w:rPr>
                <w:rFonts w:ascii="Times New Roman"/>
                <w:szCs w:val="18"/>
              </w:rPr>
              <w:t>≥80%</w:t>
            </w:r>
          </w:p>
        </w:tc>
        <w:tc>
          <w:tcPr>
            <w:tcW w:w="2160" w:type="dxa"/>
          </w:tcPr>
          <w:p w14:paraId="5873A820">
            <w:pPr>
              <w:pStyle w:val="24"/>
              <w:adjustRightInd w:val="0"/>
              <w:snapToGrid w:val="0"/>
              <w:ind w:firstLine="0" w:firstLineChars="0"/>
              <w:jc w:val="center"/>
              <w:rPr>
                <w:rFonts w:ascii="Times New Roman"/>
                <w:szCs w:val="18"/>
              </w:rPr>
            </w:pPr>
            <w:r>
              <w:rPr>
                <w:rFonts w:ascii="Times New Roman"/>
                <w:szCs w:val="18"/>
              </w:rPr>
              <w:t>&lt;10</w:t>
            </w:r>
            <w:r>
              <w:rPr>
                <w:rFonts w:ascii="Times New Roman"/>
                <w:szCs w:val="18"/>
                <w:vertAlign w:val="superscript"/>
              </w:rPr>
              <w:t>-7h</w:t>
            </w:r>
          </w:p>
        </w:tc>
      </w:tr>
      <w:tr w14:paraId="507963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942" w:type="dxa"/>
            <w:shd w:val="clear" w:color="auto" w:fill="auto"/>
          </w:tcPr>
          <w:p w14:paraId="41434D35">
            <w:pPr>
              <w:pStyle w:val="24"/>
              <w:adjustRightInd w:val="0"/>
              <w:snapToGrid w:val="0"/>
              <w:ind w:firstLine="0" w:firstLineChars="0"/>
              <w:jc w:val="center"/>
              <w:rPr>
                <w:rFonts w:ascii="Times New Roman"/>
                <w:szCs w:val="18"/>
              </w:rPr>
            </w:pPr>
            <w:r>
              <w:rPr>
                <w:rFonts w:ascii="Times New Roman"/>
              </w:rPr>
              <w:t>ASIL D</w:t>
            </w:r>
          </w:p>
        </w:tc>
        <w:tc>
          <w:tcPr>
            <w:tcW w:w="1962" w:type="dxa"/>
            <w:shd w:val="clear" w:color="auto" w:fill="auto"/>
          </w:tcPr>
          <w:p w14:paraId="4DF5BF72">
            <w:pPr>
              <w:pStyle w:val="24"/>
              <w:adjustRightInd w:val="0"/>
              <w:snapToGrid w:val="0"/>
              <w:ind w:firstLine="0" w:firstLineChars="0"/>
              <w:jc w:val="center"/>
              <w:rPr>
                <w:rFonts w:ascii="Times New Roman"/>
                <w:szCs w:val="18"/>
              </w:rPr>
            </w:pPr>
            <w:r>
              <w:rPr>
                <w:rFonts w:ascii="Times New Roman"/>
                <w:szCs w:val="18"/>
              </w:rPr>
              <w:t>≥99%</w:t>
            </w:r>
          </w:p>
        </w:tc>
        <w:tc>
          <w:tcPr>
            <w:tcW w:w="1929" w:type="dxa"/>
          </w:tcPr>
          <w:p w14:paraId="67BE6668">
            <w:pPr>
              <w:pStyle w:val="24"/>
              <w:adjustRightInd w:val="0"/>
              <w:snapToGrid w:val="0"/>
              <w:ind w:firstLine="0" w:firstLineChars="0"/>
              <w:jc w:val="center"/>
              <w:rPr>
                <w:rFonts w:ascii="Times New Roman"/>
                <w:szCs w:val="18"/>
              </w:rPr>
            </w:pPr>
            <w:r>
              <w:rPr>
                <w:rFonts w:ascii="Times New Roman"/>
                <w:szCs w:val="18"/>
              </w:rPr>
              <w:t>≥90%</w:t>
            </w:r>
          </w:p>
        </w:tc>
        <w:tc>
          <w:tcPr>
            <w:tcW w:w="2160" w:type="dxa"/>
          </w:tcPr>
          <w:p w14:paraId="0E6B9680">
            <w:pPr>
              <w:pStyle w:val="24"/>
              <w:adjustRightInd w:val="0"/>
              <w:snapToGrid w:val="0"/>
              <w:ind w:firstLine="0" w:firstLineChars="0"/>
              <w:jc w:val="center"/>
              <w:rPr>
                <w:rFonts w:ascii="Times New Roman"/>
                <w:szCs w:val="18"/>
              </w:rPr>
            </w:pPr>
            <w:r>
              <w:rPr>
                <w:rFonts w:ascii="Times New Roman"/>
                <w:szCs w:val="18"/>
              </w:rPr>
              <w:t>&lt;10</w:t>
            </w:r>
            <w:r>
              <w:rPr>
                <w:rFonts w:ascii="Times New Roman"/>
                <w:szCs w:val="18"/>
                <w:vertAlign w:val="superscript"/>
              </w:rPr>
              <w:t>-8h</w:t>
            </w:r>
          </w:p>
        </w:tc>
      </w:tr>
    </w:tbl>
    <w:p w14:paraId="5BEAE56A">
      <w:pPr>
        <w:pStyle w:val="73"/>
        <w:ind w:left="0"/>
        <w:rPr>
          <w:rFonts w:ascii="Times New Roman"/>
        </w:rPr>
      </w:pPr>
      <w:bookmarkStart w:id="74" w:name="_Toc199063398"/>
      <w:bookmarkStart w:id="75" w:name="_Toc201506408"/>
      <w:bookmarkStart w:id="76" w:name="_Toc204873420"/>
      <w:bookmarkStart w:id="77" w:name="_Toc199203876"/>
      <w:r>
        <w:rPr>
          <w:rFonts w:hint="eastAsia" w:ascii="Times New Roman"/>
        </w:rPr>
        <w:t>电磁兼容分级要求</w:t>
      </w:r>
      <w:bookmarkEnd w:id="74"/>
      <w:bookmarkEnd w:id="75"/>
      <w:bookmarkEnd w:id="76"/>
      <w:bookmarkEnd w:id="77"/>
    </w:p>
    <w:p w14:paraId="5D6FEB06">
      <w:pPr>
        <w:pStyle w:val="24"/>
        <w:ind w:left="210" w:leftChars="100"/>
        <w:rPr>
          <w:rFonts w:ascii="Times New Roman"/>
        </w:rPr>
      </w:pPr>
      <w:r>
        <w:rPr>
          <w:rFonts w:ascii="Times New Roman"/>
        </w:rPr>
        <w:t>汽车多芯片组件电磁兼容</w:t>
      </w:r>
      <w:r>
        <w:rPr>
          <w:rFonts w:hint="eastAsia" w:ascii="Times New Roman"/>
        </w:rPr>
        <w:t>分级要求</w:t>
      </w:r>
      <w:r>
        <w:rPr>
          <w:rFonts w:ascii="Times New Roman"/>
        </w:rPr>
        <w:t>如</w:t>
      </w:r>
      <w:r>
        <w:rPr>
          <w:rFonts w:ascii="Times New Roman"/>
        </w:rPr>
        <w:fldChar w:fldCharType="begin" w:fldLock="1"/>
      </w:r>
      <w:r>
        <w:rPr>
          <w:rFonts w:ascii="Times New Roman"/>
        </w:rPr>
        <w:instrText xml:space="preserve"> REF _Ref193665271 \h  \* MERGEFORMAT </w:instrText>
      </w:r>
      <w:r>
        <w:rPr>
          <w:rFonts w:ascii="Times New Roman"/>
        </w:rPr>
        <w:fldChar w:fldCharType="separate"/>
      </w:r>
      <w:r>
        <w:rPr>
          <w:rFonts w:ascii="Times New Roman"/>
        </w:rPr>
        <w:t>表 12</w:t>
      </w:r>
      <w:r>
        <w:rPr>
          <w:rFonts w:ascii="Times New Roman"/>
        </w:rPr>
        <w:fldChar w:fldCharType="end"/>
      </w:r>
      <w:r>
        <w:rPr>
          <w:rFonts w:ascii="Times New Roman"/>
        </w:rPr>
        <w:t>所示（基于TEM小室法，其他方法可以参考</w:t>
      </w:r>
      <w:r>
        <w:rPr>
          <w:rFonts w:hint="eastAsia" w:ascii="Times New Roman"/>
        </w:rPr>
        <w:t>表13</w:t>
      </w:r>
      <w:r>
        <w:rPr>
          <w:rFonts w:ascii="Times New Roman"/>
        </w:rPr>
        <w:t>）。</w:t>
      </w:r>
    </w:p>
    <w:p w14:paraId="29982504">
      <w:pPr>
        <w:pStyle w:val="24"/>
        <w:spacing w:before="156" w:beforeLines="50" w:after="156" w:afterLines="50"/>
        <w:ind w:firstLine="0" w:firstLineChars="0"/>
        <w:jc w:val="center"/>
        <w:rPr>
          <w:rFonts w:eastAsia="黑体"/>
          <w:sz w:val="20"/>
        </w:rPr>
      </w:pPr>
      <w:bookmarkStart w:id="78" w:name="_Ref193665271"/>
      <w:r>
        <w:rPr>
          <w:rFonts w:eastAsia="黑体"/>
          <w:sz w:val="20"/>
        </w:rPr>
        <w:t xml:space="preserve">表 </w:t>
      </w:r>
      <w:r>
        <w:rPr>
          <w:rFonts w:eastAsia="黑体"/>
          <w:sz w:val="20"/>
        </w:rPr>
        <w:fldChar w:fldCharType="begin" w:fldLock="1"/>
      </w:r>
      <w:r>
        <w:rPr>
          <w:rFonts w:eastAsia="黑体"/>
          <w:sz w:val="20"/>
        </w:rPr>
        <w:instrText xml:space="preserve"> SEQ 表 \* ARABIC </w:instrText>
      </w:r>
      <w:r>
        <w:rPr>
          <w:rFonts w:eastAsia="黑体"/>
          <w:sz w:val="20"/>
        </w:rPr>
        <w:fldChar w:fldCharType="separate"/>
      </w:r>
      <w:r>
        <w:rPr>
          <w:rFonts w:eastAsia="黑体"/>
          <w:sz w:val="20"/>
        </w:rPr>
        <w:t>12</w:t>
      </w:r>
      <w:r>
        <w:rPr>
          <w:rFonts w:eastAsia="黑体"/>
          <w:sz w:val="20"/>
        </w:rPr>
        <w:fldChar w:fldCharType="end"/>
      </w:r>
      <w:bookmarkEnd w:id="78"/>
      <w:r>
        <w:rPr>
          <w:rFonts w:eastAsia="黑体"/>
          <w:sz w:val="20"/>
        </w:rPr>
        <w:t xml:space="preserve"> </w:t>
      </w:r>
      <w:r>
        <w:rPr>
          <w:rFonts w:hint="eastAsia" w:eastAsia="黑体"/>
          <w:sz w:val="20"/>
        </w:rPr>
        <w:t>汽车多芯片组件</w:t>
      </w:r>
      <w:r>
        <w:rPr>
          <w:rFonts w:eastAsia="黑体"/>
          <w:sz w:val="20"/>
        </w:rPr>
        <w:t>电磁兼容等级</w:t>
      </w:r>
    </w:p>
    <w:tbl>
      <w:tblPr>
        <w:tblStyle w:val="33"/>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985"/>
        <w:gridCol w:w="3402"/>
      </w:tblGrid>
      <w:tr w14:paraId="5359CEE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985" w:type="dxa"/>
            <w:tcBorders>
              <w:top w:val="single" w:color="000000" w:sz="12" w:space="0"/>
              <w:bottom w:val="single" w:color="000000" w:sz="12" w:space="0"/>
            </w:tcBorders>
            <w:shd w:val="clear" w:color="auto" w:fill="auto"/>
          </w:tcPr>
          <w:p w14:paraId="4CD0CA24">
            <w:pPr>
              <w:widowControl/>
              <w:tabs>
                <w:tab w:val="center" w:pos="4201"/>
                <w:tab w:val="right" w:leader="dot" w:pos="9298"/>
              </w:tabs>
              <w:autoSpaceDE w:val="0"/>
              <w:autoSpaceDN w:val="0"/>
              <w:adjustRightInd w:val="0"/>
              <w:snapToGrid w:val="0"/>
              <w:spacing w:before="156" w:beforeLines="50" w:after="156" w:afterLines="50"/>
              <w:jc w:val="center"/>
              <w:rPr>
                <w:kern w:val="0"/>
                <w:szCs w:val="18"/>
              </w:rPr>
            </w:pPr>
            <w:r>
              <w:rPr>
                <w:kern w:val="0"/>
                <w:szCs w:val="18"/>
              </w:rPr>
              <w:t>等级</w:t>
            </w:r>
          </w:p>
        </w:tc>
        <w:tc>
          <w:tcPr>
            <w:tcW w:w="3402" w:type="dxa"/>
            <w:tcBorders>
              <w:top w:val="single" w:color="000000" w:sz="12" w:space="0"/>
              <w:bottom w:val="single" w:color="000000" w:sz="12" w:space="0"/>
            </w:tcBorders>
            <w:shd w:val="clear" w:color="auto" w:fill="auto"/>
          </w:tcPr>
          <w:p w14:paraId="00E7B00F">
            <w:pPr>
              <w:widowControl/>
              <w:tabs>
                <w:tab w:val="center" w:pos="4201"/>
                <w:tab w:val="right" w:leader="dot" w:pos="9298"/>
              </w:tabs>
              <w:autoSpaceDE w:val="0"/>
              <w:autoSpaceDN w:val="0"/>
              <w:adjustRightInd w:val="0"/>
              <w:snapToGrid w:val="0"/>
              <w:spacing w:before="156" w:beforeLines="50" w:after="156" w:afterLines="50"/>
              <w:jc w:val="center"/>
              <w:rPr>
                <w:kern w:val="0"/>
                <w:szCs w:val="18"/>
              </w:rPr>
            </w:pPr>
            <w:r>
              <w:rPr>
                <w:kern w:val="0"/>
                <w:szCs w:val="18"/>
              </w:rPr>
              <w:t>功率电平范围</w:t>
            </w:r>
          </w:p>
        </w:tc>
      </w:tr>
      <w:tr w14:paraId="66AEF8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985" w:type="dxa"/>
            <w:tcBorders>
              <w:top w:val="single" w:color="000000" w:sz="12" w:space="0"/>
            </w:tcBorders>
            <w:shd w:val="clear" w:color="auto" w:fill="auto"/>
          </w:tcPr>
          <w:p w14:paraId="3763F24D">
            <w:pPr>
              <w:widowControl/>
              <w:tabs>
                <w:tab w:val="center" w:pos="4201"/>
                <w:tab w:val="right" w:leader="dot" w:pos="9298"/>
              </w:tabs>
              <w:autoSpaceDE w:val="0"/>
              <w:autoSpaceDN w:val="0"/>
              <w:adjustRightInd w:val="0"/>
              <w:snapToGrid w:val="0"/>
              <w:jc w:val="center"/>
              <w:rPr>
                <w:kern w:val="0"/>
                <w:szCs w:val="18"/>
              </w:rPr>
            </w:pPr>
            <w:r>
              <w:rPr>
                <w:kern w:val="0"/>
                <w:szCs w:val="18"/>
              </w:rPr>
              <w:t>I</w:t>
            </w:r>
          </w:p>
        </w:tc>
        <w:tc>
          <w:tcPr>
            <w:tcW w:w="3402" w:type="dxa"/>
            <w:tcBorders>
              <w:top w:val="single" w:color="000000" w:sz="12" w:space="0"/>
            </w:tcBorders>
            <w:shd w:val="clear" w:color="auto" w:fill="auto"/>
          </w:tcPr>
          <w:p w14:paraId="10534C9E">
            <w:pPr>
              <w:widowControl/>
              <w:tabs>
                <w:tab w:val="center" w:pos="4201"/>
                <w:tab w:val="right" w:leader="dot" w:pos="9298"/>
              </w:tabs>
              <w:autoSpaceDE w:val="0"/>
              <w:autoSpaceDN w:val="0"/>
              <w:adjustRightInd w:val="0"/>
              <w:snapToGrid w:val="0"/>
              <w:jc w:val="center"/>
              <w:rPr>
                <w:kern w:val="0"/>
                <w:szCs w:val="18"/>
              </w:rPr>
            </w:pPr>
            <w:r>
              <w:rPr>
                <w:kern w:val="0"/>
                <w:szCs w:val="18"/>
              </w:rPr>
              <w:t>24</w:t>
            </w:r>
            <w:r>
              <w:rPr>
                <w:rFonts w:hint="eastAsia"/>
                <w:szCs w:val="18"/>
              </w:rPr>
              <w:t>≤V</w:t>
            </w:r>
            <w:r>
              <w:rPr>
                <w:szCs w:val="18"/>
              </w:rPr>
              <w:t>＜</w:t>
            </w:r>
            <w:r>
              <w:rPr>
                <w:kern w:val="0"/>
                <w:szCs w:val="18"/>
              </w:rPr>
              <w:t>36dBuV</w:t>
            </w:r>
          </w:p>
        </w:tc>
      </w:tr>
      <w:tr w14:paraId="30980F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985" w:type="dxa"/>
            <w:shd w:val="clear" w:color="auto" w:fill="auto"/>
          </w:tcPr>
          <w:p w14:paraId="617896EF">
            <w:pPr>
              <w:widowControl/>
              <w:tabs>
                <w:tab w:val="center" w:pos="4201"/>
                <w:tab w:val="right" w:leader="dot" w:pos="9298"/>
              </w:tabs>
              <w:autoSpaceDE w:val="0"/>
              <w:autoSpaceDN w:val="0"/>
              <w:adjustRightInd w:val="0"/>
              <w:snapToGrid w:val="0"/>
              <w:jc w:val="center"/>
              <w:rPr>
                <w:kern w:val="0"/>
                <w:szCs w:val="18"/>
              </w:rPr>
            </w:pPr>
            <w:r>
              <w:rPr>
                <w:kern w:val="0"/>
                <w:szCs w:val="18"/>
              </w:rPr>
              <w:t>L</w:t>
            </w:r>
          </w:p>
        </w:tc>
        <w:tc>
          <w:tcPr>
            <w:tcW w:w="3402" w:type="dxa"/>
            <w:shd w:val="clear" w:color="auto" w:fill="auto"/>
          </w:tcPr>
          <w:p w14:paraId="6A433D6B">
            <w:pPr>
              <w:widowControl/>
              <w:tabs>
                <w:tab w:val="center" w:pos="4201"/>
                <w:tab w:val="right" w:leader="dot" w:pos="9298"/>
              </w:tabs>
              <w:autoSpaceDE w:val="0"/>
              <w:autoSpaceDN w:val="0"/>
              <w:adjustRightInd w:val="0"/>
              <w:snapToGrid w:val="0"/>
              <w:jc w:val="center"/>
              <w:rPr>
                <w:kern w:val="0"/>
                <w:szCs w:val="18"/>
              </w:rPr>
            </w:pPr>
            <w:r>
              <w:rPr>
                <w:kern w:val="0"/>
                <w:szCs w:val="18"/>
              </w:rPr>
              <w:t>12</w:t>
            </w:r>
            <w:r>
              <w:rPr>
                <w:rFonts w:hint="eastAsia"/>
                <w:szCs w:val="18"/>
              </w:rPr>
              <w:t>≤V</w:t>
            </w:r>
            <w:r>
              <w:rPr>
                <w:szCs w:val="18"/>
              </w:rPr>
              <w:t>＜</w:t>
            </w:r>
            <w:r>
              <w:rPr>
                <w:kern w:val="0"/>
                <w:szCs w:val="18"/>
              </w:rPr>
              <w:t>24dBuV</w:t>
            </w:r>
          </w:p>
        </w:tc>
      </w:tr>
      <w:tr w14:paraId="6CCDF0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985" w:type="dxa"/>
            <w:shd w:val="clear" w:color="auto" w:fill="auto"/>
          </w:tcPr>
          <w:p w14:paraId="549B9010">
            <w:pPr>
              <w:widowControl/>
              <w:tabs>
                <w:tab w:val="center" w:pos="4201"/>
                <w:tab w:val="right" w:leader="dot" w:pos="9298"/>
              </w:tabs>
              <w:autoSpaceDE w:val="0"/>
              <w:autoSpaceDN w:val="0"/>
              <w:adjustRightInd w:val="0"/>
              <w:snapToGrid w:val="0"/>
              <w:jc w:val="center"/>
              <w:rPr>
                <w:kern w:val="0"/>
                <w:szCs w:val="18"/>
              </w:rPr>
            </w:pPr>
            <w:r>
              <w:rPr>
                <w:kern w:val="0"/>
                <w:szCs w:val="18"/>
              </w:rPr>
              <w:t>N</w:t>
            </w:r>
          </w:p>
        </w:tc>
        <w:tc>
          <w:tcPr>
            <w:tcW w:w="3402" w:type="dxa"/>
            <w:shd w:val="clear" w:color="auto" w:fill="auto"/>
          </w:tcPr>
          <w:p w14:paraId="6EF29F16">
            <w:pPr>
              <w:widowControl/>
              <w:tabs>
                <w:tab w:val="center" w:pos="4201"/>
                <w:tab w:val="right" w:leader="dot" w:pos="9298"/>
              </w:tabs>
              <w:autoSpaceDE w:val="0"/>
              <w:autoSpaceDN w:val="0"/>
              <w:adjustRightInd w:val="0"/>
              <w:snapToGrid w:val="0"/>
              <w:jc w:val="center"/>
              <w:rPr>
                <w:kern w:val="0"/>
                <w:szCs w:val="18"/>
              </w:rPr>
            </w:pPr>
            <w:r>
              <w:rPr>
                <w:kern w:val="0"/>
                <w:szCs w:val="18"/>
              </w:rPr>
              <w:t>0</w:t>
            </w:r>
            <w:r>
              <w:rPr>
                <w:rFonts w:hint="eastAsia"/>
                <w:szCs w:val="18"/>
              </w:rPr>
              <w:t>≤V</w:t>
            </w:r>
            <w:r>
              <w:rPr>
                <w:szCs w:val="18"/>
              </w:rPr>
              <w:t>＜</w:t>
            </w:r>
            <w:r>
              <w:rPr>
                <w:kern w:val="0"/>
                <w:szCs w:val="18"/>
              </w:rPr>
              <w:t>12dBuV</w:t>
            </w:r>
          </w:p>
        </w:tc>
      </w:tr>
    </w:tbl>
    <w:p w14:paraId="3397D779">
      <w:pPr>
        <w:pStyle w:val="24"/>
        <w:spacing w:before="156" w:beforeLines="50" w:after="156" w:afterLines="50"/>
        <w:ind w:firstLine="0" w:firstLineChars="0"/>
        <w:jc w:val="center"/>
        <w:rPr>
          <w:rFonts w:eastAsia="黑体"/>
          <w:sz w:val="20"/>
        </w:rPr>
      </w:pPr>
      <w:r>
        <w:rPr>
          <w:rFonts w:eastAsia="黑体"/>
          <w:sz w:val="20"/>
        </w:rPr>
        <w:t xml:space="preserve">表 </w:t>
      </w:r>
      <w:r>
        <w:rPr>
          <w:rFonts w:eastAsia="黑体"/>
          <w:sz w:val="20"/>
        </w:rPr>
        <w:fldChar w:fldCharType="begin" w:fldLock="1"/>
      </w:r>
      <w:r>
        <w:rPr>
          <w:rFonts w:eastAsia="黑体"/>
          <w:sz w:val="20"/>
        </w:rPr>
        <w:instrText xml:space="preserve"> SEQ 表 \* ARABIC </w:instrText>
      </w:r>
      <w:r>
        <w:rPr>
          <w:rFonts w:eastAsia="黑体"/>
          <w:sz w:val="20"/>
        </w:rPr>
        <w:fldChar w:fldCharType="separate"/>
      </w:r>
      <w:r>
        <w:rPr>
          <w:rFonts w:eastAsia="黑体"/>
          <w:sz w:val="20"/>
        </w:rPr>
        <w:t>13</w:t>
      </w:r>
      <w:r>
        <w:rPr>
          <w:rFonts w:eastAsia="黑体"/>
          <w:sz w:val="20"/>
        </w:rPr>
        <w:fldChar w:fldCharType="end"/>
      </w:r>
      <w:r>
        <w:rPr>
          <w:rFonts w:eastAsia="黑体"/>
          <w:sz w:val="20"/>
        </w:rPr>
        <w:t xml:space="preserve"> 电磁兼容</w:t>
      </w:r>
      <w:r>
        <w:rPr>
          <w:rFonts w:hint="eastAsia" w:eastAsia="黑体"/>
          <w:sz w:val="20"/>
        </w:rPr>
        <w:t>测试方法</w:t>
      </w:r>
    </w:p>
    <w:tbl>
      <w:tblPr>
        <w:tblStyle w:val="34"/>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2088"/>
        <w:gridCol w:w="3924"/>
        <w:gridCol w:w="3559"/>
      </w:tblGrid>
      <w:tr w14:paraId="59FCAF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091" w:type="pct"/>
            <w:tcBorders>
              <w:top w:val="single" w:color="000000" w:sz="12" w:space="0"/>
              <w:bottom w:val="single" w:color="000000" w:sz="12" w:space="0"/>
            </w:tcBorders>
            <w:vAlign w:val="center"/>
          </w:tcPr>
          <w:p w14:paraId="63320BB4">
            <w:pPr>
              <w:widowControl/>
              <w:tabs>
                <w:tab w:val="center" w:pos="4201"/>
                <w:tab w:val="right" w:leader="dot" w:pos="9298"/>
              </w:tabs>
              <w:autoSpaceDE w:val="0"/>
              <w:autoSpaceDN w:val="0"/>
              <w:adjustRightInd w:val="0"/>
              <w:snapToGrid w:val="0"/>
              <w:spacing w:before="156" w:beforeLines="50" w:after="156" w:afterLines="50"/>
              <w:jc w:val="center"/>
              <w:rPr>
                <w:rFonts w:ascii="Times New Roman"/>
                <w:kern w:val="0"/>
                <w:szCs w:val="18"/>
              </w:rPr>
            </w:pPr>
            <w:r>
              <w:rPr>
                <w:rFonts w:ascii="Times New Roman"/>
                <w:kern w:val="0"/>
                <w:szCs w:val="18"/>
              </w:rPr>
              <w:t>检测项目</w:t>
            </w:r>
          </w:p>
        </w:tc>
        <w:tc>
          <w:tcPr>
            <w:tcW w:w="2050" w:type="pct"/>
            <w:tcBorders>
              <w:top w:val="single" w:color="000000" w:sz="12" w:space="0"/>
              <w:bottom w:val="single" w:color="000000" w:sz="12" w:space="0"/>
            </w:tcBorders>
            <w:vAlign w:val="center"/>
          </w:tcPr>
          <w:p w14:paraId="11F7F4ED">
            <w:pPr>
              <w:widowControl/>
              <w:tabs>
                <w:tab w:val="center" w:pos="4201"/>
                <w:tab w:val="right" w:leader="dot" w:pos="9298"/>
              </w:tabs>
              <w:autoSpaceDE w:val="0"/>
              <w:autoSpaceDN w:val="0"/>
              <w:adjustRightInd w:val="0"/>
              <w:snapToGrid w:val="0"/>
              <w:spacing w:before="156" w:beforeLines="50" w:after="156" w:afterLines="50"/>
              <w:jc w:val="center"/>
              <w:rPr>
                <w:rFonts w:ascii="Times New Roman"/>
                <w:kern w:val="0"/>
                <w:szCs w:val="18"/>
              </w:rPr>
            </w:pPr>
            <w:r>
              <w:rPr>
                <w:rFonts w:ascii="Times New Roman"/>
                <w:kern w:val="0"/>
                <w:szCs w:val="18"/>
              </w:rPr>
              <w:t>检测方法</w:t>
            </w:r>
          </w:p>
        </w:tc>
        <w:tc>
          <w:tcPr>
            <w:tcW w:w="1859" w:type="pct"/>
            <w:tcBorders>
              <w:top w:val="single" w:color="000000" w:sz="12" w:space="0"/>
              <w:bottom w:val="single" w:color="000000" w:sz="12" w:space="0"/>
            </w:tcBorders>
            <w:vAlign w:val="center"/>
          </w:tcPr>
          <w:p w14:paraId="707BD73A">
            <w:pPr>
              <w:widowControl/>
              <w:tabs>
                <w:tab w:val="center" w:pos="4201"/>
                <w:tab w:val="right" w:leader="dot" w:pos="9298"/>
              </w:tabs>
              <w:autoSpaceDE w:val="0"/>
              <w:autoSpaceDN w:val="0"/>
              <w:adjustRightInd w:val="0"/>
              <w:snapToGrid w:val="0"/>
              <w:spacing w:before="156" w:beforeLines="50" w:after="156" w:afterLines="50"/>
              <w:jc w:val="center"/>
              <w:rPr>
                <w:rFonts w:ascii="Times New Roman"/>
                <w:kern w:val="0"/>
                <w:szCs w:val="18"/>
              </w:rPr>
            </w:pPr>
            <w:r>
              <w:rPr>
                <w:rFonts w:ascii="Times New Roman"/>
                <w:kern w:val="0"/>
                <w:szCs w:val="18"/>
              </w:rPr>
              <w:t>参考标准</w:t>
            </w:r>
          </w:p>
        </w:tc>
      </w:tr>
      <w:tr w14:paraId="1F0507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091" w:type="pct"/>
            <w:vMerge w:val="restart"/>
            <w:tcBorders>
              <w:top w:val="single" w:color="000000" w:sz="12" w:space="0"/>
            </w:tcBorders>
            <w:vAlign w:val="center"/>
          </w:tcPr>
          <w:p w14:paraId="4DE87CA2">
            <w:pPr>
              <w:widowControl/>
              <w:tabs>
                <w:tab w:val="center" w:pos="4201"/>
                <w:tab w:val="right" w:leader="dot" w:pos="9298"/>
              </w:tabs>
              <w:autoSpaceDE w:val="0"/>
              <w:autoSpaceDN w:val="0"/>
              <w:adjustRightInd w:val="0"/>
              <w:snapToGrid w:val="0"/>
              <w:jc w:val="center"/>
              <w:rPr>
                <w:rFonts w:ascii="Times New Roman"/>
                <w:kern w:val="0"/>
                <w:szCs w:val="18"/>
              </w:rPr>
            </w:pPr>
            <w:r>
              <w:rPr>
                <w:rFonts w:ascii="Times New Roman"/>
                <w:kern w:val="0"/>
                <w:szCs w:val="18"/>
              </w:rPr>
              <w:t>辐射发射</w:t>
            </w:r>
          </w:p>
        </w:tc>
        <w:tc>
          <w:tcPr>
            <w:tcW w:w="2050" w:type="pct"/>
            <w:tcBorders>
              <w:top w:val="single" w:color="000000" w:sz="12" w:space="0"/>
            </w:tcBorders>
            <w:vAlign w:val="center"/>
          </w:tcPr>
          <w:p w14:paraId="6B0231B5">
            <w:pPr>
              <w:widowControl/>
              <w:tabs>
                <w:tab w:val="center" w:pos="4201"/>
                <w:tab w:val="right" w:leader="dot" w:pos="9298"/>
              </w:tabs>
              <w:autoSpaceDE w:val="0"/>
              <w:autoSpaceDN w:val="0"/>
              <w:adjustRightInd w:val="0"/>
              <w:snapToGrid w:val="0"/>
              <w:jc w:val="center"/>
              <w:rPr>
                <w:rFonts w:ascii="Times New Roman"/>
                <w:kern w:val="0"/>
                <w:szCs w:val="18"/>
              </w:rPr>
            </w:pPr>
            <w:r>
              <w:rPr>
                <w:rFonts w:ascii="Times New Roman"/>
                <w:kern w:val="0"/>
                <w:szCs w:val="18"/>
              </w:rPr>
              <w:t>TEM小室法/宽带小室法</w:t>
            </w:r>
          </w:p>
        </w:tc>
        <w:tc>
          <w:tcPr>
            <w:tcW w:w="1859" w:type="pct"/>
            <w:tcBorders>
              <w:top w:val="single" w:color="000000" w:sz="12" w:space="0"/>
            </w:tcBorders>
            <w:vAlign w:val="center"/>
          </w:tcPr>
          <w:p w14:paraId="4E39EB4F">
            <w:pPr>
              <w:widowControl/>
              <w:tabs>
                <w:tab w:val="center" w:pos="4201"/>
                <w:tab w:val="right" w:leader="dot" w:pos="9298"/>
              </w:tabs>
              <w:autoSpaceDE w:val="0"/>
              <w:autoSpaceDN w:val="0"/>
              <w:adjustRightInd w:val="0"/>
              <w:snapToGrid w:val="0"/>
              <w:jc w:val="center"/>
              <w:rPr>
                <w:rFonts w:ascii="Times New Roman"/>
                <w:kern w:val="0"/>
                <w:szCs w:val="18"/>
              </w:rPr>
            </w:pPr>
            <w:r>
              <w:rPr>
                <w:rFonts w:ascii="Times New Roman"/>
                <w:kern w:val="0"/>
                <w:szCs w:val="18"/>
              </w:rPr>
              <w:t>IEC 61967-2</w:t>
            </w:r>
          </w:p>
        </w:tc>
      </w:tr>
      <w:tr w14:paraId="645D573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091" w:type="pct"/>
            <w:vMerge w:val="continue"/>
            <w:vAlign w:val="center"/>
          </w:tcPr>
          <w:p w14:paraId="1F014084">
            <w:pPr>
              <w:widowControl/>
              <w:tabs>
                <w:tab w:val="center" w:pos="4201"/>
                <w:tab w:val="right" w:leader="dot" w:pos="9298"/>
              </w:tabs>
              <w:autoSpaceDE w:val="0"/>
              <w:autoSpaceDN w:val="0"/>
              <w:adjustRightInd w:val="0"/>
              <w:snapToGrid w:val="0"/>
              <w:jc w:val="center"/>
              <w:rPr>
                <w:rFonts w:ascii="Times New Roman"/>
                <w:kern w:val="0"/>
                <w:szCs w:val="18"/>
              </w:rPr>
            </w:pPr>
          </w:p>
        </w:tc>
        <w:tc>
          <w:tcPr>
            <w:tcW w:w="2050" w:type="pct"/>
            <w:vAlign w:val="center"/>
          </w:tcPr>
          <w:p w14:paraId="0E14C9D2">
            <w:pPr>
              <w:widowControl/>
              <w:tabs>
                <w:tab w:val="center" w:pos="4201"/>
                <w:tab w:val="right" w:leader="dot" w:pos="9298"/>
              </w:tabs>
              <w:autoSpaceDE w:val="0"/>
              <w:autoSpaceDN w:val="0"/>
              <w:adjustRightInd w:val="0"/>
              <w:snapToGrid w:val="0"/>
              <w:jc w:val="center"/>
              <w:rPr>
                <w:rFonts w:ascii="Times New Roman"/>
                <w:kern w:val="0"/>
                <w:szCs w:val="18"/>
              </w:rPr>
            </w:pPr>
            <w:r>
              <w:rPr>
                <w:rFonts w:ascii="Times New Roman"/>
                <w:kern w:val="0"/>
                <w:szCs w:val="18"/>
              </w:rPr>
              <w:t>表面扫描法</w:t>
            </w:r>
          </w:p>
        </w:tc>
        <w:tc>
          <w:tcPr>
            <w:tcW w:w="1859" w:type="pct"/>
            <w:vAlign w:val="center"/>
          </w:tcPr>
          <w:p w14:paraId="4E8F23CD">
            <w:pPr>
              <w:widowControl/>
              <w:tabs>
                <w:tab w:val="center" w:pos="4201"/>
                <w:tab w:val="right" w:leader="dot" w:pos="9298"/>
              </w:tabs>
              <w:autoSpaceDE w:val="0"/>
              <w:autoSpaceDN w:val="0"/>
              <w:adjustRightInd w:val="0"/>
              <w:snapToGrid w:val="0"/>
              <w:jc w:val="center"/>
              <w:rPr>
                <w:rFonts w:ascii="Times New Roman"/>
                <w:kern w:val="0"/>
                <w:szCs w:val="18"/>
              </w:rPr>
            </w:pPr>
            <w:r>
              <w:rPr>
                <w:rFonts w:ascii="Times New Roman"/>
                <w:kern w:val="0"/>
                <w:szCs w:val="18"/>
              </w:rPr>
              <w:t>IEC 61967-2</w:t>
            </w:r>
          </w:p>
        </w:tc>
      </w:tr>
      <w:tr w14:paraId="3BDBB38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091" w:type="pct"/>
            <w:vMerge w:val="restart"/>
            <w:vAlign w:val="center"/>
          </w:tcPr>
          <w:p w14:paraId="6BE8FBAD">
            <w:pPr>
              <w:widowControl/>
              <w:tabs>
                <w:tab w:val="center" w:pos="4201"/>
                <w:tab w:val="right" w:leader="dot" w:pos="9298"/>
              </w:tabs>
              <w:autoSpaceDE w:val="0"/>
              <w:autoSpaceDN w:val="0"/>
              <w:adjustRightInd w:val="0"/>
              <w:snapToGrid w:val="0"/>
              <w:jc w:val="center"/>
              <w:rPr>
                <w:rFonts w:ascii="Times New Roman"/>
                <w:kern w:val="0"/>
                <w:szCs w:val="18"/>
              </w:rPr>
            </w:pPr>
            <w:r>
              <w:rPr>
                <w:rFonts w:ascii="Times New Roman"/>
                <w:kern w:val="0"/>
                <w:szCs w:val="18"/>
              </w:rPr>
              <w:t>传导发射</w:t>
            </w:r>
          </w:p>
        </w:tc>
        <w:tc>
          <w:tcPr>
            <w:tcW w:w="2050" w:type="pct"/>
            <w:vAlign w:val="center"/>
          </w:tcPr>
          <w:p w14:paraId="640C1C59">
            <w:pPr>
              <w:widowControl/>
              <w:tabs>
                <w:tab w:val="center" w:pos="4201"/>
                <w:tab w:val="right" w:leader="dot" w:pos="9298"/>
              </w:tabs>
              <w:autoSpaceDE w:val="0"/>
              <w:autoSpaceDN w:val="0"/>
              <w:adjustRightInd w:val="0"/>
              <w:snapToGrid w:val="0"/>
              <w:jc w:val="center"/>
              <w:rPr>
                <w:rFonts w:ascii="Times New Roman"/>
                <w:kern w:val="0"/>
                <w:szCs w:val="18"/>
              </w:rPr>
            </w:pPr>
            <w:r>
              <w:rPr>
                <w:rFonts w:ascii="Times New Roman"/>
                <w:kern w:val="0"/>
                <w:szCs w:val="18"/>
              </w:rPr>
              <w:t>耦合法</w:t>
            </w:r>
          </w:p>
        </w:tc>
        <w:tc>
          <w:tcPr>
            <w:tcW w:w="1859" w:type="pct"/>
            <w:vAlign w:val="center"/>
          </w:tcPr>
          <w:p w14:paraId="3FA86FF4">
            <w:pPr>
              <w:widowControl/>
              <w:tabs>
                <w:tab w:val="center" w:pos="4201"/>
                <w:tab w:val="right" w:leader="dot" w:pos="9298"/>
              </w:tabs>
              <w:autoSpaceDE w:val="0"/>
              <w:autoSpaceDN w:val="0"/>
              <w:adjustRightInd w:val="0"/>
              <w:snapToGrid w:val="0"/>
              <w:jc w:val="center"/>
              <w:rPr>
                <w:rFonts w:ascii="Times New Roman"/>
                <w:kern w:val="0"/>
                <w:szCs w:val="18"/>
              </w:rPr>
            </w:pPr>
            <w:r>
              <w:rPr>
                <w:rFonts w:ascii="Times New Roman"/>
                <w:kern w:val="0"/>
                <w:szCs w:val="18"/>
              </w:rPr>
              <w:t>IEC 61967-4</w:t>
            </w:r>
          </w:p>
        </w:tc>
      </w:tr>
      <w:tr w14:paraId="6B4699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091" w:type="pct"/>
            <w:vMerge w:val="continue"/>
            <w:vAlign w:val="center"/>
          </w:tcPr>
          <w:p w14:paraId="76829A8E">
            <w:pPr>
              <w:widowControl/>
              <w:tabs>
                <w:tab w:val="center" w:pos="4201"/>
                <w:tab w:val="right" w:leader="dot" w:pos="9298"/>
              </w:tabs>
              <w:autoSpaceDE w:val="0"/>
              <w:autoSpaceDN w:val="0"/>
              <w:adjustRightInd w:val="0"/>
              <w:snapToGrid w:val="0"/>
              <w:jc w:val="center"/>
              <w:rPr>
                <w:rFonts w:ascii="Times New Roman"/>
                <w:kern w:val="0"/>
                <w:szCs w:val="18"/>
              </w:rPr>
            </w:pPr>
          </w:p>
        </w:tc>
        <w:tc>
          <w:tcPr>
            <w:tcW w:w="2050" w:type="pct"/>
            <w:vAlign w:val="center"/>
          </w:tcPr>
          <w:p w14:paraId="0B701DFE">
            <w:pPr>
              <w:widowControl/>
              <w:tabs>
                <w:tab w:val="center" w:pos="4201"/>
                <w:tab w:val="right" w:leader="dot" w:pos="9298"/>
              </w:tabs>
              <w:autoSpaceDE w:val="0"/>
              <w:autoSpaceDN w:val="0"/>
              <w:adjustRightInd w:val="0"/>
              <w:snapToGrid w:val="0"/>
              <w:jc w:val="center"/>
              <w:rPr>
                <w:rFonts w:ascii="Times New Roman"/>
                <w:kern w:val="0"/>
                <w:szCs w:val="18"/>
              </w:rPr>
            </w:pPr>
            <w:r>
              <w:rPr>
                <w:rFonts w:ascii="Times New Roman"/>
                <w:kern w:val="0"/>
                <w:szCs w:val="18"/>
              </w:rPr>
              <w:t>法拉第笼法</w:t>
            </w:r>
          </w:p>
        </w:tc>
        <w:tc>
          <w:tcPr>
            <w:tcW w:w="1859" w:type="pct"/>
            <w:vAlign w:val="center"/>
          </w:tcPr>
          <w:p w14:paraId="673B5C08">
            <w:pPr>
              <w:widowControl/>
              <w:tabs>
                <w:tab w:val="center" w:pos="4201"/>
                <w:tab w:val="right" w:leader="dot" w:pos="9298"/>
              </w:tabs>
              <w:autoSpaceDE w:val="0"/>
              <w:autoSpaceDN w:val="0"/>
              <w:adjustRightInd w:val="0"/>
              <w:snapToGrid w:val="0"/>
              <w:jc w:val="center"/>
              <w:rPr>
                <w:rFonts w:ascii="Times New Roman"/>
                <w:kern w:val="0"/>
                <w:szCs w:val="18"/>
              </w:rPr>
            </w:pPr>
            <w:r>
              <w:rPr>
                <w:rFonts w:ascii="Times New Roman"/>
                <w:kern w:val="0"/>
                <w:szCs w:val="18"/>
              </w:rPr>
              <w:t>IEC 61967-5</w:t>
            </w:r>
          </w:p>
        </w:tc>
      </w:tr>
      <w:tr w14:paraId="05E2BD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091" w:type="pct"/>
            <w:vMerge w:val="continue"/>
            <w:vAlign w:val="center"/>
          </w:tcPr>
          <w:p w14:paraId="0E69F153">
            <w:pPr>
              <w:widowControl/>
              <w:tabs>
                <w:tab w:val="center" w:pos="4201"/>
                <w:tab w:val="right" w:leader="dot" w:pos="9298"/>
              </w:tabs>
              <w:autoSpaceDE w:val="0"/>
              <w:autoSpaceDN w:val="0"/>
              <w:adjustRightInd w:val="0"/>
              <w:snapToGrid w:val="0"/>
              <w:jc w:val="center"/>
              <w:rPr>
                <w:rFonts w:ascii="Times New Roman"/>
                <w:kern w:val="0"/>
                <w:szCs w:val="18"/>
              </w:rPr>
            </w:pPr>
          </w:p>
        </w:tc>
        <w:tc>
          <w:tcPr>
            <w:tcW w:w="2050" w:type="pct"/>
            <w:vAlign w:val="center"/>
          </w:tcPr>
          <w:p w14:paraId="115BA4CB">
            <w:pPr>
              <w:widowControl/>
              <w:tabs>
                <w:tab w:val="center" w:pos="4201"/>
                <w:tab w:val="right" w:leader="dot" w:pos="9298"/>
              </w:tabs>
              <w:autoSpaceDE w:val="0"/>
              <w:autoSpaceDN w:val="0"/>
              <w:adjustRightInd w:val="0"/>
              <w:snapToGrid w:val="0"/>
              <w:jc w:val="center"/>
              <w:rPr>
                <w:rFonts w:ascii="Times New Roman"/>
                <w:kern w:val="0"/>
                <w:szCs w:val="18"/>
              </w:rPr>
            </w:pPr>
            <w:r>
              <w:rPr>
                <w:rFonts w:ascii="Times New Roman"/>
                <w:kern w:val="0"/>
                <w:szCs w:val="18"/>
              </w:rPr>
              <w:t>磁场探头法</w:t>
            </w:r>
          </w:p>
        </w:tc>
        <w:tc>
          <w:tcPr>
            <w:tcW w:w="1859" w:type="pct"/>
            <w:vAlign w:val="center"/>
          </w:tcPr>
          <w:p w14:paraId="03CDB699">
            <w:pPr>
              <w:widowControl/>
              <w:tabs>
                <w:tab w:val="center" w:pos="4201"/>
                <w:tab w:val="right" w:leader="dot" w:pos="9298"/>
              </w:tabs>
              <w:autoSpaceDE w:val="0"/>
              <w:autoSpaceDN w:val="0"/>
              <w:adjustRightInd w:val="0"/>
              <w:snapToGrid w:val="0"/>
              <w:jc w:val="center"/>
              <w:rPr>
                <w:rFonts w:ascii="Times New Roman"/>
                <w:kern w:val="0"/>
                <w:szCs w:val="18"/>
              </w:rPr>
            </w:pPr>
            <w:r>
              <w:rPr>
                <w:rFonts w:ascii="Times New Roman"/>
                <w:kern w:val="0"/>
                <w:szCs w:val="18"/>
              </w:rPr>
              <w:t>IEC 61967-6</w:t>
            </w:r>
          </w:p>
        </w:tc>
      </w:tr>
      <w:tr w14:paraId="76207F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3" w:hRule="atLeast"/>
          <w:jc w:val="center"/>
        </w:trPr>
        <w:tc>
          <w:tcPr>
            <w:tcW w:w="1091" w:type="pct"/>
            <w:vAlign w:val="center"/>
          </w:tcPr>
          <w:p w14:paraId="668EF6B5">
            <w:pPr>
              <w:widowControl/>
              <w:tabs>
                <w:tab w:val="center" w:pos="4201"/>
                <w:tab w:val="right" w:leader="dot" w:pos="9298"/>
              </w:tabs>
              <w:autoSpaceDE w:val="0"/>
              <w:autoSpaceDN w:val="0"/>
              <w:adjustRightInd w:val="0"/>
              <w:snapToGrid w:val="0"/>
              <w:jc w:val="center"/>
              <w:rPr>
                <w:rFonts w:ascii="Times New Roman"/>
                <w:kern w:val="0"/>
                <w:szCs w:val="18"/>
              </w:rPr>
            </w:pPr>
            <w:r>
              <w:rPr>
                <w:rFonts w:ascii="Times New Roman"/>
                <w:kern w:val="0"/>
                <w:szCs w:val="18"/>
              </w:rPr>
              <w:t>辐射发射</w:t>
            </w:r>
          </w:p>
        </w:tc>
        <w:tc>
          <w:tcPr>
            <w:tcW w:w="2050" w:type="pct"/>
            <w:vAlign w:val="center"/>
          </w:tcPr>
          <w:p w14:paraId="159B5CD7">
            <w:pPr>
              <w:widowControl/>
              <w:tabs>
                <w:tab w:val="center" w:pos="4201"/>
                <w:tab w:val="right" w:leader="dot" w:pos="9298"/>
              </w:tabs>
              <w:autoSpaceDE w:val="0"/>
              <w:autoSpaceDN w:val="0"/>
              <w:adjustRightInd w:val="0"/>
              <w:snapToGrid w:val="0"/>
              <w:jc w:val="center"/>
              <w:rPr>
                <w:rFonts w:ascii="Times New Roman"/>
                <w:kern w:val="0"/>
                <w:szCs w:val="18"/>
              </w:rPr>
            </w:pPr>
            <w:r>
              <w:rPr>
                <w:rFonts w:ascii="Times New Roman"/>
                <w:kern w:val="0"/>
                <w:szCs w:val="18"/>
              </w:rPr>
              <w:t>带状线法</w:t>
            </w:r>
          </w:p>
        </w:tc>
        <w:tc>
          <w:tcPr>
            <w:tcW w:w="1859" w:type="pct"/>
            <w:vAlign w:val="center"/>
          </w:tcPr>
          <w:p w14:paraId="04456AD7">
            <w:pPr>
              <w:widowControl/>
              <w:tabs>
                <w:tab w:val="center" w:pos="4201"/>
                <w:tab w:val="right" w:leader="dot" w:pos="9298"/>
              </w:tabs>
              <w:autoSpaceDE w:val="0"/>
              <w:autoSpaceDN w:val="0"/>
              <w:adjustRightInd w:val="0"/>
              <w:snapToGrid w:val="0"/>
              <w:jc w:val="center"/>
              <w:rPr>
                <w:rFonts w:ascii="Times New Roman"/>
                <w:kern w:val="0"/>
                <w:szCs w:val="18"/>
              </w:rPr>
            </w:pPr>
            <w:r>
              <w:rPr>
                <w:rFonts w:ascii="Times New Roman"/>
                <w:kern w:val="0"/>
                <w:szCs w:val="18"/>
              </w:rPr>
              <w:t>IEC 61967-8</w:t>
            </w:r>
          </w:p>
        </w:tc>
      </w:tr>
      <w:tr w14:paraId="255B74A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 w:hRule="atLeast"/>
          <w:jc w:val="center"/>
        </w:trPr>
        <w:tc>
          <w:tcPr>
            <w:tcW w:w="1091" w:type="pct"/>
            <w:vMerge w:val="restart"/>
            <w:vAlign w:val="center"/>
          </w:tcPr>
          <w:p w14:paraId="57CA9FC3">
            <w:pPr>
              <w:widowControl/>
              <w:tabs>
                <w:tab w:val="center" w:pos="4201"/>
                <w:tab w:val="right" w:leader="dot" w:pos="9298"/>
              </w:tabs>
              <w:autoSpaceDE w:val="0"/>
              <w:autoSpaceDN w:val="0"/>
              <w:adjustRightInd w:val="0"/>
              <w:snapToGrid w:val="0"/>
              <w:jc w:val="center"/>
              <w:rPr>
                <w:rFonts w:ascii="Times New Roman"/>
                <w:kern w:val="0"/>
                <w:szCs w:val="18"/>
              </w:rPr>
            </w:pPr>
            <w:r>
              <w:rPr>
                <w:rFonts w:ascii="Times New Roman"/>
                <w:kern w:val="0"/>
                <w:szCs w:val="18"/>
              </w:rPr>
              <w:t>辐射抗扰度</w:t>
            </w:r>
          </w:p>
        </w:tc>
        <w:tc>
          <w:tcPr>
            <w:tcW w:w="2050" w:type="pct"/>
            <w:vAlign w:val="center"/>
          </w:tcPr>
          <w:p w14:paraId="135FDDC6">
            <w:pPr>
              <w:widowControl/>
              <w:tabs>
                <w:tab w:val="center" w:pos="4201"/>
                <w:tab w:val="right" w:leader="dot" w:pos="9298"/>
              </w:tabs>
              <w:autoSpaceDE w:val="0"/>
              <w:autoSpaceDN w:val="0"/>
              <w:adjustRightInd w:val="0"/>
              <w:snapToGrid w:val="0"/>
              <w:jc w:val="center"/>
              <w:rPr>
                <w:rFonts w:ascii="Times New Roman"/>
                <w:kern w:val="0"/>
                <w:szCs w:val="18"/>
              </w:rPr>
            </w:pPr>
            <w:r>
              <w:rPr>
                <w:rFonts w:ascii="Times New Roman"/>
                <w:kern w:val="0"/>
                <w:szCs w:val="18"/>
              </w:rPr>
              <w:t>TEM小室法/宽带小室法</w:t>
            </w:r>
          </w:p>
        </w:tc>
        <w:tc>
          <w:tcPr>
            <w:tcW w:w="1859" w:type="pct"/>
            <w:vAlign w:val="center"/>
          </w:tcPr>
          <w:p w14:paraId="5FCBB7EA">
            <w:pPr>
              <w:widowControl/>
              <w:tabs>
                <w:tab w:val="center" w:pos="4201"/>
                <w:tab w:val="right" w:leader="dot" w:pos="9298"/>
              </w:tabs>
              <w:autoSpaceDE w:val="0"/>
              <w:autoSpaceDN w:val="0"/>
              <w:adjustRightInd w:val="0"/>
              <w:snapToGrid w:val="0"/>
              <w:jc w:val="center"/>
              <w:rPr>
                <w:rFonts w:ascii="Times New Roman"/>
                <w:kern w:val="0"/>
                <w:szCs w:val="18"/>
              </w:rPr>
            </w:pPr>
            <w:r>
              <w:rPr>
                <w:rFonts w:ascii="Times New Roman"/>
                <w:kern w:val="0"/>
                <w:szCs w:val="18"/>
              </w:rPr>
              <w:t>IEC 62132-2</w:t>
            </w:r>
          </w:p>
        </w:tc>
      </w:tr>
      <w:tr w14:paraId="05F356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091" w:type="pct"/>
            <w:vMerge w:val="continue"/>
            <w:vAlign w:val="center"/>
          </w:tcPr>
          <w:p w14:paraId="40982DE6">
            <w:pPr>
              <w:widowControl/>
              <w:tabs>
                <w:tab w:val="center" w:pos="4201"/>
                <w:tab w:val="right" w:leader="dot" w:pos="9298"/>
              </w:tabs>
              <w:autoSpaceDE w:val="0"/>
              <w:autoSpaceDN w:val="0"/>
              <w:adjustRightInd w:val="0"/>
              <w:snapToGrid w:val="0"/>
              <w:jc w:val="center"/>
              <w:rPr>
                <w:rFonts w:ascii="Times New Roman"/>
                <w:kern w:val="0"/>
                <w:szCs w:val="18"/>
              </w:rPr>
            </w:pPr>
          </w:p>
        </w:tc>
        <w:tc>
          <w:tcPr>
            <w:tcW w:w="2050" w:type="pct"/>
            <w:vAlign w:val="center"/>
          </w:tcPr>
          <w:p w14:paraId="29259F9B">
            <w:pPr>
              <w:widowControl/>
              <w:tabs>
                <w:tab w:val="center" w:pos="4201"/>
                <w:tab w:val="right" w:leader="dot" w:pos="9298"/>
              </w:tabs>
              <w:autoSpaceDE w:val="0"/>
              <w:autoSpaceDN w:val="0"/>
              <w:adjustRightInd w:val="0"/>
              <w:snapToGrid w:val="0"/>
              <w:jc w:val="center"/>
              <w:rPr>
                <w:rFonts w:ascii="Times New Roman"/>
                <w:kern w:val="0"/>
                <w:szCs w:val="18"/>
              </w:rPr>
            </w:pPr>
            <w:r>
              <w:rPr>
                <w:rFonts w:ascii="Times New Roman"/>
                <w:kern w:val="0"/>
                <w:szCs w:val="18"/>
              </w:rPr>
              <w:t>直接射频功率注入</w:t>
            </w:r>
          </w:p>
        </w:tc>
        <w:tc>
          <w:tcPr>
            <w:tcW w:w="1859" w:type="pct"/>
            <w:vAlign w:val="center"/>
          </w:tcPr>
          <w:p w14:paraId="2368C8FD">
            <w:pPr>
              <w:widowControl/>
              <w:tabs>
                <w:tab w:val="center" w:pos="4201"/>
                <w:tab w:val="right" w:leader="dot" w:pos="9298"/>
              </w:tabs>
              <w:autoSpaceDE w:val="0"/>
              <w:autoSpaceDN w:val="0"/>
              <w:adjustRightInd w:val="0"/>
              <w:snapToGrid w:val="0"/>
              <w:jc w:val="center"/>
              <w:rPr>
                <w:rFonts w:ascii="Times New Roman"/>
                <w:kern w:val="0"/>
                <w:szCs w:val="18"/>
              </w:rPr>
            </w:pPr>
            <w:r>
              <w:rPr>
                <w:rFonts w:ascii="Times New Roman"/>
                <w:kern w:val="0"/>
                <w:szCs w:val="18"/>
              </w:rPr>
              <w:t>IEC 62132-4</w:t>
            </w:r>
          </w:p>
        </w:tc>
      </w:tr>
      <w:tr w14:paraId="11BFA5D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091" w:type="pct"/>
            <w:vMerge w:val="continue"/>
            <w:vAlign w:val="center"/>
          </w:tcPr>
          <w:p w14:paraId="635A5A5F">
            <w:pPr>
              <w:widowControl/>
              <w:tabs>
                <w:tab w:val="center" w:pos="4201"/>
                <w:tab w:val="right" w:leader="dot" w:pos="9298"/>
              </w:tabs>
              <w:autoSpaceDE w:val="0"/>
              <w:autoSpaceDN w:val="0"/>
              <w:adjustRightInd w:val="0"/>
              <w:snapToGrid w:val="0"/>
              <w:jc w:val="center"/>
              <w:rPr>
                <w:rFonts w:ascii="Times New Roman"/>
                <w:kern w:val="0"/>
                <w:szCs w:val="18"/>
              </w:rPr>
            </w:pPr>
          </w:p>
        </w:tc>
        <w:tc>
          <w:tcPr>
            <w:tcW w:w="2050" w:type="pct"/>
            <w:vAlign w:val="center"/>
          </w:tcPr>
          <w:p w14:paraId="1C49E906">
            <w:pPr>
              <w:widowControl/>
              <w:tabs>
                <w:tab w:val="center" w:pos="4201"/>
                <w:tab w:val="right" w:leader="dot" w:pos="9298"/>
              </w:tabs>
              <w:autoSpaceDE w:val="0"/>
              <w:autoSpaceDN w:val="0"/>
              <w:adjustRightInd w:val="0"/>
              <w:snapToGrid w:val="0"/>
              <w:jc w:val="center"/>
              <w:rPr>
                <w:rFonts w:ascii="Times New Roman"/>
                <w:kern w:val="0"/>
                <w:szCs w:val="18"/>
              </w:rPr>
            </w:pPr>
            <w:r>
              <w:rPr>
                <w:rFonts w:ascii="Times New Roman"/>
                <w:kern w:val="0"/>
                <w:szCs w:val="18"/>
              </w:rPr>
              <w:t>法拉第笼法</w:t>
            </w:r>
          </w:p>
        </w:tc>
        <w:tc>
          <w:tcPr>
            <w:tcW w:w="1859" w:type="pct"/>
            <w:vAlign w:val="center"/>
          </w:tcPr>
          <w:p w14:paraId="5A7D3DFB">
            <w:pPr>
              <w:widowControl/>
              <w:tabs>
                <w:tab w:val="center" w:pos="4201"/>
                <w:tab w:val="right" w:leader="dot" w:pos="9298"/>
              </w:tabs>
              <w:autoSpaceDE w:val="0"/>
              <w:autoSpaceDN w:val="0"/>
              <w:adjustRightInd w:val="0"/>
              <w:snapToGrid w:val="0"/>
              <w:jc w:val="center"/>
              <w:rPr>
                <w:rFonts w:ascii="Times New Roman"/>
                <w:kern w:val="0"/>
                <w:szCs w:val="18"/>
              </w:rPr>
            </w:pPr>
            <w:r>
              <w:rPr>
                <w:rFonts w:ascii="Times New Roman"/>
                <w:kern w:val="0"/>
                <w:szCs w:val="18"/>
              </w:rPr>
              <w:t>IEC 62132-5</w:t>
            </w:r>
          </w:p>
        </w:tc>
      </w:tr>
      <w:tr w14:paraId="4FEA0AC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091" w:type="pct"/>
            <w:vMerge w:val="continue"/>
            <w:vAlign w:val="center"/>
          </w:tcPr>
          <w:p w14:paraId="004B0DC5">
            <w:pPr>
              <w:widowControl/>
              <w:tabs>
                <w:tab w:val="center" w:pos="4201"/>
                <w:tab w:val="right" w:leader="dot" w:pos="9298"/>
              </w:tabs>
              <w:autoSpaceDE w:val="0"/>
              <w:autoSpaceDN w:val="0"/>
              <w:adjustRightInd w:val="0"/>
              <w:snapToGrid w:val="0"/>
              <w:jc w:val="center"/>
              <w:rPr>
                <w:rFonts w:ascii="Times New Roman"/>
                <w:kern w:val="0"/>
                <w:szCs w:val="18"/>
              </w:rPr>
            </w:pPr>
          </w:p>
        </w:tc>
        <w:tc>
          <w:tcPr>
            <w:tcW w:w="2050" w:type="pct"/>
            <w:vAlign w:val="center"/>
          </w:tcPr>
          <w:p w14:paraId="5A5BE30E">
            <w:pPr>
              <w:widowControl/>
              <w:tabs>
                <w:tab w:val="center" w:pos="4201"/>
                <w:tab w:val="right" w:leader="dot" w:pos="9298"/>
              </w:tabs>
              <w:autoSpaceDE w:val="0"/>
              <w:autoSpaceDN w:val="0"/>
              <w:adjustRightInd w:val="0"/>
              <w:snapToGrid w:val="0"/>
              <w:jc w:val="center"/>
              <w:rPr>
                <w:rFonts w:ascii="Times New Roman"/>
                <w:kern w:val="0"/>
                <w:szCs w:val="18"/>
              </w:rPr>
            </w:pPr>
            <w:r>
              <w:rPr>
                <w:rFonts w:ascii="Times New Roman"/>
                <w:kern w:val="0"/>
                <w:szCs w:val="18"/>
              </w:rPr>
              <w:t>带状线法</w:t>
            </w:r>
          </w:p>
        </w:tc>
        <w:tc>
          <w:tcPr>
            <w:tcW w:w="1859" w:type="pct"/>
            <w:vAlign w:val="center"/>
          </w:tcPr>
          <w:p w14:paraId="12227B8A">
            <w:pPr>
              <w:widowControl/>
              <w:tabs>
                <w:tab w:val="center" w:pos="4201"/>
                <w:tab w:val="right" w:leader="dot" w:pos="9298"/>
              </w:tabs>
              <w:autoSpaceDE w:val="0"/>
              <w:autoSpaceDN w:val="0"/>
              <w:adjustRightInd w:val="0"/>
              <w:snapToGrid w:val="0"/>
              <w:jc w:val="center"/>
              <w:rPr>
                <w:rFonts w:ascii="Times New Roman"/>
                <w:kern w:val="0"/>
                <w:szCs w:val="18"/>
              </w:rPr>
            </w:pPr>
            <w:r>
              <w:rPr>
                <w:rFonts w:ascii="Times New Roman"/>
                <w:kern w:val="0"/>
                <w:szCs w:val="18"/>
              </w:rPr>
              <w:t>IEC 62132-8</w:t>
            </w:r>
          </w:p>
        </w:tc>
      </w:tr>
      <w:tr w14:paraId="0799034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091" w:type="pct"/>
            <w:vMerge w:val="continue"/>
            <w:vAlign w:val="center"/>
          </w:tcPr>
          <w:p w14:paraId="60ABCC6E">
            <w:pPr>
              <w:widowControl/>
              <w:tabs>
                <w:tab w:val="center" w:pos="4201"/>
                <w:tab w:val="right" w:leader="dot" w:pos="9298"/>
              </w:tabs>
              <w:autoSpaceDE w:val="0"/>
              <w:autoSpaceDN w:val="0"/>
              <w:adjustRightInd w:val="0"/>
              <w:snapToGrid w:val="0"/>
              <w:jc w:val="center"/>
              <w:rPr>
                <w:rFonts w:ascii="Times New Roman"/>
                <w:kern w:val="0"/>
                <w:szCs w:val="18"/>
              </w:rPr>
            </w:pPr>
          </w:p>
        </w:tc>
        <w:tc>
          <w:tcPr>
            <w:tcW w:w="2050" w:type="pct"/>
            <w:vAlign w:val="center"/>
          </w:tcPr>
          <w:p w14:paraId="39CE7FE3">
            <w:pPr>
              <w:widowControl/>
              <w:tabs>
                <w:tab w:val="center" w:pos="4201"/>
                <w:tab w:val="right" w:leader="dot" w:pos="9298"/>
              </w:tabs>
              <w:autoSpaceDE w:val="0"/>
              <w:autoSpaceDN w:val="0"/>
              <w:adjustRightInd w:val="0"/>
              <w:snapToGrid w:val="0"/>
              <w:jc w:val="center"/>
              <w:rPr>
                <w:rFonts w:ascii="Times New Roman"/>
                <w:kern w:val="0"/>
                <w:szCs w:val="18"/>
              </w:rPr>
            </w:pPr>
            <w:r>
              <w:rPr>
                <w:rFonts w:ascii="Times New Roman"/>
                <w:kern w:val="0"/>
                <w:szCs w:val="18"/>
              </w:rPr>
              <w:t>进场扫描法</w:t>
            </w:r>
          </w:p>
        </w:tc>
        <w:tc>
          <w:tcPr>
            <w:tcW w:w="1859" w:type="pct"/>
            <w:vAlign w:val="center"/>
          </w:tcPr>
          <w:p w14:paraId="420CFED5">
            <w:pPr>
              <w:widowControl/>
              <w:tabs>
                <w:tab w:val="center" w:pos="4201"/>
                <w:tab w:val="right" w:leader="dot" w:pos="9298"/>
              </w:tabs>
              <w:autoSpaceDE w:val="0"/>
              <w:autoSpaceDN w:val="0"/>
              <w:adjustRightInd w:val="0"/>
              <w:snapToGrid w:val="0"/>
              <w:jc w:val="center"/>
              <w:rPr>
                <w:rFonts w:ascii="Times New Roman"/>
                <w:kern w:val="0"/>
                <w:szCs w:val="18"/>
              </w:rPr>
            </w:pPr>
            <w:r>
              <w:rPr>
                <w:rFonts w:ascii="Times New Roman"/>
                <w:kern w:val="0"/>
                <w:szCs w:val="18"/>
              </w:rPr>
              <w:t>IEC 62132-9</w:t>
            </w:r>
          </w:p>
        </w:tc>
      </w:tr>
      <w:tr w14:paraId="6C30D2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091" w:type="pct"/>
            <w:vAlign w:val="center"/>
          </w:tcPr>
          <w:p w14:paraId="141F82BA">
            <w:pPr>
              <w:widowControl/>
              <w:tabs>
                <w:tab w:val="center" w:pos="4201"/>
                <w:tab w:val="right" w:leader="dot" w:pos="9298"/>
              </w:tabs>
              <w:autoSpaceDE w:val="0"/>
              <w:autoSpaceDN w:val="0"/>
              <w:adjustRightInd w:val="0"/>
              <w:snapToGrid w:val="0"/>
              <w:jc w:val="center"/>
              <w:rPr>
                <w:rFonts w:ascii="Times New Roman"/>
                <w:kern w:val="0"/>
                <w:szCs w:val="18"/>
              </w:rPr>
            </w:pPr>
            <w:r>
              <w:rPr>
                <w:rFonts w:ascii="Times New Roman"/>
                <w:kern w:val="0"/>
                <w:szCs w:val="18"/>
              </w:rPr>
              <w:t>脉冲抗扰度</w:t>
            </w:r>
          </w:p>
        </w:tc>
        <w:tc>
          <w:tcPr>
            <w:tcW w:w="2050" w:type="pct"/>
            <w:vAlign w:val="center"/>
          </w:tcPr>
          <w:p w14:paraId="17E6DB6F">
            <w:pPr>
              <w:widowControl/>
              <w:tabs>
                <w:tab w:val="center" w:pos="4201"/>
                <w:tab w:val="right" w:leader="dot" w:pos="9298"/>
              </w:tabs>
              <w:autoSpaceDE w:val="0"/>
              <w:autoSpaceDN w:val="0"/>
              <w:adjustRightInd w:val="0"/>
              <w:snapToGrid w:val="0"/>
              <w:jc w:val="center"/>
              <w:rPr>
                <w:rFonts w:ascii="Times New Roman"/>
                <w:kern w:val="0"/>
                <w:szCs w:val="18"/>
              </w:rPr>
            </w:pPr>
            <w:r>
              <w:rPr>
                <w:rFonts w:ascii="Times New Roman"/>
                <w:kern w:val="0"/>
                <w:szCs w:val="18"/>
              </w:rPr>
              <w:t>瞬时同步/非同步功率注入法</w:t>
            </w:r>
          </w:p>
        </w:tc>
        <w:tc>
          <w:tcPr>
            <w:tcW w:w="1859" w:type="pct"/>
            <w:vAlign w:val="center"/>
          </w:tcPr>
          <w:p w14:paraId="0E7CFE34">
            <w:pPr>
              <w:widowControl/>
              <w:tabs>
                <w:tab w:val="center" w:pos="4201"/>
                <w:tab w:val="right" w:leader="dot" w:pos="9298"/>
              </w:tabs>
              <w:autoSpaceDE w:val="0"/>
              <w:autoSpaceDN w:val="0"/>
              <w:adjustRightInd w:val="0"/>
              <w:snapToGrid w:val="0"/>
              <w:jc w:val="center"/>
              <w:rPr>
                <w:rFonts w:ascii="Times New Roman"/>
                <w:kern w:val="0"/>
                <w:szCs w:val="18"/>
              </w:rPr>
            </w:pPr>
            <w:r>
              <w:rPr>
                <w:rFonts w:ascii="Times New Roman"/>
                <w:kern w:val="0"/>
                <w:szCs w:val="18"/>
              </w:rPr>
              <w:t>IEC 62215</w:t>
            </w:r>
          </w:p>
        </w:tc>
      </w:tr>
    </w:tbl>
    <w:p w14:paraId="2800C3C4">
      <w:pPr>
        <w:pStyle w:val="73"/>
        <w:ind w:left="0"/>
        <w:rPr>
          <w:rFonts w:ascii="Times New Roman"/>
        </w:rPr>
      </w:pPr>
      <w:bookmarkStart w:id="79" w:name="_Toc199203877"/>
      <w:bookmarkStart w:id="80" w:name="_Toc199063399"/>
      <w:bookmarkStart w:id="81" w:name="_Toc201506409"/>
      <w:bookmarkStart w:id="82" w:name="_Toc204873421"/>
      <w:r>
        <w:rPr>
          <w:rFonts w:hint="eastAsia" w:ascii="Times New Roman"/>
        </w:rPr>
        <w:t>可靠性及功能安全分级检测要求</w:t>
      </w:r>
      <w:bookmarkEnd w:id="79"/>
      <w:bookmarkEnd w:id="80"/>
      <w:bookmarkEnd w:id="81"/>
      <w:bookmarkEnd w:id="82"/>
    </w:p>
    <w:p w14:paraId="40631058">
      <w:pPr>
        <w:pStyle w:val="24"/>
        <w:rPr>
          <w:rFonts w:ascii="Times New Roman"/>
        </w:rPr>
      </w:pPr>
      <w:r>
        <w:rPr>
          <w:rFonts w:hint="eastAsia" w:ascii="Times New Roman"/>
        </w:rPr>
        <w:t>本节基于汽车不同应用领域典型应用场景，给出了基于任务剖面的汽车多芯片组件可靠性及功能安全分级检测要求（见表14）。典型应用场景及推荐的可靠性及功能安全等级如表5所示。</w:t>
      </w:r>
    </w:p>
    <w:p w14:paraId="3376C727">
      <w:pPr>
        <w:pStyle w:val="24"/>
        <w:spacing w:before="156" w:beforeLines="50" w:after="156" w:afterLines="50"/>
        <w:ind w:firstLine="0" w:firstLineChars="0"/>
        <w:jc w:val="center"/>
        <w:rPr>
          <w:rFonts w:eastAsia="黑体"/>
          <w:sz w:val="20"/>
        </w:rPr>
      </w:pPr>
      <w:r>
        <w:rPr>
          <w:rFonts w:eastAsia="黑体"/>
          <w:sz w:val="20"/>
        </w:rPr>
        <w:t xml:space="preserve">表 </w:t>
      </w:r>
      <w:r>
        <w:rPr>
          <w:rFonts w:eastAsia="黑体"/>
          <w:sz w:val="20"/>
        </w:rPr>
        <w:fldChar w:fldCharType="begin" w:fldLock="1"/>
      </w:r>
      <w:r>
        <w:rPr>
          <w:rFonts w:eastAsia="黑体"/>
          <w:sz w:val="20"/>
        </w:rPr>
        <w:instrText xml:space="preserve"> SEQ 表 \* ARABIC </w:instrText>
      </w:r>
      <w:r>
        <w:rPr>
          <w:rFonts w:eastAsia="黑体"/>
          <w:sz w:val="20"/>
        </w:rPr>
        <w:fldChar w:fldCharType="separate"/>
      </w:r>
      <w:r>
        <w:rPr>
          <w:rFonts w:eastAsia="黑体"/>
          <w:sz w:val="20"/>
        </w:rPr>
        <w:t>14</w:t>
      </w:r>
      <w:r>
        <w:rPr>
          <w:rFonts w:eastAsia="黑体"/>
          <w:sz w:val="20"/>
        </w:rPr>
        <w:fldChar w:fldCharType="end"/>
      </w:r>
      <w:r>
        <w:rPr>
          <w:rFonts w:eastAsia="黑体"/>
          <w:sz w:val="20"/>
        </w:rPr>
        <w:t xml:space="preserve"> </w:t>
      </w:r>
      <w:r>
        <w:rPr>
          <w:rFonts w:hint="eastAsia" w:eastAsia="黑体"/>
          <w:sz w:val="20"/>
        </w:rPr>
        <w:t>汽车多芯片组件可靠性及功能安全等级</w:t>
      </w:r>
    </w:p>
    <w:tbl>
      <w:tblPr>
        <w:tblStyle w:val="34"/>
        <w:tblW w:w="935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636"/>
        <w:gridCol w:w="1335"/>
        <w:gridCol w:w="1143"/>
        <w:gridCol w:w="2410"/>
        <w:gridCol w:w="1285"/>
        <w:gridCol w:w="1124"/>
        <w:gridCol w:w="1418"/>
      </w:tblGrid>
      <w:tr w14:paraId="4C27BA8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Merge w:val="restart"/>
            <w:tcBorders>
              <w:top w:val="single" w:color="000000" w:sz="12" w:space="0"/>
              <w:bottom w:val="single" w:color="000000" w:sz="12" w:space="0"/>
            </w:tcBorders>
            <w:vAlign w:val="center"/>
          </w:tcPr>
          <w:p w14:paraId="6EC2EC12">
            <w:pPr>
              <w:widowControl/>
              <w:tabs>
                <w:tab w:val="center" w:pos="4201"/>
                <w:tab w:val="right" w:leader="dot" w:pos="9298"/>
              </w:tabs>
              <w:autoSpaceDE w:val="0"/>
              <w:autoSpaceDN w:val="0"/>
              <w:adjustRightInd w:val="0"/>
              <w:snapToGrid w:val="0"/>
              <w:spacing w:before="156" w:beforeLines="50" w:after="156" w:afterLines="50"/>
              <w:jc w:val="center"/>
              <w:rPr>
                <w:rFonts w:ascii="Times New Roman"/>
                <w:kern w:val="0"/>
                <w:szCs w:val="18"/>
              </w:rPr>
            </w:pPr>
            <w:r>
              <w:rPr>
                <w:rFonts w:ascii="Times New Roman"/>
                <w:kern w:val="0"/>
                <w:szCs w:val="18"/>
              </w:rPr>
              <w:t>等级</w:t>
            </w:r>
          </w:p>
        </w:tc>
        <w:tc>
          <w:tcPr>
            <w:tcW w:w="6173" w:type="dxa"/>
            <w:gridSpan w:val="4"/>
            <w:tcBorders>
              <w:top w:val="single" w:color="000000" w:sz="12" w:space="0"/>
              <w:bottom w:val="single" w:color="000000" w:sz="12" w:space="0"/>
            </w:tcBorders>
          </w:tcPr>
          <w:p w14:paraId="46E764A0">
            <w:pPr>
              <w:widowControl/>
              <w:tabs>
                <w:tab w:val="center" w:pos="4201"/>
                <w:tab w:val="right" w:leader="dot" w:pos="9298"/>
              </w:tabs>
              <w:autoSpaceDE w:val="0"/>
              <w:autoSpaceDN w:val="0"/>
              <w:adjustRightInd w:val="0"/>
              <w:snapToGrid w:val="0"/>
              <w:spacing w:before="156" w:beforeLines="50" w:after="156" w:afterLines="50"/>
              <w:jc w:val="center"/>
              <w:rPr>
                <w:rFonts w:ascii="Times New Roman"/>
                <w:kern w:val="0"/>
                <w:szCs w:val="18"/>
              </w:rPr>
            </w:pPr>
            <w:r>
              <w:rPr>
                <w:rFonts w:ascii="Times New Roman"/>
                <w:kern w:val="0"/>
                <w:szCs w:val="18"/>
              </w:rPr>
              <w:t>可靠性分级要求</w:t>
            </w:r>
          </w:p>
        </w:tc>
        <w:tc>
          <w:tcPr>
            <w:tcW w:w="1124" w:type="dxa"/>
            <w:vMerge w:val="restart"/>
            <w:tcBorders>
              <w:top w:val="single" w:color="000000" w:sz="12" w:space="0"/>
              <w:bottom w:val="single" w:color="000000" w:sz="12" w:space="0"/>
            </w:tcBorders>
            <w:vAlign w:val="center"/>
          </w:tcPr>
          <w:p w14:paraId="360C3228">
            <w:pPr>
              <w:widowControl/>
              <w:tabs>
                <w:tab w:val="center" w:pos="4201"/>
                <w:tab w:val="right" w:leader="dot" w:pos="9298"/>
              </w:tabs>
              <w:autoSpaceDE w:val="0"/>
              <w:autoSpaceDN w:val="0"/>
              <w:spacing w:before="156" w:beforeLines="50" w:after="156" w:afterLines="50"/>
              <w:jc w:val="center"/>
              <w:rPr>
                <w:rFonts w:ascii="Times New Roman"/>
                <w:kern w:val="0"/>
                <w:sz w:val="18"/>
                <w:szCs w:val="18"/>
              </w:rPr>
            </w:pPr>
            <w:r>
              <w:rPr>
                <w:rFonts w:ascii="Times New Roman"/>
                <w:kern w:val="0"/>
                <w:sz w:val="18"/>
                <w:szCs w:val="18"/>
              </w:rPr>
              <w:t>功能安全</w:t>
            </w:r>
          </w:p>
          <w:p w14:paraId="0CECEED1">
            <w:pPr>
              <w:widowControl/>
              <w:tabs>
                <w:tab w:val="center" w:pos="4201"/>
                <w:tab w:val="right" w:leader="dot" w:pos="9298"/>
              </w:tabs>
              <w:autoSpaceDE w:val="0"/>
              <w:autoSpaceDN w:val="0"/>
              <w:spacing w:before="156" w:beforeLines="50" w:after="156" w:afterLines="50"/>
              <w:jc w:val="center"/>
              <w:rPr>
                <w:rFonts w:ascii="Times New Roman"/>
                <w:kern w:val="0"/>
                <w:sz w:val="18"/>
                <w:szCs w:val="18"/>
              </w:rPr>
            </w:pPr>
            <w:r>
              <w:rPr>
                <w:rFonts w:ascii="Times New Roman"/>
                <w:kern w:val="0"/>
                <w:sz w:val="18"/>
                <w:szCs w:val="18"/>
              </w:rPr>
              <w:t>分级要求</w:t>
            </w:r>
            <w:r>
              <w:rPr>
                <w:rFonts w:ascii="Times New Roman"/>
                <w:kern w:val="0"/>
                <w:sz w:val="24"/>
                <w:szCs w:val="22"/>
                <w:vertAlign w:val="superscript"/>
              </w:rPr>
              <w:t>e*</w:t>
            </w:r>
          </w:p>
        </w:tc>
        <w:tc>
          <w:tcPr>
            <w:tcW w:w="1418" w:type="dxa"/>
            <w:vMerge w:val="restart"/>
            <w:tcBorders>
              <w:top w:val="single" w:color="000000" w:sz="12" w:space="0"/>
              <w:bottom w:val="single" w:color="000000" w:sz="12" w:space="0"/>
            </w:tcBorders>
            <w:vAlign w:val="center"/>
          </w:tcPr>
          <w:p w14:paraId="789289EF">
            <w:pPr>
              <w:widowControl/>
              <w:tabs>
                <w:tab w:val="center" w:pos="4201"/>
                <w:tab w:val="right" w:leader="dot" w:pos="9298"/>
              </w:tabs>
              <w:autoSpaceDE w:val="0"/>
              <w:autoSpaceDN w:val="0"/>
              <w:spacing w:before="156" w:beforeLines="50" w:after="156" w:afterLines="50"/>
              <w:jc w:val="center"/>
              <w:rPr>
                <w:rFonts w:ascii="Times New Roman"/>
                <w:kern w:val="0"/>
                <w:sz w:val="18"/>
                <w:szCs w:val="18"/>
              </w:rPr>
            </w:pPr>
            <w:r>
              <w:rPr>
                <w:rFonts w:ascii="Times New Roman"/>
                <w:kern w:val="0"/>
                <w:sz w:val="18"/>
                <w:szCs w:val="18"/>
              </w:rPr>
              <w:t>电磁兼容</w:t>
            </w:r>
          </w:p>
          <w:p w14:paraId="28C29701">
            <w:pPr>
              <w:widowControl/>
              <w:tabs>
                <w:tab w:val="center" w:pos="4201"/>
                <w:tab w:val="right" w:leader="dot" w:pos="9298"/>
              </w:tabs>
              <w:autoSpaceDE w:val="0"/>
              <w:autoSpaceDN w:val="0"/>
              <w:spacing w:before="156" w:beforeLines="50" w:after="156" w:afterLines="50"/>
              <w:jc w:val="center"/>
              <w:rPr>
                <w:rFonts w:ascii="Times New Roman"/>
                <w:kern w:val="0"/>
                <w:sz w:val="18"/>
                <w:szCs w:val="18"/>
              </w:rPr>
            </w:pPr>
            <w:r>
              <w:rPr>
                <w:rFonts w:ascii="Times New Roman"/>
                <w:kern w:val="0"/>
                <w:sz w:val="18"/>
                <w:szCs w:val="18"/>
              </w:rPr>
              <w:t>分级要求</w:t>
            </w:r>
          </w:p>
        </w:tc>
      </w:tr>
      <w:tr w14:paraId="687EDA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Merge w:val="continue"/>
            <w:tcBorders>
              <w:top w:val="single" w:color="000000" w:sz="12" w:space="0"/>
            </w:tcBorders>
          </w:tcPr>
          <w:p w14:paraId="2B2BE3F3">
            <w:pPr>
              <w:widowControl/>
              <w:tabs>
                <w:tab w:val="center" w:pos="4201"/>
                <w:tab w:val="right" w:leader="dot" w:pos="9298"/>
              </w:tabs>
              <w:autoSpaceDE w:val="0"/>
              <w:autoSpaceDN w:val="0"/>
              <w:adjustRightInd w:val="0"/>
              <w:snapToGrid w:val="0"/>
              <w:jc w:val="center"/>
              <w:rPr>
                <w:rFonts w:ascii="Times New Roman"/>
                <w:kern w:val="0"/>
                <w:szCs w:val="18"/>
              </w:rPr>
            </w:pPr>
          </w:p>
        </w:tc>
        <w:tc>
          <w:tcPr>
            <w:tcW w:w="1335" w:type="dxa"/>
            <w:tcBorders>
              <w:top w:val="single" w:color="000000" w:sz="12" w:space="0"/>
            </w:tcBorders>
            <w:vAlign w:val="center"/>
          </w:tcPr>
          <w:p w14:paraId="4DD4B45F">
            <w:pPr>
              <w:widowControl/>
              <w:tabs>
                <w:tab w:val="center" w:pos="4201"/>
                <w:tab w:val="right" w:leader="dot" w:pos="9298"/>
              </w:tabs>
              <w:autoSpaceDE w:val="0"/>
              <w:autoSpaceDN w:val="0"/>
              <w:spacing w:before="156" w:beforeLines="50" w:after="156" w:afterLines="50"/>
              <w:jc w:val="center"/>
              <w:rPr>
                <w:rFonts w:ascii="Times New Roman"/>
                <w:kern w:val="0"/>
                <w:sz w:val="18"/>
                <w:szCs w:val="18"/>
              </w:rPr>
            </w:pPr>
            <w:r>
              <w:rPr>
                <w:rFonts w:ascii="Times New Roman"/>
                <w:kern w:val="0"/>
                <w:sz w:val="18"/>
                <w:szCs w:val="18"/>
              </w:rPr>
              <w:t>温度范围</w:t>
            </w:r>
            <w:r>
              <w:rPr>
                <w:rFonts w:ascii="Times New Roman"/>
                <w:kern w:val="0"/>
                <w:sz w:val="24"/>
                <w:szCs w:val="22"/>
                <w:vertAlign w:val="superscript"/>
              </w:rPr>
              <w:t>*a</w:t>
            </w:r>
          </w:p>
        </w:tc>
        <w:tc>
          <w:tcPr>
            <w:tcW w:w="1143" w:type="dxa"/>
            <w:tcBorders>
              <w:top w:val="single" w:color="000000" w:sz="12" w:space="0"/>
            </w:tcBorders>
            <w:vAlign w:val="center"/>
          </w:tcPr>
          <w:p w14:paraId="74188B35">
            <w:pPr>
              <w:widowControl/>
              <w:tabs>
                <w:tab w:val="center" w:pos="4201"/>
                <w:tab w:val="right" w:leader="dot" w:pos="9298"/>
              </w:tabs>
              <w:autoSpaceDE w:val="0"/>
              <w:autoSpaceDN w:val="0"/>
              <w:spacing w:before="156" w:beforeLines="50" w:after="156" w:afterLines="50"/>
              <w:jc w:val="center"/>
              <w:rPr>
                <w:rFonts w:ascii="Times New Roman"/>
                <w:kern w:val="0"/>
                <w:sz w:val="18"/>
                <w:szCs w:val="18"/>
              </w:rPr>
            </w:pPr>
            <w:r>
              <w:rPr>
                <w:rFonts w:ascii="Times New Roman"/>
                <w:kern w:val="0"/>
                <w:sz w:val="18"/>
                <w:szCs w:val="18"/>
              </w:rPr>
              <w:t>振动量级</w:t>
            </w:r>
            <w:r>
              <w:rPr>
                <w:rFonts w:ascii="Times New Roman"/>
                <w:kern w:val="0"/>
                <w:sz w:val="24"/>
                <w:szCs w:val="22"/>
                <w:vertAlign w:val="superscript"/>
              </w:rPr>
              <w:t>*b</w:t>
            </w:r>
          </w:p>
        </w:tc>
        <w:tc>
          <w:tcPr>
            <w:tcW w:w="2410" w:type="dxa"/>
            <w:tcBorders>
              <w:top w:val="single" w:color="000000" w:sz="12" w:space="0"/>
            </w:tcBorders>
            <w:vAlign w:val="center"/>
          </w:tcPr>
          <w:p w14:paraId="6CA16344">
            <w:pPr>
              <w:widowControl/>
              <w:tabs>
                <w:tab w:val="center" w:pos="4201"/>
                <w:tab w:val="right" w:leader="dot" w:pos="9298"/>
              </w:tabs>
              <w:autoSpaceDE w:val="0"/>
              <w:autoSpaceDN w:val="0"/>
              <w:spacing w:before="156" w:beforeLines="50" w:after="156" w:afterLines="50"/>
              <w:jc w:val="center"/>
              <w:rPr>
                <w:rFonts w:ascii="Times New Roman"/>
                <w:kern w:val="0"/>
                <w:sz w:val="18"/>
                <w:szCs w:val="18"/>
              </w:rPr>
            </w:pPr>
            <w:r>
              <w:rPr>
                <w:rFonts w:ascii="Times New Roman"/>
                <w:kern w:val="0"/>
                <w:sz w:val="18"/>
                <w:szCs w:val="18"/>
              </w:rPr>
              <w:t>静电放电</w:t>
            </w:r>
          </w:p>
        </w:tc>
        <w:tc>
          <w:tcPr>
            <w:tcW w:w="1285" w:type="dxa"/>
            <w:tcBorders>
              <w:top w:val="single" w:color="000000" w:sz="12" w:space="0"/>
            </w:tcBorders>
          </w:tcPr>
          <w:p w14:paraId="066A2104">
            <w:pPr>
              <w:widowControl/>
              <w:tabs>
                <w:tab w:val="center" w:pos="4201"/>
                <w:tab w:val="right" w:leader="dot" w:pos="9298"/>
              </w:tabs>
              <w:autoSpaceDE w:val="0"/>
              <w:autoSpaceDN w:val="0"/>
              <w:spacing w:before="156" w:beforeLines="50" w:after="156" w:afterLines="50"/>
              <w:jc w:val="center"/>
              <w:rPr>
                <w:rFonts w:ascii="Times New Roman"/>
                <w:kern w:val="0"/>
                <w:sz w:val="18"/>
                <w:szCs w:val="18"/>
              </w:rPr>
            </w:pPr>
            <w:r>
              <w:rPr>
                <w:rFonts w:ascii="Times New Roman"/>
                <w:kern w:val="0"/>
                <w:sz w:val="18"/>
                <w:szCs w:val="18"/>
              </w:rPr>
              <w:t>可靠性分级检测要求</w:t>
            </w:r>
          </w:p>
        </w:tc>
        <w:tc>
          <w:tcPr>
            <w:tcW w:w="1124" w:type="dxa"/>
            <w:vMerge w:val="continue"/>
            <w:tcBorders>
              <w:top w:val="single" w:color="000000" w:sz="12" w:space="0"/>
            </w:tcBorders>
          </w:tcPr>
          <w:p w14:paraId="30814CED">
            <w:pPr>
              <w:widowControl/>
              <w:tabs>
                <w:tab w:val="center" w:pos="4201"/>
                <w:tab w:val="right" w:leader="dot" w:pos="9298"/>
              </w:tabs>
              <w:autoSpaceDE w:val="0"/>
              <w:autoSpaceDN w:val="0"/>
              <w:adjustRightInd w:val="0"/>
              <w:snapToGrid w:val="0"/>
              <w:jc w:val="center"/>
              <w:rPr>
                <w:rFonts w:ascii="Times New Roman"/>
                <w:kern w:val="0"/>
                <w:szCs w:val="18"/>
              </w:rPr>
            </w:pPr>
          </w:p>
        </w:tc>
        <w:tc>
          <w:tcPr>
            <w:tcW w:w="1418" w:type="dxa"/>
            <w:vMerge w:val="continue"/>
            <w:tcBorders>
              <w:top w:val="single" w:color="000000" w:sz="12" w:space="0"/>
            </w:tcBorders>
          </w:tcPr>
          <w:p w14:paraId="6B70FBF5">
            <w:pPr>
              <w:widowControl/>
              <w:tabs>
                <w:tab w:val="center" w:pos="4201"/>
                <w:tab w:val="right" w:leader="dot" w:pos="9298"/>
              </w:tabs>
              <w:autoSpaceDE w:val="0"/>
              <w:autoSpaceDN w:val="0"/>
              <w:adjustRightInd w:val="0"/>
              <w:snapToGrid w:val="0"/>
              <w:jc w:val="center"/>
              <w:rPr>
                <w:rFonts w:ascii="Times New Roman"/>
                <w:kern w:val="0"/>
                <w:szCs w:val="18"/>
              </w:rPr>
            </w:pPr>
          </w:p>
        </w:tc>
      </w:tr>
      <w:tr w14:paraId="3F2758C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636" w:type="dxa"/>
            <w:vAlign w:val="center"/>
          </w:tcPr>
          <w:p w14:paraId="658C256F">
            <w:pPr>
              <w:widowControl/>
              <w:tabs>
                <w:tab w:val="center" w:pos="4201"/>
                <w:tab w:val="right" w:leader="dot" w:pos="9298"/>
              </w:tabs>
              <w:autoSpaceDE w:val="0"/>
              <w:autoSpaceDN w:val="0"/>
              <w:adjustRightInd w:val="0"/>
              <w:snapToGrid w:val="0"/>
              <w:jc w:val="center"/>
              <w:rPr>
                <w:rFonts w:ascii="Times New Roman"/>
                <w:kern w:val="0"/>
                <w:szCs w:val="18"/>
              </w:rPr>
            </w:pPr>
            <w:r>
              <w:rPr>
                <w:rFonts w:ascii="Times New Roman"/>
                <w:kern w:val="0"/>
                <w:szCs w:val="18"/>
              </w:rPr>
              <w:t>R0</w:t>
            </w:r>
          </w:p>
        </w:tc>
        <w:tc>
          <w:tcPr>
            <w:tcW w:w="1335" w:type="dxa"/>
            <w:vAlign w:val="center"/>
          </w:tcPr>
          <w:p w14:paraId="4C84F2A2">
            <w:pPr>
              <w:widowControl/>
              <w:tabs>
                <w:tab w:val="center" w:pos="4201"/>
                <w:tab w:val="right" w:leader="dot" w:pos="9298"/>
              </w:tabs>
              <w:autoSpaceDE w:val="0"/>
              <w:autoSpaceDN w:val="0"/>
              <w:adjustRightInd w:val="0"/>
              <w:snapToGrid w:val="0"/>
              <w:jc w:val="center"/>
              <w:rPr>
                <w:rFonts w:ascii="Times New Roman"/>
                <w:kern w:val="0"/>
                <w:sz w:val="18"/>
                <w:szCs w:val="18"/>
              </w:rPr>
            </w:pPr>
            <w:r>
              <w:rPr>
                <w:rFonts w:ascii="Times New Roman"/>
                <w:kern w:val="0"/>
                <w:sz w:val="18"/>
                <w:szCs w:val="18"/>
              </w:rPr>
              <w:t>0级：-40~+150℃</w:t>
            </w:r>
          </w:p>
        </w:tc>
        <w:tc>
          <w:tcPr>
            <w:tcW w:w="1143" w:type="dxa"/>
            <w:vAlign w:val="center"/>
          </w:tcPr>
          <w:p w14:paraId="235D0C7E">
            <w:pPr>
              <w:widowControl/>
              <w:tabs>
                <w:tab w:val="center" w:pos="4201"/>
                <w:tab w:val="right" w:leader="dot" w:pos="9298"/>
              </w:tabs>
              <w:autoSpaceDE w:val="0"/>
              <w:autoSpaceDN w:val="0"/>
              <w:adjustRightInd w:val="0"/>
              <w:snapToGrid w:val="0"/>
              <w:jc w:val="center"/>
              <w:rPr>
                <w:rFonts w:ascii="Times New Roman"/>
                <w:kern w:val="0"/>
                <w:sz w:val="18"/>
                <w:szCs w:val="18"/>
              </w:rPr>
            </w:pPr>
            <w:r>
              <w:rPr>
                <w:rFonts w:ascii="Times New Roman"/>
                <w:kern w:val="0"/>
                <w:sz w:val="18"/>
                <w:szCs w:val="18"/>
              </w:rPr>
              <w:t>0级</w:t>
            </w:r>
            <w:r>
              <w:rPr>
                <w:rFonts w:ascii="Times New Roman"/>
                <w:kern w:val="0"/>
                <w:sz w:val="24"/>
                <w:szCs w:val="22"/>
                <w:vertAlign w:val="superscript"/>
              </w:rPr>
              <w:t>*a</w:t>
            </w:r>
          </w:p>
        </w:tc>
        <w:tc>
          <w:tcPr>
            <w:tcW w:w="2410" w:type="dxa"/>
            <w:vAlign w:val="center"/>
          </w:tcPr>
          <w:p w14:paraId="43B4F6DE">
            <w:pPr>
              <w:adjustRightInd w:val="0"/>
              <w:snapToGrid w:val="0"/>
              <w:rPr>
                <w:rFonts w:ascii="Times New Roman"/>
                <w:kern w:val="0"/>
                <w:sz w:val="18"/>
                <w:szCs w:val="18"/>
              </w:rPr>
            </w:pPr>
            <w:r>
              <w:rPr>
                <w:rFonts w:ascii="Times New Roman"/>
                <w:kern w:val="0"/>
                <w:sz w:val="18"/>
                <w:szCs w:val="18"/>
              </w:rPr>
              <w:t>（1）商用车：</w:t>
            </w:r>
          </w:p>
          <w:p w14:paraId="106F8C3A">
            <w:pPr>
              <w:adjustRightInd w:val="0"/>
              <w:snapToGrid w:val="0"/>
              <w:rPr>
                <w:rFonts w:ascii="Times New Roman"/>
                <w:kern w:val="0"/>
                <w:sz w:val="18"/>
                <w:szCs w:val="18"/>
              </w:rPr>
            </w:pPr>
            <w:r>
              <w:rPr>
                <w:rFonts w:ascii="Times New Roman"/>
                <w:kern w:val="0"/>
                <w:sz w:val="18"/>
                <w:szCs w:val="18"/>
              </w:rPr>
              <w:t>HBM</w:t>
            </w:r>
            <w:r>
              <w:rPr>
                <w:rFonts w:ascii="Times New Roman"/>
                <w:kern w:val="0"/>
                <w:szCs w:val="18"/>
                <w:vertAlign w:val="superscript"/>
              </w:rPr>
              <w:t xml:space="preserve"> c*</w:t>
            </w:r>
            <w:r>
              <w:rPr>
                <w:rFonts w:ascii="Times New Roman"/>
                <w:kern w:val="0"/>
                <w:sz w:val="18"/>
                <w:szCs w:val="18"/>
              </w:rPr>
              <w:t>：2级（部分1C）</w:t>
            </w:r>
          </w:p>
          <w:p w14:paraId="22633DED">
            <w:pPr>
              <w:adjustRightInd w:val="0"/>
              <w:snapToGrid w:val="0"/>
              <w:rPr>
                <w:rFonts w:ascii="Times New Roman"/>
                <w:kern w:val="0"/>
                <w:szCs w:val="18"/>
                <w:vertAlign w:val="superscript"/>
              </w:rPr>
            </w:pPr>
            <w:r>
              <w:rPr>
                <w:rFonts w:ascii="Times New Roman"/>
                <w:kern w:val="0"/>
                <w:sz w:val="18"/>
                <w:szCs w:val="18"/>
              </w:rPr>
              <w:t>CDM</w:t>
            </w:r>
            <w:r>
              <w:rPr>
                <w:rFonts w:ascii="Times New Roman"/>
                <w:kern w:val="0"/>
                <w:szCs w:val="18"/>
                <w:vertAlign w:val="superscript"/>
              </w:rPr>
              <w:t xml:space="preserve"> d*</w:t>
            </w:r>
            <w:r>
              <w:rPr>
                <w:rFonts w:ascii="Times New Roman"/>
                <w:kern w:val="0"/>
                <w:sz w:val="18"/>
                <w:szCs w:val="18"/>
              </w:rPr>
              <w:t>：C2b（部分C1）</w:t>
            </w:r>
          </w:p>
          <w:p w14:paraId="544B710F">
            <w:pPr>
              <w:adjustRightInd w:val="0"/>
              <w:snapToGrid w:val="0"/>
              <w:rPr>
                <w:rFonts w:ascii="Times New Roman"/>
                <w:kern w:val="0"/>
                <w:sz w:val="18"/>
                <w:szCs w:val="18"/>
              </w:rPr>
            </w:pPr>
            <w:r>
              <w:rPr>
                <w:rFonts w:ascii="Times New Roman"/>
                <w:kern w:val="0"/>
                <w:sz w:val="18"/>
                <w:szCs w:val="18"/>
              </w:rPr>
              <w:t>（2）乘用车：</w:t>
            </w:r>
          </w:p>
          <w:p w14:paraId="6D3D1C9F">
            <w:pPr>
              <w:adjustRightInd w:val="0"/>
              <w:snapToGrid w:val="0"/>
              <w:rPr>
                <w:rFonts w:ascii="Times New Roman"/>
                <w:kern w:val="0"/>
                <w:sz w:val="18"/>
                <w:szCs w:val="18"/>
              </w:rPr>
            </w:pPr>
            <w:r>
              <w:rPr>
                <w:rFonts w:ascii="Times New Roman"/>
                <w:kern w:val="0"/>
                <w:sz w:val="18"/>
                <w:szCs w:val="18"/>
              </w:rPr>
              <w:t>HBM</w:t>
            </w:r>
            <w:r>
              <w:rPr>
                <w:rFonts w:ascii="Times New Roman"/>
                <w:kern w:val="0"/>
                <w:szCs w:val="18"/>
                <w:vertAlign w:val="superscript"/>
              </w:rPr>
              <w:t xml:space="preserve"> c*</w:t>
            </w:r>
            <w:r>
              <w:rPr>
                <w:rFonts w:ascii="Times New Roman"/>
                <w:kern w:val="0"/>
                <w:sz w:val="18"/>
                <w:szCs w:val="18"/>
              </w:rPr>
              <w:t>：2级（部分1C）</w:t>
            </w:r>
          </w:p>
          <w:p w14:paraId="5C7FE73C">
            <w:pPr>
              <w:adjustRightInd w:val="0"/>
              <w:snapToGrid w:val="0"/>
              <w:rPr>
                <w:rFonts w:ascii="Times New Roman"/>
              </w:rPr>
            </w:pPr>
            <w:r>
              <w:rPr>
                <w:rFonts w:ascii="Times New Roman"/>
                <w:kern w:val="0"/>
                <w:sz w:val="18"/>
                <w:szCs w:val="18"/>
              </w:rPr>
              <w:t>CDM</w:t>
            </w:r>
            <w:r>
              <w:rPr>
                <w:rFonts w:ascii="Times New Roman"/>
                <w:kern w:val="0"/>
                <w:szCs w:val="18"/>
                <w:vertAlign w:val="superscript"/>
              </w:rPr>
              <w:t xml:space="preserve"> d*</w:t>
            </w:r>
            <w:r>
              <w:rPr>
                <w:rFonts w:ascii="Times New Roman"/>
                <w:kern w:val="0"/>
                <w:sz w:val="18"/>
                <w:szCs w:val="18"/>
              </w:rPr>
              <w:t>：C2a（部分C1）</w:t>
            </w:r>
          </w:p>
        </w:tc>
        <w:tc>
          <w:tcPr>
            <w:tcW w:w="1285" w:type="dxa"/>
            <w:vAlign w:val="center"/>
          </w:tcPr>
          <w:p w14:paraId="31D6E328">
            <w:pPr>
              <w:widowControl/>
              <w:tabs>
                <w:tab w:val="center" w:pos="4201"/>
                <w:tab w:val="right" w:leader="dot" w:pos="9298"/>
              </w:tabs>
              <w:autoSpaceDE w:val="0"/>
              <w:autoSpaceDN w:val="0"/>
              <w:adjustRightInd w:val="0"/>
              <w:snapToGrid w:val="0"/>
              <w:jc w:val="center"/>
              <w:rPr>
                <w:rFonts w:ascii="Times New Roman"/>
                <w:kern w:val="0"/>
                <w:sz w:val="18"/>
                <w:szCs w:val="18"/>
              </w:rPr>
            </w:pPr>
            <w:r>
              <w:rPr>
                <w:rFonts w:ascii="Times New Roman"/>
                <w:kern w:val="0"/>
                <w:sz w:val="18"/>
                <w:szCs w:val="18"/>
              </w:rPr>
              <w:t>0级</w:t>
            </w:r>
          </w:p>
        </w:tc>
        <w:tc>
          <w:tcPr>
            <w:tcW w:w="1124" w:type="dxa"/>
            <w:vAlign w:val="center"/>
          </w:tcPr>
          <w:p w14:paraId="1BD540C3">
            <w:pPr>
              <w:widowControl/>
              <w:tabs>
                <w:tab w:val="center" w:pos="4201"/>
                <w:tab w:val="right" w:leader="dot" w:pos="9298"/>
              </w:tabs>
              <w:autoSpaceDE w:val="0"/>
              <w:autoSpaceDN w:val="0"/>
              <w:adjustRightInd w:val="0"/>
              <w:snapToGrid w:val="0"/>
              <w:jc w:val="center"/>
              <w:rPr>
                <w:rFonts w:ascii="Times New Roman"/>
                <w:kern w:val="0"/>
                <w:sz w:val="18"/>
                <w:szCs w:val="18"/>
              </w:rPr>
            </w:pPr>
            <w:r>
              <w:rPr>
                <w:rFonts w:ascii="Times New Roman"/>
                <w:kern w:val="0"/>
                <w:sz w:val="18"/>
                <w:szCs w:val="18"/>
              </w:rPr>
              <w:t xml:space="preserve">ASIL-D </w:t>
            </w:r>
          </w:p>
        </w:tc>
        <w:tc>
          <w:tcPr>
            <w:tcW w:w="1418" w:type="dxa"/>
            <w:vAlign w:val="center"/>
          </w:tcPr>
          <w:p w14:paraId="5F223A67">
            <w:pPr>
              <w:widowControl/>
              <w:tabs>
                <w:tab w:val="center" w:pos="4201"/>
                <w:tab w:val="right" w:leader="dot" w:pos="9298"/>
              </w:tabs>
              <w:autoSpaceDE w:val="0"/>
              <w:autoSpaceDN w:val="0"/>
              <w:adjustRightInd w:val="0"/>
              <w:snapToGrid w:val="0"/>
              <w:jc w:val="center"/>
              <w:rPr>
                <w:rFonts w:ascii="Times New Roman"/>
                <w:kern w:val="0"/>
                <w:sz w:val="18"/>
                <w:szCs w:val="18"/>
              </w:rPr>
            </w:pPr>
            <w:r>
              <w:rPr>
                <w:rFonts w:ascii="Times New Roman"/>
                <w:kern w:val="0"/>
                <w:sz w:val="18"/>
                <w:szCs w:val="18"/>
              </w:rPr>
              <w:t>N级</w:t>
            </w:r>
          </w:p>
        </w:tc>
      </w:tr>
      <w:tr w14:paraId="7ED2733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Align w:val="center"/>
          </w:tcPr>
          <w:p w14:paraId="6385E8EA">
            <w:pPr>
              <w:widowControl/>
              <w:tabs>
                <w:tab w:val="center" w:pos="4201"/>
                <w:tab w:val="right" w:leader="dot" w:pos="9298"/>
              </w:tabs>
              <w:autoSpaceDE w:val="0"/>
              <w:autoSpaceDN w:val="0"/>
              <w:adjustRightInd w:val="0"/>
              <w:snapToGrid w:val="0"/>
              <w:jc w:val="center"/>
              <w:rPr>
                <w:rFonts w:ascii="Times New Roman"/>
                <w:kern w:val="0"/>
                <w:szCs w:val="18"/>
              </w:rPr>
            </w:pPr>
            <w:r>
              <w:rPr>
                <w:rFonts w:ascii="Times New Roman"/>
                <w:kern w:val="0"/>
                <w:szCs w:val="18"/>
              </w:rPr>
              <w:t>R1</w:t>
            </w:r>
          </w:p>
        </w:tc>
        <w:tc>
          <w:tcPr>
            <w:tcW w:w="1335" w:type="dxa"/>
            <w:vAlign w:val="center"/>
          </w:tcPr>
          <w:p w14:paraId="2345474E">
            <w:pPr>
              <w:widowControl/>
              <w:tabs>
                <w:tab w:val="center" w:pos="4201"/>
                <w:tab w:val="right" w:leader="dot" w:pos="9298"/>
              </w:tabs>
              <w:autoSpaceDE w:val="0"/>
              <w:autoSpaceDN w:val="0"/>
              <w:adjustRightInd w:val="0"/>
              <w:snapToGrid w:val="0"/>
              <w:jc w:val="center"/>
              <w:rPr>
                <w:rFonts w:ascii="Times New Roman"/>
                <w:kern w:val="0"/>
                <w:sz w:val="18"/>
                <w:szCs w:val="18"/>
              </w:rPr>
            </w:pPr>
            <w:r>
              <w:rPr>
                <w:rFonts w:ascii="Times New Roman"/>
                <w:kern w:val="0"/>
                <w:sz w:val="18"/>
                <w:szCs w:val="18"/>
              </w:rPr>
              <w:t>2级：-40~+105℃</w:t>
            </w:r>
          </w:p>
        </w:tc>
        <w:tc>
          <w:tcPr>
            <w:tcW w:w="1143" w:type="dxa"/>
            <w:vAlign w:val="center"/>
          </w:tcPr>
          <w:p w14:paraId="33CD3D33">
            <w:pPr>
              <w:adjustRightInd w:val="0"/>
              <w:snapToGrid w:val="0"/>
              <w:jc w:val="center"/>
              <w:rPr>
                <w:rFonts w:ascii="Times New Roman"/>
                <w:sz w:val="18"/>
              </w:rPr>
            </w:pPr>
            <w:r>
              <w:rPr>
                <w:rFonts w:ascii="Times New Roman"/>
                <w:kern w:val="0"/>
                <w:sz w:val="18"/>
                <w:szCs w:val="18"/>
              </w:rPr>
              <w:t>0级</w:t>
            </w:r>
            <w:r>
              <w:rPr>
                <w:rFonts w:ascii="Times New Roman"/>
                <w:kern w:val="0"/>
                <w:sz w:val="24"/>
                <w:szCs w:val="22"/>
                <w:vertAlign w:val="superscript"/>
              </w:rPr>
              <w:t>*a</w:t>
            </w:r>
          </w:p>
        </w:tc>
        <w:tc>
          <w:tcPr>
            <w:tcW w:w="2410" w:type="dxa"/>
            <w:vAlign w:val="center"/>
          </w:tcPr>
          <w:p w14:paraId="63B19A67">
            <w:pPr>
              <w:adjustRightInd w:val="0"/>
              <w:snapToGrid w:val="0"/>
              <w:rPr>
                <w:rFonts w:ascii="Times New Roman"/>
                <w:kern w:val="0"/>
                <w:sz w:val="18"/>
                <w:szCs w:val="18"/>
              </w:rPr>
            </w:pPr>
            <w:r>
              <w:rPr>
                <w:rFonts w:ascii="Times New Roman"/>
                <w:kern w:val="0"/>
                <w:sz w:val="18"/>
                <w:szCs w:val="18"/>
              </w:rPr>
              <w:t>（1）商用车：</w:t>
            </w:r>
          </w:p>
          <w:p w14:paraId="2F7D4932">
            <w:pPr>
              <w:adjustRightInd w:val="0"/>
              <w:snapToGrid w:val="0"/>
              <w:rPr>
                <w:rFonts w:ascii="Times New Roman"/>
                <w:kern w:val="0"/>
                <w:sz w:val="18"/>
                <w:szCs w:val="18"/>
              </w:rPr>
            </w:pPr>
            <w:r>
              <w:rPr>
                <w:rFonts w:ascii="Times New Roman"/>
                <w:kern w:val="0"/>
                <w:sz w:val="18"/>
                <w:szCs w:val="18"/>
              </w:rPr>
              <w:t>HBM</w:t>
            </w:r>
            <w:r>
              <w:rPr>
                <w:rFonts w:ascii="Times New Roman"/>
                <w:kern w:val="0"/>
                <w:szCs w:val="18"/>
                <w:vertAlign w:val="superscript"/>
              </w:rPr>
              <w:t xml:space="preserve"> c*</w:t>
            </w:r>
            <w:r>
              <w:rPr>
                <w:rFonts w:ascii="Times New Roman"/>
                <w:kern w:val="0"/>
                <w:sz w:val="18"/>
                <w:szCs w:val="18"/>
              </w:rPr>
              <w:t>：2级（部分1C）</w:t>
            </w:r>
          </w:p>
          <w:p w14:paraId="746DCC97">
            <w:pPr>
              <w:adjustRightInd w:val="0"/>
              <w:snapToGrid w:val="0"/>
              <w:rPr>
                <w:rFonts w:ascii="Times New Roman"/>
                <w:kern w:val="0"/>
                <w:szCs w:val="18"/>
                <w:vertAlign w:val="superscript"/>
              </w:rPr>
            </w:pPr>
            <w:r>
              <w:rPr>
                <w:rFonts w:ascii="Times New Roman"/>
                <w:kern w:val="0"/>
                <w:sz w:val="18"/>
                <w:szCs w:val="18"/>
              </w:rPr>
              <w:t>CDM</w:t>
            </w:r>
            <w:r>
              <w:rPr>
                <w:rFonts w:ascii="Times New Roman"/>
                <w:kern w:val="0"/>
                <w:szCs w:val="18"/>
                <w:vertAlign w:val="superscript"/>
              </w:rPr>
              <w:t xml:space="preserve"> d*</w:t>
            </w:r>
            <w:r>
              <w:rPr>
                <w:rFonts w:ascii="Times New Roman"/>
                <w:kern w:val="0"/>
                <w:sz w:val="18"/>
                <w:szCs w:val="18"/>
              </w:rPr>
              <w:t>：C2b（部分C1）</w:t>
            </w:r>
          </w:p>
          <w:p w14:paraId="334EBD5C">
            <w:pPr>
              <w:adjustRightInd w:val="0"/>
              <w:snapToGrid w:val="0"/>
              <w:rPr>
                <w:rFonts w:ascii="Times New Roman"/>
                <w:kern w:val="0"/>
                <w:sz w:val="18"/>
                <w:szCs w:val="18"/>
              </w:rPr>
            </w:pPr>
            <w:r>
              <w:rPr>
                <w:rFonts w:ascii="Times New Roman"/>
                <w:kern w:val="0"/>
                <w:sz w:val="18"/>
                <w:szCs w:val="18"/>
              </w:rPr>
              <w:t>（2）乘用车：</w:t>
            </w:r>
          </w:p>
          <w:p w14:paraId="6EC339AD">
            <w:pPr>
              <w:adjustRightInd w:val="0"/>
              <w:snapToGrid w:val="0"/>
              <w:rPr>
                <w:rFonts w:ascii="Times New Roman"/>
                <w:kern w:val="0"/>
                <w:sz w:val="18"/>
                <w:szCs w:val="18"/>
              </w:rPr>
            </w:pPr>
            <w:r>
              <w:rPr>
                <w:rFonts w:ascii="Times New Roman"/>
                <w:kern w:val="0"/>
                <w:sz w:val="18"/>
                <w:szCs w:val="18"/>
              </w:rPr>
              <w:t>HBM</w:t>
            </w:r>
            <w:r>
              <w:rPr>
                <w:rFonts w:ascii="Times New Roman"/>
                <w:kern w:val="0"/>
                <w:szCs w:val="18"/>
                <w:vertAlign w:val="superscript"/>
              </w:rPr>
              <w:t xml:space="preserve"> c*</w:t>
            </w:r>
            <w:r>
              <w:rPr>
                <w:rFonts w:ascii="Times New Roman"/>
                <w:kern w:val="0"/>
                <w:sz w:val="18"/>
                <w:szCs w:val="18"/>
              </w:rPr>
              <w:t>：2级（部分1C）</w:t>
            </w:r>
          </w:p>
          <w:p w14:paraId="52889815">
            <w:pPr>
              <w:adjustRightInd w:val="0"/>
              <w:snapToGrid w:val="0"/>
              <w:rPr>
                <w:rFonts w:ascii="Times New Roman"/>
              </w:rPr>
            </w:pPr>
            <w:r>
              <w:rPr>
                <w:rFonts w:ascii="Times New Roman"/>
                <w:kern w:val="0"/>
                <w:sz w:val="18"/>
                <w:szCs w:val="18"/>
              </w:rPr>
              <w:t>CDM</w:t>
            </w:r>
            <w:r>
              <w:rPr>
                <w:rFonts w:ascii="Times New Roman"/>
                <w:kern w:val="0"/>
                <w:szCs w:val="18"/>
                <w:vertAlign w:val="superscript"/>
              </w:rPr>
              <w:t xml:space="preserve"> d*</w:t>
            </w:r>
            <w:r>
              <w:rPr>
                <w:rFonts w:ascii="Times New Roman"/>
                <w:kern w:val="0"/>
                <w:sz w:val="18"/>
                <w:szCs w:val="18"/>
              </w:rPr>
              <w:t>：C2a（部分C1）</w:t>
            </w:r>
            <w:r>
              <w:rPr>
                <w:rFonts w:ascii="Times New Roman"/>
                <w:kern w:val="0"/>
                <w:szCs w:val="18"/>
                <w:vertAlign w:val="superscript"/>
              </w:rPr>
              <w:t>*</w:t>
            </w:r>
          </w:p>
        </w:tc>
        <w:tc>
          <w:tcPr>
            <w:tcW w:w="1285" w:type="dxa"/>
            <w:vAlign w:val="center"/>
          </w:tcPr>
          <w:p w14:paraId="5D3F4FBE">
            <w:pPr>
              <w:widowControl/>
              <w:tabs>
                <w:tab w:val="center" w:pos="4201"/>
                <w:tab w:val="right" w:leader="dot" w:pos="9298"/>
              </w:tabs>
              <w:autoSpaceDE w:val="0"/>
              <w:autoSpaceDN w:val="0"/>
              <w:adjustRightInd w:val="0"/>
              <w:snapToGrid w:val="0"/>
              <w:jc w:val="center"/>
              <w:rPr>
                <w:rFonts w:ascii="Times New Roman"/>
                <w:kern w:val="0"/>
                <w:sz w:val="18"/>
                <w:szCs w:val="18"/>
              </w:rPr>
            </w:pPr>
            <w:r>
              <w:rPr>
                <w:rFonts w:ascii="Times New Roman"/>
                <w:kern w:val="0"/>
                <w:sz w:val="18"/>
                <w:szCs w:val="18"/>
              </w:rPr>
              <w:t>1级</w:t>
            </w:r>
          </w:p>
        </w:tc>
        <w:tc>
          <w:tcPr>
            <w:tcW w:w="1124" w:type="dxa"/>
            <w:vAlign w:val="center"/>
          </w:tcPr>
          <w:p w14:paraId="60E31E5D">
            <w:pPr>
              <w:widowControl/>
              <w:tabs>
                <w:tab w:val="center" w:pos="4201"/>
                <w:tab w:val="right" w:leader="dot" w:pos="9298"/>
              </w:tabs>
              <w:autoSpaceDE w:val="0"/>
              <w:autoSpaceDN w:val="0"/>
              <w:adjustRightInd w:val="0"/>
              <w:snapToGrid w:val="0"/>
              <w:jc w:val="center"/>
              <w:rPr>
                <w:rFonts w:ascii="Times New Roman"/>
                <w:kern w:val="0"/>
                <w:sz w:val="18"/>
                <w:szCs w:val="18"/>
              </w:rPr>
            </w:pPr>
            <w:r>
              <w:rPr>
                <w:rFonts w:ascii="Times New Roman"/>
                <w:kern w:val="0"/>
                <w:sz w:val="18"/>
                <w:szCs w:val="18"/>
              </w:rPr>
              <w:t xml:space="preserve">ASIL-D </w:t>
            </w:r>
          </w:p>
        </w:tc>
        <w:tc>
          <w:tcPr>
            <w:tcW w:w="1418" w:type="dxa"/>
            <w:vAlign w:val="center"/>
          </w:tcPr>
          <w:p w14:paraId="0410B6AC">
            <w:pPr>
              <w:adjustRightInd w:val="0"/>
              <w:snapToGrid w:val="0"/>
              <w:jc w:val="center"/>
              <w:rPr>
                <w:rFonts w:ascii="Times New Roman"/>
                <w:kern w:val="0"/>
                <w:sz w:val="18"/>
                <w:szCs w:val="18"/>
              </w:rPr>
            </w:pPr>
            <w:r>
              <w:rPr>
                <w:rFonts w:ascii="Times New Roman"/>
                <w:kern w:val="0"/>
                <w:sz w:val="18"/>
                <w:szCs w:val="18"/>
              </w:rPr>
              <w:t>商用车：N级</w:t>
            </w:r>
          </w:p>
          <w:p w14:paraId="103C92A5">
            <w:pPr>
              <w:adjustRightInd w:val="0"/>
              <w:snapToGrid w:val="0"/>
              <w:jc w:val="center"/>
              <w:rPr>
                <w:rFonts w:ascii="Times New Roman"/>
              </w:rPr>
            </w:pPr>
            <w:r>
              <w:rPr>
                <w:rFonts w:ascii="Times New Roman"/>
                <w:kern w:val="0"/>
                <w:sz w:val="18"/>
                <w:szCs w:val="18"/>
              </w:rPr>
              <w:t>乘用车：L级</w:t>
            </w:r>
          </w:p>
        </w:tc>
      </w:tr>
      <w:tr w14:paraId="620A87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Align w:val="center"/>
          </w:tcPr>
          <w:p w14:paraId="6A9B1CC8">
            <w:pPr>
              <w:widowControl/>
              <w:tabs>
                <w:tab w:val="center" w:pos="4201"/>
                <w:tab w:val="right" w:leader="dot" w:pos="9298"/>
              </w:tabs>
              <w:autoSpaceDE w:val="0"/>
              <w:autoSpaceDN w:val="0"/>
              <w:adjustRightInd w:val="0"/>
              <w:snapToGrid w:val="0"/>
              <w:jc w:val="center"/>
              <w:rPr>
                <w:rFonts w:ascii="Times New Roman"/>
                <w:kern w:val="0"/>
                <w:szCs w:val="18"/>
              </w:rPr>
            </w:pPr>
            <w:r>
              <w:rPr>
                <w:rFonts w:ascii="Times New Roman"/>
                <w:kern w:val="0"/>
                <w:szCs w:val="18"/>
              </w:rPr>
              <w:t>R2</w:t>
            </w:r>
          </w:p>
        </w:tc>
        <w:tc>
          <w:tcPr>
            <w:tcW w:w="1335" w:type="dxa"/>
            <w:vAlign w:val="center"/>
          </w:tcPr>
          <w:p w14:paraId="5BAC2528">
            <w:pPr>
              <w:widowControl/>
              <w:tabs>
                <w:tab w:val="center" w:pos="4201"/>
                <w:tab w:val="right" w:leader="dot" w:pos="9298"/>
              </w:tabs>
              <w:autoSpaceDE w:val="0"/>
              <w:autoSpaceDN w:val="0"/>
              <w:adjustRightInd w:val="0"/>
              <w:snapToGrid w:val="0"/>
              <w:jc w:val="center"/>
              <w:rPr>
                <w:rFonts w:ascii="Times New Roman"/>
                <w:kern w:val="0"/>
                <w:sz w:val="18"/>
                <w:szCs w:val="18"/>
              </w:rPr>
            </w:pPr>
            <w:r>
              <w:rPr>
                <w:rFonts w:ascii="Times New Roman"/>
                <w:kern w:val="0"/>
                <w:sz w:val="18"/>
                <w:szCs w:val="18"/>
              </w:rPr>
              <w:t>2级：-40~+105℃</w:t>
            </w:r>
          </w:p>
        </w:tc>
        <w:tc>
          <w:tcPr>
            <w:tcW w:w="1143" w:type="dxa"/>
            <w:vAlign w:val="center"/>
          </w:tcPr>
          <w:p w14:paraId="761A5D13">
            <w:pPr>
              <w:adjustRightInd w:val="0"/>
              <w:snapToGrid w:val="0"/>
              <w:jc w:val="center"/>
              <w:rPr>
                <w:rFonts w:ascii="Times New Roman"/>
                <w:sz w:val="18"/>
              </w:rPr>
            </w:pPr>
            <w:r>
              <w:rPr>
                <w:rFonts w:ascii="Times New Roman"/>
                <w:kern w:val="0"/>
                <w:sz w:val="18"/>
                <w:szCs w:val="18"/>
              </w:rPr>
              <w:t>0级</w:t>
            </w:r>
            <w:r>
              <w:rPr>
                <w:rFonts w:ascii="Times New Roman"/>
                <w:kern w:val="0"/>
                <w:sz w:val="24"/>
                <w:szCs w:val="22"/>
                <w:vertAlign w:val="superscript"/>
              </w:rPr>
              <w:t>*a</w:t>
            </w:r>
          </w:p>
        </w:tc>
        <w:tc>
          <w:tcPr>
            <w:tcW w:w="2410" w:type="dxa"/>
            <w:vAlign w:val="center"/>
          </w:tcPr>
          <w:p w14:paraId="6C71912B">
            <w:pPr>
              <w:adjustRightInd w:val="0"/>
              <w:snapToGrid w:val="0"/>
              <w:rPr>
                <w:rFonts w:ascii="Times New Roman"/>
                <w:kern w:val="0"/>
                <w:sz w:val="18"/>
                <w:szCs w:val="18"/>
              </w:rPr>
            </w:pPr>
            <w:r>
              <w:rPr>
                <w:rFonts w:ascii="Times New Roman"/>
                <w:kern w:val="0"/>
                <w:sz w:val="18"/>
                <w:szCs w:val="18"/>
              </w:rPr>
              <w:t>（1）商用车：</w:t>
            </w:r>
          </w:p>
          <w:p w14:paraId="5BDB14C8">
            <w:pPr>
              <w:adjustRightInd w:val="0"/>
              <w:snapToGrid w:val="0"/>
              <w:rPr>
                <w:rFonts w:ascii="Times New Roman"/>
                <w:kern w:val="0"/>
                <w:sz w:val="18"/>
                <w:szCs w:val="18"/>
              </w:rPr>
            </w:pPr>
            <w:r>
              <w:rPr>
                <w:rFonts w:ascii="Times New Roman"/>
                <w:kern w:val="0"/>
                <w:sz w:val="18"/>
                <w:szCs w:val="18"/>
              </w:rPr>
              <w:t>HBM</w:t>
            </w:r>
            <w:r>
              <w:rPr>
                <w:rFonts w:ascii="Times New Roman"/>
                <w:kern w:val="0"/>
                <w:szCs w:val="18"/>
                <w:vertAlign w:val="superscript"/>
              </w:rPr>
              <w:t xml:space="preserve"> c*</w:t>
            </w:r>
            <w:r>
              <w:rPr>
                <w:rFonts w:ascii="Times New Roman"/>
                <w:kern w:val="0"/>
                <w:sz w:val="18"/>
                <w:szCs w:val="18"/>
              </w:rPr>
              <w:t>：2级（部分1C）</w:t>
            </w:r>
          </w:p>
          <w:p w14:paraId="7EB927BA">
            <w:pPr>
              <w:adjustRightInd w:val="0"/>
              <w:snapToGrid w:val="0"/>
              <w:rPr>
                <w:rFonts w:ascii="Times New Roman"/>
                <w:kern w:val="0"/>
                <w:szCs w:val="18"/>
                <w:vertAlign w:val="superscript"/>
              </w:rPr>
            </w:pPr>
            <w:r>
              <w:rPr>
                <w:rFonts w:ascii="Times New Roman"/>
                <w:kern w:val="0"/>
                <w:sz w:val="18"/>
                <w:szCs w:val="18"/>
              </w:rPr>
              <w:t>CDM</w:t>
            </w:r>
            <w:r>
              <w:rPr>
                <w:rFonts w:ascii="Times New Roman"/>
                <w:kern w:val="0"/>
                <w:szCs w:val="18"/>
                <w:vertAlign w:val="superscript"/>
              </w:rPr>
              <w:t xml:space="preserve"> d*</w:t>
            </w:r>
            <w:r>
              <w:rPr>
                <w:rFonts w:ascii="Times New Roman"/>
                <w:kern w:val="0"/>
                <w:sz w:val="18"/>
                <w:szCs w:val="18"/>
              </w:rPr>
              <w:t>：C2b（部分C1）</w:t>
            </w:r>
          </w:p>
          <w:p w14:paraId="2035FA11">
            <w:pPr>
              <w:adjustRightInd w:val="0"/>
              <w:snapToGrid w:val="0"/>
              <w:rPr>
                <w:rFonts w:ascii="Times New Roman"/>
                <w:kern w:val="0"/>
                <w:sz w:val="18"/>
                <w:szCs w:val="18"/>
              </w:rPr>
            </w:pPr>
            <w:r>
              <w:rPr>
                <w:rFonts w:ascii="Times New Roman"/>
                <w:kern w:val="0"/>
                <w:sz w:val="18"/>
                <w:szCs w:val="18"/>
              </w:rPr>
              <w:t>（2）乘用车：</w:t>
            </w:r>
          </w:p>
          <w:p w14:paraId="51C71C71">
            <w:pPr>
              <w:adjustRightInd w:val="0"/>
              <w:snapToGrid w:val="0"/>
              <w:rPr>
                <w:rFonts w:ascii="Times New Roman"/>
                <w:kern w:val="0"/>
                <w:sz w:val="18"/>
                <w:szCs w:val="18"/>
              </w:rPr>
            </w:pPr>
            <w:r>
              <w:rPr>
                <w:rFonts w:ascii="Times New Roman"/>
                <w:kern w:val="0"/>
                <w:sz w:val="18"/>
                <w:szCs w:val="18"/>
              </w:rPr>
              <w:t>HBM</w:t>
            </w:r>
            <w:r>
              <w:rPr>
                <w:rFonts w:ascii="Times New Roman"/>
                <w:kern w:val="0"/>
                <w:szCs w:val="18"/>
                <w:vertAlign w:val="superscript"/>
              </w:rPr>
              <w:t xml:space="preserve"> c*</w:t>
            </w:r>
            <w:r>
              <w:rPr>
                <w:rFonts w:ascii="Times New Roman"/>
                <w:kern w:val="0"/>
                <w:sz w:val="18"/>
                <w:szCs w:val="18"/>
              </w:rPr>
              <w:t>：2级（部分1C）</w:t>
            </w:r>
          </w:p>
          <w:p w14:paraId="5E9AF2B7">
            <w:pPr>
              <w:adjustRightInd w:val="0"/>
              <w:snapToGrid w:val="0"/>
              <w:jc w:val="center"/>
              <w:rPr>
                <w:rFonts w:ascii="Times New Roman"/>
              </w:rPr>
            </w:pPr>
            <w:r>
              <w:rPr>
                <w:rFonts w:ascii="Times New Roman"/>
                <w:kern w:val="0"/>
                <w:sz w:val="18"/>
                <w:szCs w:val="18"/>
              </w:rPr>
              <w:t>CDM</w:t>
            </w:r>
            <w:r>
              <w:rPr>
                <w:rFonts w:ascii="Times New Roman"/>
                <w:kern w:val="0"/>
                <w:szCs w:val="18"/>
                <w:vertAlign w:val="superscript"/>
              </w:rPr>
              <w:t xml:space="preserve"> d*</w:t>
            </w:r>
            <w:r>
              <w:rPr>
                <w:rFonts w:ascii="Times New Roman"/>
                <w:kern w:val="0"/>
                <w:sz w:val="18"/>
                <w:szCs w:val="18"/>
              </w:rPr>
              <w:t>：C2a（部分C1）</w:t>
            </w:r>
            <w:r>
              <w:rPr>
                <w:rFonts w:ascii="Times New Roman"/>
                <w:kern w:val="0"/>
                <w:szCs w:val="18"/>
                <w:vertAlign w:val="superscript"/>
              </w:rPr>
              <w:t>*</w:t>
            </w:r>
          </w:p>
        </w:tc>
        <w:tc>
          <w:tcPr>
            <w:tcW w:w="1285" w:type="dxa"/>
            <w:vAlign w:val="center"/>
          </w:tcPr>
          <w:p w14:paraId="795E443F">
            <w:pPr>
              <w:widowControl/>
              <w:tabs>
                <w:tab w:val="center" w:pos="4201"/>
                <w:tab w:val="right" w:leader="dot" w:pos="9298"/>
              </w:tabs>
              <w:autoSpaceDE w:val="0"/>
              <w:autoSpaceDN w:val="0"/>
              <w:adjustRightInd w:val="0"/>
              <w:snapToGrid w:val="0"/>
              <w:jc w:val="center"/>
              <w:rPr>
                <w:rFonts w:ascii="Times New Roman"/>
                <w:kern w:val="0"/>
                <w:sz w:val="18"/>
                <w:szCs w:val="18"/>
              </w:rPr>
            </w:pPr>
            <w:r>
              <w:rPr>
                <w:rFonts w:ascii="Times New Roman"/>
                <w:kern w:val="0"/>
                <w:sz w:val="18"/>
                <w:szCs w:val="18"/>
              </w:rPr>
              <w:t>2级</w:t>
            </w:r>
          </w:p>
        </w:tc>
        <w:tc>
          <w:tcPr>
            <w:tcW w:w="1124" w:type="dxa"/>
            <w:vAlign w:val="center"/>
          </w:tcPr>
          <w:p w14:paraId="306D2910">
            <w:pPr>
              <w:widowControl/>
              <w:tabs>
                <w:tab w:val="center" w:pos="4201"/>
                <w:tab w:val="right" w:leader="dot" w:pos="9298"/>
              </w:tabs>
              <w:autoSpaceDE w:val="0"/>
              <w:autoSpaceDN w:val="0"/>
              <w:adjustRightInd w:val="0"/>
              <w:snapToGrid w:val="0"/>
              <w:jc w:val="center"/>
              <w:rPr>
                <w:rFonts w:ascii="Times New Roman"/>
                <w:kern w:val="0"/>
                <w:sz w:val="18"/>
                <w:szCs w:val="18"/>
              </w:rPr>
            </w:pPr>
            <w:r>
              <w:rPr>
                <w:rFonts w:ascii="Times New Roman"/>
                <w:kern w:val="0"/>
                <w:sz w:val="18"/>
                <w:szCs w:val="18"/>
              </w:rPr>
              <w:t>ASIL-D</w:t>
            </w:r>
            <w:r>
              <w:rPr>
                <w:rFonts w:hint="eastAsia" w:ascii="Times New Roman"/>
                <w:kern w:val="0"/>
                <w:sz w:val="24"/>
                <w:szCs w:val="22"/>
                <w:vertAlign w:val="superscript"/>
              </w:rPr>
              <w:t>f</w:t>
            </w:r>
            <w:r>
              <w:rPr>
                <w:rFonts w:ascii="Times New Roman"/>
                <w:kern w:val="0"/>
                <w:sz w:val="24"/>
                <w:szCs w:val="22"/>
                <w:vertAlign w:val="superscript"/>
              </w:rPr>
              <w:t>*</w:t>
            </w:r>
            <w:r>
              <w:rPr>
                <w:rFonts w:ascii="Times New Roman"/>
                <w:kern w:val="0"/>
                <w:sz w:val="18"/>
                <w:szCs w:val="18"/>
              </w:rPr>
              <w:t xml:space="preserve"> </w:t>
            </w:r>
          </w:p>
        </w:tc>
        <w:tc>
          <w:tcPr>
            <w:tcW w:w="1418" w:type="dxa"/>
            <w:vAlign w:val="center"/>
          </w:tcPr>
          <w:p w14:paraId="66CD0E2C">
            <w:pPr>
              <w:adjustRightInd w:val="0"/>
              <w:snapToGrid w:val="0"/>
              <w:jc w:val="center"/>
              <w:rPr>
                <w:rFonts w:ascii="Times New Roman"/>
                <w:kern w:val="0"/>
                <w:sz w:val="18"/>
                <w:szCs w:val="18"/>
              </w:rPr>
            </w:pPr>
            <w:r>
              <w:rPr>
                <w:rFonts w:ascii="Times New Roman"/>
                <w:kern w:val="0"/>
                <w:sz w:val="18"/>
                <w:szCs w:val="18"/>
              </w:rPr>
              <w:t>商用车：L级</w:t>
            </w:r>
          </w:p>
          <w:p w14:paraId="63A59323">
            <w:pPr>
              <w:adjustRightInd w:val="0"/>
              <w:snapToGrid w:val="0"/>
              <w:jc w:val="center"/>
              <w:rPr>
                <w:rFonts w:ascii="Times New Roman"/>
              </w:rPr>
            </w:pPr>
            <w:r>
              <w:rPr>
                <w:rFonts w:ascii="Times New Roman"/>
                <w:kern w:val="0"/>
                <w:sz w:val="18"/>
                <w:szCs w:val="18"/>
              </w:rPr>
              <w:t>乘用车：N级</w:t>
            </w:r>
          </w:p>
        </w:tc>
      </w:tr>
      <w:tr w14:paraId="123BD3E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Align w:val="center"/>
          </w:tcPr>
          <w:p w14:paraId="49086E08">
            <w:pPr>
              <w:widowControl/>
              <w:tabs>
                <w:tab w:val="center" w:pos="4201"/>
                <w:tab w:val="right" w:leader="dot" w:pos="9298"/>
              </w:tabs>
              <w:autoSpaceDE w:val="0"/>
              <w:autoSpaceDN w:val="0"/>
              <w:adjustRightInd w:val="0"/>
              <w:snapToGrid w:val="0"/>
              <w:jc w:val="center"/>
              <w:rPr>
                <w:rFonts w:ascii="Times New Roman"/>
                <w:kern w:val="0"/>
                <w:szCs w:val="18"/>
              </w:rPr>
            </w:pPr>
            <w:r>
              <w:rPr>
                <w:rFonts w:ascii="Times New Roman"/>
                <w:kern w:val="0"/>
                <w:szCs w:val="18"/>
              </w:rPr>
              <w:t>R3</w:t>
            </w:r>
          </w:p>
        </w:tc>
        <w:tc>
          <w:tcPr>
            <w:tcW w:w="1335" w:type="dxa"/>
            <w:vAlign w:val="center"/>
          </w:tcPr>
          <w:p w14:paraId="63720956">
            <w:pPr>
              <w:widowControl/>
              <w:tabs>
                <w:tab w:val="center" w:pos="4201"/>
                <w:tab w:val="right" w:leader="dot" w:pos="9298"/>
              </w:tabs>
              <w:autoSpaceDE w:val="0"/>
              <w:autoSpaceDN w:val="0"/>
              <w:adjustRightInd w:val="0"/>
              <w:snapToGrid w:val="0"/>
              <w:jc w:val="center"/>
              <w:rPr>
                <w:rFonts w:ascii="Times New Roman"/>
                <w:kern w:val="0"/>
                <w:sz w:val="18"/>
                <w:szCs w:val="18"/>
              </w:rPr>
            </w:pPr>
            <w:r>
              <w:rPr>
                <w:rFonts w:ascii="Times New Roman"/>
                <w:kern w:val="0"/>
                <w:sz w:val="18"/>
                <w:szCs w:val="18"/>
              </w:rPr>
              <w:t>2级：-40~+105℃</w:t>
            </w:r>
          </w:p>
        </w:tc>
        <w:tc>
          <w:tcPr>
            <w:tcW w:w="1143" w:type="dxa"/>
            <w:vAlign w:val="center"/>
          </w:tcPr>
          <w:p w14:paraId="28DD1FAE">
            <w:pPr>
              <w:adjustRightInd w:val="0"/>
              <w:snapToGrid w:val="0"/>
              <w:jc w:val="center"/>
              <w:rPr>
                <w:rFonts w:ascii="Times New Roman"/>
                <w:kern w:val="0"/>
                <w:sz w:val="18"/>
                <w:szCs w:val="18"/>
              </w:rPr>
            </w:pPr>
            <w:r>
              <w:rPr>
                <w:rFonts w:ascii="Times New Roman"/>
                <w:kern w:val="0"/>
                <w:sz w:val="18"/>
                <w:szCs w:val="18"/>
              </w:rPr>
              <w:t>0级</w:t>
            </w:r>
            <w:r>
              <w:rPr>
                <w:rFonts w:ascii="Times New Roman"/>
                <w:kern w:val="0"/>
                <w:sz w:val="24"/>
                <w:szCs w:val="22"/>
                <w:vertAlign w:val="superscript"/>
              </w:rPr>
              <w:t>*a</w:t>
            </w:r>
          </w:p>
        </w:tc>
        <w:tc>
          <w:tcPr>
            <w:tcW w:w="2410" w:type="dxa"/>
            <w:vAlign w:val="center"/>
          </w:tcPr>
          <w:p w14:paraId="46151E38">
            <w:pPr>
              <w:adjustRightInd w:val="0"/>
              <w:snapToGrid w:val="0"/>
              <w:rPr>
                <w:rFonts w:ascii="Times New Roman"/>
                <w:kern w:val="0"/>
                <w:sz w:val="18"/>
                <w:szCs w:val="18"/>
              </w:rPr>
            </w:pPr>
            <w:r>
              <w:rPr>
                <w:rFonts w:ascii="Times New Roman"/>
                <w:kern w:val="0"/>
                <w:sz w:val="18"/>
                <w:szCs w:val="18"/>
              </w:rPr>
              <w:t>（1）商用车：</w:t>
            </w:r>
          </w:p>
          <w:p w14:paraId="3335132D">
            <w:pPr>
              <w:adjustRightInd w:val="0"/>
              <w:snapToGrid w:val="0"/>
              <w:rPr>
                <w:rFonts w:ascii="Times New Roman"/>
                <w:kern w:val="0"/>
                <w:sz w:val="18"/>
                <w:szCs w:val="18"/>
              </w:rPr>
            </w:pPr>
            <w:r>
              <w:rPr>
                <w:rFonts w:ascii="Times New Roman"/>
                <w:kern w:val="0"/>
                <w:sz w:val="18"/>
                <w:szCs w:val="18"/>
              </w:rPr>
              <w:t>HBM</w:t>
            </w:r>
            <w:r>
              <w:rPr>
                <w:rFonts w:ascii="Times New Roman"/>
                <w:kern w:val="0"/>
                <w:szCs w:val="18"/>
                <w:vertAlign w:val="superscript"/>
              </w:rPr>
              <w:t xml:space="preserve"> c*</w:t>
            </w:r>
            <w:r>
              <w:rPr>
                <w:rFonts w:ascii="Times New Roman"/>
                <w:kern w:val="0"/>
                <w:sz w:val="18"/>
                <w:szCs w:val="18"/>
              </w:rPr>
              <w:t>：2级（部分1C）</w:t>
            </w:r>
          </w:p>
          <w:p w14:paraId="162D6E1B">
            <w:pPr>
              <w:adjustRightInd w:val="0"/>
              <w:snapToGrid w:val="0"/>
              <w:rPr>
                <w:rFonts w:ascii="Times New Roman"/>
                <w:kern w:val="0"/>
                <w:szCs w:val="18"/>
                <w:vertAlign w:val="superscript"/>
              </w:rPr>
            </w:pPr>
            <w:r>
              <w:rPr>
                <w:rFonts w:ascii="Times New Roman"/>
                <w:kern w:val="0"/>
                <w:sz w:val="18"/>
                <w:szCs w:val="18"/>
              </w:rPr>
              <w:t>CDM</w:t>
            </w:r>
            <w:r>
              <w:rPr>
                <w:rFonts w:ascii="Times New Roman"/>
                <w:kern w:val="0"/>
                <w:szCs w:val="18"/>
                <w:vertAlign w:val="superscript"/>
              </w:rPr>
              <w:t xml:space="preserve"> d*</w:t>
            </w:r>
            <w:r>
              <w:rPr>
                <w:rFonts w:ascii="Times New Roman"/>
                <w:kern w:val="0"/>
                <w:sz w:val="18"/>
                <w:szCs w:val="18"/>
              </w:rPr>
              <w:t>：C2b（部分C1）</w:t>
            </w:r>
          </w:p>
          <w:p w14:paraId="67E5C398">
            <w:pPr>
              <w:adjustRightInd w:val="0"/>
              <w:snapToGrid w:val="0"/>
              <w:rPr>
                <w:rFonts w:ascii="Times New Roman"/>
                <w:kern w:val="0"/>
                <w:sz w:val="18"/>
                <w:szCs w:val="18"/>
              </w:rPr>
            </w:pPr>
            <w:r>
              <w:rPr>
                <w:rFonts w:ascii="Times New Roman"/>
                <w:kern w:val="0"/>
                <w:sz w:val="18"/>
                <w:szCs w:val="18"/>
              </w:rPr>
              <w:t>（2）乘用车：</w:t>
            </w:r>
          </w:p>
          <w:p w14:paraId="748D8A7D">
            <w:pPr>
              <w:adjustRightInd w:val="0"/>
              <w:snapToGrid w:val="0"/>
              <w:rPr>
                <w:rFonts w:ascii="Times New Roman"/>
                <w:kern w:val="0"/>
                <w:sz w:val="18"/>
                <w:szCs w:val="18"/>
              </w:rPr>
            </w:pPr>
            <w:r>
              <w:rPr>
                <w:rFonts w:ascii="Times New Roman"/>
                <w:kern w:val="0"/>
                <w:sz w:val="18"/>
                <w:szCs w:val="18"/>
              </w:rPr>
              <w:t>HBM</w:t>
            </w:r>
            <w:r>
              <w:rPr>
                <w:rFonts w:ascii="Times New Roman"/>
                <w:kern w:val="0"/>
                <w:szCs w:val="18"/>
                <w:vertAlign w:val="superscript"/>
              </w:rPr>
              <w:t xml:space="preserve"> c*</w:t>
            </w:r>
            <w:r>
              <w:rPr>
                <w:rFonts w:ascii="Times New Roman"/>
                <w:kern w:val="0"/>
                <w:sz w:val="18"/>
                <w:szCs w:val="18"/>
              </w:rPr>
              <w:t>：2级（部分1C）</w:t>
            </w:r>
          </w:p>
          <w:p w14:paraId="7506C94E">
            <w:pPr>
              <w:widowControl/>
              <w:tabs>
                <w:tab w:val="center" w:pos="4201"/>
                <w:tab w:val="right" w:leader="dot" w:pos="9298"/>
              </w:tabs>
              <w:autoSpaceDE w:val="0"/>
              <w:autoSpaceDN w:val="0"/>
              <w:adjustRightInd w:val="0"/>
              <w:snapToGrid w:val="0"/>
              <w:rPr>
                <w:rFonts w:ascii="Times New Roman"/>
                <w:kern w:val="0"/>
                <w:sz w:val="18"/>
                <w:szCs w:val="18"/>
              </w:rPr>
            </w:pPr>
            <w:r>
              <w:rPr>
                <w:rFonts w:ascii="Times New Roman"/>
                <w:kern w:val="0"/>
                <w:sz w:val="18"/>
                <w:szCs w:val="18"/>
              </w:rPr>
              <w:t>CDM</w:t>
            </w:r>
            <w:r>
              <w:rPr>
                <w:rFonts w:ascii="Times New Roman"/>
                <w:kern w:val="0"/>
                <w:szCs w:val="18"/>
                <w:vertAlign w:val="superscript"/>
              </w:rPr>
              <w:t xml:space="preserve"> d*</w:t>
            </w:r>
            <w:r>
              <w:rPr>
                <w:rFonts w:ascii="Times New Roman"/>
                <w:kern w:val="0"/>
                <w:sz w:val="18"/>
                <w:szCs w:val="18"/>
              </w:rPr>
              <w:t>：C2a（部分C1）</w:t>
            </w:r>
          </w:p>
        </w:tc>
        <w:tc>
          <w:tcPr>
            <w:tcW w:w="1285" w:type="dxa"/>
            <w:vAlign w:val="center"/>
          </w:tcPr>
          <w:p w14:paraId="2065A4C2">
            <w:pPr>
              <w:widowControl/>
              <w:tabs>
                <w:tab w:val="center" w:pos="4201"/>
                <w:tab w:val="right" w:leader="dot" w:pos="9298"/>
              </w:tabs>
              <w:autoSpaceDE w:val="0"/>
              <w:autoSpaceDN w:val="0"/>
              <w:adjustRightInd w:val="0"/>
              <w:snapToGrid w:val="0"/>
              <w:jc w:val="center"/>
              <w:rPr>
                <w:rFonts w:ascii="Times New Roman"/>
                <w:kern w:val="0"/>
                <w:sz w:val="18"/>
                <w:szCs w:val="18"/>
              </w:rPr>
            </w:pPr>
            <w:r>
              <w:rPr>
                <w:rFonts w:ascii="Times New Roman"/>
                <w:kern w:val="0"/>
                <w:sz w:val="18"/>
                <w:szCs w:val="18"/>
              </w:rPr>
              <w:t>3级</w:t>
            </w:r>
          </w:p>
        </w:tc>
        <w:tc>
          <w:tcPr>
            <w:tcW w:w="1124" w:type="dxa"/>
            <w:vAlign w:val="center"/>
          </w:tcPr>
          <w:p w14:paraId="766E5DD8">
            <w:pPr>
              <w:widowControl/>
              <w:tabs>
                <w:tab w:val="center" w:pos="4201"/>
                <w:tab w:val="right" w:leader="dot" w:pos="9298"/>
              </w:tabs>
              <w:autoSpaceDE w:val="0"/>
              <w:autoSpaceDN w:val="0"/>
              <w:adjustRightInd w:val="0"/>
              <w:snapToGrid w:val="0"/>
              <w:jc w:val="center"/>
              <w:rPr>
                <w:rFonts w:ascii="Times New Roman"/>
                <w:kern w:val="0"/>
                <w:sz w:val="18"/>
                <w:szCs w:val="18"/>
              </w:rPr>
            </w:pPr>
            <w:r>
              <w:rPr>
                <w:rFonts w:ascii="Times New Roman"/>
                <w:kern w:val="0"/>
                <w:sz w:val="18"/>
                <w:szCs w:val="18"/>
              </w:rPr>
              <w:t xml:space="preserve">ASIL-D </w:t>
            </w:r>
          </w:p>
        </w:tc>
        <w:tc>
          <w:tcPr>
            <w:tcW w:w="1418" w:type="dxa"/>
            <w:vAlign w:val="center"/>
          </w:tcPr>
          <w:p w14:paraId="03133097">
            <w:pPr>
              <w:adjustRightInd w:val="0"/>
              <w:snapToGrid w:val="0"/>
              <w:jc w:val="center"/>
              <w:rPr>
                <w:rFonts w:ascii="Times New Roman"/>
                <w:kern w:val="0"/>
                <w:sz w:val="18"/>
                <w:szCs w:val="18"/>
              </w:rPr>
            </w:pPr>
            <w:r>
              <w:rPr>
                <w:rFonts w:ascii="Times New Roman"/>
                <w:kern w:val="0"/>
                <w:sz w:val="18"/>
                <w:szCs w:val="18"/>
              </w:rPr>
              <w:t>N级</w:t>
            </w:r>
          </w:p>
        </w:tc>
      </w:tr>
      <w:tr w14:paraId="451157A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Align w:val="center"/>
          </w:tcPr>
          <w:p w14:paraId="1C3DA7A8">
            <w:pPr>
              <w:widowControl/>
              <w:tabs>
                <w:tab w:val="center" w:pos="4201"/>
                <w:tab w:val="right" w:leader="dot" w:pos="9298"/>
              </w:tabs>
              <w:autoSpaceDE w:val="0"/>
              <w:autoSpaceDN w:val="0"/>
              <w:adjustRightInd w:val="0"/>
              <w:snapToGrid w:val="0"/>
              <w:jc w:val="center"/>
              <w:rPr>
                <w:rFonts w:ascii="Times New Roman"/>
                <w:kern w:val="0"/>
                <w:szCs w:val="18"/>
              </w:rPr>
            </w:pPr>
            <w:r>
              <w:rPr>
                <w:rFonts w:ascii="Times New Roman"/>
                <w:kern w:val="0"/>
                <w:szCs w:val="18"/>
              </w:rPr>
              <w:t>R4</w:t>
            </w:r>
          </w:p>
        </w:tc>
        <w:tc>
          <w:tcPr>
            <w:tcW w:w="1335" w:type="dxa"/>
            <w:vAlign w:val="center"/>
          </w:tcPr>
          <w:p w14:paraId="045594E1">
            <w:pPr>
              <w:widowControl/>
              <w:tabs>
                <w:tab w:val="center" w:pos="4201"/>
                <w:tab w:val="right" w:leader="dot" w:pos="9298"/>
              </w:tabs>
              <w:autoSpaceDE w:val="0"/>
              <w:autoSpaceDN w:val="0"/>
              <w:adjustRightInd w:val="0"/>
              <w:snapToGrid w:val="0"/>
              <w:jc w:val="center"/>
              <w:rPr>
                <w:rFonts w:ascii="Times New Roman"/>
                <w:kern w:val="0"/>
                <w:sz w:val="18"/>
                <w:szCs w:val="18"/>
              </w:rPr>
            </w:pPr>
            <w:r>
              <w:rPr>
                <w:rFonts w:ascii="Times New Roman"/>
                <w:kern w:val="0"/>
                <w:sz w:val="18"/>
                <w:szCs w:val="18"/>
              </w:rPr>
              <w:t>3级：-40~+85℃</w:t>
            </w:r>
          </w:p>
        </w:tc>
        <w:tc>
          <w:tcPr>
            <w:tcW w:w="1143" w:type="dxa"/>
            <w:vAlign w:val="center"/>
          </w:tcPr>
          <w:p w14:paraId="623D1BBB">
            <w:pPr>
              <w:adjustRightInd w:val="0"/>
              <w:snapToGrid w:val="0"/>
              <w:jc w:val="center"/>
              <w:rPr>
                <w:rFonts w:ascii="Times New Roman"/>
                <w:sz w:val="18"/>
              </w:rPr>
            </w:pPr>
            <w:r>
              <w:rPr>
                <w:rFonts w:ascii="Times New Roman"/>
                <w:kern w:val="0"/>
                <w:sz w:val="18"/>
                <w:szCs w:val="18"/>
              </w:rPr>
              <w:t>0级</w:t>
            </w:r>
            <w:r>
              <w:rPr>
                <w:rFonts w:ascii="Times New Roman"/>
                <w:kern w:val="0"/>
                <w:sz w:val="24"/>
                <w:szCs w:val="22"/>
                <w:vertAlign w:val="superscript"/>
              </w:rPr>
              <w:t>*a</w:t>
            </w:r>
          </w:p>
        </w:tc>
        <w:tc>
          <w:tcPr>
            <w:tcW w:w="2410" w:type="dxa"/>
            <w:vAlign w:val="center"/>
          </w:tcPr>
          <w:p w14:paraId="5D5DC447">
            <w:pPr>
              <w:adjustRightInd w:val="0"/>
              <w:snapToGrid w:val="0"/>
              <w:rPr>
                <w:rFonts w:ascii="Times New Roman"/>
                <w:kern w:val="0"/>
                <w:sz w:val="18"/>
                <w:szCs w:val="18"/>
              </w:rPr>
            </w:pPr>
            <w:r>
              <w:rPr>
                <w:rFonts w:ascii="Times New Roman"/>
                <w:kern w:val="0"/>
                <w:sz w:val="18"/>
                <w:szCs w:val="18"/>
              </w:rPr>
              <w:t>（1）商用车：</w:t>
            </w:r>
          </w:p>
          <w:p w14:paraId="713FAE7B">
            <w:pPr>
              <w:adjustRightInd w:val="0"/>
              <w:snapToGrid w:val="0"/>
              <w:rPr>
                <w:rFonts w:ascii="Times New Roman"/>
                <w:kern w:val="0"/>
                <w:sz w:val="18"/>
                <w:szCs w:val="18"/>
              </w:rPr>
            </w:pPr>
            <w:r>
              <w:rPr>
                <w:rFonts w:ascii="Times New Roman"/>
                <w:kern w:val="0"/>
                <w:sz w:val="18"/>
                <w:szCs w:val="18"/>
              </w:rPr>
              <w:t>HBM</w:t>
            </w:r>
            <w:r>
              <w:rPr>
                <w:rFonts w:ascii="Times New Roman"/>
                <w:kern w:val="0"/>
                <w:szCs w:val="18"/>
                <w:vertAlign w:val="superscript"/>
              </w:rPr>
              <w:t xml:space="preserve"> c*</w:t>
            </w:r>
            <w:r>
              <w:rPr>
                <w:rFonts w:ascii="Times New Roman"/>
                <w:kern w:val="0"/>
                <w:sz w:val="18"/>
                <w:szCs w:val="18"/>
              </w:rPr>
              <w:t>：2级（部分1C）</w:t>
            </w:r>
          </w:p>
          <w:p w14:paraId="3315AAF5">
            <w:pPr>
              <w:adjustRightInd w:val="0"/>
              <w:snapToGrid w:val="0"/>
              <w:rPr>
                <w:rFonts w:ascii="Times New Roman"/>
                <w:kern w:val="0"/>
                <w:szCs w:val="18"/>
                <w:vertAlign w:val="superscript"/>
              </w:rPr>
            </w:pPr>
            <w:r>
              <w:rPr>
                <w:rFonts w:ascii="Times New Roman"/>
                <w:kern w:val="0"/>
                <w:sz w:val="18"/>
                <w:szCs w:val="18"/>
              </w:rPr>
              <w:t>CDM</w:t>
            </w:r>
            <w:r>
              <w:rPr>
                <w:rFonts w:ascii="Times New Roman"/>
                <w:kern w:val="0"/>
                <w:szCs w:val="18"/>
                <w:vertAlign w:val="superscript"/>
              </w:rPr>
              <w:t xml:space="preserve"> d*</w:t>
            </w:r>
            <w:r>
              <w:rPr>
                <w:rFonts w:ascii="Times New Roman"/>
                <w:kern w:val="0"/>
                <w:sz w:val="18"/>
                <w:szCs w:val="18"/>
              </w:rPr>
              <w:t>：C2b（部分C1）</w:t>
            </w:r>
          </w:p>
          <w:p w14:paraId="614C3FA9">
            <w:pPr>
              <w:adjustRightInd w:val="0"/>
              <w:snapToGrid w:val="0"/>
              <w:rPr>
                <w:rFonts w:ascii="Times New Roman"/>
                <w:kern w:val="0"/>
                <w:sz w:val="18"/>
                <w:szCs w:val="18"/>
              </w:rPr>
            </w:pPr>
            <w:r>
              <w:rPr>
                <w:rFonts w:ascii="Times New Roman"/>
                <w:kern w:val="0"/>
                <w:sz w:val="18"/>
                <w:szCs w:val="18"/>
              </w:rPr>
              <w:t>（2）乘用车：</w:t>
            </w:r>
          </w:p>
          <w:p w14:paraId="45331B3F">
            <w:pPr>
              <w:adjustRightInd w:val="0"/>
              <w:snapToGrid w:val="0"/>
              <w:rPr>
                <w:rFonts w:ascii="Times New Roman"/>
                <w:kern w:val="0"/>
                <w:sz w:val="18"/>
                <w:szCs w:val="18"/>
              </w:rPr>
            </w:pPr>
            <w:r>
              <w:rPr>
                <w:rFonts w:ascii="Times New Roman"/>
                <w:kern w:val="0"/>
                <w:sz w:val="18"/>
                <w:szCs w:val="18"/>
              </w:rPr>
              <w:t>HBM</w:t>
            </w:r>
            <w:r>
              <w:rPr>
                <w:rFonts w:ascii="Times New Roman"/>
                <w:kern w:val="0"/>
                <w:szCs w:val="18"/>
                <w:vertAlign w:val="superscript"/>
              </w:rPr>
              <w:t xml:space="preserve"> c*</w:t>
            </w:r>
            <w:r>
              <w:rPr>
                <w:rFonts w:ascii="Times New Roman"/>
                <w:kern w:val="0"/>
                <w:sz w:val="18"/>
                <w:szCs w:val="18"/>
              </w:rPr>
              <w:t>：2级（部分1C）</w:t>
            </w:r>
          </w:p>
          <w:p w14:paraId="54A92C75">
            <w:pPr>
              <w:adjustRightInd w:val="0"/>
              <w:snapToGrid w:val="0"/>
              <w:rPr>
                <w:rFonts w:ascii="Times New Roman"/>
              </w:rPr>
            </w:pPr>
            <w:r>
              <w:rPr>
                <w:rFonts w:ascii="Times New Roman"/>
                <w:kern w:val="0"/>
                <w:sz w:val="18"/>
                <w:szCs w:val="18"/>
              </w:rPr>
              <w:t>CDM</w:t>
            </w:r>
            <w:r>
              <w:rPr>
                <w:rFonts w:ascii="Times New Roman"/>
                <w:kern w:val="0"/>
                <w:szCs w:val="18"/>
                <w:vertAlign w:val="superscript"/>
              </w:rPr>
              <w:t xml:space="preserve"> d*</w:t>
            </w:r>
            <w:r>
              <w:rPr>
                <w:rFonts w:ascii="Times New Roman"/>
                <w:kern w:val="0"/>
                <w:sz w:val="18"/>
                <w:szCs w:val="18"/>
              </w:rPr>
              <w:t>：C2a（部分C1）</w:t>
            </w:r>
          </w:p>
        </w:tc>
        <w:tc>
          <w:tcPr>
            <w:tcW w:w="1285" w:type="dxa"/>
            <w:vAlign w:val="center"/>
          </w:tcPr>
          <w:p w14:paraId="791B65E8">
            <w:pPr>
              <w:widowControl/>
              <w:tabs>
                <w:tab w:val="center" w:pos="4201"/>
                <w:tab w:val="right" w:leader="dot" w:pos="9298"/>
              </w:tabs>
              <w:autoSpaceDE w:val="0"/>
              <w:autoSpaceDN w:val="0"/>
              <w:adjustRightInd w:val="0"/>
              <w:snapToGrid w:val="0"/>
              <w:jc w:val="center"/>
              <w:rPr>
                <w:rFonts w:ascii="Times New Roman"/>
                <w:kern w:val="0"/>
                <w:sz w:val="18"/>
                <w:szCs w:val="18"/>
              </w:rPr>
            </w:pPr>
            <w:r>
              <w:rPr>
                <w:rFonts w:ascii="Times New Roman"/>
                <w:kern w:val="0"/>
                <w:sz w:val="18"/>
                <w:szCs w:val="18"/>
              </w:rPr>
              <w:t>4级</w:t>
            </w:r>
          </w:p>
        </w:tc>
        <w:tc>
          <w:tcPr>
            <w:tcW w:w="1124" w:type="dxa"/>
            <w:vAlign w:val="center"/>
          </w:tcPr>
          <w:p w14:paraId="2B217A95">
            <w:pPr>
              <w:widowControl/>
              <w:tabs>
                <w:tab w:val="center" w:pos="4201"/>
                <w:tab w:val="right" w:leader="dot" w:pos="9298"/>
              </w:tabs>
              <w:autoSpaceDE w:val="0"/>
              <w:autoSpaceDN w:val="0"/>
              <w:adjustRightInd w:val="0"/>
              <w:snapToGrid w:val="0"/>
              <w:jc w:val="center"/>
              <w:rPr>
                <w:rFonts w:ascii="Times New Roman"/>
                <w:kern w:val="0"/>
                <w:sz w:val="18"/>
                <w:szCs w:val="18"/>
              </w:rPr>
            </w:pPr>
            <w:r>
              <w:rPr>
                <w:rFonts w:ascii="Times New Roman"/>
                <w:kern w:val="0"/>
                <w:sz w:val="18"/>
                <w:szCs w:val="18"/>
              </w:rPr>
              <w:t>ASIL-B</w:t>
            </w:r>
            <w:r>
              <w:rPr>
                <w:rFonts w:ascii="Times New Roman"/>
                <w:kern w:val="0"/>
                <w:sz w:val="18"/>
                <w:szCs w:val="18"/>
                <w:vertAlign w:val="superscript"/>
              </w:rPr>
              <w:t xml:space="preserve"> </w:t>
            </w:r>
            <w:r>
              <w:rPr>
                <w:rFonts w:hint="eastAsia" w:ascii="Times New Roman"/>
                <w:kern w:val="0"/>
                <w:sz w:val="24"/>
                <w:szCs w:val="22"/>
                <w:vertAlign w:val="superscript"/>
              </w:rPr>
              <w:t>g</w:t>
            </w:r>
            <w:r>
              <w:rPr>
                <w:rFonts w:ascii="Times New Roman"/>
                <w:kern w:val="0"/>
                <w:sz w:val="24"/>
                <w:szCs w:val="22"/>
                <w:vertAlign w:val="superscript"/>
              </w:rPr>
              <w:t>*</w:t>
            </w:r>
            <w:r>
              <w:rPr>
                <w:rFonts w:ascii="Times New Roman"/>
                <w:kern w:val="0"/>
                <w:sz w:val="18"/>
                <w:szCs w:val="18"/>
              </w:rPr>
              <w:t xml:space="preserve"> </w:t>
            </w:r>
          </w:p>
        </w:tc>
        <w:tc>
          <w:tcPr>
            <w:tcW w:w="1418" w:type="dxa"/>
            <w:vAlign w:val="center"/>
          </w:tcPr>
          <w:p w14:paraId="3E685F00">
            <w:pPr>
              <w:adjustRightInd w:val="0"/>
              <w:snapToGrid w:val="0"/>
              <w:jc w:val="center"/>
              <w:rPr>
                <w:rFonts w:ascii="Times New Roman"/>
              </w:rPr>
            </w:pPr>
            <w:r>
              <w:rPr>
                <w:rFonts w:ascii="Times New Roman"/>
                <w:kern w:val="0"/>
                <w:sz w:val="18"/>
                <w:szCs w:val="18"/>
              </w:rPr>
              <w:t>N级</w:t>
            </w:r>
          </w:p>
        </w:tc>
      </w:tr>
    </w:tbl>
    <w:p w14:paraId="455D1EB3">
      <w:pPr>
        <w:pStyle w:val="24"/>
        <w:rPr>
          <w:rFonts w:ascii="Times New Roman"/>
        </w:rPr>
      </w:pPr>
      <w:r>
        <w:rPr>
          <w:rFonts w:hint="eastAsia" w:ascii="Times New Roman"/>
        </w:rPr>
        <w:t>注：</w:t>
      </w:r>
    </w:p>
    <w:p w14:paraId="206FA23B">
      <w:pPr>
        <w:widowControl/>
        <w:tabs>
          <w:tab w:val="center" w:pos="4201"/>
          <w:tab w:val="right" w:leader="dot" w:pos="9298"/>
        </w:tabs>
        <w:autoSpaceDE w:val="0"/>
        <w:autoSpaceDN w:val="0"/>
        <w:ind w:firstLine="480" w:firstLineChars="200"/>
        <w:rPr>
          <w:kern w:val="0"/>
          <w:szCs w:val="18"/>
          <w:vertAlign w:val="superscript"/>
        </w:rPr>
      </w:pPr>
      <w:r>
        <w:rPr>
          <w:rFonts w:hint="eastAsia"/>
          <w:kern w:val="0"/>
          <w:sz w:val="24"/>
          <w:vertAlign w:val="superscript"/>
        </w:rPr>
        <w:t>a</w:t>
      </w:r>
      <w:r>
        <w:rPr>
          <w:kern w:val="0"/>
          <w:sz w:val="24"/>
          <w:vertAlign w:val="superscript"/>
        </w:rPr>
        <w:t>*</w:t>
      </w:r>
      <w:r>
        <w:rPr>
          <w:rFonts w:hint="eastAsia"/>
          <w:kern w:val="0"/>
          <w:szCs w:val="18"/>
        </w:rPr>
        <w:t>：本表给出的是不同等级推荐的温度范围，实际以多芯片组件供应商和用户企业协商确认为准。</w:t>
      </w:r>
    </w:p>
    <w:p w14:paraId="75AF65CE">
      <w:pPr>
        <w:widowControl/>
        <w:tabs>
          <w:tab w:val="center" w:pos="4201"/>
          <w:tab w:val="right" w:leader="dot" w:pos="9298"/>
        </w:tabs>
        <w:autoSpaceDE w:val="0"/>
        <w:autoSpaceDN w:val="0"/>
        <w:ind w:firstLine="480" w:firstLineChars="200"/>
        <w:rPr>
          <w:kern w:val="0"/>
          <w:szCs w:val="20"/>
        </w:rPr>
      </w:pPr>
      <w:r>
        <w:rPr>
          <w:kern w:val="0"/>
          <w:sz w:val="24"/>
          <w:vertAlign w:val="superscript"/>
        </w:rPr>
        <w:t>b*</w:t>
      </w:r>
      <w:r>
        <w:rPr>
          <w:rFonts w:hint="eastAsia"/>
          <w:kern w:val="0"/>
          <w:szCs w:val="18"/>
        </w:rPr>
        <w:t>：本表给出的是不同等级推荐的振动量级，实际以多芯片组件供应商和用户企业协商确认为准。</w:t>
      </w:r>
      <w:r>
        <w:rPr>
          <w:rFonts w:hint="eastAsia"/>
          <w:kern w:val="0"/>
          <w:szCs w:val="20"/>
        </w:rPr>
        <w:t>汽车多芯片组件振动试验仅限于气密封装芯片、破坏性试验、未在引线键合处进行过模塑的引线键合裸芯片等，其他情况不做要求；</w:t>
      </w:r>
    </w:p>
    <w:p w14:paraId="64E18EC3">
      <w:pPr>
        <w:widowControl/>
        <w:tabs>
          <w:tab w:val="center" w:pos="4201"/>
          <w:tab w:val="right" w:leader="dot" w:pos="9298"/>
        </w:tabs>
        <w:autoSpaceDE w:val="0"/>
        <w:autoSpaceDN w:val="0"/>
        <w:ind w:firstLine="480" w:firstLineChars="200"/>
        <w:rPr>
          <w:kern w:val="0"/>
          <w:szCs w:val="18"/>
        </w:rPr>
      </w:pPr>
      <w:r>
        <w:rPr>
          <w:rFonts w:hint="eastAsia"/>
          <w:kern w:val="0"/>
          <w:sz w:val="24"/>
          <w:vertAlign w:val="superscript"/>
        </w:rPr>
        <w:t>c</w:t>
      </w:r>
      <w:r>
        <w:rPr>
          <w:kern w:val="0"/>
          <w:sz w:val="24"/>
          <w:vertAlign w:val="superscript"/>
        </w:rPr>
        <w:t>*</w:t>
      </w:r>
      <w:r>
        <w:rPr>
          <w:rFonts w:hint="eastAsia"/>
          <w:kern w:val="0"/>
          <w:szCs w:val="18"/>
        </w:rPr>
        <w:t>：三维堆叠等高密度封装形式要求降低至1C：1000V</w:t>
      </w:r>
      <w:r>
        <w:rPr>
          <w:rFonts w:hint="eastAsia"/>
          <w:szCs w:val="18"/>
        </w:rPr>
        <w:t>≤HBM</w:t>
      </w:r>
      <w:r>
        <w:rPr>
          <w:szCs w:val="18"/>
        </w:rPr>
        <w:t>＜</w:t>
      </w:r>
      <w:r>
        <w:rPr>
          <w:rFonts w:hint="eastAsia"/>
          <w:kern w:val="0"/>
          <w:szCs w:val="18"/>
        </w:rPr>
        <w:t>2000V或更高；</w:t>
      </w:r>
    </w:p>
    <w:p w14:paraId="3C2EC3A7">
      <w:pPr>
        <w:widowControl/>
        <w:tabs>
          <w:tab w:val="center" w:pos="4201"/>
          <w:tab w:val="right" w:leader="dot" w:pos="9298"/>
        </w:tabs>
        <w:autoSpaceDE w:val="0"/>
        <w:autoSpaceDN w:val="0"/>
        <w:ind w:firstLine="480" w:firstLineChars="200"/>
        <w:rPr>
          <w:kern w:val="0"/>
          <w:szCs w:val="20"/>
        </w:rPr>
      </w:pPr>
      <w:r>
        <w:rPr>
          <w:rFonts w:hint="eastAsia"/>
          <w:kern w:val="0"/>
          <w:sz w:val="24"/>
          <w:szCs w:val="21"/>
          <w:vertAlign w:val="superscript"/>
        </w:rPr>
        <w:t>d</w:t>
      </w:r>
      <w:r>
        <w:rPr>
          <w:kern w:val="0"/>
          <w:sz w:val="24"/>
          <w:szCs w:val="21"/>
          <w:vertAlign w:val="superscript"/>
        </w:rPr>
        <w:t>*</w:t>
      </w:r>
      <w:r>
        <w:rPr>
          <w:rFonts w:hint="eastAsia"/>
          <w:kern w:val="0"/>
          <w:szCs w:val="18"/>
        </w:rPr>
        <w:t>：</w:t>
      </w:r>
      <w:r>
        <w:rPr>
          <w:rFonts w:hint="eastAsia"/>
          <w:kern w:val="0"/>
          <w:szCs w:val="20"/>
        </w:rPr>
        <w:t>三维堆叠等高密度封装形式要求降低至C1:250V</w:t>
      </w:r>
      <w:r>
        <w:rPr>
          <w:rFonts w:hint="eastAsia"/>
          <w:szCs w:val="18"/>
        </w:rPr>
        <w:t>≤CDM</w:t>
      </w:r>
      <w:r>
        <w:rPr>
          <w:szCs w:val="18"/>
        </w:rPr>
        <w:t>＜</w:t>
      </w:r>
      <w:r>
        <w:rPr>
          <w:rFonts w:hint="eastAsia"/>
          <w:kern w:val="0"/>
          <w:szCs w:val="20"/>
        </w:rPr>
        <w:t>500V或更高</w:t>
      </w:r>
      <w:r>
        <w:rPr>
          <w:rFonts w:hint="eastAsia"/>
          <w:kern w:val="0"/>
          <w:szCs w:val="18"/>
        </w:rPr>
        <w:t>；</w:t>
      </w:r>
    </w:p>
    <w:p w14:paraId="6914BE53">
      <w:pPr>
        <w:widowControl/>
        <w:tabs>
          <w:tab w:val="center" w:pos="4201"/>
          <w:tab w:val="right" w:leader="dot" w:pos="9298"/>
        </w:tabs>
        <w:autoSpaceDE w:val="0"/>
        <w:autoSpaceDN w:val="0"/>
        <w:ind w:firstLine="420" w:firstLineChars="200"/>
        <w:rPr>
          <w:kern w:val="0"/>
          <w:szCs w:val="18"/>
          <w:vertAlign w:val="superscript"/>
        </w:rPr>
      </w:pPr>
      <w:r>
        <w:rPr>
          <w:rFonts w:hint="eastAsia"/>
          <w:kern w:val="0"/>
          <w:szCs w:val="18"/>
          <w:vertAlign w:val="superscript"/>
        </w:rPr>
        <w:t>e*</w:t>
      </w:r>
      <w:r>
        <w:rPr>
          <w:rFonts w:hint="eastAsia"/>
          <w:kern w:val="0"/>
          <w:szCs w:val="18"/>
        </w:rPr>
        <w:t>：本表给出的是不同等级推荐的功能安全等级，具体取决于系统应用情况，实际以多芯片组件供应商和用户企业协商确认为准；</w:t>
      </w:r>
    </w:p>
    <w:p w14:paraId="5BD65C21">
      <w:pPr>
        <w:widowControl/>
        <w:tabs>
          <w:tab w:val="center" w:pos="4201"/>
          <w:tab w:val="right" w:leader="dot" w:pos="9298"/>
        </w:tabs>
        <w:autoSpaceDE w:val="0"/>
        <w:autoSpaceDN w:val="0"/>
        <w:ind w:firstLine="420" w:firstLineChars="200"/>
        <w:rPr>
          <w:kern w:val="0"/>
          <w:szCs w:val="18"/>
        </w:rPr>
      </w:pPr>
      <w:r>
        <w:rPr>
          <w:rFonts w:hint="eastAsia"/>
          <w:kern w:val="0"/>
          <w:szCs w:val="18"/>
          <w:vertAlign w:val="superscript"/>
        </w:rPr>
        <w:t>f</w:t>
      </w:r>
      <w:r>
        <w:rPr>
          <w:kern w:val="0"/>
          <w:szCs w:val="18"/>
          <w:vertAlign w:val="superscript"/>
        </w:rPr>
        <w:t>*</w:t>
      </w:r>
      <w:r>
        <w:rPr>
          <w:rFonts w:hint="eastAsia"/>
          <w:kern w:val="0"/>
          <w:szCs w:val="18"/>
        </w:rPr>
        <w:t>：车身内饰系统、车身外饰系统、开闭件系统等零部件对应汽车多芯片组件功能安全等级要求ASIL-B级；</w:t>
      </w:r>
    </w:p>
    <w:p w14:paraId="49993FFF">
      <w:pPr>
        <w:widowControl/>
        <w:tabs>
          <w:tab w:val="center" w:pos="4201"/>
          <w:tab w:val="right" w:leader="dot" w:pos="9298"/>
        </w:tabs>
        <w:autoSpaceDE w:val="0"/>
        <w:autoSpaceDN w:val="0"/>
        <w:ind w:firstLine="420" w:firstLineChars="200"/>
        <w:rPr>
          <w:kern w:val="0"/>
          <w:szCs w:val="18"/>
        </w:rPr>
      </w:pPr>
      <w:r>
        <w:rPr>
          <w:rFonts w:hint="eastAsia"/>
          <w:kern w:val="0"/>
          <w:szCs w:val="18"/>
          <w:vertAlign w:val="superscript"/>
        </w:rPr>
        <w:t>g</w:t>
      </w:r>
      <w:r>
        <w:rPr>
          <w:kern w:val="0"/>
          <w:szCs w:val="18"/>
          <w:vertAlign w:val="superscript"/>
        </w:rPr>
        <w:t>*</w:t>
      </w:r>
      <w:r>
        <w:rPr>
          <w:rFonts w:hint="eastAsia"/>
          <w:kern w:val="0"/>
          <w:szCs w:val="18"/>
        </w:rPr>
        <w:t>：车载信息娱乐系统、HUD、电子不停车收费系统、汽车事件数据记录系统等零部件对应汽车多芯片组件功能安全等级要求QM，车载娱乐系统和HUD如果负责安全相关HMI功能，建议需要达到ASIL B等级。</w:t>
      </w:r>
    </w:p>
    <w:p w14:paraId="1738E398">
      <w:pPr>
        <w:pStyle w:val="73"/>
        <w:pageBreakBefore/>
        <w:numPr>
          <w:ilvl w:val="0"/>
          <w:numId w:val="0"/>
        </w:numPr>
        <w:jc w:val="center"/>
        <w:rPr>
          <w:rFonts w:ascii="Times New Roman"/>
        </w:rPr>
      </w:pPr>
      <w:bookmarkStart w:id="83" w:name="_Toc201506410"/>
      <w:bookmarkStart w:id="84" w:name="_Toc199063400"/>
      <w:bookmarkStart w:id="85" w:name="_Toc199203878"/>
      <w:bookmarkStart w:id="86" w:name="_Toc204873422"/>
      <w:r>
        <w:rPr>
          <w:rFonts w:hint="eastAsia" w:ascii="Times New Roman"/>
        </w:rPr>
        <w:t>附录</w:t>
      </w:r>
      <w:bookmarkEnd w:id="83"/>
      <w:bookmarkEnd w:id="84"/>
      <w:bookmarkEnd w:id="85"/>
      <w:r>
        <w:rPr>
          <w:rFonts w:hint="eastAsia" w:ascii="Times New Roman"/>
        </w:rPr>
        <w:t>A</w:t>
      </w:r>
      <w:bookmarkEnd w:id="86"/>
    </w:p>
    <w:p w14:paraId="7C7FFC68">
      <w:pPr>
        <w:jc w:val="center"/>
        <w:rPr>
          <w:rFonts w:ascii="黑体" w:hAnsi="黑体" w:eastAsia="黑体"/>
        </w:rPr>
      </w:pPr>
      <w:r>
        <w:rPr>
          <w:rFonts w:hint="eastAsia" w:ascii="黑体" w:hAnsi="黑体" w:eastAsia="黑体"/>
        </w:rPr>
        <w:t>汽车不同应用领域介绍</w:t>
      </w:r>
    </w:p>
    <w:p w14:paraId="550318D7">
      <w:pPr>
        <w:pStyle w:val="24"/>
      </w:pPr>
      <w:r>
        <w:rPr>
          <w:rFonts w:hint="eastAsia"/>
        </w:rPr>
        <w:t>本标准按照经典五大域理论，把汽车应用领域划分为底盘域、动力域、车身域、座舱域和自动驾驶域。每个应用领域的定义及包含的零部件见附表1。实际执行过程中可以根据整车或零部件企业自身对产品的定义加以调整。</w:t>
      </w:r>
    </w:p>
    <w:p w14:paraId="72DCE212">
      <w:pPr>
        <w:pStyle w:val="24"/>
        <w:spacing w:before="156" w:beforeLines="50" w:after="156" w:afterLines="50"/>
        <w:ind w:firstLine="0" w:firstLineChars="0"/>
        <w:jc w:val="center"/>
        <w:rPr>
          <w:rFonts w:eastAsia="黑体"/>
          <w:sz w:val="20"/>
        </w:rPr>
      </w:pPr>
      <w:r>
        <w:rPr>
          <w:rFonts w:hint="eastAsia" w:eastAsia="黑体"/>
          <w:sz w:val="20"/>
        </w:rPr>
        <w:t>附表</w:t>
      </w:r>
      <w:r>
        <w:rPr>
          <w:rFonts w:eastAsia="黑体"/>
          <w:sz w:val="20"/>
        </w:rPr>
        <w:t xml:space="preserve">1 </w:t>
      </w:r>
      <w:r>
        <w:rPr>
          <w:rFonts w:hint="eastAsia" w:eastAsia="黑体"/>
          <w:sz w:val="20"/>
        </w:rPr>
        <w:t>汽车不同应用领域</w:t>
      </w:r>
    </w:p>
    <w:tbl>
      <w:tblPr>
        <w:tblStyle w:val="33"/>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985"/>
        <w:gridCol w:w="3402"/>
        <w:gridCol w:w="3402"/>
      </w:tblGrid>
      <w:tr w14:paraId="7964701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985" w:type="dxa"/>
            <w:tcBorders>
              <w:top w:val="single" w:color="000000" w:sz="12" w:space="0"/>
              <w:bottom w:val="single" w:color="000000" w:sz="12" w:space="0"/>
            </w:tcBorders>
          </w:tcPr>
          <w:p w14:paraId="1ED9B0F2">
            <w:pPr>
              <w:widowControl/>
              <w:tabs>
                <w:tab w:val="center" w:pos="4201"/>
                <w:tab w:val="right" w:leader="dot" w:pos="9298"/>
              </w:tabs>
              <w:autoSpaceDE w:val="0"/>
              <w:autoSpaceDN w:val="0"/>
              <w:adjustRightInd w:val="0"/>
              <w:snapToGrid w:val="0"/>
              <w:spacing w:before="156" w:beforeLines="50" w:after="156" w:afterLines="50"/>
              <w:jc w:val="center"/>
              <w:rPr>
                <w:kern w:val="0"/>
                <w:szCs w:val="18"/>
              </w:rPr>
            </w:pPr>
            <w:r>
              <w:rPr>
                <w:rFonts w:hint="eastAsia"/>
                <w:kern w:val="0"/>
                <w:szCs w:val="18"/>
              </w:rPr>
              <w:t>应用领域</w:t>
            </w:r>
          </w:p>
        </w:tc>
        <w:tc>
          <w:tcPr>
            <w:tcW w:w="3402" w:type="dxa"/>
            <w:tcBorders>
              <w:top w:val="single" w:color="000000" w:sz="12" w:space="0"/>
              <w:bottom w:val="single" w:color="000000" w:sz="12" w:space="0"/>
            </w:tcBorders>
          </w:tcPr>
          <w:p w14:paraId="2065F6AD">
            <w:pPr>
              <w:widowControl/>
              <w:tabs>
                <w:tab w:val="center" w:pos="4201"/>
                <w:tab w:val="right" w:leader="dot" w:pos="9298"/>
              </w:tabs>
              <w:autoSpaceDE w:val="0"/>
              <w:autoSpaceDN w:val="0"/>
              <w:adjustRightInd w:val="0"/>
              <w:snapToGrid w:val="0"/>
              <w:spacing w:before="156" w:beforeLines="50" w:after="156" w:afterLines="50"/>
              <w:jc w:val="center"/>
              <w:rPr>
                <w:kern w:val="0"/>
                <w:szCs w:val="18"/>
              </w:rPr>
            </w:pPr>
            <w:r>
              <w:rPr>
                <w:rFonts w:hint="eastAsia"/>
                <w:kern w:val="0"/>
                <w:szCs w:val="18"/>
              </w:rPr>
              <w:t>定义</w:t>
            </w:r>
          </w:p>
        </w:tc>
        <w:tc>
          <w:tcPr>
            <w:tcW w:w="3402" w:type="dxa"/>
            <w:tcBorders>
              <w:top w:val="single" w:color="000000" w:sz="12" w:space="0"/>
              <w:bottom w:val="single" w:color="000000" w:sz="12" w:space="0"/>
            </w:tcBorders>
          </w:tcPr>
          <w:p w14:paraId="02B51E9F">
            <w:pPr>
              <w:widowControl/>
              <w:tabs>
                <w:tab w:val="center" w:pos="4201"/>
                <w:tab w:val="right" w:leader="dot" w:pos="9298"/>
              </w:tabs>
              <w:autoSpaceDE w:val="0"/>
              <w:autoSpaceDN w:val="0"/>
              <w:adjustRightInd w:val="0"/>
              <w:snapToGrid w:val="0"/>
              <w:spacing w:before="156" w:beforeLines="50" w:after="156" w:afterLines="50"/>
              <w:jc w:val="center"/>
              <w:rPr>
                <w:kern w:val="0"/>
                <w:szCs w:val="18"/>
              </w:rPr>
            </w:pPr>
            <w:r>
              <w:rPr>
                <w:rFonts w:hint="eastAsia"/>
                <w:kern w:val="0"/>
                <w:szCs w:val="18"/>
              </w:rPr>
              <w:t>典型零部件</w:t>
            </w:r>
          </w:p>
        </w:tc>
      </w:tr>
      <w:tr w14:paraId="49FC66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985" w:type="dxa"/>
            <w:tcBorders>
              <w:top w:val="single" w:color="000000" w:sz="12" w:space="0"/>
            </w:tcBorders>
            <w:vAlign w:val="center"/>
          </w:tcPr>
          <w:p w14:paraId="1D2CC9EC">
            <w:pPr>
              <w:widowControl/>
              <w:tabs>
                <w:tab w:val="center" w:pos="4201"/>
                <w:tab w:val="right" w:leader="dot" w:pos="9298"/>
              </w:tabs>
              <w:autoSpaceDE w:val="0"/>
              <w:autoSpaceDN w:val="0"/>
              <w:adjustRightInd w:val="0"/>
              <w:snapToGrid w:val="0"/>
              <w:jc w:val="center"/>
              <w:rPr>
                <w:kern w:val="0"/>
                <w:szCs w:val="18"/>
              </w:rPr>
            </w:pPr>
            <w:r>
              <w:rPr>
                <w:rFonts w:hint="eastAsia"/>
                <w:kern w:val="0"/>
                <w:szCs w:val="18"/>
              </w:rPr>
              <w:t>底盘域</w:t>
            </w:r>
          </w:p>
        </w:tc>
        <w:tc>
          <w:tcPr>
            <w:tcW w:w="3402" w:type="dxa"/>
            <w:tcBorders>
              <w:top w:val="single" w:color="000000" w:sz="12" w:space="0"/>
            </w:tcBorders>
            <w:vAlign w:val="center"/>
          </w:tcPr>
          <w:p w14:paraId="5A4B29B1">
            <w:pPr>
              <w:widowControl/>
              <w:tabs>
                <w:tab w:val="center" w:pos="4201"/>
                <w:tab w:val="right" w:leader="dot" w:pos="9298"/>
              </w:tabs>
              <w:autoSpaceDE w:val="0"/>
              <w:autoSpaceDN w:val="0"/>
              <w:adjustRightInd w:val="0"/>
              <w:snapToGrid w:val="0"/>
              <w:rPr>
                <w:kern w:val="0"/>
                <w:szCs w:val="18"/>
              </w:rPr>
            </w:pPr>
            <w:r>
              <w:rPr>
                <w:rFonts w:hint="eastAsia"/>
                <w:kern w:val="0"/>
                <w:szCs w:val="18"/>
              </w:rPr>
              <w:t>涉及车辆的行驶控制和运动管理，负责车辆的稳定性和操控性，通过传感器和执行器与车辆的其他系统交互，确保车辆在不同路况下的稳定行驶。</w:t>
            </w:r>
          </w:p>
        </w:tc>
        <w:tc>
          <w:tcPr>
            <w:tcW w:w="3402" w:type="dxa"/>
            <w:tcBorders>
              <w:top w:val="single" w:color="000000" w:sz="12" w:space="0"/>
            </w:tcBorders>
            <w:vAlign w:val="center"/>
          </w:tcPr>
          <w:p w14:paraId="108B45AB">
            <w:pPr>
              <w:widowControl/>
              <w:tabs>
                <w:tab w:val="center" w:pos="4201"/>
                <w:tab w:val="right" w:leader="dot" w:pos="9298"/>
              </w:tabs>
              <w:autoSpaceDE w:val="0"/>
              <w:autoSpaceDN w:val="0"/>
              <w:adjustRightInd w:val="0"/>
              <w:snapToGrid w:val="0"/>
              <w:jc w:val="center"/>
              <w:rPr>
                <w:kern w:val="0"/>
                <w:szCs w:val="18"/>
              </w:rPr>
            </w:pPr>
            <w:r>
              <w:rPr>
                <w:rFonts w:hint="eastAsia"/>
                <w:kern w:val="0"/>
                <w:szCs w:val="18"/>
              </w:rPr>
              <w:t>传动系统、行驶系统、转向系统、制动系统等</w:t>
            </w:r>
          </w:p>
        </w:tc>
      </w:tr>
      <w:tr w14:paraId="12581B8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985" w:type="dxa"/>
            <w:vAlign w:val="center"/>
          </w:tcPr>
          <w:p w14:paraId="73024F5F">
            <w:pPr>
              <w:widowControl/>
              <w:tabs>
                <w:tab w:val="center" w:pos="4201"/>
                <w:tab w:val="right" w:leader="dot" w:pos="9298"/>
              </w:tabs>
              <w:autoSpaceDE w:val="0"/>
              <w:autoSpaceDN w:val="0"/>
              <w:adjustRightInd w:val="0"/>
              <w:snapToGrid w:val="0"/>
              <w:jc w:val="center"/>
              <w:rPr>
                <w:kern w:val="0"/>
                <w:szCs w:val="18"/>
              </w:rPr>
            </w:pPr>
            <w:r>
              <w:rPr>
                <w:rFonts w:hint="eastAsia"/>
              </w:rPr>
              <w:t>动力域</w:t>
            </w:r>
          </w:p>
        </w:tc>
        <w:tc>
          <w:tcPr>
            <w:tcW w:w="3402" w:type="dxa"/>
            <w:vAlign w:val="center"/>
          </w:tcPr>
          <w:p w14:paraId="3AABE6B9">
            <w:pPr>
              <w:widowControl/>
              <w:tabs>
                <w:tab w:val="center" w:pos="4201"/>
                <w:tab w:val="right" w:leader="dot" w:pos="9298"/>
              </w:tabs>
              <w:autoSpaceDE w:val="0"/>
              <w:autoSpaceDN w:val="0"/>
              <w:adjustRightInd w:val="0"/>
              <w:snapToGrid w:val="0"/>
              <w:rPr>
                <w:kern w:val="0"/>
                <w:szCs w:val="18"/>
              </w:rPr>
            </w:pPr>
            <w:r>
              <w:rPr>
                <w:rFonts w:hint="eastAsia"/>
                <w:kern w:val="0"/>
                <w:szCs w:val="18"/>
              </w:rPr>
              <w:t>汽车动力系统的智能化管理中枢，主要负责整合和管理动力单元，优化能耗和提升驾驶性能。</w:t>
            </w:r>
          </w:p>
        </w:tc>
        <w:tc>
          <w:tcPr>
            <w:tcW w:w="3402" w:type="dxa"/>
            <w:vAlign w:val="center"/>
          </w:tcPr>
          <w:p w14:paraId="6FBF20BE">
            <w:pPr>
              <w:widowControl/>
              <w:tabs>
                <w:tab w:val="center" w:pos="4201"/>
                <w:tab w:val="right" w:leader="dot" w:pos="9298"/>
              </w:tabs>
              <w:autoSpaceDE w:val="0"/>
              <w:autoSpaceDN w:val="0"/>
              <w:adjustRightInd w:val="0"/>
              <w:snapToGrid w:val="0"/>
              <w:jc w:val="center"/>
              <w:rPr>
                <w:kern w:val="0"/>
                <w:szCs w:val="18"/>
              </w:rPr>
            </w:pPr>
            <w:r>
              <w:rPr>
                <w:rFonts w:hint="eastAsia"/>
                <w:kern w:val="0"/>
                <w:szCs w:val="18"/>
              </w:rPr>
              <w:t>发动机系统、新能源电驱系统、能源系统等</w:t>
            </w:r>
          </w:p>
        </w:tc>
      </w:tr>
      <w:tr w14:paraId="14B9F1E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985" w:type="dxa"/>
            <w:vAlign w:val="center"/>
          </w:tcPr>
          <w:p w14:paraId="5925B3E2">
            <w:pPr>
              <w:widowControl/>
              <w:tabs>
                <w:tab w:val="center" w:pos="4201"/>
                <w:tab w:val="right" w:leader="dot" w:pos="9298"/>
              </w:tabs>
              <w:autoSpaceDE w:val="0"/>
              <w:autoSpaceDN w:val="0"/>
              <w:adjustRightInd w:val="0"/>
              <w:snapToGrid w:val="0"/>
              <w:jc w:val="center"/>
              <w:rPr>
                <w:kern w:val="0"/>
                <w:szCs w:val="18"/>
              </w:rPr>
            </w:pPr>
            <w:r>
              <w:rPr>
                <w:rFonts w:hint="eastAsia"/>
              </w:rPr>
              <w:t>车身域</w:t>
            </w:r>
          </w:p>
        </w:tc>
        <w:tc>
          <w:tcPr>
            <w:tcW w:w="3402" w:type="dxa"/>
            <w:vAlign w:val="center"/>
          </w:tcPr>
          <w:p w14:paraId="1672BFC5">
            <w:pPr>
              <w:widowControl/>
              <w:tabs>
                <w:tab w:val="center" w:pos="4201"/>
                <w:tab w:val="right" w:leader="dot" w:pos="9298"/>
              </w:tabs>
              <w:autoSpaceDE w:val="0"/>
              <w:autoSpaceDN w:val="0"/>
              <w:adjustRightInd w:val="0"/>
              <w:snapToGrid w:val="0"/>
              <w:rPr>
                <w:kern w:val="0"/>
                <w:szCs w:val="18"/>
              </w:rPr>
            </w:pPr>
            <w:r>
              <w:rPr>
                <w:rFonts w:hint="eastAsia"/>
                <w:kern w:val="0"/>
                <w:szCs w:val="18"/>
              </w:rPr>
              <w:t>主要负责车身电子设备的控制和通信，通过总线系统与其他域进行数据交换，实现车身电子设备的智能化管理。</w:t>
            </w:r>
          </w:p>
        </w:tc>
        <w:tc>
          <w:tcPr>
            <w:tcW w:w="3402" w:type="dxa"/>
            <w:vAlign w:val="center"/>
          </w:tcPr>
          <w:p w14:paraId="4B3393CD">
            <w:pPr>
              <w:widowControl/>
              <w:tabs>
                <w:tab w:val="center" w:pos="4201"/>
                <w:tab w:val="right" w:leader="dot" w:pos="9298"/>
              </w:tabs>
              <w:autoSpaceDE w:val="0"/>
              <w:autoSpaceDN w:val="0"/>
              <w:adjustRightInd w:val="0"/>
              <w:snapToGrid w:val="0"/>
              <w:jc w:val="center"/>
              <w:rPr>
                <w:kern w:val="0"/>
                <w:szCs w:val="18"/>
              </w:rPr>
            </w:pPr>
            <w:r>
              <w:rPr>
                <w:rFonts w:hint="eastAsia"/>
                <w:kern w:val="0"/>
                <w:szCs w:val="18"/>
              </w:rPr>
              <w:t>车身控制系统、车身内饰系统、车身外饰系统、车身安全系统、开闭件系统、热管理系统</w:t>
            </w:r>
          </w:p>
        </w:tc>
      </w:tr>
      <w:tr w14:paraId="2144BF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985" w:type="dxa"/>
            <w:vAlign w:val="center"/>
          </w:tcPr>
          <w:p w14:paraId="3C81B08A">
            <w:pPr>
              <w:widowControl/>
              <w:tabs>
                <w:tab w:val="center" w:pos="4201"/>
                <w:tab w:val="right" w:leader="dot" w:pos="9298"/>
              </w:tabs>
              <w:autoSpaceDE w:val="0"/>
              <w:autoSpaceDN w:val="0"/>
              <w:adjustRightInd w:val="0"/>
              <w:snapToGrid w:val="0"/>
              <w:jc w:val="center"/>
              <w:rPr>
                <w:kern w:val="0"/>
                <w:szCs w:val="18"/>
              </w:rPr>
            </w:pPr>
            <w:r>
              <w:rPr>
                <w:rFonts w:hint="eastAsia"/>
              </w:rPr>
              <w:t>座舱域</w:t>
            </w:r>
          </w:p>
        </w:tc>
        <w:tc>
          <w:tcPr>
            <w:tcW w:w="3402" w:type="dxa"/>
            <w:vAlign w:val="center"/>
          </w:tcPr>
          <w:p w14:paraId="565E6982">
            <w:pPr>
              <w:widowControl/>
              <w:tabs>
                <w:tab w:val="center" w:pos="4201"/>
                <w:tab w:val="right" w:leader="dot" w:pos="9298"/>
              </w:tabs>
              <w:autoSpaceDE w:val="0"/>
              <w:autoSpaceDN w:val="0"/>
              <w:adjustRightInd w:val="0"/>
              <w:snapToGrid w:val="0"/>
              <w:rPr>
                <w:kern w:val="0"/>
                <w:szCs w:val="18"/>
              </w:rPr>
            </w:pPr>
            <w:r>
              <w:rPr>
                <w:rFonts w:hint="eastAsia"/>
                <w:kern w:val="0"/>
                <w:szCs w:val="18"/>
              </w:rPr>
              <w:t>主要负责车内信息娱乐系统和驾驶辅助功能的集成。</w:t>
            </w:r>
          </w:p>
        </w:tc>
        <w:tc>
          <w:tcPr>
            <w:tcW w:w="3402" w:type="dxa"/>
            <w:vAlign w:val="center"/>
          </w:tcPr>
          <w:p w14:paraId="7F029616">
            <w:pPr>
              <w:widowControl/>
              <w:tabs>
                <w:tab w:val="center" w:pos="4201"/>
                <w:tab w:val="right" w:leader="dot" w:pos="9298"/>
              </w:tabs>
              <w:autoSpaceDE w:val="0"/>
              <w:autoSpaceDN w:val="0"/>
              <w:adjustRightInd w:val="0"/>
              <w:snapToGrid w:val="0"/>
              <w:jc w:val="center"/>
              <w:rPr>
                <w:kern w:val="0"/>
                <w:szCs w:val="18"/>
              </w:rPr>
            </w:pPr>
            <w:r>
              <w:rPr>
                <w:rFonts w:hint="eastAsia"/>
                <w:kern w:val="0"/>
                <w:szCs w:val="18"/>
              </w:rPr>
              <w:t>车载信息娱乐系统、仪表系统、抬头显示系统、流媒体后视镜、电子不停车收费系统、汽车事件数据记录系统等</w:t>
            </w:r>
          </w:p>
        </w:tc>
      </w:tr>
      <w:tr w14:paraId="523F31D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985" w:type="dxa"/>
            <w:vAlign w:val="center"/>
          </w:tcPr>
          <w:p w14:paraId="6572A454">
            <w:pPr>
              <w:widowControl/>
              <w:tabs>
                <w:tab w:val="center" w:pos="4201"/>
                <w:tab w:val="right" w:leader="dot" w:pos="9298"/>
              </w:tabs>
              <w:autoSpaceDE w:val="0"/>
              <w:autoSpaceDN w:val="0"/>
              <w:adjustRightInd w:val="0"/>
              <w:snapToGrid w:val="0"/>
              <w:jc w:val="center"/>
              <w:rPr>
                <w:kern w:val="0"/>
                <w:szCs w:val="18"/>
              </w:rPr>
            </w:pPr>
            <w:r>
              <w:rPr>
                <w:rFonts w:hint="eastAsia"/>
              </w:rPr>
              <w:t>自动驾驶域</w:t>
            </w:r>
          </w:p>
        </w:tc>
        <w:tc>
          <w:tcPr>
            <w:tcW w:w="3402" w:type="dxa"/>
            <w:vAlign w:val="center"/>
          </w:tcPr>
          <w:p w14:paraId="7A1711C3">
            <w:pPr>
              <w:widowControl/>
              <w:tabs>
                <w:tab w:val="center" w:pos="4201"/>
                <w:tab w:val="right" w:leader="dot" w:pos="9298"/>
              </w:tabs>
              <w:autoSpaceDE w:val="0"/>
              <w:autoSpaceDN w:val="0"/>
              <w:adjustRightInd w:val="0"/>
              <w:snapToGrid w:val="0"/>
              <w:rPr>
                <w:kern w:val="0"/>
                <w:szCs w:val="18"/>
              </w:rPr>
            </w:pPr>
            <w:r>
              <w:rPr>
                <w:rFonts w:hint="eastAsia"/>
                <w:kern w:val="0"/>
                <w:szCs w:val="18"/>
              </w:rPr>
              <w:t>负责车辆的自动驾驶功能，包括路径规划、决策控制等。</w:t>
            </w:r>
          </w:p>
        </w:tc>
        <w:tc>
          <w:tcPr>
            <w:tcW w:w="3402" w:type="dxa"/>
            <w:vAlign w:val="center"/>
          </w:tcPr>
          <w:p w14:paraId="62117194">
            <w:pPr>
              <w:widowControl/>
              <w:tabs>
                <w:tab w:val="center" w:pos="4201"/>
                <w:tab w:val="right" w:leader="dot" w:pos="9298"/>
              </w:tabs>
              <w:autoSpaceDE w:val="0"/>
              <w:autoSpaceDN w:val="0"/>
              <w:adjustRightInd w:val="0"/>
              <w:snapToGrid w:val="0"/>
              <w:jc w:val="center"/>
              <w:rPr>
                <w:kern w:val="0"/>
                <w:szCs w:val="18"/>
              </w:rPr>
            </w:pPr>
            <w:r>
              <w:rPr>
                <w:rFonts w:hint="eastAsia"/>
                <w:kern w:val="0"/>
                <w:szCs w:val="18"/>
              </w:rPr>
              <w:t>环境感知系统、通信系统、智能决策系统</w:t>
            </w:r>
          </w:p>
        </w:tc>
      </w:tr>
    </w:tbl>
    <w:p w14:paraId="5D675D8B">
      <w:pPr>
        <w:pStyle w:val="73"/>
        <w:pageBreakBefore/>
        <w:numPr>
          <w:ilvl w:val="0"/>
          <w:numId w:val="0"/>
        </w:numPr>
        <w:jc w:val="center"/>
        <w:rPr>
          <w:rFonts w:ascii="Times New Roman"/>
        </w:rPr>
      </w:pPr>
      <w:bookmarkStart w:id="87" w:name="_Toc204873423"/>
      <w:bookmarkStart w:id="88" w:name="_Toc201506411"/>
      <w:bookmarkStart w:id="89" w:name="_Toc199063401"/>
      <w:bookmarkStart w:id="90" w:name="_Toc199203879"/>
      <w:r>
        <w:rPr>
          <w:rFonts w:hint="eastAsia" w:ascii="Times New Roman"/>
        </w:rPr>
        <w:t>参考文献</w:t>
      </w:r>
      <w:bookmarkEnd w:id="87"/>
      <w:bookmarkEnd w:id="88"/>
      <w:bookmarkEnd w:id="89"/>
      <w:bookmarkEnd w:id="90"/>
    </w:p>
    <w:p w14:paraId="617C7AEE">
      <w:pPr>
        <w:widowControl/>
        <w:tabs>
          <w:tab w:val="center" w:pos="4201"/>
          <w:tab w:val="right" w:leader="dot" w:pos="9298"/>
        </w:tabs>
        <w:autoSpaceDE w:val="0"/>
        <w:autoSpaceDN w:val="0"/>
        <w:rPr>
          <w:kern w:val="0"/>
          <w:szCs w:val="20"/>
        </w:rPr>
      </w:pPr>
      <w:r>
        <w:rPr>
          <w:kern w:val="0"/>
          <w:szCs w:val="20"/>
        </w:rPr>
        <w:t>[1] Vasquez-Borucki S. Mission Profile Evaluation for Automotive Applications: An Anthology of Best Practices[R]. Neubiberg: Infineon Technologies AG, 2019.</w:t>
      </w:r>
    </w:p>
    <w:p w14:paraId="7F84E9B4">
      <w:pPr>
        <w:widowControl/>
        <w:tabs>
          <w:tab w:val="center" w:pos="4201"/>
          <w:tab w:val="right" w:leader="dot" w:pos="9298"/>
        </w:tabs>
        <w:autoSpaceDE w:val="0"/>
        <w:autoSpaceDN w:val="0"/>
        <w:rPr>
          <w:kern w:val="0"/>
          <w:szCs w:val="20"/>
        </w:rPr>
      </w:pPr>
      <w:r>
        <w:rPr>
          <w:kern w:val="0"/>
          <w:szCs w:val="20"/>
        </w:rPr>
        <w:t>[2] ZVEI Robustness Validation Working Group. Handbook for robustness validation of automotive electrical/electronic modules[R]. ZVEI-Zentralverband Elektrotechnik-und Elektronikindustrie e.V,2013.</w:t>
      </w:r>
    </w:p>
    <w:p w14:paraId="29069827">
      <w:pPr>
        <w:widowControl/>
        <w:tabs>
          <w:tab w:val="center" w:pos="4201"/>
          <w:tab w:val="right" w:leader="dot" w:pos="9298"/>
        </w:tabs>
        <w:autoSpaceDE w:val="0"/>
        <w:autoSpaceDN w:val="0"/>
        <w:rPr>
          <w:kern w:val="0"/>
          <w:szCs w:val="20"/>
        </w:rPr>
      </w:pPr>
      <w:r>
        <w:rPr>
          <w:kern w:val="0"/>
          <w:szCs w:val="20"/>
        </w:rPr>
        <w:t>[3] T.Lehndorff. U.Abelein, et al. Extended lifetime qualification concepts for automotive semiconductor components[J]. 2020.</w:t>
      </w:r>
    </w:p>
    <w:p w14:paraId="7D07CA16">
      <w:pPr>
        <w:widowControl/>
        <w:tabs>
          <w:tab w:val="center" w:pos="4201"/>
          <w:tab w:val="right" w:leader="dot" w:pos="9298"/>
        </w:tabs>
        <w:autoSpaceDE w:val="0"/>
        <w:autoSpaceDN w:val="0"/>
        <w:rPr>
          <w:kern w:val="0"/>
          <w:szCs w:val="20"/>
        </w:rPr>
      </w:pPr>
      <w:r>
        <w:rPr>
          <w:kern w:val="0"/>
          <w:szCs w:val="20"/>
        </w:rPr>
        <w:t>[4] Texas Instruments ,Robert Bosch GmbH. ZVEI Robustness Validation Process[R]. Automotive Forum,2023.</w:t>
      </w:r>
    </w:p>
    <w:p w14:paraId="2EE0977E">
      <w:pPr>
        <w:widowControl/>
        <w:tabs>
          <w:tab w:val="center" w:pos="4201"/>
          <w:tab w:val="right" w:leader="dot" w:pos="9298"/>
        </w:tabs>
        <w:autoSpaceDE w:val="0"/>
        <w:autoSpaceDN w:val="0"/>
        <w:rPr>
          <w:kern w:val="0"/>
          <w:szCs w:val="20"/>
        </w:rPr>
      </w:pPr>
      <w:r>
        <w:rPr>
          <w:kern w:val="0"/>
          <w:szCs w:val="20"/>
        </w:rPr>
        <w:t>[5] Blaabjerg F, Wang H, Vernica I, et al. Reliability of power electronic systems for EV/HEV applications[J]. Proceedings of the IEEE, 2020, 109(6): 1060-1076.</w:t>
      </w:r>
    </w:p>
    <w:p w14:paraId="79208D05">
      <w:pPr>
        <w:widowControl/>
        <w:tabs>
          <w:tab w:val="center" w:pos="4201"/>
          <w:tab w:val="right" w:leader="dot" w:pos="9298"/>
        </w:tabs>
        <w:autoSpaceDE w:val="0"/>
        <w:autoSpaceDN w:val="0"/>
        <w:rPr>
          <w:kern w:val="0"/>
          <w:szCs w:val="20"/>
        </w:rPr>
      </w:pPr>
      <w:r>
        <w:rPr>
          <w:kern w:val="0"/>
          <w:szCs w:val="20"/>
        </w:rPr>
        <w:t>[6] Ali Ahari, Alexander Viehl, Oliver Bringmann, et al. Mission profile-based assessment of semiconductor technologies for automotive applications[J]. Microelectronics Reliability, 2018, 91: 129-138.</w:t>
      </w:r>
    </w:p>
    <w:p w14:paraId="70CEE742">
      <w:pPr>
        <w:widowControl/>
        <w:tabs>
          <w:tab w:val="center" w:pos="4201"/>
          <w:tab w:val="right" w:leader="dot" w:pos="9298"/>
        </w:tabs>
        <w:autoSpaceDE w:val="0"/>
        <w:autoSpaceDN w:val="0"/>
        <w:rPr>
          <w:kern w:val="0"/>
          <w:szCs w:val="20"/>
        </w:rPr>
      </w:pPr>
      <w:r>
        <w:rPr>
          <w:kern w:val="0"/>
          <w:szCs w:val="20"/>
        </w:rPr>
        <w:t>[7] Stroe D I, Swierczynski M, Laserna E M, et al. Accelerated aging of Lithium-ion batteries based on electric vehicle mission profile[C]//2017 IEEE Energy Conversion Congress and Exposition (ECCE). IEEE, 2017: 5631-5637.</w:t>
      </w:r>
    </w:p>
    <w:p w14:paraId="4C8AC54A">
      <w:pPr>
        <w:widowControl/>
        <w:tabs>
          <w:tab w:val="center" w:pos="4201"/>
          <w:tab w:val="right" w:leader="dot" w:pos="9298"/>
        </w:tabs>
        <w:autoSpaceDE w:val="0"/>
        <w:autoSpaceDN w:val="0"/>
        <w:rPr>
          <w:kern w:val="0"/>
          <w:szCs w:val="20"/>
        </w:rPr>
      </w:pPr>
      <w:r>
        <w:rPr>
          <w:kern w:val="0"/>
          <w:szCs w:val="20"/>
        </w:rPr>
        <w:t>[8] Santa Clara. A case for Standardized Mission Profiles for Automotive[R]. Automotive Electronics Forum.2023.</w:t>
      </w:r>
    </w:p>
    <w:p w14:paraId="02BF7A88">
      <w:pPr>
        <w:widowControl/>
        <w:tabs>
          <w:tab w:val="center" w:pos="4201"/>
          <w:tab w:val="right" w:leader="dot" w:pos="9298"/>
        </w:tabs>
        <w:autoSpaceDE w:val="0"/>
        <w:autoSpaceDN w:val="0"/>
        <w:rPr>
          <w:kern w:val="0"/>
          <w:szCs w:val="20"/>
        </w:rPr>
      </w:pPr>
      <w:r>
        <w:rPr>
          <w:kern w:val="0"/>
          <w:szCs w:val="20"/>
        </w:rPr>
        <w:t>[9] ZVEI Robustness Validation Working Group. Handbook for Robustness Validation of Semiconductor Devices in Automotive Applications[R]. ZVEI-Zentralverband Elektrotechnik-und Elektronikindustrie e.V,2013.</w:t>
      </w:r>
    </w:p>
    <w:p w14:paraId="06CC744C">
      <w:pPr>
        <w:pStyle w:val="24"/>
        <w:rPr>
          <w:rFonts w:ascii="Times New Roman"/>
        </w:rPr>
      </w:pPr>
    </w:p>
    <w:p w14:paraId="6C9646A0">
      <w:pPr>
        <w:pStyle w:val="100"/>
        <w:framePr w:hSpace="0" w:vSpace="0" w:wrap="auto" w:vAnchor="margin" w:hAnchor="text" w:xAlign="left" w:yAlign="inline"/>
      </w:pPr>
    </w:p>
    <w:sectPr>
      <w:pgSz w:w="11906" w:h="16838"/>
      <w:pgMar w:top="567" w:right="1134" w:bottom="1134" w:left="1417"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Adobe 黑体 Std R">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5F761">
    <w:pPr>
      <w:pStyle w:val="103"/>
    </w:pPr>
    <w:r>
      <w:fldChar w:fldCharType="begin"/>
    </w:r>
    <w:r>
      <w:instrText xml:space="preserve"> PAGE  \* MERGEFORMAT </w:instrText>
    </w:r>
    <w:r>
      <w:fldChar w:fldCharType="separate"/>
    </w:r>
    <w: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8EE36">
    <w:pPr>
      <w:pStyle w:val="75"/>
    </w:pPr>
    <w:r>
      <w:fldChar w:fldCharType="begin"/>
    </w:r>
    <w:r>
      <w:instrText xml:space="preserve"> PAGE  \* MERGEFORMAT </w:instrText>
    </w:r>
    <w:r>
      <w:fldChar w:fldCharType="separate"/>
    </w:r>
    <w:r>
      <w:t>11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56264">
    <w:pPr>
      <w:pStyle w:val="60"/>
    </w:pPr>
    <w:r>
      <w:t>T/</w:t>
    </w:r>
    <w:r>
      <w:rPr>
        <w:rFonts w:hint="eastAsia"/>
      </w:rPr>
      <w:t>CAAMTB</w:t>
    </w:r>
    <w:r>
      <w:t xml:space="preserve"> </w:t>
    </w:r>
    <w:r>
      <w:rPr>
        <w:rFonts w:hint="eastAsia"/>
      </w:rPr>
      <w:t>xx</w:t>
    </w:r>
    <w:r>
      <w:t>—</w:t>
    </w:r>
    <w:r>
      <w:rPr>
        <w:rFonts w:hint="eastAsia"/>
      </w:rPr>
      <w:t>20xx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29BDF">
    <w:pPr>
      <w:pStyle w:val="61"/>
    </w:pPr>
    <w:r>
      <w:rPr>
        <w:rFonts w:hint="eastAsia"/>
      </w:rPr>
      <w:t>T</w:t>
    </w:r>
    <w:r>
      <w:t>/</w:t>
    </w:r>
    <w:r>
      <w:rPr>
        <w:rFonts w:hint="eastAsia"/>
      </w:rPr>
      <w:t>CAAMTB</w:t>
    </w:r>
    <w:r>
      <w:t xml:space="preserve"> </w:t>
    </w:r>
    <w:r>
      <w:rPr>
        <w:rFonts w:hint="eastAsia"/>
      </w:rPr>
      <w:t>xx</w:t>
    </w:r>
    <w:r>
      <w:t>—</w:t>
    </w:r>
    <w:r>
      <w:rPr>
        <w:rFonts w:hint="eastAsia"/>
      </w:rPr>
      <w:t>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4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6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39"/>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7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73"/>
      <w:suff w:val="nothing"/>
      <w:lvlText w:val="%1　"/>
      <w:lvlJc w:val="left"/>
      <w:pPr>
        <w:ind w:left="3119" w:firstLine="0"/>
      </w:pPr>
      <w:rPr>
        <w:rFonts w:hint="eastAsia" w:ascii="黑体" w:hAnsi="Times New Roman" w:eastAsia="黑体"/>
        <w:b w:val="0"/>
        <w:i w:val="0"/>
        <w:sz w:val="21"/>
        <w:szCs w:val="21"/>
      </w:rPr>
    </w:lvl>
    <w:lvl w:ilvl="1" w:tentative="0">
      <w:start w:val="1"/>
      <w:numFmt w:val="decimal"/>
      <w:pStyle w:val="5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7"/>
      <w:suff w:val="nothing"/>
      <w:lvlText w:val="%1.%2.%3　"/>
      <w:lvlJc w:val="left"/>
      <w:pPr>
        <w:ind w:left="568" w:firstLine="0"/>
      </w:pPr>
      <w:rPr>
        <w:rFonts w:hint="eastAsia" w:ascii="黑体" w:hAnsi="Times New Roman" w:eastAsia="黑体"/>
        <w:b w:val="0"/>
        <w:i w:val="0"/>
        <w:sz w:val="21"/>
      </w:rPr>
    </w:lvl>
    <w:lvl w:ilvl="3" w:tentative="0">
      <w:start w:val="1"/>
      <w:numFmt w:val="decimal"/>
      <w:pStyle w:val="56"/>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4"/>
      <w:suff w:val="space"/>
      <w:lvlText w:val="%1"/>
      <w:lvlJc w:val="left"/>
      <w:pPr>
        <w:ind w:left="623" w:hanging="425"/>
      </w:pPr>
      <w:rPr>
        <w:rFonts w:hint="eastAsia"/>
      </w:rPr>
    </w:lvl>
    <w:lvl w:ilvl="1" w:tentative="0">
      <w:start w:val="1"/>
      <w:numFmt w:val="decimal"/>
      <w:pStyle w:val="9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62"/>
      <w:suff w:val="nothing"/>
      <w:lvlText w:val="%1——"/>
      <w:lvlJc w:val="left"/>
      <w:pPr>
        <w:ind w:left="833" w:hanging="408"/>
      </w:pPr>
      <w:rPr>
        <w:rFonts w:hint="eastAsia"/>
      </w:rPr>
    </w:lvl>
    <w:lvl w:ilvl="1" w:tentative="0">
      <w:start w:val="1"/>
      <w:numFmt w:val="bullet"/>
      <w:pStyle w:val="63"/>
      <w:lvlText w:val=""/>
      <w:lvlJc w:val="left"/>
      <w:pPr>
        <w:tabs>
          <w:tab w:val="left" w:pos="760"/>
        </w:tabs>
        <w:ind w:left="1264" w:hanging="413"/>
      </w:pPr>
      <w:rPr>
        <w:rFonts w:hint="default" w:ascii="Symbol" w:hAnsi="Symbol"/>
        <w:color w:val="auto"/>
      </w:rPr>
    </w:lvl>
    <w:lvl w:ilvl="2" w:tentative="0">
      <w:start w:val="1"/>
      <w:numFmt w:val="bullet"/>
      <w:pStyle w:val="7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84"/>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9"/>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74"/>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9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0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127"/>
      <w:lvlText w:val="%1"/>
      <w:lvlJc w:val="left"/>
      <w:pPr>
        <w:tabs>
          <w:tab w:val="left" w:pos="0"/>
        </w:tabs>
        <w:ind w:left="0" w:hanging="425"/>
      </w:pPr>
      <w:rPr>
        <w:rFonts w:hint="eastAsia"/>
      </w:rPr>
    </w:lvl>
    <w:lvl w:ilvl="1" w:tentative="0">
      <w:start w:val="1"/>
      <w:numFmt w:val="decimal"/>
      <w:pStyle w:val="12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7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12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1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92"/>
      <w:suff w:val="nothing"/>
      <w:lvlText w:val="%1.%2.%3.%4　"/>
      <w:lvlJc w:val="left"/>
      <w:pPr>
        <w:ind w:left="0" w:firstLine="0"/>
      </w:pPr>
      <w:rPr>
        <w:rFonts w:hint="eastAsia" w:ascii="黑体" w:hAnsi="Times New Roman" w:eastAsia="黑体"/>
        <w:b w:val="0"/>
        <w:i w:val="0"/>
        <w:sz w:val="21"/>
      </w:rPr>
    </w:lvl>
    <w:lvl w:ilvl="4" w:tentative="0">
      <w:start w:val="1"/>
      <w:numFmt w:val="decimal"/>
      <w:pStyle w:val="91"/>
      <w:suff w:val="nothing"/>
      <w:lvlText w:val="%1.%2.%3.%4.%5　"/>
      <w:lvlJc w:val="left"/>
      <w:pPr>
        <w:ind w:left="0" w:firstLine="0"/>
      </w:pPr>
      <w:rPr>
        <w:rFonts w:hint="eastAsia" w:ascii="黑体" w:hAnsi="Times New Roman" w:eastAsia="黑体"/>
        <w:b w:val="0"/>
        <w:i w:val="0"/>
        <w:sz w:val="21"/>
      </w:rPr>
    </w:lvl>
    <w:lvl w:ilvl="5" w:tentative="0">
      <w:start w:val="1"/>
      <w:numFmt w:val="decimal"/>
      <w:pStyle w:val="9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2"/>
      <w:lvlText w:val="%1)"/>
      <w:lvlJc w:val="left"/>
      <w:pPr>
        <w:tabs>
          <w:tab w:val="left" w:pos="839"/>
        </w:tabs>
        <w:ind w:left="839" w:hanging="419"/>
      </w:pPr>
      <w:rPr>
        <w:rFonts w:hint="eastAsia" w:ascii="宋体" w:eastAsia="宋体"/>
        <w:b w:val="0"/>
        <w:i w:val="0"/>
        <w:sz w:val="21"/>
      </w:rPr>
    </w:lvl>
    <w:lvl w:ilvl="1" w:tentative="0">
      <w:start w:val="1"/>
      <w:numFmt w:val="decimal"/>
      <w:pStyle w:val="13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1"/>
  </w:num>
  <w:num w:numId="3">
    <w:abstractNumId w:val="0"/>
  </w:num>
  <w:num w:numId="4">
    <w:abstractNumId w:val="5"/>
  </w:num>
  <w:num w:numId="5">
    <w:abstractNumId w:val="16"/>
  </w:num>
  <w:num w:numId="6">
    <w:abstractNumId w:val="9"/>
  </w:num>
  <w:num w:numId="7">
    <w:abstractNumId w:val="7"/>
  </w:num>
  <w:num w:numId="8">
    <w:abstractNumId w:val="2"/>
  </w:num>
  <w:num w:numId="9">
    <w:abstractNumId w:val="4"/>
  </w:num>
  <w:num w:numId="10">
    <w:abstractNumId w:val="13"/>
  </w:num>
  <w:num w:numId="11">
    <w:abstractNumId w:val="14"/>
  </w:num>
  <w:num w:numId="12">
    <w:abstractNumId w:val="6"/>
  </w:num>
  <w:num w:numId="13">
    <w:abstractNumId w:val="10"/>
  </w:num>
  <w:num w:numId="14">
    <w:abstractNumId w:val="15"/>
  </w:num>
  <w:num w:numId="15">
    <w:abstractNumId w:val="11"/>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2110"/>
    <w:rsid w:val="0000586F"/>
    <w:rsid w:val="000069A5"/>
    <w:rsid w:val="00007D46"/>
    <w:rsid w:val="0001243E"/>
    <w:rsid w:val="00013D86"/>
    <w:rsid w:val="00013E02"/>
    <w:rsid w:val="00014C38"/>
    <w:rsid w:val="000162F1"/>
    <w:rsid w:val="0001762D"/>
    <w:rsid w:val="0002143C"/>
    <w:rsid w:val="00023ED2"/>
    <w:rsid w:val="00024858"/>
    <w:rsid w:val="00024B2D"/>
    <w:rsid w:val="00025A65"/>
    <w:rsid w:val="00025BB0"/>
    <w:rsid w:val="00026C31"/>
    <w:rsid w:val="00027280"/>
    <w:rsid w:val="00027584"/>
    <w:rsid w:val="00030D26"/>
    <w:rsid w:val="00031882"/>
    <w:rsid w:val="000320A7"/>
    <w:rsid w:val="00032222"/>
    <w:rsid w:val="000325EA"/>
    <w:rsid w:val="00035925"/>
    <w:rsid w:val="00036167"/>
    <w:rsid w:val="00037B43"/>
    <w:rsid w:val="00037F0F"/>
    <w:rsid w:val="00041B7C"/>
    <w:rsid w:val="00044296"/>
    <w:rsid w:val="00046436"/>
    <w:rsid w:val="00052A65"/>
    <w:rsid w:val="00054E9B"/>
    <w:rsid w:val="00055371"/>
    <w:rsid w:val="000556F0"/>
    <w:rsid w:val="000607A3"/>
    <w:rsid w:val="00064F2A"/>
    <w:rsid w:val="000657F7"/>
    <w:rsid w:val="00066901"/>
    <w:rsid w:val="000676DF"/>
    <w:rsid w:val="00067CDF"/>
    <w:rsid w:val="000704E4"/>
    <w:rsid w:val="00071296"/>
    <w:rsid w:val="00074FBE"/>
    <w:rsid w:val="00075BB5"/>
    <w:rsid w:val="000803B0"/>
    <w:rsid w:val="00083A09"/>
    <w:rsid w:val="0009005E"/>
    <w:rsid w:val="00092001"/>
    <w:rsid w:val="00092857"/>
    <w:rsid w:val="00092B4E"/>
    <w:rsid w:val="00093144"/>
    <w:rsid w:val="00093695"/>
    <w:rsid w:val="00095558"/>
    <w:rsid w:val="000957A7"/>
    <w:rsid w:val="0009680C"/>
    <w:rsid w:val="000979D9"/>
    <w:rsid w:val="000A20A9"/>
    <w:rsid w:val="000A3F84"/>
    <w:rsid w:val="000A404C"/>
    <w:rsid w:val="000A464D"/>
    <w:rsid w:val="000A48B1"/>
    <w:rsid w:val="000A50A2"/>
    <w:rsid w:val="000A7228"/>
    <w:rsid w:val="000B3143"/>
    <w:rsid w:val="000B405D"/>
    <w:rsid w:val="000B62BB"/>
    <w:rsid w:val="000B6BCE"/>
    <w:rsid w:val="000B6FF6"/>
    <w:rsid w:val="000B75D5"/>
    <w:rsid w:val="000C0679"/>
    <w:rsid w:val="000C4A84"/>
    <w:rsid w:val="000C4CE2"/>
    <w:rsid w:val="000C6B05"/>
    <w:rsid w:val="000C6DD6"/>
    <w:rsid w:val="000C73D4"/>
    <w:rsid w:val="000D172B"/>
    <w:rsid w:val="000D3D4C"/>
    <w:rsid w:val="000D4F51"/>
    <w:rsid w:val="000D54CE"/>
    <w:rsid w:val="000D65DB"/>
    <w:rsid w:val="000D718B"/>
    <w:rsid w:val="000D7544"/>
    <w:rsid w:val="000E0AB9"/>
    <w:rsid w:val="000E0C46"/>
    <w:rsid w:val="000E15EE"/>
    <w:rsid w:val="000E419B"/>
    <w:rsid w:val="000E5FEE"/>
    <w:rsid w:val="000E6934"/>
    <w:rsid w:val="000E7280"/>
    <w:rsid w:val="000F030C"/>
    <w:rsid w:val="000F0994"/>
    <w:rsid w:val="000F129C"/>
    <w:rsid w:val="000F1540"/>
    <w:rsid w:val="000F6032"/>
    <w:rsid w:val="000F6205"/>
    <w:rsid w:val="000F7DE2"/>
    <w:rsid w:val="0010093E"/>
    <w:rsid w:val="0010209E"/>
    <w:rsid w:val="0010369D"/>
    <w:rsid w:val="00103F4F"/>
    <w:rsid w:val="00105339"/>
    <w:rsid w:val="001056DE"/>
    <w:rsid w:val="0010771E"/>
    <w:rsid w:val="00111810"/>
    <w:rsid w:val="001124C0"/>
    <w:rsid w:val="00113F04"/>
    <w:rsid w:val="001237BA"/>
    <w:rsid w:val="00125E2F"/>
    <w:rsid w:val="00130A76"/>
    <w:rsid w:val="00130FDE"/>
    <w:rsid w:val="0013175F"/>
    <w:rsid w:val="00131F98"/>
    <w:rsid w:val="0013289B"/>
    <w:rsid w:val="0013364D"/>
    <w:rsid w:val="001343BB"/>
    <w:rsid w:val="001356CA"/>
    <w:rsid w:val="00141998"/>
    <w:rsid w:val="00141AAB"/>
    <w:rsid w:val="00143A27"/>
    <w:rsid w:val="00144B11"/>
    <w:rsid w:val="00145BEB"/>
    <w:rsid w:val="00147845"/>
    <w:rsid w:val="001512B4"/>
    <w:rsid w:val="00151E08"/>
    <w:rsid w:val="0016191E"/>
    <w:rsid w:val="001620A5"/>
    <w:rsid w:val="00164684"/>
    <w:rsid w:val="00164E53"/>
    <w:rsid w:val="001668E7"/>
    <w:rsid w:val="0016699D"/>
    <w:rsid w:val="00167B96"/>
    <w:rsid w:val="0017200E"/>
    <w:rsid w:val="00172A51"/>
    <w:rsid w:val="00174B87"/>
    <w:rsid w:val="00175159"/>
    <w:rsid w:val="001751BC"/>
    <w:rsid w:val="00175D12"/>
    <w:rsid w:val="00176208"/>
    <w:rsid w:val="0017780C"/>
    <w:rsid w:val="00181530"/>
    <w:rsid w:val="0018211B"/>
    <w:rsid w:val="001823D5"/>
    <w:rsid w:val="001835F7"/>
    <w:rsid w:val="001837F5"/>
    <w:rsid w:val="001840D3"/>
    <w:rsid w:val="001876D9"/>
    <w:rsid w:val="001900F8"/>
    <w:rsid w:val="00191258"/>
    <w:rsid w:val="001913CC"/>
    <w:rsid w:val="001923D2"/>
    <w:rsid w:val="00192680"/>
    <w:rsid w:val="0019277D"/>
    <w:rsid w:val="00193037"/>
    <w:rsid w:val="001931FC"/>
    <w:rsid w:val="00193A2C"/>
    <w:rsid w:val="00193BED"/>
    <w:rsid w:val="00193C1E"/>
    <w:rsid w:val="00193C94"/>
    <w:rsid w:val="001964E7"/>
    <w:rsid w:val="001A288E"/>
    <w:rsid w:val="001A5169"/>
    <w:rsid w:val="001B3F3C"/>
    <w:rsid w:val="001B51EA"/>
    <w:rsid w:val="001B60A0"/>
    <w:rsid w:val="001B6DC2"/>
    <w:rsid w:val="001C149C"/>
    <w:rsid w:val="001C21AC"/>
    <w:rsid w:val="001C23B3"/>
    <w:rsid w:val="001C3689"/>
    <w:rsid w:val="001C47BA"/>
    <w:rsid w:val="001C59EA"/>
    <w:rsid w:val="001C6422"/>
    <w:rsid w:val="001C7DCE"/>
    <w:rsid w:val="001D406C"/>
    <w:rsid w:val="001D41EE"/>
    <w:rsid w:val="001D47D0"/>
    <w:rsid w:val="001D4BEB"/>
    <w:rsid w:val="001D4E7A"/>
    <w:rsid w:val="001E0380"/>
    <w:rsid w:val="001E07FA"/>
    <w:rsid w:val="001E13B1"/>
    <w:rsid w:val="001E16A3"/>
    <w:rsid w:val="001E403D"/>
    <w:rsid w:val="001E55F0"/>
    <w:rsid w:val="001F37A1"/>
    <w:rsid w:val="001F3A19"/>
    <w:rsid w:val="001F4FB6"/>
    <w:rsid w:val="002009E4"/>
    <w:rsid w:val="00200C29"/>
    <w:rsid w:val="00201053"/>
    <w:rsid w:val="0020251B"/>
    <w:rsid w:val="00202772"/>
    <w:rsid w:val="0020403C"/>
    <w:rsid w:val="0020563D"/>
    <w:rsid w:val="00211EC6"/>
    <w:rsid w:val="00216A79"/>
    <w:rsid w:val="002203EE"/>
    <w:rsid w:val="0022104C"/>
    <w:rsid w:val="0022185E"/>
    <w:rsid w:val="00221D97"/>
    <w:rsid w:val="00222E01"/>
    <w:rsid w:val="0022316B"/>
    <w:rsid w:val="00223B77"/>
    <w:rsid w:val="00223BC5"/>
    <w:rsid w:val="002262A2"/>
    <w:rsid w:val="002268D8"/>
    <w:rsid w:val="00230FCB"/>
    <w:rsid w:val="00231C01"/>
    <w:rsid w:val="00232C5A"/>
    <w:rsid w:val="0023341D"/>
    <w:rsid w:val="0023347C"/>
    <w:rsid w:val="00234467"/>
    <w:rsid w:val="002345D0"/>
    <w:rsid w:val="0023515D"/>
    <w:rsid w:val="00237D8D"/>
    <w:rsid w:val="00241CFD"/>
    <w:rsid w:val="00241DA2"/>
    <w:rsid w:val="00241E99"/>
    <w:rsid w:val="00243F1B"/>
    <w:rsid w:val="00244E53"/>
    <w:rsid w:val="002458AF"/>
    <w:rsid w:val="00245B56"/>
    <w:rsid w:val="00246484"/>
    <w:rsid w:val="002476FB"/>
    <w:rsid w:val="00247FEE"/>
    <w:rsid w:val="00250E7D"/>
    <w:rsid w:val="002511B8"/>
    <w:rsid w:val="002525C2"/>
    <w:rsid w:val="002527DD"/>
    <w:rsid w:val="00252FA9"/>
    <w:rsid w:val="002532EF"/>
    <w:rsid w:val="002565D5"/>
    <w:rsid w:val="002568DA"/>
    <w:rsid w:val="00257AD7"/>
    <w:rsid w:val="00257F04"/>
    <w:rsid w:val="00261E26"/>
    <w:rsid w:val="002622C0"/>
    <w:rsid w:val="00263010"/>
    <w:rsid w:val="00265017"/>
    <w:rsid w:val="002661EA"/>
    <w:rsid w:val="002664CC"/>
    <w:rsid w:val="00266699"/>
    <w:rsid w:val="002718C4"/>
    <w:rsid w:val="002728A4"/>
    <w:rsid w:val="002778AE"/>
    <w:rsid w:val="002801CC"/>
    <w:rsid w:val="00280844"/>
    <w:rsid w:val="00280A4A"/>
    <w:rsid w:val="00280CC0"/>
    <w:rsid w:val="00281FD1"/>
    <w:rsid w:val="0028269A"/>
    <w:rsid w:val="00283590"/>
    <w:rsid w:val="00285606"/>
    <w:rsid w:val="00286973"/>
    <w:rsid w:val="00290848"/>
    <w:rsid w:val="0029296B"/>
    <w:rsid w:val="00292EE0"/>
    <w:rsid w:val="00294B6E"/>
    <w:rsid w:val="00294B87"/>
    <w:rsid w:val="00294E70"/>
    <w:rsid w:val="002954B8"/>
    <w:rsid w:val="002A0068"/>
    <w:rsid w:val="002A0496"/>
    <w:rsid w:val="002A06C8"/>
    <w:rsid w:val="002A18C3"/>
    <w:rsid w:val="002A1924"/>
    <w:rsid w:val="002A5A00"/>
    <w:rsid w:val="002A699E"/>
    <w:rsid w:val="002A7420"/>
    <w:rsid w:val="002A7A7E"/>
    <w:rsid w:val="002B0F12"/>
    <w:rsid w:val="002B1308"/>
    <w:rsid w:val="002B2E76"/>
    <w:rsid w:val="002B4554"/>
    <w:rsid w:val="002B707C"/>
    <w:rsid w:val="002C4674"/>
    <w:rsid w:val="002C632F"/>
    <w:rsid w:val="002C72D8"/>
    <w:rsid w:val="002D09D2"/>
    <w:rsid w:val="002D11FA"/>
    <w:rsid w:val="002D19A4"/>
    <w:rsid w:val="002D6622"/>
    <w:rsid w:val="002E0DDF"/>
    <w:rsid w:val="002E2906"/>
    <w:rsid w:val="002E2BB3"/>
    <w:rsid w:val="002E37E4"/>
    <w:rsid w:val="002E4380"/>
    <w:rsid w:val="002E5635"/>
    <w:rsid w:val="002E64C3"/>
    <w:rsid w:val="002E6A2C"/>
    <w:rsid w:val="002E6CF6"/>
    <w:rsid w:val="002E7775"/>
    <w:rsid w:val="002E7824"/>
    <w:rsid w:val="002F035E"/>
    <w:rsid w:val="002F0FE8"/>
    <w:rsid w:val="002F11A6"/>
    <w:rsid w:val="002F1D8C"/>
    <w:rsid w:val="002F21DA"/>
    <w:rsid w:val="002F4A45"/>
    <w:rsid w:val="00301879"/>
    <w:rsid w:val="00301F39"/>
    <w:rsid w:val="00302633"/>
    <w:rsid w:val="00303C2F"/>
    <w:rsid w:val="00303D27"/>
    <w:rsid w:val="00304998"/>
    <w:rsid w:val="0030546F"/>
    <w:rsid w:val="003104A4"/>
    <w:rsid w:val="003113AB"/>
    <w:rsid w:val="00311A72"/>
    <w:rsid w:val="003124CF"/>
    <w:rsid w:val="003167A5"/>
    <w:rsid w:val="003170B2"/>
    <w:rsid w:val="0032084A"/>
    <w:rsid w:val="003219F9"/>
    <w:rsid w:val="00325926"/>
    <w:rsid w:val="00326ADB"/>
    <w:rsid w:val="00327A8A"/>
    <w:rsid w:val="00327DC4"/>
    <w:rsid w:val="003339A3"/>
    <w:rsid w:val="00333DA9"/>
    <w:rsid w:val="00335337"/>
    <w:rsid w:val="00335721"/>
    <w:rsid w:val="00336610"/>
    <w:rsid w:val="00343F73"/>
    <w:rsid w:val="00345060"/>
    <w:rsid w:val="003451FB"/>
    <w:rsid w:val="00351463"/>
    <w:rsid w:val="00351A29"/>
    <w:rsid w:val="00352629"/>
    <w:rsid w:val="0035323B"/>
    <w:rsid w:val="00353D19"/>
    <w:rsid w:val="00355ECC"/>
    <w:rsid w:val="00356970"/>
    <w:rsid w:val="00357746"/>
    <w:rsid w:val="00357F06"/>
    <w:rsid w:val="003609D2"/>
    <w:rsid w:val="00360E05"/>
    <w:rsid w:val="003614CC"/>
    <w:rsid w:val="003620C5"/>
    <w:rsid w:val="00363F22"/>
    <w:rsid w:val="003669EC"/>
    <w:rsid w:val="003673A9"/>
    <w:rsid w:val="003675BF"/>
    <w:rsid w:val="0037245A"/>
    <w:rsid w:val="00375564"/>
    <w:rsid w:val="00377901"/>
    <w:rsid w:val="00380871"/>
    <w:rsid w:val="00383191"/>
    <w:rsid w:val="003865CC"/>
    <w:rsid w:val="00386DCB"/>
    <w:rsid w:val="00386DED"/>
    <w:rsid w:val="00390152"/>
    <w:rsid w:val="0039032A"/>
    <w:rsid w:val="003912E7"/>
    <w:rsid w:val="003914CF"/>
    <w:rsid w:val="00393947"/>
    <w:rsid w:val="00395141"/>
    <w:rsid w:val="003A1084"/>
    <w:rsid w:val="003A1186"/>
    <w:rsid w:val="003A1CA1"/>
    <w:rsid w:val="003A2275"/>
    <w:rsid w:val="003A39D5"/>
    <w:rsid w:val="003A47DC"/>
    <w:rsid w:val="003A6A4F"/>
    <w:rsid w:val="003A6C6B"/>
    <w:rsid w:val="003A7088"/>
    <w:rsid w:val="003A77F1"/>
    <w:rsid w:val="003A7AF2"/>
    <w:rsid w:val="003B00DF"/>
    <w:rsid w:val="003B1275"/>
    <w:rsid w:val="003B1778"/>
    <w:rsid w:val="003B3AD5"/>
    <w:rsid w:val="003B3D78"/>
    <w:rsid w:val="003B3E14"/>
    <w:rsid w:val="003B49FF"/>
    <w:rsid w:val="003B4B22"/>
    <w:rsid w:val="003B6749"/>
    <w:rsid w:val="003B76ED"/>
    <w:rsid w:val="003C0E63"/>
    <w:rsid w:val="003C11CB"/>
    <w:rsid w:val="003C1951"/>
    <w:rsid w:val="003C3017"/>
    <w:rsid w:val="003C3FB5"/>
    <w:rsid w:val="003C6A00"/>
    <w:rsid w:val="003C75F3"/>
    <w:rsid w:val="003C78A3"/>
    <w:rsid w:val="003D0266"/>
    <w:rsid w:val="003D20AB"/>
    <w:rsid w:val="003D482B"/>
    <w:rsid w:val="003D54F4"/>
    <w:rsid w:val="003D5E34"/>
    <w:rsid w:val="003D78A8"/>
    <w:rsid w:val="003E0A6F"/>
    <w:rsid w:val="003E1867"/>
    <w:rsid w:val="003E1AE9"/>
    <w:rsid w:val="003E4908"/>
    <w:rsid w:val="003E494F"/>
    <w:rsid w:val="003E5129"/>
    <w:rsid w:val="003E5311"/>
    <w:rsid w:val="003E5729"/>
    <w:rsid w:val="003F1A5B"/>
    <w:rsid w:val="003F1F81"/>
    <w:rsid w:val="003F22BB"/>
    <w:rsid w:val="003F2A23"/>
    <w:rsid w:val="003F3CDB"/>
    <w:rsid w:val="003F450C"/>
    <w:rsid w:val="003F4CCC"/>
    <w:rsid w:val="003F4EE0"/>
    <w:rsid w:val="003F6A59"/>
    <w:rsid w:val="0040007A"/>
    <w:rsid w:val="00402153"/>
    <w:rsid w:val="00402FC1"/>
    <w:rsid w:val="00403234"/>
    <w:rsid w:val="0040520D"/>
    <w:rsid w:val="00410015"/>
    <w:rsid w:val="004117F2"/>
    <w:rsid w:val="00412A9C"/>
    <w:rsid w:val="00412D14"/>
    <w:rsid w:val="00414DC0"/>
    <w:rsid w:val="00416732"/>
    <w:rsid w:val="00416846"/>
    <w:rsid w:val="00420215"/>
    <w:rsid w:val="00422690"/>
    <w:rsid w:val="00423690"/>
    <w:rsid w:val="00425082"/>
    <w:rsid w:val="0042689D"/>
    <w:rsid w:val="0043024A"/>
    <w:rsid w:val="00431BCE"/>
    <w:rsid w:val="00431DEB"/>
    <w:rsid w:val="00444B4D"/>
    <w:rsid w:val="00446B29"/>
    <w:rsid w:val="00450707"/>
    <w:rsid w:val="00453F9A"/>
    <w:rsid w:val="00455DFD"/>
    <w:rsid w:val="004634E7"/>
    <w:rsid w:val="0046387A"/>
    <w:rsid w:val="00464124"/>
    <w:rsid w:val="00464903"/>
    <w:rsid w:val="00465DB1"/>
    <w:rsid w:val="00467566"/>
    <w:rsid w:val="00471E91"/>
    <w:rsid w:val="00473FC7"/>
    <w:rsid w:val="00474079"/>
    <w:rsid w:val="00474675"/>
    <w:rsid w:val="0047470C"/>
    <w:rsid w:val="00484D55"/>
    <w:rsid w:val="00485104"/>
    <w:rsid w:val="004856AF"/>
    <w:rsid w:val="004941B9"/>
    <w:rsid w:val="004A1E8B"/>
    <w:rsid w:val="004A203E"/>
    <w:rsid w:val="004A35F9"/>
    <w:rsid w:val="004A5FE4"/>
    <w:rsid w:val="004A62F9"/>
    <w:rsid w:val="004A6458"/>
    <w:rsid w:val="004A7534"/>
    <w:rsid w:val="004A7FE0"/>
    <w:rsid w:val="004B2236"/>
    <w:rsid w:val="004B24C1"/>
    <w:rsid w:val="004B3092"/>
    <w:rsid w:val="004B3D3E"/>
    <w:rsid w:val="004B49B1"/>
    <w:rsid w:val="004B668E"/>
    <w:rsid w:val="004C0CD9"/>
    <w:rsid w:val="004C0D64"/>
    <w:rsid w:val="004C292F"/>
    <w:rsid w:val="004C31FC"/>
    <w:rsid w:val="004C6F2F"/>
    <w:rsid w:val="004C7661"/>
    <w:rsid w:val="004C7A67"/>
    <w:rsid w:val="004D306F"/>
    <w:rsid w:val="004D3E80"/>
    <w:rsid w:val="004D678D"/>
    <w:rsid w:val="004E1A0E"/>
    <w:rsid w:val="004E2252"/>
    <w:rsid w:val="004E3FDF"/>
    <w:rsid w:val="004E5A47"/>
    <w:rsid w:val="004E705A"/>
    <w:rsid w:val="004F0273"/>
    <w:rsid w:val="004F05FB"/>
    <w:rsid w:val="004F4036"/>
    <w:rsid w:val="004F4B97"/>
    <w:rsid w:val="005015C1"/>
    <w:rsid w:val="00501E62"/>
    <w:rsid w:val="005046A7"/>
    <w:rsid w:val="005061CC"/>
    <w:rsid w:val="00506C49"/>
    <w:rsid w:val="00510280"/>
    <w:rsid w:val="005107F4"/>
    <w:rsid w:val="00511795"/>
    <w:rsid w:val="00511E8A"/>
    <w:rsid w:val="0051262A"/>
    <w:rsid w:val="00513D73"/>
    <w:rsid w:val="00514A43"/>
    <w:rsid w:val="00515251"/>
    <w:rsid w:val="005174E5"/>
    <w:rsid w:val="005203E4"/>
    <w:rsid w:val="00520898"/>
    <w:rsid w:val="005214C8"/>
    <w:rsid w:val="00522393"/>
    <w:rsid w:val="005225C2"/>
    <w:rsid w:val="00522620"/>
    <w:rsid w:val="00523520"/>
    <w:rsid w:val="00525656"/>
    <w:rsid w:val="00525BF3"/>
    <w:rsid w:val="00526893"/>
    <w:rsid w:val="00530BFC"/>
    <w:rsid w:val="00532F39"/>
    <w:rsid w:val="00534C02"/>
    <w:rsid w:val="00536CBE"/>
    <w:rsid w:val="0054044C"/>
    <w:rsid w:val="00540AA5"/>
    <w:rsid w:val="00540D11"/>
    <w:rsid w:val="0054264B"/>
    <w:rsid w:val="005435A0"/>
    <w:rsid w:val="00543786"/>
    <w:rsid w:val="00546279"/>
    <w:rsid w:val="00546D0D"/>
    <w:rsid w:val="00547031"/>
    <w:rsid w:val="00550901"/>
    <w:rsid w:val="00550F50"/>
    <w:rsid w:val="0055153A"/>
    <w:rsid w:val="005533D7"/>
    <w:rsid w:val="00554147"/>
    <w:rsid w:val="00554B63"/>
    <w:rsid w:val="00561365"/>
    <w:rsid w:val="00561B28"/>
    <w:rsid w:val="00563AE2"/>
    <w:rsid w:val="0056544B"/>
    <w:rsid w:val="005703DE"/>
    <w:rsid w:val="005718E9"/>
    <w:rsid w:val="005739C9"/>
    <w:rsid w:val="005739D0"/>
    <w:rsid w:val="00574827"/>
    <w:rsid w:val="00580F07"/>
    <w:rsid w:val="00581889"/>
    <w:rsid w:val="005827E1"/>
    <w:rsid w:val="00582BBE"/>
    <w:rsid w:val="0058464E"/>
    <w:rsid w:val="00590EFB"/>
    <w:rsid w:val="005929E8"/>
    <w:rsid w:val="00592E08"/>
    <w:rsid w:val="00594404"/>
    <w:rsid w:val="005944B6"/>
    <w:rsid w:val="00594C35"/>
    <w:rsid w:val="0059613A"/>
    <w:rsid w:val="005A01CB"/>
    <w:rsid w:val="005A0B3D"/>
    <w:rsid w:val="005A4D40"/>
    <w:rsid w:val="005A58FF"/>
    <w:rsid w:val="005A5EAF"/>
    <w:rsid w:val="005A64C0"/>
    <w:rsid w:val="005A7612"/>
    <w:rsid w:val="005B3550"/>
    <w:rsid w:val="005B3C11"/>
    <w:rsid w:val="005B4C2A"/>
    <w:rsid w:val="005B5684"/>
    <w:rsid w:val="005B59E6"/>
    <w:rsid w:val="005B65F1"/>
    <w:rsid w:val="005B7692"/>
    <w:rsid w:val="005C050E"/>
    <w:rsid w:val="005C1C28"/>
    <w:rsid w:val="005C2547"/>
    <w:rsid w:val="005C26F9"/>
    <w:rsid w:val="005C290A"/>
    <w:rsid w:val="005C6BC5"/>
    <w:rsid w:val="005C6DB5"/>
    <w:rsid w:val="005D0529"/>
    <w:rsid w:val="005D47F5"/>
    <w:rsid w:val="005D7397"/>
    <w:rsid w:val="005E19E7"/>
    <w:rsid w:val="005E1A39"/>
    <w:rsid w:val="005E1DD5"/>
    <w:rsid w:val="005E6AB5"/>
    <w:rsid w:val="005E6C18"/>
    <w:rsid w:val="005E7655"/>
    <w:rsid w:val="005F288C"/>
    <w:rsid w:val="005F2C5B"/>
    <w:rsid w:val="005F46ED"/>
    <w:rsid w:val="005F64B8"/>
    <w:rsid w:val="005F79E5"/>
    <w:rsid w:val="00601622"/>
    <w:rsid w:val="00602573"/>
    <w:rsid w:val="00603E7C"/>
    <w:rsid w:val="00604710"/>
    <w:rsid w:val="00607117"/>
    <w:rsid w:val="006102D5"/>
    <w:rsid w:val="00613FAA"/>
    <w:rsid w:val="00614769"/>
    <w:rsid w:val="00614EA4"/>
    <w:rsid w:val="006154F4"/>
    <w:rsid w:val="00616831"/>
    <w:rsid w:val="00616C5E"/>
    <w:rsid w:val="0061716C"/>
    <w:rsid w:val="00617868"/>
    <w:rsid w:val="00617A8A"/>
    <w:rsid w:val="00617E51"/>
    <w:rsid w:val="00617F35"/>
    <w:rsid w:val="00620590"/>
    <w:rsid w:val="00620840"/>
    <w:rsid w:val="006216B0"/>
    <w:rsid w:val="00621BE1"/>
    <w:rsid w:val="00622D9A"/>
    <w:rsid w:val="006243A1"/>
    <w:rsid w:val="00624F5D"/>
    <w:rsid w:val="00626B84"/>
    <w:rsid w:val="00632675"/>
    <w:rsid w:val="006327CC"/>
    <w:rsid w:val="00632E56"/>
    <w:rsid w:val="00633E64"/>
    <w:rsid w:val="00634D15"/>
    <w:rsid w:val="0063532E"/>
    <w:rsid w:val="00635CBA"/>
    <w:rsid w:val="00640007"/>
    <w:rsid w:val="0064338B"/>
    <w:rsid w:val="00643C42"/>
    <w:rsid w:val="00646542"/>
    <w:rsid w:val="006504F4"/>
    <w:rsid w:val="00652303"/>
    <w:rsid w:val="0065366F"/>
    <w:rsid w:val="00654BC9"/>
    <w:rsid w:val="006552FD"/>
    <w:rsid w:val="00655E84"/>
    <w:rsid w:val="00655F94"/>
    <w:rsid w:val="00656F0B"/>
    <w:rsid w:val="00660B09"/>
    <w:rsid w:val="00663733"/>
    <w:rsid w:val="00663AF3"/>
    <w:rsid w:val="00664440"/>
    <w:rsid w:val="00665356"/>
    <w:rsid w:val="0066565F"/>
    <w:rsid w:val="00666B6C"/>
    <w:rsid w:val="006675FF"/>
    <w:rsid w:val="00670DE6"/>
    <w:rsid w:val="00670F74"/>
    <w:rsid w:val="006721D3"/>
    <w:rsid w:val="006734B9"/>
    <w:rsid w:val="00673A31"/>
    <w:rsid w:val="006803E2"/>
    <w:rsid w:val="00682682"/>
    <w:rsid w:val="00682702"/>
    <w:rsid w:val="006840D7"/>
    <w:rsid w:val="0068622B"/>
    <w:rsid w:val="006862C9"/>
    <w:rsid w:val="006909F3"/>
    <w:rsid w:val="00691429"/>
    <w:rsid w:val="00692368"/>
    <w:rsid w:val="00693C4D"/>
    <w:rsid w:val="00693D1D"/>
    <w:rsid w:val="0069695F"/>
    <w:rsid w:val="006972B1"/>
    <w:rsid w:val="006A0179"/>
    <w:rsid w:val="006A0D9C"/>
    <w:rsid w:val="006A2EBC"/>
    <w:rsid w:val="006A31C5"/>
    <w:rsid w:val="006A5EA0"/>
    <w:rsid w:val="006A620B"/>
    <w:rsid w:val="006A783B"/>
    <w:rsid w:val="006A7B33"/>
    <w:rsid w:val="006B318D"/>
    <w:rsid w:val="006B4232"/>
    <w:rsid w:val="006B4A24"/>
    <w:rsid w:val="006B4E13"/>
    <w:rsid w:val="006B531F"/>
    <w:rsid w:val="006B610F"/>
    <w:rsid w:val="006B6B28"/>
    <w:rsid w:val="006B75DD"/>
    <w:rsid w:val="006C3344"/>
    <w:rsid w:val="006C446A"/>
    <w:rsid w:val="006C6579"/>
    <w:rsid w:val="006C67E0"/>
    <w:rsid w:val="006C7ABA"/>
    <w:rsid w:val="006D0A13"/>
    <w:rsid w:val="006D0D60"/>
    <w:rsid w:val="006D1122"/>
    <w:rsid w:val="006D11AC"/>
    <w:rsid w:val="006D30AE"/>
    <w:rsid w:val="006D317E"/>
    <w:rsid w:val="006D3B1E"/>
    <w:rsid w:val="006D3C00"/>
    <w:rsid w:val="006D4178"/>
    <w:rsid w:val="006D560B"/>
    <w:rsid w:val="006D5DEF"/>
    <w:rsid w:val="006E29FF"/>
    <w:rsid w:val="006E3501"/>
    <w:rsid w:val="006E3675"/>
    <w:rsid w:val="006E4A7F"/>
    <w:rsid w:val="006E521E"/>
    <w:rsid w:val="006E588B"/>
    <w:rsid w:val="006E6E90"/>
    <w:rsid w:val="006F2F30"/>
    <w:rsid w:val="006F5500"/>
    <w:rsid w:val="006F7230"/>
    <w:rsid w:val="006F79FF"/>
    <w:rsid w:val="0070034D"/>
    <w:rsid w:val="007017F3"/>
    <w:rsid w:val="00702944"/>
    <w:rsid w:val="0070498F"/>
    <w:rsid w:val="00704DF6"/>
    <w:rsid w:val="0070651C"/>
    <w:rsid w:val="00706C3F"/>
    <w:rsid w:val="007132A3"/>
    <w:rsid w:val="00713994"/>
    <w:rsid w:val="007158DB"/>
    <w:rsid w:val="00716421"/>
    <w:rsid w:val="00717265"/>
    <w:rsid w:val="00717C0B"/>
    <w:rsid w:val="00720B02"/>
    <w:rsid w:val="00721419"/>
    <w:rsid w:val="007216E1"/>
    <w:rsid w:val="00722501"/>
    <w:rsid w:val="007242A4"/>
    <w:rsid w:val="00724EFB"/>
    <w:rsid w:val="00726775"/>
    <w:rsid w:val="00730310"/>
    <w:rsid w:val="00730FDA"/>
    <w:rsid w:val="00731C10"/>
    <w:rsid w:val="007327F2"/>
    <w:rsid w:val="00733E68"/>
    <w:rsid w:val="00735214"/>
    <w:rsid w:val="007368E7"/>
    <w:rsid w:val="007400C8"/>
    <w:rsid w:val="00740173"/>
    <w:rsid w:val="007419C3"/>
    <w:rsid w:val="00741CDA"/>
    <w:rsid w:val="00742367"/>
    <w:rsid w:val="007467A7"/>
    <w:rsid w:val="007469DD"/>
    <w:rsid w:val="0074741B"/>
    <w:rsid w:val="0074759E"/>
    <w:rsid w:val="007478EA"/>
    <w:rsid w:val="00752116"/>
    <w:rsid w:val="0075276F"/>
    <w:rsid w:val="00753446"/>
    <w:rsid w:val="0075415C"/>
    <w:rsid w:val="00757097"/>
    <w:rsid w:val="00757787"/>
    <w:rsid w:val="007624B7"/>
    <w:rsid w:val="00762FAE"/>
    <w:rsid w:val="00763502"/>
    <w:rsid w:val="007640CD"/>
    <w:rsid w:val="00764309"/>
    <w:rsid w:val="00765A10"/>
    <w:rsid w:val="00770F69"/>
    <w:rsid w:val="00777AB5"/>
    <w:rsid w:val="0078018D"/>
    <w:rsid w:val="00780207"/>
    <w:rsid w:val="00781D1E"/>
    <w:rsid w:val="007868B4"/>
    <w:rsid w:val="0078772F"/>
    <w:rsid w:val="007913AB"/>
    <w:rsid w:val="007914F7"/>
    <w:rsid w:val="00793717"/>
    <w:rsid w:val="00797C93"/>
    <w:rsid w:val="00797E2E"/>
    <w:rsid w:val="007A084A"/>
    <w:rsid w:val="007A1875"/>
    <w:rsid w:val="007A1E38"/>
    <w:rsid w:val="007A3CBD"/>
    <w:rsid w:val="007A3D9D"/>
    <w:rsid w:val="007A558D"/>
    <w:rsid w:val="007A6CCB"/>
    <w:rsid w:val="007B0A02"/>
    <w:rsid w:val="007B1625"/>
    <w:rsid w:val="007B2979"/>
    <w:rsid w:val="007B3F53"/>
    <w:rsid w:val="007B60C0"/>
    <w:rsid w:val="007B706E"/>
    <w:rsid w:val="007B71EB"/>
    <w:rsid w:val="007C0F18"/>
    <w:rsid w:val="007C6083"/>
    <w:rsid w:val="007C6205"/>
    <w:rsid w:val="007C686A"/>
    <w:rsid w:val="007C728E"/>
    <w:rsid w:val="007D1A37"/>
    <w:rsid w:val="007D2C53"/>
    <w:rsid w:val="007D3D60"/>
    <w:rsid w:val="007D6A9B"/>
    <w:rsid w:val="007E1980"/>
    <w:rsid w:val="007E26B4"/>
    <w:rsid w:val="007E4B76"/>
    <w:rsid w:val="007E5EA8"/>
    <w:rsid w:val="007E631C"/>
    <w:rsid w:val="007E6423"/>
    <w:rsid w:val="007E6A01"/>
    <w:rsid w:val="007F0CF1"/>
    <w:rsid w:val="007F0D1D"/>
    <w:rsid w:val="007F12A5"/>
    <w:rsid w:val="007F28D5"/>
    <w:rsid w:val="007F2D74"/>
    <w:rsid w:val="007F3FB7"/>
    <w:rsid w:val="007F4CF1"/>
    <w:rsid w:val="007F4D8A"/>
    <w:rsid w:val="007F70C2"/>
    <w:rsid w:val="007F758D"/>
    <w:rsid w:val="007F7D52"/>
    <w:rsid w:val="007F7D77"/>
    <w:rsid w:val="00800F9D"/>
    <w:rsid w:val="00801F00"/>
    <w:rsid w:val="0080385E"/>
    <w:rsid w:val="0080484A"/>
    <w:rsid w:val="00805207"/>
    <w:rsid w:val="00805589"/>
    <w:rsid w:val="00805FAD"/>
    <w:rsid w:val="00805FC2"/>
    <w:rsid w:val="0080654C"/>
    <w:rsid w:val="008071C6"/>
    <w:rsid w:val="0081019B"/>
    <w:rsid w:val="008112BF"/>
    <w:rsid w:val="00812E5F"/>
    <w:rsid w:val="00814C46"/>
    <w:rsid w:val="00815310"/>
    <w:rsid w:val="00816F87"/>
    <w:rsid w:val="00817A00"/>
    <w:rsid w:val="00820802"/>
    <w:rsid w:val="00820B95"/>
    <w:rsid w:val="00823AC7"/>
    <w:rsid w:val="008247BF"/>
    <w:rsid w:val="00825541"/>
    <w:rsid w:val="00826522"/>
    <w:rsid w:val="00831631"/>
    <w:rsid w:val="0083194F"/>
    <w:rsid w:val="00835300"/>
    <w:rsid w:val="00835DB3"/>
    <w:rsid w:val="0083617B"/>
    <w:rsid w:val="00836342"/>
    <w:rsid w:val="00836A2D"/>
    <w:rsid w:val="0083710D"/>
    <w:rsid w:val="008371BD"/>
    <w:rsid w:val="00841A93"/>
    <w:rsid w:val="008441FB"/>
    <w:rsid w:val="0084663D"/>
    <w:rsid w:val="008467E4"/>
    <w:rsid w:val="0084683E"/>
    <w:rsid w:val="008504A8"/>
    <w:rsid w:val="00851B58"/>
    <w:rsid w:val="00852086"/>
    <w:rsid w:val="0085282E"/>
    <w:rsid w:val="008533AF"/>
    <w:rsid w:val="00854329"/>
    <w:rsid w:val="00857CD9"/>
    <w:rsid w:val="00861F2B"/>
    <w:rsid w:val="008636A3"/>
    <w:rsid w:val="0087198C"/>
    <w:rsid w:val="00872C1F"/>
    <w:rsid w:val="00873B42"/>
    <w:rsid w:val="0087536C"/>
    <w:rsid w:val="00876A37"/>
    <w:rsid w:val="00880D1A"/>
    <w:rsid w:val="008844A4"/>
    <w:rsid w:val="008850E1"/>
    <w:rsid w:val="008856D8"/>
    <w:rsid w:val="0088603C"/>
    <w:rsid w:val="008866B2"/>
    <w:rsid w:val="00886928"/>
    <w:rsid w:val="00892E82"/>
    <w:rsid w:val="00893277"/>
    <w:rsid w:val="00894633"/>
    <w:rsid w:val="00895E9A"/>
    <w:rsid w:val="008A1035"/>
    <w:rsid w:val="008A2106"/>
    <w:rsid w:val="008A214E"/>
    <w:rsid w:val="008A21F4"/>
    <w:rsid w:val="008A29E7"/>
    <w:rsid w:val="008A6E08"/>
    <w:rsid w:val="008B2E7B"/>
    <w:rsid w:val="008B3CBB"/>
    <w:rsid w:val="008B4212"/>
    <w:rsid w:val="008C0D7D"/>
    <w:rsid w:val="008C0E88"/>
    <w:rsid w:val="008C1796"/>
    <w:rsid w:val="008C1B58"/>
    <w:rsid w:val="008C2EBB"/>
    <w:rsid w:val="008C39AE"/>
    <w:rsid w:val="008C40DF"/>
    <w:rsid w:val="008C590D"/>
    <w:rsid w:val="008C741D"/>
    <w:rsid w:val="008D0510"/>
    <w:rsid w:val="008D26A0"/>
    <w:rsid w:val="008D274A"/>
    <w:rsid w:val="008D40B5"/>
    <w:rsid w:val="008D488F"/>
    <w:rsid w:val="008D6A7E"/>
    <w:rsid w:val="008D7566"/>
    <w:rsid w:val="008D797A"/>
    <w:rsid w:val="008E031B"/>
    <w:rsid w:val="008E0BC9"/>
    <w:rsid w:val="008E1B46"/>
    <w:rsid w:val="008E27B1"/>
    <w:rsid w:val="008E38F4"/>
    <w:rsid w:val="008E6358"/>
    <w:rsid w:val="008E6E07"/>
    <w:rsid w:val="008E7029"/>
    <w:rsid w:val="008E709A"/>
    <w:rsid w:val="008E73D1"/>
    <w:rsid w:val="008E7EF6"/>
    <w:rsid w:val="008F0708"/>
    <w:rsid w:val="008F1BB4"/>
    <w:rsid w:val="008F1F98"/>
    <w:rsid w:val="008F2499"/>
    <w:rsid w:val="008F2790"/>
    <w:rsid w:val="008F2F08"/>
    <w:rsid w:val="008F40D8"/>
    <w:rsid w:val="008F4E41"/>
    <w:rsid w:val="008F598C"/>
    <w:rsid w:val="008F5A7C"/>
    <w:rsid w:val="008F6758"/>
    <w:rsid w:val="008F7409"/>
    <w:rsid w:val="009040DD"/>
    <w:rsid w:val="009043A2"/>
    <w:rsid w:val="00905B47"/>
    <w:rsid w:val="00905DE0"/>
    <w:rsid w:val="009071D3"/>
    <w:rsid w:val="009105CE"/>
    <w:rsid w:val="00911391"/>
    <w:rsid w:val="0091331C"/>
    <w:rsid w:val="0091359B"/>
    <w:rsid w:val="009137BD"/>
    <w:rsid w:val="0091383A"/>
    <w:rsid w:val="00913D08"/>
    <w:rsid w:val="0091416B"/>
    <w:rsid w:val="009201AC"/>
    <w:rsid w:val="00921BB2"/>
    <w:rsid w:val="00924758"/>
    <w:rsid w:val="00925097"/>
    <w:rsid w:val="00925191"/>
    <w:rsid w:val="00925EF4"/>
    <w:rsid w:val="00926F99"/>
    <w:rsid w:val="00927222"/>
    <w:rsid w:val="009279DE"/>
    <w:rsid w:val="00930116"/>
    <w:rsid w:val="00932E01"/>
    <w:rsid w:val="0093533B"/>
    <w:rsid w:val="00935488"/>
    <w:rsid w:val="009374EF"/>
    <w:rsid w:val="0094212C"/>
    <w:rsid w:val="00942D66"/>
    <w:rsid w:val="009446C7"/>
    <w:rsid w:val="00947555"/>
    <w:rsid w:val="00947DE0"/>
    <w:rsid w:val="00951385"/>
    <w:rsid w:val="00952466"/>
    <w:rsid w:val="0095284F"/>
    <w:rsid w:val="00952992"/>
    <w:rsid w:val="0095378C"/>
    <w:rsid w:val="00954689"/>
    <w:rsid w:val="00955FE7"/>
    <w:rsid w:val="00956471"/>
    <w:rsid w:val="009572E5"/>
    <w:rsid w:val="009617C9"/>
    <w:rsid w:val="00961C93"/>
    <w:rsid w:val="00963A28"/>
    <w:rsid w:val="00965324"/>
    <w:rsid w:val="00966536"/>
    <w:rsid w:val="009701AD"/>
    <w:rsid w:val="0097091E"/>
    <w:rsid w:val="0097240C"/>
    <w:rsid w:val="009725F0"/>
    <w:rsid w:val="009731AF"/>
    <w:rsid w:val="009760B0"/>
    <w:rsid w:val="009760D3"/>
    <w:rsid w:val="00977132"/>
    <w:rsid w:val="00981A4B"/>
    <w:rsid w:val="00982250"/>
    <w:rsid w:val="00982501"/>
    <w:rsid w:val="00982E7A"/>
    <w:rsid w:val="00983482"/>
    <w:rsid w:val="00985EA6"/>
    <w:rsid w:val="009869B8"/>
    <w:rsid w:val="009877D3"/>
    <w:rsid w:val="009945E1"/>
    <w:rsid w:val="00994E8F"/>
    <w:rsid w:val="009951DC"/>
    <w:rsid w:val="009959BB"/>
    <w:rsid w:val="00997158"/>
    <w:rsid w:val="009A1314"/>
    <w:rsid w:val="009A3A7C"/>
    <w:rsid w:val="009A565C"/>
    <w:rsid w:val="009A5885"/>
    <w:rsid w:val="009A5D33"/>
    <w:rsid w:val="009A7786"/>
    <w:rsid w:val="009B2323"/>
    <w:rsid w:val="009B2ADB"/>
    <w:rsid w:val="009B427A"/>
    <w:rsid w:val="009B603A"/>
    <w:rsid w:val="009B7F8E"/>
    <w:rsid w:val="009C0B6E"/>
    <w:rsid w:val="009C1647"/>
    <w:rsid w:val="009C2678"/>
    <w:rsid w:val="009C2D0E"/>
    <w:rsid w:val="009C3DAC"/>
    <w:rsid w:val="009C3DCC"/>
    <w:rsid w:val="009C42E0"/>
    <w:rsid w:val="009C5366"/>
    <w:rsid w:val="009C5850"/>
    <w:rsid w:val="009D063B"/>
    <w:rsid w:val="009D12DD"/>
    <w:rsid w:val="009D14EF"/>
    <w:rsid w:val="009D31FF"/>
    <w:rsid w:val="009D3C3E"/>
    <w:rsid w:val="009D5362"/>
    <w:rsid w:val="009D5B34"/>
    <w:rsid w:val="009D78E8"/>
    <w:rsid w:val="009E1415"/>
    <w:rsid w:val="009E1FB7"/>
    <w:rsid w:val="009E3775"/>
    <w:rsid w:val="009E3F35"/>
    <w:rsid w:val="009E50F7"/>
    <w:rsid w:val="009E562B"/>
    <w:rsid w:val="009E6116"/>
    <w:rsid w:val="009E6849"/>
    <w:rsid w:val="009E7E25"/>
    <w:rsid w:val="009F000E"/>
    <w:rsid w:val="009F03BC"/>
    <w:rsid w:val="009F11AB"/>
    <w:rsid w:val="009F237A"/>
    <w:rsid w:val="009F5EA5"/>
    <w:rsid w:val="009F5EC8"/>
    <w:rsid w:val="009F6928"/>
    <w:rsid w:val="00A01824"/>
    <w:rsid w:val="00A02839"/>
    <w:rsid w:val="00A02E43"/>
    <w:rsid w:val="00A03B0D"/>
    <w:rsid w:val="00A05368"/>
    <w:rsid w:val="00A065F9"/>
    <w:rsid w:val="00A06B28"/>
    <w:rsid w:val="00A06BAA"/>
    <w:rsid w:val="00A07011"/>
    <w:rsid w:val="00A07F34"/>
    <w:rsid w:val="00A101D1"/>
    <w:rsid w:val="00A10AE6"/>
    <w:rsid w:val="00A13869"/>
    <w:rsid w:val="00A13990"/>
    <w:rsid w:val="00A16A95"/>
    <w:rsid w:val="00A20E89"/>
    <w:rsid w:val="00A22154"/>
    <w:rsid w:val="00A223FC"/>
    <w:rsid w:val="00A22B0F"/>
    <w:rsid w:val="00A22CE5"/>
    <w:rsid w:val="00A24058"/>
    <w:rsid w:val="00A254DF"/>
    <w:rsid w:val="00A25606"/>
    <w:rsid w:val="00A25C38"/>
    <w:rsid w:val="00A265ED"/>
    <w:rsid w:val="00A26AF8"/>
    <w:rsid w:val="00A3035E"/>
    <w:rsid w:val="00A30E09"/>
    <w:rsid w:val="00A30F05"/>
    <w:rsid w:val="00A33789"/>
    <w:rsid w:val="00A354D1"/>
    <w:rsid w:val="00A36BBE"/>
    <w:rsid w:val="00A37C20"/>
    <w:rsid w:val="00A40D24"/>
    <w:rsid w:val="00A40D9E"/>
    <w:rsid w:val="00A42ECA"/>
    <w:rsid w:val="00A4307A"/>
    <w:rsid w:val="00A43634"/>
    <w:rsid w:val="00A441D9"/>
    <w:rsid w:val="00A463B2"/>
    <w:rsid w:val="00A4640F"/>
    <w:rsid w:val="00A47EBB"/>
    <w:rsid w:val="00A50A98"/>
    <w:rsid w:val="00A51CDD"/>
    <w:rsid w:val="00A53FBC"/>
    <w:rsid w:val="00A54576"/>
    <w:rsid w:val="00A55373"/>
    <w:rsid w:val="00A56577"/>
    <w:rsid w:val="00A56BBA"/>
    <w:rsid w:val="00A61DD6"/>
    <w:rsid w:val="00A620A5"/>
    <w:rsid w:val="00A62F43"/>
    <w:rsid w:val="00A63421"/>
    <w:rsid w:val="00A64A2D"/>
    <w:rsid w:val="00A664D8"/>
    <w:rsid w:val="00A6730D"/>
    <w:rsid w:val="00A67BE4"/>
    <w:rsid w:val="00A67D98"/>
    <w:rsid w:val="00A71625"/>
    <w:rsid w:val="00A71B9B"/>
    <w:rsid w:val="00A7491B"/>
    <w:rsid w:val="00A751C7"/>
    <w:rsid w:val="00A75C10"/>
    <w:rsid w:val="00A779D2"/>
    <w:rsid w:val="00A83111"/>
    <w:rsid w:val="00A83C00"/>
    <w:rsid w:val="00A84F8D"/>
    <w:rsid w:val="00A87844"/>
    <w:rsid w:val="00A90BCC"/>
    <w:rsid w:val="00A914C6"/>
    <w:rsid w:val="00A96A81"/>
    <w:rsid w:val="00A970F0"/>
    <w:rsid w:val="00AA038C"/>
    <w:rsid w:val="00AA16E1"/>
    <w:rsid w:val="00AA17E8"/>
    <w:rsid w:val="00AA2D9B"/>
    <w:rsid w:val="00AA3B55"/>
    <w:rsid w:val="00AA4E5A"/>
    <w:rsid w:val="00AA6AEB"/>
    <w:rsid w:val="00AA6DF3"/>
    <w:rsid w:val="00AA7A09"/>
    <w:rsid w:val="00AB07D7"/>
    <w:rsid w:val="00AB20CA"/>
    <w:rsid w:val="00AB2C4E"/>
    <w:rsid w:val="00AB3B50"/>
    <w:rsid w:val="00AB522F"/>
    <w:rsid w:val="00AC05B1"/>
    <w:rsid w:val="00AC14DF"/>
    <w:rsid w:val="00AC1731"/>
    <w:rsid w:val="00AC1F85"/>
    <w:rsid w:val="00AC31D0"/>
    <w:rsid w:val="00AC657F"/>
    <w:rsid w:val="00AC7643"/>
    <w:rsid w:val="00AD348C"/>
    <w:rsid w:val="00AD356C"/>
    <w:rsid w:val="00AD5358"/>
    <w:rsid w:val="00AD6513"/>
    <w:rsid w:val="00AE0301"/>
    <w:rsid w:val="00AE083D"/>
    <w:rsid w:val="00AE14C6"/>
    <w:rsid w:val="00AE16CC"/>
    <w:rsid w:val="00AE2914"/>
    <w:rsid w:val="00AE3CFB"/>
    <w:rsid w:val="00AE3DC9"/>
    <w:rsid w:val="00AE3E01"/>
    <w:rsid w:val="00AE3EE7"/>
    <w:rsid w:val="00AE3EE8"/>
    <w:rsid w:val="00AE4FEF"/>
    <w:rsid w:val="00AE6D15"/>
    <w:rsid w:val="00AE7086"/>
    <w:rsid w:val="00AE78AA"/>
    <w:rsid w:val="00AF1D7B"/>
    <w:rsid w:val="00AF1F49"/>
    <w:rsid w:val="00AF2422"/>
    <w:rsid w:val="00AF43E0"/>
    <w:rsid w:val="00AF4C9B"/>
    <w:rsid w:val="00AF7A70"/>
    <w:rsid w:val="00AF7DB8"/>
    <w:rsid w:val="00B00CC4"/>
    <w:rsid w:val="00B01509"/>
    <w:rsid w:val="00B019AC"/>
    <w:rsid w:val="00B04182"/>
    <w:rsid w:val="00B05ECF"/>
    <w:rsid w:val="00B07490"/>
    <w:rsid w:val="00B07AE3"/>
    <w:rsid w:val="00B11430"/>
    <w:rsid w:val="00B11480"/>
    <w:rsid w:val="00B1169F"/>
    <w:rsid w:val="00B133DE"/>
    <w:rsid w:val="00B145B3"/>
    <w:rsid w:val="00B20F73"/>
    <w:rsid w:val="00B218CE"/>
    <w:rsid w:val="00B2353D"/>
    <w:rsid w:val="00B242F4"/>
    <w:rsid w:val="00B24B19"/>
    <w:rsid w:val="00B24D1C"/>
    <w:rsid w:val="00B24EB3"/>
    <w:rsid w:val="00B2742D"/>
    <w:rsid w:val="00B30481"/>
    <w:rsid w:val="00B32073"/>
    <w:rsid w:val="00B3292B"/>
    <w:rsid w:val="00B329B4"/>
    <w:rsid w:val="00B33FF0"/>
    <w:rsid w:val="00B353EB"/>
    <w:rsid w:val="00B35FF9"/>
    <w:rsid w:val="00B400C2"/>
    <w:rsid w:val="00B4016F"/>
    <w:rsid w:val="00B407AC"/>
    <w:rsid w:val="00B41045"/>
    <w:rsid w:val="00B41B32"/>
    <w:rsid w:val="00B439C4"/>
    <w:rsid w:val="00B4426C"/>
    <w:rsid w:val="00B4535E"/>
    <w:rsid w:val="00B4598D"/>
    <w:rsid w:val="00B52A8C"/>
    <w:rsid w:val="00B541B2"/>
    <w:rsid w:val="00B54707"/>
    <w:rsid w:val="00B55E8C"/>
    <w:rsid w:val="00B5720F"/>
    <w:rsid w:val="00B62210"/>
    <w:rsid w:val="00B62F11"/>
    <w:rsid w:val="00B636A8"/>
    <w:rsid w:val="00B6433F"/>
    <w:rsid w:val="00B6453C"/>
    <w:rsid w:val="00B6586C"/>
    <w:rsid w:val="00B6656D"/>
    <w:rsid w:val="00B665C6"/>
    <w:rsid w:val="00B66F6A"/>
    <w:rsid w:val="00B67BCE"/>
    <w:rsid w:val="00B734A5"/>
    <w:rsid w:val="00B73F3E"/>
    <w:rsid w:val="00B757DA"/>
    <w:rsid w:val="00B758A5"/>
    <w:rsid w:val="00B805AF"/>
    <w:rsid w:val="00B812EE"/>
    <w:rsid w:val="00B81E46"/>
    <w:rsid w:val="00B830BD"/>
    <w:rsid w:val="00B83439"/>
    <w:rsid w:val="00B83CCE"/>
    <w:rsid w:val="00B869EC"/>
    <w:rsid w:val="00B91E78"/>
    <w:rsid w:val="00B9397A"/>
    <w:rsid w:val="00B93A68"/>
    <w:rsid w:val="00B942D5"/>
    <w:rsid w:val="00B9633D"/>
    <w:rsid w:val="00BA07DE"/>
    <w:rsid w:val="00BA2981"/>
    <w:rsid w:val="00BA2EBE"/>
    <w:rsid w:val="00BA3BBC"/>
    <w:rsid w:val="00BA4DC9"/>
    <w:rsid w:val="00BA4E68"/>
    <w:rsid w:val="00BA6E92"/>
    <w:rsid w:val="00BA7616"/>
    <w:rsid w:val="00BB0F28"/>
    <w:rsid w:val="00BB458A"/>
    <w:rsid w:val="00BB5181"/>
    <w:rsid w:val="00BB57B6"/>
    <w:rsid w:val="00BB676A"/>
    <w:rsid w:val="00BC128B"/>
    <w:rsid w:val="00BC30C3"/>
    <w:rsid w:val="00BC4B1A"/>
    <w:rsid w:val="00BC4B7C"/>
    <w:rsid w:val="00BC6BE7"/>
    <w:rsid w:val="00BC743C"/>
    <w:rsid w:val="00BD00D3"/>
    <w:rsid w:val="00BD1659"/>
    <w:rsid w:val="00BD2740"/>
    <w:rsid w:val="00BD3AA9"/>
    <w:rsid w:val="00BD4A18"/>
    <w:rsid w:val="00BD6DB2"/>
    <w:rsid w:val="00BD73A1"/>
    <w:rsid w:val="00BD76A6"/>
    <w:rsid w:val="00BE0CD7"/>
    <w:rsid w:val="00BE11CF"/>
    <w:rsid w:val="00BE21AB"/>
    <w:rsid w:val="00BE2D49"/>
    <w:rsid w:val="00BE4318"/>
    <w:rsid w:val="00BE55CB"/>
    <w:rsid w:val="00BE7067"/>
    <w:rsid w:val="00BF3783"/>
    <w:rsid w:val="00BF547D"/>
    <w:rsid w:val="00BF617A"/>
    <w:rsid w:val="00C01E24"/>
    <w:rsid w:val="00C0288B"/>
    <w:rsid w:val="00C02CD6"/>
    <w:rsid w:val="00C0379D"/>
    <w:rsid w:val="00C03931"/>
    <w:rsid w:val="00C0464C"/>
    <w:rsid w:val="00C04C69"/>
    <w:rsid w:val="00C05FE3"/>
    <w:rsid w:val="00C1096C"/>
    <w:rsid w:val="00C12A43"/>
    <w:rsid w:val="00C15E7E"/>
    <w:rsid w:val="00C16292"/>
    <w:rsid w:val="00C2136D"/>
    <w:rsid w:val="00C214EE"/>
    <w:rsid w:val="00C225D8"/>
    <w:rsid w:val="00C2314B"/>
    <w:rsid w:val="00C24971"/>
    <w:rsid w:val="00C25355"/>
    <w:rsid w:val="00C25400"/>
    <w:rsid w:val="00C26BE5"/>
    <w:rsid w:val="00C26E4D"/>
    <w:rsid w:val="00C27909"/>
    <w:rsid w:val="00C279EB"/>
    <w:rsid w:val="00C27B03"/>
    <w:rsid w:val="00C314E1"/>
    <w:rsid w:val="00C320BB"/>
    <w:rsid w:val="00C32B5A"/>
    <w:rsid w:val="00C34397"/>
    <w:rsid w:val="00C37150"/>
    <w:rsid w:val="00C40503"/>
    <w:rsid w:val="00C4095D"/>
    <w:rsid w:val="00C41B52"/>
    <w:rsid w:val="00C43B87"/>
    <w:rsid w:val="00C44737"/>
    <w:rsid w:val="00C45765"/>
    <w:rsid w:val="00C45D17"/>
    <w:rsid w:val="00C46754"/>
    <w:rsid w:val="00C468D9"/>
    <w:rsid w:val="00C50BBF"/>
    <w:rsid w:val="00C512EF"/>
    <w:rsid w:val="00C524F0"/>
    <w:rsid w:val="00C5363D"/>
    <w:rsid w:val="00C53C95"/>
    <w:rsid w:val="00C53DE4"/>
    <w:rsid w:val="00C601D2"/>
    <w:rsid w:val="00C64660"/>
    <w:rsid w:val="00C65BCC"/>
    <w:rsid w:val="00C65C1D"/>
    <w:rsid w:val="00C66970"/>
    <w:rsid w:val="00C70D2E"/>
    <w:rsid w:val="00C70F06"/>
    <w:rsid w:val="00C713C1"/>
    <w:rsid w:val="00C739C2"/>
    <w:rsid w:val="00C744AC"/>
    <w:rsid w:val="00C77305"/>
    <w:rsid w:val="00C77CD5"/>
    <w:rsid w:val="00C822F8"/>
    <w:rsid w:val="00C85E57"/>
    <w:rsid w:val="00C8691C"/>
    <w:rsid w:val="00C878A0"/>
    <w:rsid w:val="00C900AB"/>
    <w:rsid w:val="00C91523"/>
    <w:rsid w:val="00C916A4"/>
    <w:rsid w:val="00C92E77"/>
    <w:rsid w:val="00C94675"/>
    <w:rsid w:val="00C95B06"/>
    <w:rsid w:val="00C963CA"/>
    <w:rsid w:val="00C9738F"/>
    <w:rsid w:val="00CA15A6"/>
    <w:rsid w:val="00CA168A"/>
    <w:rsid w:val="00CA2097"/>
    <w:rsid w:val="00CA2E08"/>
    <w:rsid w:val="00CA34EF"/>
    <w:rsid w:val="00CA357E"/>
    <w:rsid w:val="00CA38BD"/>
    <w:rsid w:val="00CA44F9"/>
    <w:rsid w:val="00CA4A69"/>
    <w:rsid w:val="00CA5B1C"/>
    <w:rsid w:val="00CA7603"/>
    <w:rsid w:val="00CA7999"/>
    <w:rsid w:val="00CB18BD"/>
    <w:rsid w:val="00CB25CC"/>
    <w:rsid w:val="00CB2B1D"/>
    <w:rsid w:val="00CC152C"/>
    <w:rsid w:val="00CC3E0C"/>
    <w:rsid w:val="00CC4335"/>
    <w:rsid w:val="00CC58D3"/>
    <w:rsid w:val="00CC5F55"/>
    <w:rsid w:val="00CC5F92"/>
    <w:rsid w:val="00CC784D"/>
    <w:rsid w:val="00CC7B05"/>
    <w:rsid w:val="00CC7BDF"/>
    <w:rsid w:val="00CD072F"/>
    <w:rsid w:val="00CD3F30"/>
    <w:rsid w:val="00CD4EDD"/>
    <w:rsid w:val="00CE09D9"/>
    <w:rsid w:val="00CE12DF"/>
    <w:rsid w:val="00CE2FA9"/>
    <w:rsid w:val="00CE4545"/>
    <w:rsid w:val="00CE5BC8"/>
    <w:rsid w:val="00CF5A23"/>
    <w:rsid w:val="00CF69C1"/>
    <w:rsid w:val="00CF7073"/>
    <w:rsid w:val="00CF7DEA"/>
    <w:rsid w:val="00D008FD"/>
    <w:rsid w:val="00D016C5"/>
    <w:rsid w:val="00D02180"/>
    <w:rsid w:val="00D0337B"/>
    <w:rsid w:val="00D04101"/>
    <w:rsid w:val="00D05143"/>
    <w:rsid w:val="00D0657E"/>
    <w:rsid w:val="00D072D5"/>
    <w:rsid w:val="00D07777"/>
    <w:rsid w:val="00D079B2"/>
    <w:rsid w:val="00D1064E"/>
    <w:rsid w:val="00D114E9"/>
    <w:rsid w:val="00D14616"/>
    <w:rsid w:val="00D16C56"/>
    <w:rsid w:val="00D17CD8"/>
    <w:rsid w:val="00D22D87"/>
    <w:rsid w:val="00D246DF"/>
    <w:rsid w:val="00D251B3"/>
    <w:rsid w:val="00D26254"/>
    <w:rsid w:val="00D26D82"/>
    <w:rsid w:val="00D313B3"/>
    <w:rsid w:val="00D33DCC"/>
    <w:rsid w:val="00D34391"/>
    <w:rsid w:val="00D35E61"/>
    <w:rsid w:val="00D366AC"/>
    <w:rsid w:val="00D429C6"/>
    <w:rsid w:val="00D44B04"/>
    <w:rsid w:val="00D44FE1"/>
    <w:rsid w:val="00D45CC0"/>
    <w:rsid w:val="00D47748"/>
    <w:rsid w:val="00D477C0"/>
    <w:rsid w:val="00D50143"/>
    <w:rsid w:val="00D50B4C"/>
    <w:rsid w:val="00D53B5B"/>
    <w:rsid w:val="00D54537"/>
    <w:rsid w:val="00D54CC3"/>
    <w:rsid w:val="00D6041A"/>
    <w:rsid w:val="00D62CED"/>
    <w:rsid w:val="00D633EB"/>
    <w:rsid w:val="00D640D6"/>
    <w:rsid w:val="00D65D52"/>
    <w:rsid w:val="00D70F12"/>
    <w:rsid w:val="00D736C8"/>
    <w:rsid w:val="00D82FF7"/>
    <w:rsid w:val="00D844C4"/>
    <w:rsid w:val="00D847FE"/>
    <w:rsid w:val="00D86B9C"/>
    <w:rsid w:val="00D8784F"/>
    <w:rsid w:val="00D9043C"/>
    <w:rsid w:val="00D90A39"/>
    <w:rsid w:val="00D91161"/>
    <w:rsid w:val="00D93713"/>
    <w:rsid w:val="00D94388"/>
    <w:rsid w:val="00D964EA"/>
    <w:rsid w:val="00D966D0"/>
    <w:rsid w:val="00D97B5C"/>
    <w:rsid w:val="00DA0C59"/>
    <w:rsid w:val="00DA37E9"/>
    <w:rsid w:val="00DA3991"/>
    <w:rsid w:val="00DA4A10"/>
    <w:rsid w:val="00DA72A1"/>
    <w:rsid w:val="00DA7F95"/>
    <w:rsid w:val="00DB0151"/>
    <w:rsid w:val="00DB3257"/>
    <w:rsid w:val="00DB51E3"/>
    <w:rsid w:val="00DB684F"/>
    <w:rsid w:val="00DB6983"/>
    <w:rsid w:val="00DB7E6C"/>
    <w:rsid w:val="00DC01FF"/>
    <w:rsid w:val="00DC0357"/>
    <w:rsid w:val="00DC0A05"/>
    <w:rsid w:val="00DC669D"/>
    <w:rsid w:val="00DC7313"/>
    <w:rsid w:val="00DC78F2"/>
    <w:rsid w:val="00DD252A"/>
    <w:rsid w:val="00DD30A6"/>
    <w:rsid w:val="00DD598D"/>
    <w:rsid w:val="00DD5A29"/>
    <w:rsid w:val="00DD5A69"/>
    <w:rsid w:val="00DD5D93"/>
    <w:rsid w:val="00DD5D9D"/>
    <w:rsid w:val="00DD77F8"/>
    <w:rsid w:val="00DD78D3"/>
    <w:rsid w:val="00DE0314"/>
    <w:rsid w:val="00DE0813"/>
    <w:rsid w:val="00DE35CB"/>
    <w:rsid w:val="00DE4B51"/>
    <w:rsid w:val="00DE5428"/>
    <w:rsid w:val="00DF0EF0"/>
    <w:rsid w:val="00DF11F0"/>
    <w:rsid w:val="00DF21E9"/>
    <w:rsid w:val="00DF22C7"/>
    <w:rsid w:val="00DF371A"/>
    <w:rsid w:val="00E00F14"/>
    <w:rsid w:val="00E02653"/>
    <w:rsid w:val="00E03B38"/>
    <w:rsid w:val="00E0511F"/>
    <w:rsid w:val="00E057A2"/>
    <w:rsid w:val="00E05909"/>
    <w:rsid w:val="00E06386"/>
    <w:rsid w:val="00E0715D"/>
    <w:rsid w:val="00E075C5"/>
    <w:rsid w:val="00E11668"/>
    <w:rsid w:val="00E12294"/>
    <w:rsid w:val="00E122B7"/>
    <w:rsid w:val="00E12D3C"/>
    <w:rsid w:val="00E13A65"/>
    <w:rsid w:val="00E20929"/>
    <w:rsid w:val="00E21FC2"/>
    <w:rsid w:val="00E24EB4"/>
    <w:rsid w:val="00E320ED"/>
    <w:rsid w:val="00E334AF"/>
    <w:rsid w:val="00E33AFB"/>
    <w:rsid w:val="00E34218"/>
    <w:rsid w:val="00E350B8"/>
    <w:rsid w:val="00E446C8"/>
    <w:rsid w:val="00E46282"/>
    <w:rsid w:val="00E46AE5"/>
    <w:rsid w:val="00E51BE2"/>
    <w:rsid w:val="00E5216E"/>
    <w:rsid w:val="00E52916"/>
    <w:rsid w:val="00E545EA"/>
    <w:rsid w:val="00E54F43"/>
    <w:rsid w:val="00E57529"/>
    <w:rsid w:val="00E60E91"/>
    <w:rsid w:val="00E61218"/>
    <w:rsid w:val="00E61656"/>
    <w:rsid w:val="00E657C6"/>
    <w:rsid w:val="00E77387"/>
    <w:rsid w:val="00E82344"/>
    <w:rsid w:val="00E8452A"/>
    <w:rsid w:val="00E84C82"/>
    <w:rsid w:val="00E84D64"/>
    <w:rsid w:val="00E8692B"/>
    <w:rsid w:val="00E86C3E"/>
    <w:rsid w:val="00E8733D"/>
    <w:rsid w:val="00E87408"/>
    <w:rsid w:val="00E914C4"/>
    <w:rsid w:val="00E92FAF"/>
    <w:rsid w:val="00E934F5"/>
    <w:rsid w:val="00E93B66"/>
    <w:rsid w:val="00E93DCB"/>
    <w:rsid w:val="00E94C81"/>
    <w:rsid w:val="00E9520E"/>
    <w:rsid w:val="00E95482"/>
    <w:rsid w:val="00E96961"/>
    <w:rsid w:val="00EA05AC"/>
    <w:rsid w:val="00EA1A59"/>
    <w:rsid w:val="00EA3E51"/>
    <w:rsid w:val="00EA49E2"/>
    <w:rsid w:val="00EA5E49"/>
    <w:rsid w:val="00EA72EC"/>
    <w:rsid w:val="00EA79AD"/>
    <w:rsid w:val="00EB11CB"/>
    <w:rsid w:val="00EB18ED"/>
    <w:rsid w:val="00EB1C71"/>
    <w:rsid w:val="00EB275A"/>
    <w:rsid w:val="00EB47C5"/>
    <w:rsid w:val="00EB57CA"/>
    <w:rsid w:val="00EB7106"/>
    <w:rsid w:val="00EB786A"/>
    <w:rsid w:val="00EC1578"/>
    <w:rsid w:val="00EC1A4B"/>
    <w:rsid w:val="00EC1BFC"/>
    <w:rsid w:val="00EC1C72"/>
    <w:rsid w:val="00EC2DAF"/>
    <w:rsid w:val="00EC37B7"/>
    <w:rsid w:val="00EC3CC9"/>
    <w:rsid w:val="00EC42FA"/>
    <w:rsid w:val="00EC680A"/>
    <w:rsid w:val="00ED0718"/>
    <w:rsid w:val="00ED0743"/>
    <w:rsid w:val="00ED1310"/>
    <w:rsid w:val="00ED182A"/>
    <w:rsid w:val="00EE0C33"/>
    <w:rsid w:val="00EE25CB"/>
    <w:rsid w:val="00EE2BED"/>
    <w:rsid w:val="00EE30A2"/>
    <w:rsid w:val="00EE374B"/>
    <w:rsid w:val="00EE6073"/>
    <w:rsid w:val="00EE63A0"/>
    <w:rsid w:val="00EE7A98"/>
    <w:rsid w:val="00EF2503"/>
    <w:rsid w:val="00EF2869"/>
    <w:rsid w:val="00EF4963"/>
    <w:rsid w:val="00EF50CE"/>
    <w:rsid w:val="00EF69FC"/>
    <w:rsid w:val="00EF76B8"/>
    <w:rsid w:val="00F0182A"/>
    <w:rsid w:val="00F01D7A"/>
    <w:rsid w:val="00F0266C"/>
    <w:rsid w:val="00F031F4"/>
    <w:rsid w:val="00F04194"/>
    <w:rsid w:val="00F10161"/>
    <w:rsid w:val="00F11BB5"/>
    <w:rsid w:val="00F12DD2"/>
    <w:rsid w:val="00F130A0"/>
    <w:rsid w:val="00F1417B"/>
    <w:rsid w:val="00F1578E"/>
    <w:rsid w:val="00F17A17"/>
    <w:rsid w:val="00F208A0"/>
    <w:rsid w:val="00F209B1"/>
    <w:rsid w:val="00F20CE7"/>
    <w:rsid w:val="00F2115E"/>
    <w:rsid w:val="00F215D7"/>
    <w:rsid w:val="00F24D79"/>
    <w:rsid w:val="00F25023"/>
    <w:rsid w:val="00F2621F"/>
    <w:rsid w:val="00F30ABD"/>
    <w:rsid w:val="00F3237F"/>
    <w:rsid w:val="00F33491"/>
    <w:rsid w:val="00F34B10"/>
    <w:rsid w:val="00F34B99"/>
    <w:rsid w:val="00F37FD6"/>
    <w:rsid w:val="00F409A5"/>
    <w:rsid w:val="00F43850"/>
    <w:rsid w:val="00F44DB6"/>
    <w:rsid w:val="00F45F03"/>
    <w:rsid w:val="00F4773D"/>
    <w:rsid w:val="00F47EE3"/>
    <w:rsid w:val="00F503E6"/>
    <w:rsid w:val="00F5064A"/>
    <w:rsid w:val="00F5066A"/>
    <w:rsid w:val="00F50F4B"/>
    <w:rsid w:val="00F51983"/>
    <w:rsid w:val="00F51CF2"/>
    <w:rsid w:val="00F52DAB"/>
    <w:rsid w:val="00F53B23"/>
    <w:rsid w:val="00F53EA0"/>
    <w:rsid w:val="00F543F0"/>
    <w:rsid w:val="00F54CB1"/>
    <w:rsid w:val="00F5521F"/>
    <w:rsid w:val="00F55E3E"/>
    <w:rsid w:val="00F562FB"/>
    <w:rsid w:val="00F56854"/>
    <w:rsid w:val="00F56FAC"/>
    <w:rsid w:val="00F57601"/>
    <w:rsid w:val="00F57E6D"/>
    <w:rsid w:val="00F60BC5"/>
    <w:rsid w:val="00F61C3B"/>
    <w:rsid w:val="00F6329A"/>
    <w:rsid w:val="00F678BD"/>
    <w:rsid w:val="00F7135C"/>
    <w:rsid w:val="00F721A5"/>
    <w:rsid w:val="00F73339"/>
    <w:rsid w:val="00F736A7"/>
    <w:rsid w:val="00F73F99"/>
    <w:rsid w:val="00F7517B"/>
    <w:rsid w:val="00F81378"/>
    <w:rsid w:val="00F819F2"/>
    <w:rsid w:val="00F81D29"/>
    <w:rsid w:val="00F8215A"/>
    <w:rsid w:val="00F82926"/>
    <w:rsid w:val="00F856D0"/>
    <w:rsid w:val="00F90BE5"/>
    <w:rsid w:val="00F90C77"/>
    <w:rsid w:val="00F90E94"/>
    <w:rsid w:val="00F91405"/>
    <w:rsid w:val="00F91C4D"/>
    <w:rsid w:val="00F922A5"/>
    <w:rsid w:val="00F92FD9"/>
    <w:rsid w:val="00F947D3"/>
    <w:rsid w:val="00F94B94"/>
    <w:rsid w:val="00F94C53"/>
    <w:rsid w:val="00F94CD5"/>
    <w:rsid w:val="00F97BC6"/>
    <w:rsid w:val="00FA1339"/>
    <w:rsid w:val="00FA3352"/>
    <w:rsid w:val="00FA35FA"/>
    <w:rsid w:val="00FA5EF7"/>
    <w:rsid w:val="00FA6684"/>
    <w:rsid w:val="00FA731E"/>
    <w:rsid w:val="00FA7BCC"/>
    <w:rsid w:val="00FA7BD0"/>
    <w:rsid w:val="00FB1DCF"/>
    <w:rsid w:val="00FB2B38"/>
    <w:rsid w:val="00FB3040"/>
    <w:rsid w:val="00FB6984"/>
    <w:rsid w:val="00FB6E51"/>
    <w:rsid w:val="00FB705A"/>
    <w:rsid w:val="00FC25A4"/>
    <w:rsid w:val="00FC2E7C"/>
    <w:rsid w:val="00FC3754"/>
    <w:rsid w:val="00FC62A1"/>
    <w:rsid w:val="00FC6358"/>
    <w:rsid w:val="00FC77E5"/>
    <w:rsid w:val="00FD06B4"/>
    <w:rsid w:val="00FD12E7"/>
    <w:rsid w:val="00FD320D"/>
    <w:rsid w:val="00FD3311"/>
    <w:rsid w:val="00FD3996"/>
    <w:rsid w:val="00FD63E8"/>
    <w:rsid w:val="00FD7392"/>
    <w:rsid w:val="00FD7C92"/>
    <w:rsid w:val="00FE1B98"/>
    <w:rsid w:val="00FE2280"/>
    <w:rsid w:val="00FE23DE"/>
    <w:rsid w:val="00FE2EEF"/>
    <w:rsid w:val="00FF0EA7"/>
    <w:rsid w:val="0E26697C"/>
    <w:rsid w:val="0F601792"/>
    <w:rsid w:val="1E6A01BF"/>
    <w:rsid w:val="1FAC7342"/>
    <w:rsid w:val="2B503847"/>
    <w:rsid w:val="2D0623D3"/>
    <w:rsid w:val="2D1B36F8"/>
    <w:rsid w:val="2FDF7196"/>
    <w:rsid w:val="319F1841"/>
    <w:rsid w:val="38947917"/>
    <w:rsid w:val="39B76556"/>
    <w:rsid w:val="3AEF725A"/>
    <w:rsid w:val="40716193"/>
    <w:rsid w:val="408D3ABA"/>
    <w:rsid w:val="466C6651"/>
    <w:rsid w:val="53461CEF"/>
    <w:rsid w:val="59A65848"/>
    <w:rsid w:val="66F7689B"/>
    <w:rsid w:val="685D2C3B"/>
    <w:rsid w:val="6E231788"/>
    <w:rsid w:val="6E5C5B88"/>
    <w:rsid w:val="784828D9"/>
    <w:rsid w:val="797D1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8"/>
    <w:qFormat/>
    <w:uiPriority w:val="0"/>
    <w:pPr>
      <w:keepNext/>
      <w:keepLines/>
      <w:spacing w:before="340" w:after="330" w:line="578" w:lineRule="auto"/>
      <w:outlineLvl w:val="0"/>
    </w:pPr>
    <w:rPr>
      <w:b/>
      <w:bCs/>
      <w:kern w:val="44"/>
      <w:sz w:val="44"/>
      <w:szCs w:val="44"/>
    </w:rPr>
  </w:style>
  <w:style w:type="character" w:default="1" w:styleId="35">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3">
    <w:name w:val="toc 7"/>
    <w:basedOn w:val="1"/>
    <w:next w:val="1"/>
    <w:semiHidden/>
    <w:uiPriority w:val="0"/>
    <w:pPr>
      <w:tabs>
        <w:tab w:val="right" w:leader="dot" w:pos="9241"/>
      </w:tabs>
      <w:ind w:firstLine="505"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Normal Indent"/>
    <w:basedOn w:val="1"/>
    <w:qFormat/>
    <w:uiPriority w:val="0"/>
    <w:pPr>
      <w:ind w:firstLine="420" w:firstLineChars="200"/>
    </w:p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uiPriority w:val="0"/>
    <w:pPr>
      <w:shd w:val="clear" w:color="auto" w:fill="000080"/>
    </w:pPr>
  </w:style>
  <w:style w:type="paragraph" w:styleId="9">
    <w:name w:val="annotation text"/>
    <w:basedOn w:val="1"/>
    <w:link w:val="146"/>
    <w:uiPriority w:val="0"/>
    <w:pPr>
      <w:jc w:val="left"/>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qFormat/>
    <w:uiPriority w:val="39"/>
    <w:pPr>
      <w:tabs>
        <w:tab w:val="right" w:leader="dot" w:pos="9241"/>
      </w:tabs>
      <w:ind w:firstLine="102" w:firstLineChars="100"/>
      <w:jc w:val="left"/>
    </w:pPr>
    <w:rPr>
      <w:rFonts w:ascii="宋体"/>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semiHidden/>
    <w:qFormat/>
    <w:uiPriority w:val="0"/>
    <w:pPr>
      <w:snapToGrid w:val="0"/>
      <w:jc w:val="left"/>
    </w:pPr>
  </w:style>
  <w:style w:type="paragraph" w:styleId="17">
    <w:name w:val="Balloon Text"/>
    <w:basedOn w:val="1"/>
    <w:link w:val="145"/>
    <w:qFormat/>
    <w:uiPriority w:val="0"/>
    <w:rPr>
      <w:sz w:val="18"/>
      <w:szCs w:val="18"/>
    </w:rPr>
  </w:style>
  <w:style w:type="paragraph" w:styleId="18">
    <w:name w:val="footer"/>
    <w:basedOn w:val="1"/>
    <w:qFormat/>
    <w:uiPriority w:val="0"/>
    <w:pPr>
      <w:snapToGrid w:val="0"/>
      <w:ind w:right="210" w:rightChars="100"/>
      <w:jc w:val="right"/>
    </w:pPr>
    <w:rPr>
      <w:sz w:val="18"/>
      <w:szCs w:val="18"/>
    </w:rPr>
  </w:style>
  <w:style w:type="paragraph" w:styleId="19">
    <w:name w:val="header"/>
    <w:basedOn w:val="1"/>
    <w:qFormat/>
    <w:uiPriority w:val="0"/>
    <w:pPr>
      <w:snapToGrid w:val="0"/>
      <w:jc w:val="left"/>
    </w:pPr>
    <w:rPr>
      <w:sz w:val="18"/>
      <w:szCs w:val="18"/>
    </w:rPr>
  </w:style>
  <w:style w:type="paragraph" w:styleId="20">
    <w:name w:val="toc 1"/>
    <w:basedOn w:val="1"/>
    <w:next w:val="1"/>
    <w:uiPriority w:val="39"/>
    <w:pPr>
      <w:tabs>
        <w:tab w:val="right" w:leader="dot" w:pos="9241"/>
      </w:tabs>
      <w:spacing w:before="25" w:beforeLines="25" w:after="25" w:afterLines="25"/>
      <w:jc w:val="left"/>
    </w:pPr>
    <w:rPr>
      <w:rFonts w:ascii="宋体"/>
      <w:szCs w:val="21"/>
    </w:rPr>
  </w:style>
  <w:style w:type="paragraph" w:styleId="21">
    <w:name w:val="toc 4"/>
    <w:basedOn w:val="1"/>
    <w:next w:val="1"/>
    <w:semiHidden/>
    <w:qFormat/>
    <w:uiPriority w:val="0"/>
    <w:pPr>
      <w:tabs>
        <w:tab w:val="right" w:leader="dot" w:pos="9241"/>
      </w:tabs>
      <w:ind w:firstLine="198"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semiHidden/>
    <w:qFormat/>
    <w:uiPriority w:val="0"/>
    <w:pPr>
      <w:tabs>
        <w:tab w:val="right" w:leader="dot" w:pos="9241"/>
      </w:tabs>
      <w:ind w:firstLine="403"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qFormat/>
    <w:uiPriority w:val="39"/>
    <w:pPr>
      <w:tabs>
        <w:tab w:val="right" w:leader="dot" w:pos="9241"/>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index 2"/>
    <w:basedOn w:val="1"/>
    <w:next w:val="1"/>
    <w:qFormat/>
    <w:uiPriority w:val="0"/>
    <w:pPr>
      <w:ind w:left="420" w:hanging="210"/>
      <w:jc w:val="left"/>
    </w:pPr>
    <w:rPr>
      <w:rFonts w:ascii="Calibri" w:hAnsi="Calibri"/>
      <w:sz w:val="20"/>
      <w:szCs w:val="20"/>
    </w:rPr>
  </w:style>
  <w:style w:type="paragraph" w:styleId="32">
    <w:name w:val="annotation subject"/>
    <w:basedOn w:val="9"/>
    <w:next w:val="9"/>
    <w:link w:val="147"/>
    <w:qFormat/>
    <w:uiPriority w:val="0"/>
    <w:rPr>
      <w:b/>
      <w:bCs/>
    </w:rPr>
  </w:style>
  <w:style w:type="table" w:styleId="34">
    <w:name w:val="Table Grid"/>
    <w:basedOn w:val="3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endnote reference"/>
    <w:semiHidden/>
    <w:qFormat/>
    <w:uiPriority w:val="0"/>
    <w:rPr>
      <w:vertAlign w:val="superscript"/>
    </w:rPr>
  </w:style>
  <w:style w:type="character" w:styleId="37">
    <w:name w:val="page number"/>
    <w:uiPriority w:val="0"/>
    <w:rPr>
      <w:rFonts w:ascii="Times New Roman" w:hAnsi="Times New Roman" w:eastAsia="宋体"/>
      <w:sz w:val="18"/>
    </w:rPr>
  </w:style>
  <w:style w:type="character" w:styleId="38">
    <w:name w:val="FollowedHyperlink"/>
    <w:qFormat/>
    <w:uiPriority w:val="0"/>
    <w:rPr>
      <w:color w:val="800080"/>
      <w:u w:val="single"/>
    </w:rPr>
  </w:style>
  <w:style w:type="character" w:styleId="39">
    <w:name w:val="Hyperlink"/>
    <w:qFormat/>
    <w:uiPriority w:val="99"/>
    <w:rPr>
      <w:color w:val="0000FF"/>
      <w:spacing w:val="0"/>
      <w:w w:val="100"/>
      <w:szCs w:val="21"/>
      <w:u w:val="single"/>
      <w:lang w:val="en-US" w:eastAsia="zh-CN"/>
    </w:rPr>
  </w:style>
  <w:style w:type="character" w:styleId="40">
    <w:name w:val="annotation reference"/>
    <w:basedOn w:val="35"/>
    <w:qFormat/>
    <w:uiPriority w:val="0"/>
    <w:rPr>
      <w:sz w:val="21"/>
      <w:szCs w:val="21"/>
    </w:rPr>
  </w:style>
  <w:style w:type="character" w:styleId="41">
    <w:name w:val="footnote reference"/>
    <w:semiHidden/>
    <w:qFormat/>
    <w:uiPriority w:val="0"/>
    <w:rPr>
      <w:vertAlign w:val="superscript"/>
    </w:rPr>
  </w:style>
  <w:style w:type="character" w:customStyle="1" w:styleId="42">
    <w:name w:val="段 Char"/>
    <w:link w:val="24"/>
    <w:qFormat/>
    <w:uiPriority w:val="0"/>
    <w:rPr>
      <w:rFonts w:ascii="宋体"/>
      <w:sz w:val="21"/>
      <w:lang w:val="en-US" w:eastAsia="zh-CN" w:bidi="ar-SA"/>
    </w:rPr>
  </w:style>
  <w:style w:type="character" w:customStyle="1" w:styleId="43">
    <w:name w:val="标准文件_段 Char"/>
    <w:link w:val="44"/>
    <w:qFormat/>
    <w:uiPriority w:val="0"/>
    <w:rPr>
      <w:rFonts w:ascii="宋体"/>
      <w:sz w:val="21"/>
      <w:lang w:val="en-US" w:eastAsia="zh-CN" w:bidi="ar-SA"/>
    </w:rPr>
  </w:style>
  <w:style w:type="paragraph" w:customStyle="1" w:styleId="44">
    <w:name w:val="标准文件_段"/>
    <w:link w:val="4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5">
    <w:name w:val="发布"/>
    <w:qFormat/>
    <w:uiPriority w:val="0"/>
    <w:rPr>
      <w:rFonts w:ascii="黑体" w:eastAsia="黑体"/>
      <w:spacing w:val="85"/>
      <w:w w:val="100"/>
      <w:position w:val="3"/>
      <w:sz w:val="28"/>
      <w:szCs w:val="28"/>
    </w:rPr>
  </w:style>
  <w:style w:type="character" w:customStyle="1" w:styleId="46">
    <w:name w:val="首示例 Char"/>
    <w:link w:val="47"/>
    <w:qFormat/>
    <w:uiPriority w:val="0"/>
    <w:rPr>
      <w:rFonts w:ascii="宋体" w:hAnsi="宋体"/>
      <w:kern w:val="2"/>
      <w:sz w:val="18"/>
      <w:szCs w:val="18"/>
    </w:rPr>
  </w:style>
  <w:style w:type="paragraph" w:customStyle="1" w:styleId="47">
    <w:name w:val="首示例"/>
    <w:next w:val="24"/>
    <w:link w:val="46"/>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48">
    <w:name w:val="附录公式 Char"/>
    <w:link w:val="49"/>
    <w:qFormat/>
    <w:uiPriority w:val="0"/>
    <w:rPr>
      <w:lang w:val="en-US" w:eastAsia="zh-CN" w:bidi="ar-SA"/>
    </w:rPr>
  </w:style>
  <w:style w:type="paragraph" w:customStyle="1" w:styleId="49">
    <w:name w:val="附录公式"/>
    <w:basedOn w:val="24"/>
    <w:next w:val="24"/>
    <w:link w:val="48"/>
    <w:qFormat/>
    <w:uiPriority w:val="0"/>
  </w:style>
  <w:style w:type="paragraph" w:customStyle="1" w:styleId="50">
    <w:name w:val="注×："/>
    <w:qFormat/>
    <w:uiPriority w:val="0"/>
    <w:pPr>
      <w:widowControl w:val="0"/>
      <w:numPr>
        <w:ilvl w:val="0"/>
        <w:numId w:val="3"/>
      </w:numPr>
      <w:autoSpaceDE w:val="0"/>
      <w:autoSpaceDN w:val="0"/>
      <w:jc w:val="both"/>
    </w:pPr>
    <w:rPr>
      <w:rFonts w:ascii="宋体" w:hAnsi="Times New Roman" w:eastAsia="宋体" w:cs="Times New Roman"/>
      <w:sz w:val="18"/>
      <w:szCs w:val="18"/>
      <w:lang w:val="en-US" w:eastAsia="zh-CN" w:bidi="ar-SA"/>
    </w:rPr>
  </w:style>
  <w:style w:type="paragraph" w:customStyle="1" w:styleId="51">
    <w:name w:val="封面正文"/>
    <w:qFormat/>
    <w:uiPriority w:val="0"/>
    <w:pPr>
      <w:jc w:val="both"/>
    </w:pPr>
    <w:rPr>
      <w:rFonts w:ascii="Times New Roman" w:hAnsi="Times New Roman" w:eastAsia="宋体" w:cs="Times New Roman"/>
      <w:lang w:val="en-US" w:eastAsia="zh-CN" w:bidi="ar-SA"/>
    </w:rPr>
  </w:style>
  <w:style w:type="paragraph" w:customStyle="1" w:styleId="52">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3">
    <w:name w:val="一级条标题"/>
    <w:next w:val="24"/>
    <w:qFormat/>
    <w:uiPriority w:val="0"/>
    <w:pPr>
      <w:numPr>
        <w:ilvl w:val="1"/>
        <w:numId w:val="4"/>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4">
    <w:name w:val="四级无"/>
    <w:basedOn w:val="55"/>
    <w:qFormat/>
    <w:uiPriority w:val="0"/>
    <w:pPr>
      <w:spacing w:before="0" w:beforeLines="0" w:after="0" w:afterLines="0"/>
    </w:pPr>
    <w:rPr>
      <w:rFonts w:ascii="宋体" w:eastAsia="宋体"/>
    </w:rPr>
  </w:style>
  <w:style w:type="paragraph" w:customStyle="1" w:styleId="55">
    <w:name w:val="四级条标题"/>
    <w:basedOn w:val="56"/>
    <w:next w:val="24"/>
    <w:qFormat/>
    <w:uiPriority w:val="0"/>
    <w:pPr>
      <w:numPr>
        <w:ilvl w:val="0"/>
        <w:numId w:val="0"/>
      </w:numPr>
      <w:outlineLvl w:val="5"/>
    </w:pPr>
  </w:style>
  <w:style w:type="paragraph" w:customStyle="1" w:styleId="56">
    <w:name w:val="三级条标题"/>
    <w:basedOn w:val="57"/>
    <w:next w:val="24"/>
    <w:qFormat/>
    <w:uiPriority w:val="0"/>
    <w:pPr>
      <w:numPr>
        <w:ilvl w:val="3"/>
      </w:numPr>
      <w:outlineLvl w:val="4"/>
    </w:pPr>
  </w:style>
  <w:style w:type="paragraph" w:customStyle="1" w:styleId="57">
    <w:name w:val="二级条标题"/>
    <w:basedOn w:val="53"/>
    <w:next w:val="24"/>
    <w:qFormat/>
    <w:uiPriority w:val="0"/>
    <w:pPr>
      <w:numPr>
        <w:ilvl w:val="2"/>
      </w:numPr>
      <w:spacing w:before="50" w:after="50"/>
      <w:outlineLvl w:val="3"/>
    </w:pPr>
  </w:style>
  <w:style w:type="paragraph" w:customStyle="1" w:styleId="58">
    <w:name w:val="注："/>
    <w:next w:val="24"/>
    <w:qFormat/>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数字编号列项（二级）"/>
    <w:qFormat/>
    <w:uiPriority w:val="0"/>
    <w:pPr>
      <w:numPr>
        <w:ilvl w:val="1"/>
        <w:numId w:val="6"/>
      </w:numPr>
      <w:tabs>
        <w:tab w:val="left" w:pos="360"/>
        <w:tab w:val="clear" w:pos="1259"/>
      </w:tabs>
      <w:ind w:left="0" w:firstLine="0"/>
      <w:jc w:val="both"/>
    </w:pPr>
    <w:rPr>
      <w:rFonts w:ascii="宋体" w:hAnsi="Times New Roman" w:eastAsia="宋体" w:cs="Times New Roman"/>
      <w:sz w:val="21"/>
      <w:lang w:val="en-US" w:eastAsia="zh-CN" w:bidi="ar-SA"/>
    </w:rPr>
  </w:style>
  <w:style w:type="paragraph" w:customStyle="1" w:styleId="60">
    <w:name w:val="标准书眉_偶数页"/>
    <w:basedOn w:val="61"/>
    <w:next w:val="1"/>
    <w:qFormat/>
    <w:uiPriority w:val="0"/>
    <w:pPr>
      <w:tabs>
        <w:tab w:val="center" w:pos="4154"/>
        <w:tab w:val="right" w:pos="8306"/>
      </w:tabs>
      <w:jc w:val="left"/>
    </w:pPr>
  </w:style>
  <w:style w:type="paragraph" w:customStyle="1" w:styleId="6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2">
    <w:name w:val="列项——（一级）"/>
    <w:qFormat/>
    <w:uiPriority w:val="0"/>
    <w:pPr>
      <w:widowControl w:val="0"/>
      <w:numPr>
        <w:ilvl w:val="0"/>
        <w:numId w:val="7"/>
      </w:numPr>
      <w:jc w:val="both"/>
    </w:pPr>
    <w:rPr>
      <w:rFonts w:ascii="宋体" w:hAnsi="Times New Roman" w:eastAsia="宋体" w:cs="Times New Roman"/>
      <w:sz w:val="21"/>
      <w:lang w:val="en-US" w:eastAsia="zh-CN" w:bidi="ar-SA"/>
    </w:rPr>
  </w:style>
  <w:style w:type="paragraph" w:customStyle="1" w:styleId="63">
    <w:name w:val="列项●（二级）"/>
    <w:qFormat/>
    <w:uiPriority w:val="0"/>
    <w:pPr>
      <w:numPr>
        <w:ilvl w:val="1"/>
        <w:numId w:val="7"/>
      </w:numPr>
      <w:tabs>
        <w:tab w:val="left" w:pos="840"/>
      </w:tabs>
      <w:jc w:val="both"/>
    </w:pPr>
    <w:rPr>
      <w:rFonts w:ascii="宋体" w:hAnsi="Times New Roman" w:eastAsia="宋体" w:cs="Times New Roman"/>
      <w:sz w:val="21"/>
      <w:lang w:val="en-US" w:eastAsia="zh-CN" w:bidi="ar-SA"/>
    </w:rPr>
  </w:style>
  <w:style w:type="paragraph" w:customStyle="1" w:styleId="64">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5">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6">
    <w:name w:val="五级条标题"/>
    <w:basedOn w:val="55"/>
    <w:next w:val="24"/>
    <w:qFormat/>
    <w:uiPriority w:val="0"/>
    <w:pPr>
      <w:numPr>
        <w:ilvl w:val="5"/>
      </w:numPr>
      <w:outlineLvl w:val="6"/>
    </w:pPr>
  </w:style>
  <w:style w:type="paragraph" w:customStyle="1" w:styleId="67">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8">
    <w:name w:val="示例"/>
    <w:next w:val="67"/>
    <w:qFormat/>
    <w:uiPriority w:val="0"/>
    <w:pPr>
      <w:widowControl w:val="0"/>
      <w:numPr>
        <w:ilvl w:val="0"/>
        <w:numId w:val="8"/>
      </w:numPr>
      <w:jc w:val="both"/>
    </w:pPr>
    <w:rPr>
      <w:rFonts w:ascii="宋体" w:hAnsi="Times New Roman" w:eastAsia="宋体" w:cs="Times New Roman"/>
      <w:sz w:val="18"/>
      <w:szCs w:val="18"/>
      <w:lang w:val="en-US" w:eastAsia="zh-CN" w:bidi="ar-SA"/>
    </w:rPr>
  </w:style>
  <w:style w:type="paragraph" w:customStyle="1" w:styleId="6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0">
    <w:name w:val="三级无"/>
    <w:basedOn w:val="56"/>
    <w:qFormat/>
    <w:uiPriority w:val="0"/>
    <w:pPr>
      <w:spacing w:before="0" w:beforeLines="0" w:after="0" w:afterLines="0"/>
    </w:pPr>
    <w:rPr>
      <w:rFonts w:ascii="宋体" w:eastAsia="宋体"/>
    </w:rPr>
  </w:style>
  <w:style w:type="paragraph" w:customStyle="1" w:styleId="71">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72">
    <w:name w:val="正文表标题"/>
    <w:next w:val="24"/>
    <w:qFormat/>
    <w:uiPriority w:val="0"/>
    <w:pPr>
      <w:numPr>
        <w:ilvl w:val="0"/>
        <w:numId w:val="10"/>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73">
    <w:name w:val="章标题"/>
    <w:next w:val="24"/>
    <w:qFormat/>
    <w:uiPriority w:val="0"/>
    <w:pPr>
      <w:numPr>
        <w:ilvl w:val="0"/>
        <w:numId w:val="4"/>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74">
    <w:name w:val="编号列项（三级）"/>
    <w:qFormat/>
    <w:uiPriority w:val="0"/>
    <w:pPr>
      <w:numPr>
        <w:ilvl w:val="2"/>
        <w:numId w:val="6"/>
      </w:numPr>
    </w:pPr>
    <w:rPr>
      <w:rFonts w:ascii="宋体" w:hAnsi="Times New Roman" w:eastAsia="宋体" w:cs="Times New Roman"/>
      <w:sz w:val="21"/>
      <w:lang w:val="en-US" w:eastAsia="zh-CN" w:bidi="ar-SA"/>
    </w:rPr>
  </w:style>
  <w:style w:type="paragraph" w:customStyle="1" w:styleId="7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76">
    <w:name w:val="列项◆（三级）"/>
    <w:basedOn w:val="1"/>
    <w:qFormat/>
    <w:uiPriority w:val="0"/>
    <w:pPr>
      <w:numPr>
        <w:ilvl w:val="2"/>
        <w:numId w:val="7"/>
      </w:numPr>
    </w:pPr>
    <w:rPr>
      <w:rFonts w:ascii="宋体"/>
      <w:szCs w:val="21"/>
    </w:rPr>
  </w:style>
  <w:style w:type="paragraph" w:customStyle="1" w:styleId="77">
    <w:name w:val="列表段落1"/>
    <w:basedOn w:val="1"/>
    <w:qFormat/>
    <w:uiPriority w:val="34"/>
    <w:pPr>
      <w:ind w:firstLine="420" w:firstLineChars="200"/>
    </w:pPr>
  </w:style>
  <w:style w:type="paragraph" w:customStyle="1" w:styleId="78">
    <w:name w:val="封面标准文稿编辑信息2"/>
    <w:basedOn w:val="79"/>
    <w:uiPriority w:val="0"/>
    <w:pPr>
      <w:framePr w:wrap="around" w:y="4469"/>
    </w:pPr>
  </w:style>
  <w:style w:type="paragraph" w:customStyle="1" w:styleId="79">
    <w:name w:val="封面标准文稿编辑信息"/>
    <w:basedOn w:val="80"/>
    <w:qFormat/>
    <w:uiPriority w:val="0"/>
    <w:pPr>
      <w:framePr w:wrap="around"/>
      <w:spacing w:before="180" w:line="180" w:lineRule="exact"/>
    </w:pPr>
    <w:rPr>
      <w:sz w:val="21"/>
    </w:rPr>
  </w:style>
  <w:style w:type="paragraph" w:customStyle="1" w:styleId="80">
    <w:name w:val="封面标准文稿类别"/>
    <w:basedOn w:val="81"/>
    <w:qFormat/>
    <w:uiPriority w:val="0"/>
    <w:pPr>
      <w:framePr w:wrap="around"/>
      <w:spacing w:after="160" w:line="240" w:lineRule="auto"/>
    </w:pPr>
    <w:rPr>
      <w:sz w:val="24"/>
    </w:rPr>
  </w:style>
  <w:style w:type="paragraph" w:customStyle="1" w:styleId="81">
    <w:name w:val="封面一致性程度标识"/>
    <w:basedOn w:val="82"/>
    <w:qFormat/>
    <w:uiPriority w:val="0"/>
    <w:pPr>
      <w:framePr w:wrap="around"/>
      <w:spacing w:before="440"/>
    </w:pPr>
    <w:rPr>
      <w:rFonts w:ascii="宋体" w:eastAsia="宋体"/>
    </w:rPr>
  </w:style>
  <w:style w:type="paragraph" w:customStyle="1" w:styleId="82">
    <w:name w:val="封面标准英文名称"/>
    <w:basedOn w:val="83"/>
    <w:qFormat/>
    <w:uiPriority w:val="0"/>
    <w:pPr>
      <w:framePr w:wrap="around"/>
      <w:spacing w:before="370" w:line="400" w:lineRule="exact"/>
    </w:pPr>
    <w:rPr>
      <w:rFonts w:ascii="Times New Roman"/>
      <w:sz w:val="28"/>
      <w:szCs w:val="28"/>
    </w:rPr>
  </w:style>
  <w:style w:type="paragraph" w:customStyle="1" w:styleId="8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4">
    <w:name w:val="字母编号列项（一级）"/>
    <w:qFormat/>
    <w:uiPriority w:val="0"/>
    <w:pPr>
      <w:numPr>
        <w:ilvl w:val="0"/>
        <w:numId w:val="6"/>
      </w:numPr>
      <w:jc w:val="both"/>
    </w:pPr>
    <w:rPr>
      <w:rFonts w:ascii="宋体" w:hAnsi="Times New Roman" w:eastAsia="宋体" w:cs="Times New Roman"/>
      <w:sz w:val="21"/>
      <w:lang w:val="en-US" w:eastAsia="zh-CN" w:bidi="ar-SA"/>
    </w:rPr>
  </w:style>
  <w:style w:type="paragraph" w:customStyle="1" w:styleId="85">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86">
    <w:name w:val="实施日期"/>
    <w:basedOn w:val="87"/>
    <w:qFormat/>
    <w:uiPriority w:val="0"/>
    <w:pPr>
      <w:framePr w:wrap="around" w:vAnchor="page" w:hAnchor="text"/>
      <w:jc w:val="right"/>
    </w:pPr>
  </w:style>
  <w:style w:type="paragraph" w:customStyle="1" w:styleId="8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8">
    <w:name w:val="附录五级无"/>
    <w:basedOn w:val="89"/>
    <w:qFormat/>
    <w:uiPriority w:val="0"/>
    <w:pPr>
      <w:tabs>
        <w:tab w:val="left" w:pos="360"/>
      </w:tabs>
      <w:spacing w:before="0" w:beforeLines="0" w:after="0" w:afterLines="0"/>
    </w:pPr>
    <w:rPr>
      <w:rFonts w:ascii="宋体" w:eastAsia="宋体"/>
      <w:szCs w:val="21"/>
    </w:rPr>
  </w:style>
  <w:style w:type="paragraph" w:customStyle="1" w:styleId="89">
    <w:name w:val="附录五级条标题"/>
    <w:basedOn w:val="90"/>
    <w:next w:val="24"/>
    <w:qFormat/>
    <w:uiPriority w:val="0"/>
    <w:pPr>
      <w:numPr>
        <w:ilvl w:val="0"/>
        <w:numId w:val="0"/>
      </w:numPr>
      <w:tabs>
        <w:tab w:val="left" w:pos="360"/>
      </w:tabs>
      <w:outlineLvl w:val="6"/>
    </w:pPr>
  </w:style>
  <w:style w:type="paragraph" w:customStyle="1" w:styleId="90">
    <w:name w:val="附录四级条标题"/>
    <w:basedOn w:val="91"/>
    <w:next w:val="24"/>
    <w:qFormat/>
    <w:uiPriority w:val="0"/>
    <w:pPr>
      <w:numPr>
        <w:ilvl w:val="5"/>
      </w:numPr>
      <w:tabs>
        <w:tab w:val="left" w:pos="360"/>
      </w:tabs>
      <w:outlineLvl w:val="5"/>
    </w:pPr>
  </w:style>
  <w:style w:type="paragraph" w:customStyle="1" w:styleId="91">
    <w:name w:val="附录三级条标题"/>
    <w:basedOn w:val="92"/>
    <w:next w:val="24"/>
    <w:qFormat/>
    <w:uiPriority w:val="0"/>
    <w:pPr>
      <w:numPr>
        <w:ilvl w:val="4"/>
      </w:numPr>
      <w:tabs>
        <w:tab w:val="left" w:pos="360"/>
      </w:tabs>
      <w:outlineLvl w:val="4"/>
    </w:pPr>
  </w:style>
  <w:style w:type="paragraph" w:customStyle="1" w:styleId="92">
    <w:name w:val="附录二级条标题"/>
    <w:basedOn w:val="1"/>
    <w:next w:val="24"/>
    <w:qFormat/>
    <w:uiPriority w:val="0"/>
    <w:pPr>
      <w:widowControl/>
      <w:numPr>
        <w:ilvl w:val="3"/>
        <w:numId w:val="11"/>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93">
    <w:name w:val="条文脚注"/>
    <w:basedOn w:val="25"/>
    <w:qFormat/>
    <w:uiPriority w:val="0"/>
    <w:pPr>
      <w:numPr>
        <w:numId w:val="0"/>
      </w:numPr>
      <w:jc w:val="both"/>
    </w:pPr>
  </w:style>
  <w:style w:type="paragraph" w:customStyle="1" w:styleId="94">
    <w:name w:val="附录图标号"/>
    <w:basedOn w:val="1"/>
    <w:qFormat/>
    <w:uiPriority w:val="0"/>
    <w:pPr>
      <w:keepNext/>
      <w:pageBreakBefore/>
      <w:widowControl/>
      <w:numPr>
        <w:ilvl w:val="0"/>
        <w:numId w:val="12"/>
      </w:numPr>
      <w:spacing w:line="14" w:lineRule="exact"/>
      <w:ind w:left="0" w:firstLine="363"/>
      <w:jc w:val="center"/>
      <w:outlineLvl w:val="0"/>
    </w:pPr>
    <w:rPr>
      <w:color w:val="FFFFFF"/>
    </w:rPr>
  </w:style>
  <w:style w:type="paragraph" w:customStyle="1" w:styleId="95">
    <w:name w:val="注：（正文）"/>
    <w:basedOn w:val="58"/>
    <w:next w:val="24"/>
    <w:qFormat/>
    <w:uiPriority w:val="0"/>
  </w:style>
  <w:style w:type="paragraph" w:customStyle="1" w:styleId="96">
    <w:name w:val="示例×："/>
    <w:basedOn w:val="73"/>
    <w:qFormat/>
    <w:uiPriority w:val="0"/>
    <w:pPr>
      <w:numPr>
        <w:numId w:val="13"/>
      </w:numPr>
      <w:spacing w:before="0" w:beforeLines="0" w:after="0" w:afterLines="0"/>
      <w:outlineLvl w:val="9"/>
    </w:pPr>
    <w:rPr>
      <w:rFonts w:ascii="宋体" w:eastAsia="宋体"/>
      <w:sz w:val="18"/>
      <w:szCs w:val="18"/>
    </w:rPr>
  </w:style>
  <w:style w:type="paragraph" w:customStyle="1" w:styleId="97">
    <w:name w:val="附录图标题"/>
    <w:basedOn w:val="1"/>
    <w:next w:val="24"/>
    <w:qFormat/>
    <w:uiPriority w:val="0"/>
    <w:pPr>
      <w:numPr>
        <w:ilvl w:val="1"/>
        <w:numId w:val="12"/>
      </w:numPr>
      <w:tabs>
        <w:tab w:val="left" w:pos="363"/>
      </w:tabs>
      <w:spacing w:before="50" w:beforeLines="50" w:after="50" w:afterLines="50"/>
      <w:ind w:left="0" w:firstLine="0"/>
      <w:jc w:val="center"/>
    </w:pPr>
    <w:rPr>
      <w:rFonts w:ascii="黑体" w:eastAsia="黑体"/>
      <w:szCs w:val="21"/>
    </w:rPr>
  </w:style>
  <w:style w:type="paragraph" w:customStyle="1" w:styleId="98">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9">
    <w:name w:val="正文公式编号制表符"/>
    <w:basedOn w:val="24"/>
    <w:next w:val="24"/>
    <w:qFormat/>
    <w:uiPriority w:val="0"/>
    <w:pPr>
      <w:ind w:firstLine="0" w:firstLineChars="0"/>
    </w:pPr>
  </w:style>
  <w:style w:type="paragraph" w:customStyle="1" w:styleId="100">
    <w:name w:val="终结线"/>
    <w:basedOn w:val="1"/>
    <w:qFormat/>
    <w:uiPriority w:val="0"/>
    <w:pPr>
      <w:framePr w:hSpace="181" w:vSpace="181" w:wrap="around" w:vAnchor="text" w:hAnchor="margin" w:xAlign="center" w:y="285"/>
    </w:pPr>
  </w:style>
  <w:style w:type="paragraph" w:customStyle="1" w:styleId="101">
    <w:name w:val="二级无"/>
    <w:basedOn w:val="57"/>
    <w:qFormat/>
    <w:uiPriority w:val="0"/>
    <w:pPr>
      <w:spacing w:before="0" w:beforeLines="0" w:after="0" w:afterLines="0"/>
    </w:pPr>
    <w:rPr>
      <w:rFonts w:ascii="宋体" w:eastAsia="宋体"/>
    </w:rPr>
  </w:style>
  <w:style w:type="paragraph" w:customStyle="1" w:styleId="102">
    <w:name w:val="附录字母编号列项（一级）"/>
    <w:qFormat/>
    <w:uiPriority w:val="0"/>
    <w:pPr>
      <w:numPr>
        <w:ilvl w:val="0"/>
        <w:numId w:val="14"/>
      </w:numPr>
    </w:pPr>
    <w:rPr>
      <w:rFonts w:ascii="宋体" w:hAnsi="Times New Roman" w:eastAsia="宋体" w:cs="Times New Roman"/>
      <w:sz w:val="21"/>
      <w:lang w:val="en-US" w:eastAsia="zh-CN" w:bidi="ar-SA"/>
    </w:rPr>
  </w:style>
  <w:style w:type="paragraph" w:customStyle="1" w:styleId="103">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04">
    <w:name w:val="其他实施日期"/>
    <w:basedOn w:val="86"/>
    <w:qFormat/>
    <w:uiPriority w:val="0"/>
    <w:pPr>
      <w:framePr w:wrap="around"/>
    </w:pPr>
  </w:style>
  <w:style w:type="paragraph" w:customStyle="1" w:styleId="10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6">
    <w:name w:val="正文图标题"/>
    <w:next w:val="24"/>
    <w:qFormat/>
    <w:uiPriority w:val="0"/>
    <w:pPr>
      <w:numPr>
        <w:ilvl w:val="0"/>
        <w:numId w:val="15"/>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07">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108">
    <w:name w:val="附录四级无"/>
    <w:basedOn w:val="90"/>
    <w:qFormat/>
    <w:uiPriority w:val="0"/>
    <w:pPr>
      <w:tabs>
        <w:tab w:val="clear" w:pos="360"/>
      </w:tabs>
      <w:spacing w:before="0" w:beforeLines="0" w:after="0" w:afterLines="0"/>
    </w:pPr>
    <w:rPr>
      <w:rFonts w:ascii="宋体" w:eastAsia="宋体"/>
      <w:szCs w:val="21"/>
    </w:rPr>
  </w:style>
  <w:style w:type="paragraph" w:customStyle="1" w:styleId="109">
    <w:name w:val="附录一级无"/>
    <w:basedOn w:val="110"/>
    <w:qFormat/>
    <w:uiPriority w:val="0"/>
    <w:pPr>
      <w:tabs>
        <w:tab w:val="left" w:pos="360"/>
      </w:tabs>
      <w:spacing w:before="0" w:beforeLines="0" w:after="0" w:afterLines="0"/>
    </w:pPr>
    <w:rPr>
      <w:rFonts w:ascii="宋体" w:eastAsia="宋体"/>
      <w:szCs w:val="21"/>
    </w:rPr>
  </w:style>
  <w:style w:type="paragraph" w:customStyle="1" w:styleId="110">
    <w:name w:val="附录一级条标题"/>
    <w:basedOn w:val="111"/>
    <w:next w:val="24"/>
    <w:qFormat/>
    <w:uiPriority w:val="0"/>
    <w:pPr>
      <w:numPr>
        <w:ilvl w:val="0"/>
        <w:numId w:val="0"/>
      </w:numPr>
      <w:tabs>
        <w:tab w:val="left" w:pos="360"/>
      </w:tabs>
      <w:autoSpaceDN w:val="0"/>
      <w:spacing w:before="50" w:beforeLines="50" w:after="50" w:afterLines="50"/>
      <w:outlineLvl w:val="2"/>
    </w:pPr>
  </w:style>
  <w:style w:type="paragraph" w:customStyle="1" w:styleId="111">
    <w:name w:val="附录章标题"/>
    <w:next w:val="24"/>
    <w:qFormat/>
    <w:uiPriority w:val="0"/>
    <w:pPr>
      <w:numPr>
        <w:ilvl w:val="1"/>
        <w:numId w:val="11"/>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2">
    <w:name w:val="标准书眉一"/>
    <w:qFormat/>
    <w:uiPriority w:val="0"/>
    <w:pPr>
      <w:jc w:val="both"/>
    </w:pPr>
    <w:rPr>
      <w:rFonts w:ascii="Times New Roman" w:hAnsi="Times New Roman" w:eastAsia="宋体" w:cs="Times New Roman"/>
      <w:lang w:val="en-US" w:eastAsia="zh-CN" w:bidi="ar-SA"/>
    </w:rPr>
  </w:style>
  <w:style w:type="paragraph" w:customStyle="1" w:styleId="113">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4">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15">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6">
    <w:name w:val="封面一致性程度标识2"/>
    <w:basedOn w:val="81"/>
    <w:qFormat/>
    <w:uiPriority w:val="0"/>
    <w:pPr>
      <w:framePr w:wrap="around" w:y="4469"/>
    </w:pPr>
  </w:style>
  <w:style w:type="paragraph" w:customStyle="1" w:styleId="11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9">
    <w:name w:val="五级无"/>
    <w:basedOn w:val="66"/>
    <w:qFormat/>
    <w:uiPriority w:val="0"/>
    <w:pPr>
      <w:spacing w:before="0" w:beforeLines="0" w:after="0" w:afterLines="0"/>
    </w:pPr>
    <w:rPr>
      <w:rFonts w:ascii="宋体" w:eastAsia="宋体"/>
    </w:rPr>
  </w:style>
  <w:style w:type="paragraph" w:customStyle="1" w:styleId="120">
    <w:name w:val="其他发布日期"/>
    <w:basedOn w:val="87"/>
    <w:qFormat/>
    <w:uiPriority w:val="0"/>
    <w:pPr>
      <w:framePr w:wrap="around" w:vAnchor="page" w:hAnchor="text" w:x="1419"/>
    </w:pPr>
  </w:style>
  <w:style w:type="paragraph" w:customStyle="1" w:styleId="12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2">
    <w:name w:val="附录标识"/>
    <w:basedOn w:val="1"/>
    <w:next w:val="24"/>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3">
    <w:name w:val="示例后文字"/>
    <w:basedOn w:val="24"/>
    <w:next w:val="24"/>
    <w:qFormat/>
    <w:uiPriority w:val="0"/>
    <w:pPr>
      <w:ind w:firstLine="360"/>
    </w:pPr>
    <w:rPr>
      <w:sz w:val="18"/>
    </w:rPr>
  </w:style>
  <w:style w:type="paragraph" w:customStyle="1" w:styleId="124">
    <w:name w:val="封面标准英文名称2"/>
    <w:basedOn w:val="82"/>
    <w:qFormat/>
    <w:uiPriority w:val="0"/>
    <w:pPr>
      <w:framePr w:wrap="around" w:y="4469"/>
    </w:pPr>
  </w:style>
  <w:style w:type="paragraph" w:customStyle="1" w:styleId="125">
    <w:name w:val="一级无"/>
    <w:basedOn w:val="53"/>
    <w:qFormat/>
    <w:uiPriority w:val="0"/>
    <w:pPr>
      <w:spacing w:before="0" w:beforeLines="0" w:after="0" w:afterLines="0"/>
    </w:pPr>
    <w:rPr>
      <w:rFonts w:ascii="宋体" w:eastAsia="宋体"/>
    </w:rPr>
  </w:style>
  <w:style w:type="paragraph" w:customStyle="1" w:styleId="126">
    <w:name w:val="附录标题"/>
    <w:basedOn w:val="24"/>
    <w:next w:val="24"/>
    <w:qFormat/>
    <w:uiPriority w:val="0"/>
    <w:pPr>
      <w:ind w:firstLine="0" w:firstLineChars="0"/>
      <w:jc w:val="center"/>
    </w:pPr>
    <w:rPr>
      <w:rFonts w:ascii="黑体" w:eastAsia="黑体"/>
    </w:rPr>
  </w:style>
  <w:style w:type="paragraph" w:customStyle="1" w:styleId="127">
    <w:name w:val="附录表标号"/>
    <w:basedOn w:val="1"/>
    <w:next w:val="24"/>
    <w:qFormat/>
    <w:uiPriority w:val="0"/>
    <w:pPr>
      <w:numPr>
        <w:ilvl w:val="0"/>
        <w:numId w:val="16"/>
      </w:numPr>
      <w:tabs>
        <w:tab w:val="clear" w:pos="0"/>
      </w:tabs>
      <w:spacing w:line="14" w:lineRule="exact"/>
      <w:ind w:left="811" w:hanging="448"/>
      <w:jc w:val="center"/>
      <w:outlineLvl w:val="0"/>
    </w:pPr>
    <w:rPr>
      <w:color w:val="FFFFFF"/>
    </w:rPr>
  </w:style>
  <w:style w:type="paragraph" w:customStyle="1" w:styleId="128">
    <w:name w:val="附录表标题"/>
    <w:basedOn w:val="1"/>
    <w:next w:val="24"/>
    <w:qFormat/>
    <w:uiPriority w:val="0"/>
    <w:pPr>
      <w:numPr>
        <w:ilvl w:val="1"/>
        <w:numId w:val="16"/>
      </w:numPr>
      <w:tabs>
        <w:tab w:val="left" w:pos="180"/>
      </w:tabs>
      <w:spacing w:before="50" w:beforeLines="50" w:after="50" w:afterLines="50"/>
      <w:ind w:left="0" w:firstLine="0"/>
      <w:jc w:val="center"/>
    </w:pPr>
    <w:rPr>
      <w:rFonts w:ascii="黑体" w:eastAsia="黑体"/>
      <w:szCs w:val="21"/>
    </w:rPr>
  </w:style>
  <w:style w:type="paragraph" w:customStyle="1" w:styleId="12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30">
    <w:name w:val="附录二级无"/>
    <w:basedOn w:val="92"/>
    <w:qFormat/>
    <w:uiPriority w:val="0"/>
    <w:pPr>
      <w:tabs>
        <w:tab w:val="clear" w:pos="360"/>
      </w:tabs>
      <w:spacing w:before="0" w:beforeLines="0" w:after="0" w:afterLines="0"/>
    </w:pPr>
    <w:rPr>
      <w:rFonts w:ascii="宋体" w:eastAsia="宋体"/>
      <w:szCs w:val="21"/>
    </w:rPr>
  </w:style>
  <w:style w:type="paragraph" w:customStyle="1" w:styleId="131">
    <w:name w:val="附录三级无"/>
    <w:basedOn w:val="91"/>
    <w:qFormat/>
    <w:uiPriority w:val="0"/>
    <w:pPr>
      <w:tabs>
        <w:tab w:val="clear" w:pos="360"/>
      </w:tabs>
      <w:spacing w:before="0" w:beforeLines="0" w:after="0" w:afterLines="0"/>
    </w:pPr>
    <w:rPr>
      <w:rFonts w:ascii="宋体" w:eastAsia="宋体"/>
      <w:szCs w:val="21"/>
    </w:rPr>
  </w:style>
  <w:style w:type="paragraph" w:customStyle="1" w:styleId="132">
    <w:name w:val="附录数字编号列项（二级）"/>
    <w:qFormat/>
    <w:uiPriority w:val="0"/>
    <w:pPr>
      <w:numPr>
        <w:ilvl w:val="1"/>
        <w:numId w:val="14"/>
      </w:numPr>
    </w:pPr>
    <w:rPr>
      <w:rFonts w:ascii="宋体" w:hAnsi="Times New Roman" w:eastAsia="宋体" w:cs="Times New Roman"/>
      <w:sz w:val="21"/>
      <w:lang w:val="en-US" w:eastAsia="zh-CN" w:bidi="ar-SA"/>
    </w:rPr>
  </w:style>
  <w:style w:type="paragraph" w:customStyle="1" w:styleId="133">
    <w:name w:val="封面标准名称2"/>
    <w:basedOn w:val="83"/>
    <w:qFormat/>
    <w:uiPriority w:val="0"/>
    <w:pPr>
      <w:framePr w:wrap="around" w:y="4469"/>
      <w:spacing w:before="630" w:beforeLines="630"/>
    </w:pPr>
  </w:style>
  <w:style w:type="paragraph" w:customStyle="1" w:styleId="134">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5">
    <w:name w:val="封面标准文稿类别2"/>
    <w:basedOn w:val="80"/>
    <w:qFormat/>
    <w:uiPriority w:val="0"/>
    <w:pPr>
      <w:framePr w:wrap="around" w:y="4469"/>
    </w:pPr>
  </w:style>
  <w:style w:type="paragraph" w:customStyle="1" w:styleId="136">
    <w:name w:val="其他标准标志"/>
    <w:basedOn w:val="105"/>
    <w:qFormat/>
    <w:uiPriority w:val="0"/>
    <w:pPr>
      <w:framePr w:w="6101" w:wrap="around" w:vAnchor="page" w:hAnchor="page" w:x="4673" w:y="942"/>
    </w:pPr>
    <w:rPr>
      <w:w w:val="130"/>
    </w:rPr>
  </w:style>
  <w:style w:type="paragraph" w:customStyle="1" w:styleId="137">
    <w:name w:val="其他发布部门"/>
    <w:basedOn w:val="114"/>
    <w:qFormat/>
    <w:uiPriority w:val="0"/>
    <w:pPr>
      <w:framePr w:wrap="around" w:y="15310"/>
      <w:spacing w:line="0" w:lineRule="atLeast"/>
    </w:pPr>
    <w:rPr>
      <w:rFonts w:ascii="黑体" w:eastAsia="黑体"/>
      <w:b w:val="0"/>
    </w:rPr>
  </w:style>
  <w:style w:type="paragraph" w:customStyle="1" w:styleId="138">
    <w:name w:val="图标脚注说明"/>
    <w:basedOn w:val="24"/>
    <w:qFormat/>
    <w:uiPriority w:val="0"/>
    <w:pPr>
      <w:ind w:left="840" w:hanging="420" w:firstLineChars="0"/>
    </w:pPr>
    <w:rPr>
      <w:sz w:val="18"/>
      <w:szCs w:val="18"/>
    </w:rPr>
  </w:style>
  <w:style w:type="paragraph" w:customStyle="1" w:styleId="139">
    <w:name w:val="图表脚注说明"/>
    <w:basedOn w:val="1"/>
    <w:qFormat/>
    <w:uiPriority w:val="0"/>
    <w:pPr>
      <w:numPr>
        <w:ilvl w:val="0"/>
        <w:numId w:val="17"/>
      </w:numPr>
    </w:pPr>
    <w:rPr>
      <w:rFonts w:ascii="宋体"/>
      <w:sz w:val="18"/>
      <w:szCs w:val="18"/>
    </w:rPr>
  </w:style>
  <w:style w:type="paragraph" w:customStyle="1" w:styleId="14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1">
    <w:name w:val="样式 正文缩进 + 首行缩进:  2 字符"/>
    <w:basedOn w:val="5"/>
    <w:qFormat/>
    <w:uiPriority w:val="0"/>
    <w:pPr>
      <w:spacing w:line="340" w:lineRule="exact"/>
      <w:jc w:val="left"/>
    </w:pPr>
    <w:rPr>
      <w:rFonts w:ascii="宋体" w:hAnsi="宋体" w:cs="宋体"/>
      <w:kern w:val="0"/>
      <w:szCs w:val="20"/>
    </w:rPr>
  </w:style>
  <w:style w:type="paragraph" w:customStyle="1" w:styleId="142">
    <w:name w:val="Default"/>
    <w:qFormat/>
    <w:uiPriority w:val="0"/>
    <w:pPr>
      <w:widowControl w:val="0"/>
      <w:autoSpaceDE w:val="0"/>
      <w:autoSpaceDN w:val="0"/>
      <w:adjustRightInd w:val="0"/>
    </w:pPr>
    <w:rPr>
      <w:rFonts w:ascii="Arial" w:hAnsi="Arial" w:eastAsia="等线" w:cs="Arial"/>
      <w:color w:val="000000"/>
      <w:sz w:val="24"/>
      <w:szCs w:val="24"/>
      <w:lang w:val="en-US" w:eastAsia="zh-CN" w:bidi="ar-SA"/>
    </w:rPr>
  </w:style>
  <w:style w:type="table" w:customStyle="1" w:styleId="143">
    <w:name w:val="Table Normal"/>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44">
    <w:name w:val="Table Paragraph"/>
    <w:basedOn w:val="1"/>
    <w:qFormat/>
    <w:uiPriority w:val="1"/>
    <w:pPr>
      <w:autoSpaceDE w:val="0"/>
      <w:autoSpaceDN w:val="0"/>
      <w:jc w:val="left"/>
    </w:pPr>
    <w:rPr>
      <w:rFonts w:ascii="宋体" w:hAnsi="宋体" w:cs="宋体"/>
      <w:kern w:val="0"/>
      <w:sz w:val="22"/>
      <w:szCs w:val="22"/>
      <w:lang w:val="ca-ES" w:eastAsia="en-US"/>
    </w:rPr>
  </w:style>
  <w:style w:type="character" w:customStyle="1" w:styleId="145">
    <w:name w:val="批注框文本 字符"/>
    <w:link w:val="17"/>
    <w:qFormat/>
    <w:uiPriority w:val="0"/>
    <w:rPr>
      <w:kern w:val="2"/>
      <w:sz w:val="18"/>
      <w:szCs w:val="18"/>
    </w:rPr>
  </w:style>
  <w:style w:type="character" w:customStyle="1" w:styleId="146">
    <w:name w:val="批注文字 字符"/>
    <w:basedOn w:val="35"/>
    <w:link w:val="9"/>
    <w:qFormat/>
    <w:uiPriority w:val="0"/>
    <w:rPr>
      <w:kern w:val="2"/>
      <w:sz w:val="21"/>
      <w:szCs w:val="24"/>
    </w:rPr>
  </w:style>
  <w:style w:type="character" w:customStyle="1" w:styleId="147">
    <w:name w:val="批注主题 字符"/>
    <w:basedOn w:val="146"/>
    <w:link w:val="32"/>
    <w:qFormat/>
    <w:uiPriority w:val="0"/>
    <w:rPr>
      <w:b/>
      <w:bCs/>
      <w:kern w:val="2"/>
      <w:sz w:val="21"/>
      <w:szCs w:val="24"/>
    </w:rPr>
  </w:style>
  <w:style w:type="character" w:customStyle="1" w:styleId="148">
    <w:name w:val="标题 1 字符"/>
    <w:basedOn w:val="35"/>
    <w:link w:val="2"/>
    <w:qFormat/>
    <w:uiPriority w:val="0"/>
    <w:rPr>
      <w:b/>
      <w:bCs/>
      <w:kern w:val="44"/>
      <w:sz w:val="44"/>
      <w:szCs w:val="44"/>
    </w:rPr>
  </w:style>
  <w:style w:type="paragraph" w:customStyle="1" w:styleId="149">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150">
    <w:name w:val="List Paragraph"/>
    <w:basedOn w:val="1"/>
    <w:unhideWhenUsed/>
    <w:qFormat/>
    <w:uiPriority w:val="99"/>
    <w:pPr>
      <w:ind w:firstLine="420" w:firstLineChars="200"/>
    </w:pPr>
  </w:style>
  <w:style w:type="paragraph" w:customStyle="1" w:styleId="151">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tiff"/><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8953D1-D122-4F78-8357-5EEB20695C47}">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20</Pages>
  <Words>3472</Words>
  <Characters>4632</Characters>
  <Lines>108</Lines>
  <Paragraphs>30</Paragraphs>
  <TotalTime>0</TotalTime>
  <ScaleCrop>false</ScaleCrop>
  <LinksUpToDate>false</LinksUpToDate>
  <CharactersWithSpaces>4865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2025-05-26T16:01:00Z</dcterms:created>
  <dc:creator>CNIS</dc:creator>
  <cp:lastModifiedBy>颜洲</cp:lastModifiedBy>
  <cp:lastPrinted>2025-07-31T09:43:00Z</cp:lastPrinted>
  <dcterms:modified xsi:type="dcterms:W3CDTF">2025-08-04T02:37:05Z</dcterms:modified>
  <dc:title>标准名称</dc:title>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F99AB091A22749F7A8A8287875C87392</vt:lpwstr>
  </property>
  <property fmtid="{D5CDD505-2E9C-101B-9397-08002B2CF9AE}" pid="4" name="MTWinEqns">
    <vt:bool>true</vt:bool>
  </property>
  <property fmtid="{D5CDD505-2E9C-101B-9397-08002B2CF9AE}" pid="5" name="KSOTemplateDocerSaveRecord">
    <vt:lpwstr>eyJoZGlkIjoiODYwYjcwMzkxNWIyZTAzOTdhNmQxMTVmYjI5M2Y3ZGQiLCJ1c2VySWQiOiI0MzMxMDc1MTMifQ==</vt:lpwstr>
  </property>
</Properties>
</file>