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6B2F3">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1535EF6A">
      <w:pPr>
        <w:pStyle w:val="8"/>
        <w:framePr w:w="0" w:hRule="auto" w:wrap="auto" w:vAnchor="margin" w:hAnchor="text" w:xAlign="left" w:yAlign="inline"/>
        <w:spacing w:before="0" w:after="156" w:afterLines="50" w:line="240" w:lineRule="auto"/>
        <w:rPr>
          <w:rFonts w:hAnsi="黑体" w:cs="黑体"/>
          <w:color w:val="000000" w:themeColor="text1"/>
          <w:sz w:val="30"/>
          <w:szCs w:val="30"/>
          <w14:textFill>
            <w14:solidFill>
              <w14:schemeClr w14:val="tx1"/>
            </w14:solidFill>
          </w14:textFill>
        </w:rPr>
      </w:pPr>
      <w:r>
        <w:rPr>
          <w:rFonts w:hint="eastAsia"/>
          <w:szCs w:val="28"/>
        </w:rPr>
        <w:t>中汽协会《</w:t>
      </w:r>
      <w:bookmarkStart w:id="0" w:name="_Hlk185516936"/>
      <w:r>
        <w:rPr>
          <w:rFonts w:hint="eastAsia"/>
          <w:szCs w:val="28"/>
        </w:rPr>
        <w:t>甲醇燃料增程动力单元组合应用技术条件与测试方法</w:t>
      </w:r>
      <w:bookmarkEnd w:id="0"/>
      <w:r>
        <w:rPr>
          <w:rFonts w:hint="eastAsia"/>
          <w:szCs w:val="28"/>
        </w:rPr>
        <w:t>》  团体标准编制说明</w:t>
      </w:r>
    </w:p>
    <w:p w14:paraId="30AE4EF7">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33C39BFE">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1E2C3C7F">
      <w:pPr>
        <w:ind w:left="360" w:firstLine="480"/>
        <w:rPr>
          <w:rFonts w:ascii="宋体" w:hAnsi="宋体" w:cs="宋体"/>
          <w:sz w:val="24"/>
        </w:rPr>
      </w:pPr>
      <w:r>
        <w:rPr>
          <w:rFonts w:hint="eastAsia" w:ascii="宋体" w:hAnsi="宋体" w:cs="宋体"/>
          <w:color w:val="000000" w:themeColor="text1"/>
          <w:sz w:val="24"/>
          <w14:textFill>
            <w14:solidFill>
              <w14:schemeClr w14:val="tx1"/>
            </w14:solidFill>
          </w14:textFill>
        </w:rPr>
        <w:t>项目围绕甲醇燃料增程动力单元组合应用进行研究，针对其系统技术参数以及通讯控制等内容制定出相关的甲醇燃料增程器动力单元组合应用技术规范标准。围绕甲醇燃料增程动力单元组合应用的测试方法提出控制系统相关功能、性能的测试方法标准，目的是验证组合系统是否满足相关技术条件规定或设计规范要求，确保甲醇燃料增程动力单元组合应用的可靠性、稳定性。</w:t>
      </w:r>
    </w:p>
    <w:p w14:paraId="68300234">
      <w:pPr>
        <w:ind w:left="360"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中汽协会于2022年7月1日发布团体标准立项通知的函，将《甲醇燃料增程动力单元组合应用技术条件与测试方法》列入中国汽车工业协会2022年团体标准研制计划，任务号为2022-51。</w:t>
      </w:r>
    </w:p>
    <w:p w14:paraId="5BFD47A7">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3A2C787F">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浙江绿色智行科创有限公司为标准主承担单位：</w:t>
      </w:r>
    </w:p>
    <w:p w14:paraId="2DB83344">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洪安新</w:t>
      </w:r>
      <w:bookmarkStart w:id="1" w:name="_GoBack"/>
      <w:bookmarkEnd w:id="1"/>
    </w:p>
    <w:p w14:paraId="6715AFEF">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浙江吉利新能源商用车集团有限公司负责相关数据提供：</w:t>
      </w:r>
    </w:p>
    <w:p w14:paraId="1615A2B0">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马帅营、李密</w:t>
      </w:r>
    </w:p>
    <w:p w14:paraId="4684C0F2">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南岳电控（衡阳）工业技术协会股份有限公司负责相关数据提供：</w:t>
      </w:r>
    </w:p>
    <w:p w14:paraId="65CE57DB">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邓飞</w:t>
      </w:r>
    </w:p>
    <w:p w14:paraId="10133EC7">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华夏龙晖（北京）汽车电子科技股份有限公司负责相关数据提供：</w:t>
      </w:r>
    </w:p>
    <w:p w14:paraId="1F484A20">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高志远、罗会标</w:t>
      </w:r>
    </w:p>
    <w:p w14:paraId="12BAE23E">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辽宁三特石油化工有限公司负责相关数据提供：</w:t>
      </w:r>
    </w:p>
    <w:p w14:paraId="23F33E9E">
      <w:pPr>
        <w:ind w:left="360"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刘辉</w:t>
      </w:r>
    </w:p>
    <w:p w14:paraId="011A7084">
      <w:pPr>
        <w:rPr>
          <w:rFonts w:ascii="仿宋" w:hAnsi="仿宋" w:eastAsia="仿宋" w:cs="仿宋"/>
          <w:color w:val="000000" w:themeColor="text1"/>
          <w:sz w:val="24"/>
          <w14:textFill>
            <w14:solidFill>
              <w14:schemeClr w14:val="tx1"/>
            </w14:solidFill>
          </w14:textFill>
        </w:rPr>
      </w:pPr>
    </w:p>
    <w:p w14:paraId="6A6C3A86">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17F0139F">
      <w:pPr>
        <w:ind w:left="357"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醇燃料增程动力单元组合生产企业在标准研讨中发挥着重要作用。企业在设计、生产过程中积累了大量的实践经验和测试数据，这些数据对于制定科学合理的试验标准具有重要的参考价值。各公司在开展甲醇燃料增程动力单元组合的研发和生产过程中，通过对发动机的性能摸底和可靠性验证，为标准的制定提供了实际的技术参数和评价指标。</w:t>
      </w:r>
    </w:p>
    <w:p w14:paraId="0B866EE1">
      <w:pPr>
        <w:rPr>
          <w:rFonts w:ascii="仿宋" w:hAnsi="仿宋" w:eastAsia="仿宋" w:cs="仿宋"/>
          <w:color w:val="000000" w:themeColor="text1"/>
          <w:sz w:val="24"/>
          <w14:textFill>
            <w14:solidFill>
              <w14:schemeClr w14:val="tx1"/>
            </w14:solidFill>
          </w14:textFill>
        </w:rPr>
      </w:pPr>
    </w:p>
    <w:p w14:paraId="45D00D47">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3EFC7F28">
      <w:pPr>
        <w:ind w:left="360" w:firstLine="480" w:firstLineChars="2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本标准编制依据科学性原则，标准中使用的术语、定义、符号和单位等都必须准确无误 ；先进性原则，目前还没有对甲醇燃料增程动力单元组合应用技术条件与测试方法进行应用及规定，填补国际空白；本标准主要设计以下内容：本标准规定了甲醇燃料增程动力单元的术语和定义、系统概述、组合并机工作原理、控制方式、技术要求测试规范、测试方法、试验报告编写以及相应的测试评定标准。</w:t>
      </w:r>
    </w:p>
    <w:p w14:paraId="6E9A39C6">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采</w:t>
      </w:r>
      <w:r>
        <w:rPr>
          <w:rFonts w:hint="eastAsia" w:ascii="黑体" w:hAnsi="黑体" w:eastAsia="黑体" w:cs="黑体"/>
          <w:sz w:val="24"/>
        </w:rPr>
        <w:t>用国际标准和国外</w:t>
      </w:r>
      <w:r>
        <w:rPr>
          <w:rFonts w:hint="eastAsia" w:ascii="黑体" w:hAnsi="黑体" w:eastAsia="黑体" w:cs="黑体"/>
          <w:color w:val="000000" w:themeColor="text1"/>
          <w:sz w:val="24"/>
          <w14:textFill>
            <w14:solidFill>
              <w14:schemeClr w14:val="tx1"/>
            </w14:solidFill>
          </w14:textFill>
        </w:rPr>
        <w:t xml:space="preserve">先进标准情况  </w:t>
      </w:r>
    </w:p>
    <w:p w14:paraId="69C2A9DE">
      <w:pPr>
        <w:ind w:left="36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本标准未采用国际和国外标准，不涉及国际国外标准采标情况。</w:t>
      </w:r>
    </w:p>
    <w:p w14:paraId="7E525351">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四、主要关键指标及试验验证情况</w:t>
      </w:r>
    </w:p>
    <w:p w14:paraId="2B83943D">
      <w:pPr>
        <w:pStyle w:val="10"/>
        <w:ind w:firstLine="480"/>
        <w:rPr>
          <w:rFonts w:asciiTheme="minorEastAsia" w:hAnsiTheme="minorEastAsia" w:eastAsiaTheme="minorEastAsia" w:cstheme="minorEastAsia"/>
          <w:iCs/>
          <w:color w:val="000000" w:themeColor="text1"/>
          <w:sz w:val="24"/>
          <w:szCs w:val="24"/>
          <w14:textFill>
            <w14:solidFill>
              <w14:schemeClr w14:val="tx1"/>
            </w14:solidFill>
          </w14:textFill>
        </w:rPr>
      </w:pPr>
      <w:r>
        <w:rPr>
          <w:rFonts w:hint="eastAsia" w:asciiTheme="minorEastAsia" w:hAnsiTheme="minorEastAsia" w:eastAsiaTheme="minorEastAsia" w:cstheme="minorEastAsia"/>
          <w:iCs/>
          <w:color w:val="000000" w:themeColor="text1"/>
          <w:sz w:val="24"/>
          <w:szCs w:val="24"/>
          <w14:textFill>
            <w14:solidFill>
              <w14:schemeClr w14:val="tx1"/>
            </w14:solidFill>
          </w14:textFill>
        </w:rPr>
        <w:t>关键指标：</w:t>
      </w:r>
    </w:p>
    <w:p w14:paraId="25797A7F">
      <w:pPr>
        <w:pStyle w:val="10"/>
        <w:ind w:firstLine="480"/>
        <w:rPr>
          <w:rFonts w:hint="eastAsia"/>
        </w:rPr>
      </w:pPr>
      <w:r>
        <w:rPr>
          <w:rFonts w:hint="eastAsia" w:asciiTheme="minorEastAsia" w:hAnsiTheme="minorEastAsia" w:eastAsiaTheme="minorEastAsia" w:cstheme="minorEastAsia"/>
          <w:iCs/>
          <w:color w:val="000000" w:themeColor="text1"/>
          <w:sz w:val="24"/>
          <w:szCs w:val="24"/>
          <w14:textFill>
            <w14:solidFill>
              <w14:schemeClr w14:val="tx1"/>
            </w14:solidFill>
          </w14:textFill>
        </w:rPr>
        <w:t>1、能量转化率</w:t>
      </w:r>
      <w:r>
        <w:rPr>
          <w:rFonts w:hint="eastAsia" w:asciiTheme="minorEastAsia" w:hAnsiTheme="minorEastAsia" w:eastAsiaTheme="minorEastAsia" w:cstheme="minorEastAsia"/>
          <w:iCs/>
          <w:color w:val="000000" w:themeColor="text1"/>
          <w:sz w:val="24"/>
          <w14:textFill>
            <w14:solidFill>
              <w14:schemeClr w14:val="tx1"/>
            </w14:solidFill>
          </w14:textFill>
        </w:rPr>
        <w:t>，</w:t>
      </w:r>
      <w:r>
        <w:rPr>
          <w:rFonts w:hint="eastAsia"/>
        </w:rPr>
        <w:t>甲醇燃料增程动力单元的能量转换率应符合产品技术文件规定。</w:t>
      </w:r>
    </w:p>
    <w:p w14:paraId="3287E9F5">
      <w:pPr>
        <w:ind w:firstLine="480" w:firstLineChars="200"/>
        <w:rPr>
          <w:rFonts w:asciiTheme="minorEastAsia" w:hAnsiTheme="minorEastAsia" w:eastAsiaTheme="minorEastAsia" w:cstheme="minorEastAsia"/>
          <w:iCs/>
          <w:color w:val="000000" w:themeColor="text1"/>
          <w:sz w:val="24"/>
          <w14:textFill>
            <w14:solidFill>
              <w14:schemeClr w14:val="tx1"/>
            </w14:solidFill>
          </w14:textFill>
        </w:rPr>
      </w:pPr>
      <w:r>
        <w:rPr>
          <w:rFonts w:hint="eastAsia" w:asciiTheme="minorEastAsia" w:hAnsiTheme="minorEastAsia" w:eastAsiaTheme="minorEastAsia" w:cstheme="minorEastAsia"/>
          <w:iCs/>
          <w:color w:val="000000" w:themeColor="text1"/>
          <w:sz w:val="24"/>
          <w14:textFill>
            <w14:solidFill>
              <w14:schemeClr w14:val="tx1"/>
            </w14:solidFill>
          </w14:textFill>
        </w:rPr>
        <w:t>2、增程器输出特性测试试验（含持续功率、峰值功率、最小稳定功率以及功率输出精度）：</w:t>
      </w:r>
    </w:p>
    <w:p w14:paraId="1621F8BF">
      <w:pPr>
        <w:ind w:firstLine="480" w:firstLineChars="200"/>
        <w:rPr>
          <w:rFonts w:hint="eastAsia" w:asciiTheme="minorEastAsia" w:hAnsiTheme="minorEastAsia" w:eastAsiaTheme="minorEastAsia" w:cstheme="minorEastAsia"/>
          <w:iCs/>
          <w:color w:val="000000" w:themeColor="text1"/>
          <w:sz w:val="24"/>
          <w14:textFill>
            <w14:solidFill>
              <w14:schemeClr w14:val="tx1"/>
            </w14:solidFill>
          </w14:textFill>
        </w:rPr>
      </w:pPr>
      <w:r>
        <w:rPr>
          <w:rFonts w:asciiTheme="minorEastAsia" w:hAnsiTheme="minorEastAsia" w:eastAsiaTheme="minorEastAsia" w:cstheme="minorEastAsia"/>
          <w:iCs/>
          <w:color w:val="000000" w:themeColor="text1"/>
          <w:sz w:val="24"/>
          <w14:textFill>
            <w14:solidFill>
              <w14:schemeClr w14:val="tx1"/>
            </w14:solidFill>
          </w14:textFill>
        </w:rPr>
        <w:t>2</w:t>
      </w:r>
      <w:r>
        <w:rPr>
          <w:rFonts w:hint="eastAsia" w:asciiTheme="minorEastAsia" w:hAnsiTheme="minorEastAsia" w:eastAsiaTheme="minorEastAsia" w:cstheme="minorEastAsia"/>
          <w:iCs/>
          <w:color w:val="000000" w:themeColor="text1"/>
          <w:sz w:val="24"/>
          <w14:textFill>
            <w14:solidFill>
              <w14:schemeClr w14:val="tx1"/>
            </w14:solidFill>
          </w14:textFill>
        </w:rPr>
        <w:t>.1持续功率</w:t>
      </w:r>
    </w:p>
    <w:p w14:paraId="3050719B">
      <w:pPr>
        <w:ind w:firstLine="480" w:firstLineChars="200"/>
        <w:rPr>
          <w:rFonts w:hint="eastAsia" w:asciiTheme="minorEastAsia" w:hAnsiTheme="minorEastAsia" w:eastAsiaTheme="minorEastAsia" w:cstheme="minorEastAsia"/>
          <w:iCs/>
          <w:color w:val="000000" w:themeColor="text1"/>
          <w:sz w:val="24"/>
          <w14:textFill>
            <w14:solidFill>
              <w14:schemeClr w14:val="tx1"/>
            </w14:solidFill>
          </w14:textFill>
        </w:rPr>
      </w:pPr>
      <w:r>
        <w:rPr>
          <w:rFonts w:hint="eastAsia" w:asciiTheme="minorEastAsia" w:hAnsiTheme="minorEastAsia" w:eastAsiaTheme="minorEastAsia" w:cstheme="minorEastAsia"/>
          <w:iCs/>
          <w:color w:val="000000" w:themeColor="text1"/>
          <w:sz w:val="24"/>
          <w14:textFill>
            <w14:solidFill>
              <w14:schemeClr w14:val="tx1"/>
            </w14:solidFill>
          </w14:textFill>
        </w:rPr>
        <w:t>甲醇燃料增程动力单元的持续功率应符合产品技术文件规定。</w:t>
      </w:r>
    </w:p>
    <w:p w14:paraId="19232652">
      <w:pPr>
        <w:ind w:firstLine="480" w:firstLineChars="200"/>
        <w:rPr>
          <w:rFonts w:hint="eastAsia" w:asciiTheme="minorEastAsia" w:hAnsiTheme="minorEastAsia" w:eastAsiaTheme="minorEastAsia" w:cstheme="minorEastAsia"/>
          <w:iCs/>
          <w:color w:val="000000" w:themeColor="text1"/>
          <w:sz w:val="24"/>
          <w14:textFill>
            <w14:solidFill>
              <w14:schemeClr w14:val="tx1"/>
            </w14:solidFill>
          </w14:textFill>
        </w:rPr>
      </w:pPr>
      <w:r>
        <w:rPr>
          <w:rFonts w:asciiTheme="minorEastAsia" w:hAnsiTheme="minorEastAsia" w:eastAsiaTheme="minorEastAsia" w:cstheme="minorEastAsia"/>
          <w:iCs/>
          <w:color w:val="000000" w:themeColor="text1"/>
          <w:sz w:val="24"/>
          <w14:textFill>
            <w14:solidFill>
              <w14:schemeClr w14:val="tx1"/>
            </w14:solidFill>
          </w14:textFill>
        </w:rPr>
        <w:t>2</w:t>
      </w:r>
      <w:r>
        <w:rPr>
          <w:rFonts w:hint="eastAsia" w:asciiTheme="minorEastAsia" w:hAnsiTheme="minorEastAsia" w:eastAsiaTheme="minorEastAsia" w:cstheme="minorEastAsia"/>
          <w:iCs/>
          <w:color w:val="000000" w:themeColor="text1"/>
          <w:sz w:val="24"/>
          <w14:textFill>
            <w14:solidFill>
              <w14:schemeClr w14:val="tx1"/>
            </w14:solidFill>
          </w14:textFill>
        </w:rPr>
        <w:t>.</w:t>
      </w:r>
      <w:r>
        <w:rPr>
          <w:rFonts w:asciiTheme="minorEastAsia" w:hAnsiTheme="minorEastAsia" w:eastAsiaTheme="minorEastAsia" w:cstheme="minorEastAsia"/>
          <w:iCs/>
          <w:color w:val="000000" w:themeColor="text1"/>
          <w:sz w:val="24"/>
          <w14:textFill>
            <w14:solidFill>
              <w14:schemeClr w14:val="tx1"/>
            </w14:solidFill>
          </w14:textFill>
        </w:rPr>
        <w:t>2</w:t>
      </w:r>
      <w:r>
        <w:rPr>
          <w:rFonts w:hint="eastAsia" w:asciiTheme="minorEastAsia" w:hAnsiTheme="minorEastAsia" w:eastAsiaTheme="minorEastAsia" w:cstheme="minorEastAsia"/>
          <w:iCs/>
          <w:color w:val="000000" w:themeColor="text1"/>
          <w:sz w:val="24"/>
          <w14:textFill>
            <w14:solidFill>
              <w14:schemeClr w14:val="tx1"/>
            </w14:solidFill>
          </w14:textFill>
        </w:rPr>
        <w:t>峰值功率</w:t>
      </w:r>
    </w:p>
    <w:p w14:paraId="7481D78D">
      <w:pPr>
        <w:ind w:firstLine="480" w:firstLineChars="200"/>
        <w:rPr>
          <w:rFonts w:hint="eastAsia" w:asciiTheme="minorEastAsia" w:hAnsiTheme="minorEastAsia" w:eastAsiaTheme="minorEastAsia" w:cstheme="minorEastAsia"/>
          <w:iCs/>
          <w:color w:val="000000" w:themeColor="text1"/>
          <w:sz w:val="24"/>
          <w14:textFill>
            <w14:solidFill>
              <w14:schemeClr w14:val="tx1"/>
            </w14:solidFill>
          </w14:textFill>
        </w:rPr>
      </w:pPr>
      <w:r>
        <w:rPr>
          <w:rFonts w:hint="eastAsia" w:asciiTheme="minorEastAsia" w:hAnsiTheme="minorEastAsia" w:eastAsiaTheme="minorEastAsia" w:cstheme="minorEastAsia"/>
          <w:iCs/>
          <w:color w:val="000000" w:themeColor="text1"/>
          <w:sz w:val="24"/>
          <w14:textFill>
            <w14:solidFill>
              <w14:schemeClr w14:val="tx1"/>
            </w14:solidFill>
          </w14:textFill>
        </w:rPr>
        <w:t>甲醇燃料增程动力单元的峰值功率应该符合产品技术文件规定。</w:t>
      </w:r>
    </w:p>
    <w:p w14:paraId="34372C2B">
      <w:pPr>
        <w:ind w:firstLine="480" w:firstLineChars="200"/>
        <w:rPr>
          <w:rFonts w:hint="eastAsia" w:asciiTheme="minorEastAsia" w:hAnsiTheme="minorEastAsia" w:eastAsiaTheme="minorEastAsia" w:cstheme="minorEastAsia"/>
          <w:iCs/>
          <w:color w:val="000000" w:themeColor="text1"/>
          <w:sz w:val="24"/>
          <w14:textFill>
            <w14:solidFill>
              <w14:schemeClr w14:val="tx1"/>
            </w14:solidFill>
          </w14:textFill>
        </w:rPr>
      </w:pPr>
      <w:r>
        <w:rPr>
          <w:rFonts w:asciiTheme="minorEastAsia" w:hAnsiTheme="minorEastAsia" w:eastAsiaTheme="minorEastAsia" w:cstheme="minorEastAsia"/>
          <w:iCs/>
          <w:color w:val="000000" w:themeColor="text1"/>
          <w:sz w:val="24"/>
          <w14:textFill>
            <w14:solidFill>
              <w14:schemeClr w14:val="tx1"/>
            </w14:solidFill>
          </w14:textFill>
        </w:rPr>
        <w:t>2</w:t>
      </w:r>
      <w:r>
        <w:rPr>
          <w:rFonts w:hint="eastAsia" w:asciiTheme="minorEastAsia" w:hAnsiTheme="minorEastAsia" w:eastAsiaTheme="minorEastAsia" w:cstheme="minorEastAsia"/>
          <w:iCs/>
          <w:color w:val="000000" w:themeColor="text1"/>
          <w:sz w:val="24"/>
          <w14:textFill>
            <w14:solidFill>
              <w14:schemeClr w14:val="tx1"/>
            </w14:solidFill>
          </w14:textFill>
        </w:rPr>
        <w:t>.3功率输出精度</w:t>
      </w:r>
    </w:p>
    <w:p w14:paraId="355FF3DA">
      <w:pPr>
        <w:ind w:firstLine="480" w:firstLineChars="200"/>
        <w:rPr>
          <w:rFonts w:asciiTheme="minorEastAsia" w:hAnsiTheme="minorEastAsia" w:eastAsiaTheme="minorEastAsia" w:cstheme="minorEastAsia"/>
          <w:iCs/>
          <w:color w:val="000000" w:themeColor="text1"/>
          <w:sz w:val="24"/>
          <w14:textFill>
            <w14:solidFill>
              <w14:schemeClr w14:val="tx1"/>
            </w14:solidFill>
          </w14:textFill>
        </w:rPr>
      </w:pPr>
      <w:r>
        <w:rPr>
          <w:rFonts w:hint="eastAsia" w:asciiTheme="minorEastAsia" w:hAnsiTheme="minorEastAsia" w:eastAsiaTheme="minorEastAsia" w:cstheme="minorEastAsia"/>
          <w:iCs/>
          <w:color w:val="000000" w:themeColor="text1"/>
          <w:sz w:val="24"/>
          <w14:textFill>
            <w14:solidFill>
              <w14:schemeClr w14:val="tx1"/>
            </w14:solidFill>
          </w14:textFill>
        </w:rPr>
        <w:t xml:space="preserve"> 具有功率输出控制功能的甲醇燃料增程动力单元，功率输出精度应该符合产品技术文件规定。</w:t>
      </w:r>
    </w:p>
    <w:p w14:paraId="440249AA">
      <w:pPr>
        <w:pStyle w:val="10"/>
        <w:ind w:firstLine="480"/>
        <w:rPr>
          <w:rFonts w:hint="eastAsia"/>
        </w:rPr>
      </w:pPr>
      <w:r>
        <w:rPr>
          <w:rFonts w:asciiTheme="minorEastAsia" w:hAnsiTheme="minorEastAsia" w:eastAsiaTheme="minorEastAsia" w:cstheme="minorEastAsia"/>
          <w:iCs/>
          <w:color w:val="000000" w:themeColor="text1"/>
          <w:sz w:val="24"/>
          <w14:textFill>
            <w14:solidFill>
              <w14:schemeClr w14:val="tx1"/>
            </w14:solidFill>
          </w14:textFill>
        </w:rPr>
        <w:t>3</w:t>
      </w:r>
      <w:r>
        <w:rPr>
          <w:rFonts w:hint="eastAsia" w:asciiTheme="minorEastAsia" w:hAnsiTheme="minorEastAsia" w:eastAsiaTheme="minorEastAsia" w:cstheme="minorEastAsia"/>
          <w:iCs/>
          <w:color w:val="000000" w:themeColor="text1"/>
          <w:sz w:val="24"/>
          <w14:textFill>
            <w14:solidFill>
              <w14:schemeClr w14:val="tx1"/>
            </w14:solidFill>
          </w14:textFill>
        </w:rPr>
        <w:t>、</w:t>
      </w:r>
      <w:r>
        <w:rPr>
          <w:rFonts w:hint="eastAsia" w:asciiTheme="minorEastAsia" w:hAnsiTheme="minorEastAsia" w:eastAsiaTheme="minorEastAsia" w:cstheme="minorEastAsia"/>
          <w:iCs/>
          <w:color w:val="000000" w:themeColor="text1"/>
          <w:sz w:val="24"/>
          <w:szCs w:val="24"/>
          <w14:textFill>
            <w14:solidFill>
              <w14:schemeClr w14:val="tx1"/>
            </w14:solidFill>
          </w14:textFill>
        </w:rPr>
        <w:t>增程器启动特性试验</w:t>
      </w:r>
      <w:r>
        <w:rPr>
          <w:rFonts w:hint="eastAsia" w:asciiTheme="minorEastAsia" w:hAnsiTheme="minorEastAsia" w:eastAsiaTheme="minorEastAsia" w:cstheme="minorEastAsia"/>
          <w:iCs/>
          <w:color w:val="000000" w:themeColor="text1"/>
          <w:sz w:val="24"/>
          <w14:textFill>
            <w14:solidFill>
              <w14:schemeClr w14:val="tx1"/>
            </w14:solidFill>
          </w14:textFill>
        </w:rPr>
        <w:t>：</w:t>
      </w:r>
      <w:r>
        <w:rPr>
          <w:rFonts w:hint="eastAsia"/>
        </w:rPr>
        <w:t>甲醇燃料增程动力单元的启动时间应符合产品技术文件规定。</w:t>
      </w:r>
    </w:p>
    <w:p w14:paraId="228BF588">
      <w:pPr>
        <w:pStyle w:val="10"/>
      </w:pPr>
      <w:r>
        <w:rPr>
          <w:rFonts w:hint="eastAsia"/>
        </w:rPr>
        <w:t>甲醇燃料增程动力单元的从启动到稳定工作的过程中，转速超调量不超过200 r/min。</w:t>
      </w:r>
    </w:p>
    <w:p w14:paraId="3E07F451">
      <w:pPr>
        <w:ind w:firstLine="480" w:firstLineChars="200"/>
        <w:rPr>
          <w:rFonts w:asciiTheme="minorEastAsia" w:hAnsiTheme="minorEastAsia" w:eastAsiaTheme="minorEastAsia" w:cstheme="minorEastAsia"/>
          <w:iCs/>
          <w:color w:val="000000" w:themeColor="text1"/>
          <w:sz w:val="24"/>
          <w14:textFill>
            <w14:solidFill>
              <w14:schemeClr w14:val="tx1"/>
            </w14:solidFill>
          </w14:textFill>
        </w:rPr>
      </w:pPr>
      <w:r>
        <w:rPr>
          <w:rFonts w:asciiTheme="minorEastAsia" w:hAnsiTheme="minorEastAsia" w:eastAsiaTheme="minorEastAsia" w:cstheme="minorEastAsia"/>
          <w:iCs/>
          <w:color w:val="000000" w:themeColor="text1"/>
          <w:sz w:val="24"/>
          <w14:textFill>
            <w14:solidFill>
              <w14:schemeClr w14:val="tx1"/>
            </w14:solidFill>
          </w14:textFill>
        </w:rPr>
        <w:t>4</w:t>
      </w:r>
      <w:r>
        <w:rPr>
          <w:rFonts w:hint="eastAsia" w:asciiTheme="minorEastAsia" w:hAnsiTheme="minorEastAsia" w:eastAsiaTheme="minorEastAsia" w:cstheme="minorEastAsia"/>
          <w:iCs/>
          <w:color w:val="000000" w:themeColor="text1"/>
          <w:sz w:val="24"/>
          <w14:textFill>
            <w14:solidFill>
              <w14:schemeClr w14:val="tx1"/>
            </w14:solidFill>
          </w14:textFill>
        </w:rPr>
        <w:t>、增程器停机特性试验；</w:t>
      </w:r>
    </w:p>
    <w:p w14:paraId="49D74628">
      <w:pPr>
        <w:pStyle w:val="10"/>
        <w:rPr>
          <w:rFonts w:hint="eastAsia"/>
        </w:rPr>
      </w:pPr>
      <w:r>
        <w:rPr>
          <w:rFonts w:hint="eastAsia"/>
        </w:rPr>
        <w:t>增程器的停机时间应符合产品技术文件规定。</w:t>
      </w:r>
    </w:p>
    <w:p w14:paraId="1AB5C1C4">
      <w:pPr>
        <w:pStyle w:val="10"/>
        <w:rPr>
          <w:rFonts w:hint="eastAsia"/>
        </w:rPr>
      </w:pPr>
      <w:r>
        <w:rPr>
          <w:rFonts w:hint="eastAsia"/>
        </w:rPr>
        <w:t>增程器停机的过程中，内燃机不应出现反转现象。</w:t>
      </w:r>
    </w:p>
    <w:p w14:paraId="1B1B7BD9">
      <w:pPr>
        <w:pStyle w:val="10"/>
        <w:ind w:firstLine="480"/>
      </w:pPr>
      <w:r>
        <w:rPr>
          <w:rFonts w:asciiTheme="minorEastAsia" w:hAnsiTheme="minorEastAsia" w:eastAsiaTheme="minorEastAsia" w:cstheme="minorEastAsia"/>
          <w:iCs/>
          <w:color w:val="000000" w:themeColor="text1"/>
          <w:sz w:val="24"/>
          <w14:textFill>
            <w14:solidFill>
              <w14:schemeClr w14:val="tx1"/>
            </w14:solidFill>
          </w14:textFill>
        </w:rPr>
        <w:t>5</w:t>
      </w:r>
      <w:r>
        <w:rPr>
          <w:rFonts w:hint="eastAsia" w:asciiTheme="minorEastAsia" w:hAnsiTheme="minorEastAsia" w:eastAsiaTheme="minorEastAsia" w:cstheme="minorEastAsia"/>
          <w:iCs/>
          <w:color w:val="000000" w:themeColor="text1"/>
          <w:sz w:val="24"/>
          <w14:textFill>
            <w14:solidFill>
              <w14:schemeClr w14:val="tx1"/>
            </w14:solidFill>
          </w14:textFill>
        </w:rPr>
        <w:t>、</w:t>
      </w:r>
      <w:r>
        <w:rPr>
          <w:rFonts w:hint="eastAsia" w:asciiTheme="minorEastAsia" w:hAnsiTheme="minorEastAsia" w:eastAsiaTheme="minorEastAsia" w:cstheme="minorEastAsia"/>
          <w:iCs/>
          <w:color w:val="000000" w:themeColor="text1"/>
          <w:sz w:val="24"/>
          <w:szCs w:val="24"/>
          <w14:textFill>
            <w14:solidFill>
              <w14:schemeClr w14:val="tx1"/>
            </w14:solidFill>
          </w14:textFill>
        </w:rPr>
        <w:t>增程器动态响应试验</w:t>
      </w:r>
      <w:r>
        <w:rPr>
          <w:rFonts w:hint="eastAsia" w:asciiTheme="minorEastAsia" w:hAnsiTheme="minorEastAsia" w:eastAsiaTheme="minorEastAsia" w:cstheme="minorEastAsia"/>
          <w:iCs/>
          <w:color w:val="000000" w:themeColor="text1"/>
          <w:sz w:val="24"/>
          <w14:textFill>
            <w14:solidFill>
              <w14:schemeClr w14:val="tx1"/>
            </w14:solidFill>
          </w14:textFill>
        </w:rPr>
        <w:t>；</w:t>
      </w:r>
      <w:r>
        <w:rPr>
          <w:rFonts w:hint="eastAsia"/>
        </w:rPr>
        <w:t>甲醇燃料增程动力单元稳定工作点之间切换的动态响应特性应符合产品技术文件规定。</w:t>
      </w:r>
    </w:p>
    <w:p w14:paraId="3B207611">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22A3E63E">
      <w:pPr>
        <w:ind w:firstLine="960" w:firstLineChars="400"/>
        <w:rPr>
          <w:rFonts w:ascii="宋体" w:hAnsi="宋体" w:cs="宋体"/>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本标准符合现行法律、法规、政策及相关强制性标准要求。</w:t>
      </w:r>
    </w:p>
    <w:p w14:paraId="5B38F2ED">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534CEB61">
      <w:pPr>
        <w:ind w:left="479" w:leftChars="228" w:firstLine="480" w:firstLineChars="200"/>
        <w:rPr>
          <w:rFonts w:asciiTheme="minorEastAsia" w:hAnsiTheme="minorEastAsia" w:eastAsiaTheme="minorEastAsia" w:cstheme="minorEastAsia"/>
          <w:iCs/>
          <w:color w:val="000000" w:themeColor="text1"/>
          <w:sz w:val="24"/>
          <w14:textFill>
            <w14:solidFill>
              <w14:schemeClr w14:val="tx1"/>
            </w14:solidFill>
          </w14:textFill>
        </w:rPr>
      </w:pPr>
      <w:r>
        <w:rPr>
          <w:rFonts w:hint="eastAsia" w:asciiTheme="minorEastAsia" w:hAnsiTheme="minorEastAsia" w:eastAsiaTheme="minorEastAsia" w:cstheme="minorEastAsia"/>
          <w:iCs/>
          <w:color w:val="000000" w:themeColor="text1"/>
          <w:sz w:val="24"/>
          <w14:textFill>
            <w14:solidFill>
              <w14:schemeClr w14:val="tx1"/>
            </w14:solidFill>
          </w14:textFill>
        </w:rPr>
        <w:t>本标准适用于甲醇燃料动力单元组合并机的生产、测试、验收及应用；标准发布后通过多媒体、网络、集中学习、讲座等方式进行宣传。</w:t>
      </w:r>
    </w:p>
    <w:p w14:paraId="2200E17C">
      <w:pPr>
        <w:ind w:firstLine="420" w:firstLineChars="200"/>
        <w:rPr>
          <w:rFonts w:ascii="仿宋" w:hAnsi="仿宋" w:eastAsia="仿宋" w:cs="仿宋"/>
          <w:color w:val="000000" w:themeColor="text1"/>
          <w:szCs w:val="21"/>
          <w14:textFill>
            <w14:solidFill>
              <w14:schemeClr w14:val="tx1"/>
            </w14:solidFill>
          </w14:textFill>
        </w:rPr>
      </w:pPr>
    </w:p>
    <w:p w14:paraId="02B21DFB">
      <w:pPr>
        <w:numPr>
          <w:ilvl w:val="0"/>
          <w:numId w:val="3"/>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660A84DF">
      <w:pPr>
        <w:ind w:left="479" w:leftChars="228" w:firstLine="480" w:firstLineChars="200"/>
        <w:rPr>
          <w:rFonts w:ascii="宋体" w:hAnsi="宋体" w:cs="宋体"/>
          <w:i/>
          <w:iCs/>
          <w:color w:val="000000" w:themeColor="text1"/>
          <w:sz w:val="24"/>
          <w14:textFill>
            <w14:solidFill>
              <w14:schemeClr w14:val="tx1"/>
            </w14:solidFill>
          </w14:textFill>
        </w:rPr>
      </w:pPr>
      <w:r>
        <w:rPr>
          <w:rFonts w:hint="eastAsia" w:ascii="宋体" w:hAnsi="宋体" w:cs="宋体"/>
          <w:iCs/>
          <w:color w:val="000000" w:themeColor="text1"/>
          <w:sz w:val="24"/>
          <w14:textFill>
            <w14:solidFill>
              <w14:schemeClr w14:val="tx1"/>
            </w14:solidFill>
          </w14:textFill>
        </w:rPr>
        <w:t>通过科技成果转化，将该技术应用甲醇燃料动力单元组合并机的生产、测试、验收及应用，能够显著提升甲醇燃料动力单元组合并机的市场竞争能力，推动甲醇燃料动力单元组合并机行业的发展，同时也为企业带来经济收益，促进甲醇燃料动力单元组合并机持续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DC"/>
    <w:rsid w:val="000619BA"/>
    <w:rsid w:val="000F049E"/>
    <w:rsid w:val="00190754"/>
    <w:rsid w:val="0022437B"/>
    <w:rsid w:val="00336130"/>
    <w:rsid w:val="00347D85"/>
    <w:rsid w:val="00382EFC"/>
    <w:rsid w:val="004A308F"/>
    <w:rsid w:val="0051722A"/>
    <w:rsid w:val="00545A07"/>
    <w:rsid w:val="0055083A"/>
    <w:rsid w:val="005E7BED"/>
    <w:rsid w:val="005F0F7F"/>
    <w:rsid w:val="008738C4"/>
    <w:rsid w:val="008B7603"/>
    <w:rsid w:val="009F50B6"/>
    <w:rsid w:val="00B4182F"/>
    <w:rsid w:val="00B54F00"/>
    <w:rsid w:val="00BA653F"/>
    <w:rsid w:val="00BC663F"/>
    <w:rsid w:val="00CD25DC"/>
    <w:rsid w:val="00CE516A"/>
    <w:rsid w:val="00CF7602"/>
    <w:rsid w:val="00D125A5"/>
    <w:rsid w:val="00DD0CDE"/>
    <w:rsid w:val="00F01D7C"/>
    <w:rsid w:val="00FB473A"/>
    <w:rsid w:val="00FC037E"/>
    <w:rsid w:val="00FE73A2"/>
    <w:rsid w:val="139F307A"/>
    <w:rsid w:val="17FE211F"/>
    <w:rsid w:val="42FA07BB"/>
    <w:rsid w:val="4ACB08A9"/>
    <w:rsid w:val="529828DB"/>
    <w:rsid w:val="6FE5413E"/>
    <w:rsid w:val="7F9A0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customStyle="1" w:styleId="8">
    <w:name w:val="封面标准英文名称"/>
    <w:basedOn w:val="1"/>
    <w:qFormat/>
    <w:uiPriority w:val="0"/>
    <w:pPr>
      <w:framePr w:w="9638" w:h="6917" w:hRule="exact" w:wrap="around" w:vAnchor="margin" w:hAnchor="margin" w:xAlign="center" w:y="5955" w:anchorLock="1"/>
      <w:spacing w:before="370" w:line="400" w:lineRule="exact"/>
      <w:jc w:val="center"/>
      <w:textAlignment w:val="center"/>
    </w:pPr>
    <w:rPr>
      <w:rFonts w:ascii="黑体" w:eastAsia="黑体"/>
      <w:kern w:val="0"/>
      <w:sz w:val="28"/>
      <w:szCs w:val="20"/>
    </w:rPr>
  </w:style>
  <w:style w:type="paragraph" w:styleId="9">
    <w:name w:val="List Paragraph"/>
    <w:basedOn w:val="1"/>
    <w:qFormat/>
    <w:uiPriority w:val="99"/>
    <w:pPr>
      <w:ind w:firstLine="420" w:firstLineChars="200"/>
    </w:pPr>
  </w:style>
  <w:style w:type="paragraph" w:customStyle="1" w:styleId="10">
    <w:name w:val="段"/>
    <w:link w:val="11"/>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link w:val="10"/>
    <w:qFormat/>
    <w:uiPriority w:val="0"/>
    <w:rPr>
      <w:rFonts w:ascii="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1428</Words>
  <Characters>1443</Characters>
  <Lines>10</Lines>
  <Paragraphs>2</Paragraphs>
  <TotalTime>27</TotalTime>
  <ScaleCrop>false</ScaleCrop>
  <LinksUpToDate>false</LinksUpToDate>
  <CharactersWithSpaces>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鹏</cp:lastModifiedBy>
  <dcterms:modified xsi:type="dcterms:W3CDTF">2025-04-03T08:35:09Z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879C787BEE394E5AB70667E14FCC9083_13</vt:lpwstr>
  </property>
  <property fmtid="{D5CDD505-2E9C-101B-9397-08002B2CF9AE}" pid="4" name="KSOTemplateDocerSaveRecord">
    <vt:lpwstr>eyJoZGlkIjoiYmUyMTYwYWIxMmJkNWRjMTlhMWEyMWFiMTdkZWViZDMiLCJ1c2VySWQiOiIxNDk4NjM2Nzc4In0=</vt:lpwstr>
  </property>
  <property fmtid="{D5CDD505-2E9C-101B-9397-08002B2CF9AE}" pid="5" name="EagleCloud">
    <vt:lpwstr>61676334b4e8422151e43967553014381f5e06876ebe2bbce66cedec39aecaac7d38f4a188ee032ed1e8ff2b0bf1df31907f94ecccf77031bdf4ba09863f69ff39364240fb3cb2ed3f5b47b5a74b7b515e65cc2f30b197fea376242bc9e4afd4a323fa655093afe78925a010099ebf8b5ab7568f75e0200b1444861e523a173</vt:lpwstr>
  </property>
  <property fmtid="{D5CDD505-2E9C-101B-9397-08002B2CF9AE}" pid="6" name="EagleCloud1">
    <vt:lpwstr>5bdc8e0e016a31042cb2ddf3c3caeda685992afb02382e45ea9b939ad9e87e9b94e8b852de0cc76529a2d040aa3e3a1b7b4e578b60421d5efe180ff6e671130d6152e89c7e88247b9f96ae235b0d0fe4ad6d0c6504fbf436ed2a150575271ed05de19b3533669949cf0d1bcb8078e31b63a3d038dd3ee6b9922373af22ca604</vt:lpwstr>
  </property>
  <property fmtid="{D5CDD505-2E9C-101B-9397-08002B2CF9AE}" pid="7" name="EagleCloud2">
    <vt:lpwstr>a18977f5536fce1fde59fc3b1643184e283f6c4878431f93f91116b2ddba8b712248824964d7e7d6e48b7e1d01b13bf45140802389841d45a344fa989e3e6337ce8af135fb08e2d0d6568ef40404c6c93fdda4d1a9d30bf0dfcc4530f562f59a7fbb16de7a0c78d17e8e2fc3c57e453c154ea9f1df904f3f834f4814748a95c</vt:lpwstr>
  </property>
  <property fmtid="{D5CDD505-2E9C-101B-9397-08002B2CF9AE}" pid="8" name="EagleCloud3">
    <vt:lpwstr>3dbe1cad6f838cbfbc94ab34652cbf417437f7de0dd235c7b7af2d7a1003c0dfc83ea78befb50b07f1387685f1789f39d5274ab8d6063a93b7f640308919694296ecbd8fdfdf46c07e73ea19b219d92c8791602fe4f06ed1f4e3a389775a3e536142ca044583d70e67bc27394008a7dc5d1fd95e4254f45cd2ff242dd99c5a7</vt:lpwstr>
  </property>
  <property fmtid="{D5CDD505-2E9C-101B-9397-08002B2CF9AE}" pid="9" name="EagleCloud4">
    <vt:lpwstr>b1ab69a0c4e3af4acd38d1074f54f69ae03490869d525da7962dc7e5d26a48850a175865054c6ceab1dac468e72b98df4c5724a7a4badc888b25de65a3d64edb66df2e0e3be78fe716ad706fb08828a5b9c18de4e3c55024e61f7daddff34fa048bd8a9ecc8c2320c5ee779e94c9a8dc0dba02b332a44483bed9566d8e9ea48</vt:lpwstr>
  </property>
  <property fmtid="{D5CDD505-2E9C-101B-9397-08002B2CF9AE}" pid="10" name="EagleCloud5">
    <vt:lpwstr>37fc171586bb716334cd9a363f4813df71d15effcb20a988742dcf94db6603a469035ad117363b73615b8af44629bd7d8a1bd</vt:lpwstr>
  </property>
</Properties>
</file>