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7AC87">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4AFEEFDE">
      <w:pPr>
        <w:widowControl/>
        <w:spacing w:after="156" w:afterLines="50"/>
        <w:jc w:val="center"/>
        <w:rPr>
          <w:rFonts w:ascii="黑体" w:hAnsi="黑体" w:eastAsia="黑体" w:cs="黑体"/>
          <w:color w:val="000000" w:themeColor="text1"/>
          <w:sz w:val="30"/>
          <w:szCs w:val="30"/>
          <w14:textFill>
            <w14:solidFill>
              <w14:schemeClr w14:val="tx1"/>
            </w14:solidFill>
          </w14:textFill>
        </w:rPr>
      </w:pPr>
      <w:r>
        <w:rPr>
          <w:rFonts w:hint="eastAsia" w:eastAsia="黑体"/>
          <w:sz w:val="28"/>
          <w:szCs w:val="28"/>
        </w:rPr>
        <w:t>中汽协会《甲醇燃料增程器台架测试规范》团体标准编制说明</w:t>
      </w:r>
    </w:p>
    <w:p w14:paraId="3EDA567A">
      <w:pPr>
        <w:numPr>
          <w:ilvl w:val="0"/>
          <w:numId w:val="1"/>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722D5DDA">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76824492">
      <w:pPr>
        <w:ind w:left="357" w:firstLine="480" w:firstLineChars="200"/>
        <w:rPr>
          <w:rFonts w:ascii="宋体" w:hAnsi="宋体" w:cs="宋体"/>
          <w:sz w:val="24"/>
          <w:shd w:val="clear" w:color="auto" w:fill="FFFFFF"/>
        </w:rPr>
      </w:pPr>
      <w:r>
        <w:rPr>
          <w:rFonts w:hint="eastAsia" w:ascii="宋体" w:hAnsi="宋体" w:cs="宋体"/>
          <w:sz w:val="24"/>
          <w:shd w:val="clear" w:color="auto" w:fill="FFFFFF"/>
        </w:rPr>
        <w:t>随着全球能源结构的调整和对传统化石能源依赖的反思，寻找清洁、高效的替代能源成为重要课题。甲醇作为一种清洁的替代燃料受到关注。在甲醇发电机组技术快速发展的同时，缺乏统一的试验标准来规范和评估其性能、安全性和可靠性。不同厂家生产的甲醇发电机组在性能指标、测试方法等方面存在差异，这给用户选择合适的发电机组以及产品质量监管带来了困难。</w:t>
      </w:r>
    </w:p>
    <w:p w14:paraId="2A072424">
      <w:pPr>
        <w:ind w:left="357" w:firstLine="480" w:firstLineChars="200"/>
        <w:rPr>
          <w:rFonts w:hint="eastAsia" w:ascii="宋体" w:hAnsi="宋体" w:cs="宋体"/>
          <w:sz w:val="24"/>
          <w:shd w:val="clear" w:color="auto" w:fill="FFFFFF"/>
        </w:rPr>
      </w:pPr>
      <w:r>
        <w:rPr>
          <w:rFonts w:hint="eastAsia" w:ascii="宋体" w:hAnsi="宋体" w:cs="宋体"/>
          <w:sz w:val="24"/>
          <w:shd w:val="clear" w:color="auto" w:fill="FFFFFF"/>
        </w:rPr>
        <w:t>中汽协会于2022年7月1日发布团体标准立项通知的函，将《甲醇燃料增程器台架测试规范》列入中国汽车工业协会2022年团体标准研制计划，任务号为2022-52。</w:t>
      </w:r>
      <w:bookmarkStart w:id="0" w:name="_GoBack"/>
      <w:bookmarkEnd w:id="0"/>
    </w:p>
    <w:p w14:paraId="11BDECCD">
      <w:pPr>
        <w:numPr>
          <w:ilvl w:val="0"/>
          <w:numId w:val="2"/>
        </w:num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04B67B8C">
      <w:pPr>
        <w:ind w:left="360"/>
        <w:rPr>
          <w:rFonts w:ascii="Segoe UI" w:hAnsi="Segoe UI" w:cs="Segoe UI"/>
          <w:sz w:val="24"/>
          <w:shd w:val="clear" w:color="auto" w:fill="FFFFFF"/>
        </w:rPr>
      </w:pPr>
      <w:r>
        <w:rPr>
          <w:rFonts w:hint="eastAsia" w:ascii="Segoe UI" w:hAnsi="Segoe UI" w:cs="Segoe UI"/>
          <w:sz w:val="24"/>
          <w:shd w:val="clear" w:color="auto" w:fill="FFFFFF"/>
        </w:rPr>
        <w:t>标准主要由以下单位及人员编制而成</w:t>
      </w:r>
    </w:p>
    <w:p w14:paraId="4445C128">
      <w:pPr>
        <w:ind w:left="360"/>
        <w:rPr>
          <w:rFonts w:ascii="Segoe UI" w:hAnsi="Segoe UI" w:cs="Segoe UI"/>
          <w:sz w:val="24"/>
          <w:shd w:val="clear" w:color="auto" w:fill="FFFFFF"/>
        </w:rPr>
      </w:pPr>
      <w:r>
        <w:rPr>
          <w:rFonts w:hint="eastAsia" w:ascii="Segoe UI" w:hAnsi="Segoe UI" w:cs="Segoe UI"/>
          <w:sz w:val="24"/>
          <w:shd w:val="clear" w:color="auto" w:fill="FFFFFF"/>
        </w:rPr>
        <w:t>浙江绿色智行科创有限公司为标准主承担单位：</w:t>
      </w:r>
    </w:p>
    <w:p w14:paraId="5DB44B60">
      <w:pPr>
        <w:ind w:left="360"/>
        <w:rPr>
          <w:rFonts w:ascii="Segoe UI" w:hAnsi="Segoe UI" w:cs="Segoe UI"/>
          <w:sz w:val="24"/>
          <w:shd w:val="clear" w:color="auto" w:fill="FFFFFF"/>
        </w:rPr>
      </w:pPr>
      <w:r>
        <w:rPr>
          <w:rFonts w:hint="eastAsia" w:ascii="Segoe UI" w:hAnsi="Segoe UI" w:cs="Segoe UI"/>
          <w:sz w:val="24"/>
          <w:shd w:val="clear" w:color="auto" w:fill="FFFFFF"/>
        </w:rPr>
        <w:t>洪安新</w:t>
      </w:r>
    </w:p>
    <w:p w14:paraId="06865979">
      <w:pPr>
        <w:ind w:left="360"/>
        <w:rPr>
          <w:rFonts w:ascii="Segoe UI" w:hAnsi="Segoe UI" w:cs="Segoe UI"/>
          <w:sz w:val="24"/>
          <w:shd w:val="clear" w:color="auto" w:fill="FFFFFF"/>
        </w:rPr>
      </w:pPr>
      <w:r>
        <w:rPr>
          <w:rFonts w:hint="eastAsia" w:ascii="Segoe UI" w:hAnsi="Segoe UI" w:cs="Segoe UI"/>
          <w:sz w:val="24"/>
          <w:shd w:val="clear" w:color="auto" w:fill="FFFFFF"/>
        </w:rPr>
        <w:t>浙江吉利新能源商用车集团有限公司负责相关数据提供：</w:t>
      </w:r>
    </w:p>
    <w:p w14:paraId="7F568C8C">
      <w:pPr>
        <w:ind w:left="360"/>
        <w:rPr>
          <w:rFonts w:ascii="Segoe UI" w:hAnsi="Segoe UI" w:cs="Segoe UI"/>
          <w:sz w:val="24"/>
          <w:shd w:val="clear" w:color="auto" w:fill="FFFFFF"/>
        </w:rPr>
      </w:pPr>
      <w:r>
        <w:rPr>
          <w:rFonts w:hint="eastAsia" w:ascii="Segoe UI" w:hAnsi="Segoe UI" w:cs="Segoe UI"/>
          <w:sz w:val="24"/>
          <w:shd w:val="clear" w:color="auto" w:fill="FFFFFF"/>
        </w:rPr>
        <w:t>马帅营、李密</w:t>
      </w:r>
    </w:p>
    <w:p w14:paraId="51164A16">
      <w:pPr>
        <w:ind w:left="360"/>
        <w:rPr>
          <w:rFonts w:ascii="Segoe UI" w:hAnsi="Segoe UI" w:cs="Segoe UI"/>
          <w:sz w:val="24"/>
          <w:shd w:val="clear" w:color="auto" w:fill="FFFFFF"/>
        </w:rPr>
      </w:pPr>
      <w:r>
        <w:rPr>
          <w:rFonts w:hint="eastAsia" w:ascii="Segoe UI" w:hAnsi="Segoe UI" w:cs="Segoe UI"/>
          <w:sz w:val="24"/>
          <w:shd w:val="clear" w:color="auto" w:fill="FFFFFF"/>
        </w:rPr>
        <w:t>南岳电控（衡阳）工业技术协会股份有限公司负责相关数据提供：</w:t>
      </w:r>
    </w:p>
    <w:p w14:paraId="1BE065D7">
      <w:pPr>
        <w:ind w:left="360"/>
        <w:rPr>
          <w:rFonts w:ascii="Segoe UI" w:hAnsi="Segoe UI" w:cs="Segoe UI"/>
          <w:sz w:val="24"/>
          <w:shd w:val="clear" w:color="auto" w:fill="FFFFFF"/>
        </w:rPr>
      </w:pPr>
      <w:r>
        <w:rPr>
          <w:rFonts w:hint="eastAsia" w:ascii="Segoe UI" w:hAnsi="Segoe UI" w:cs="Segoe UI"/>
          <w:sz w:val="24"/>
          <w:shd w:val="clear" w:color="auto" w:fill="FFFFFF"/>
        </w:rPr>
        <w:t>邓飞</w:t>
      </w:r>
    </w:p>
    <w:p w14:paraId="3E4FB5F9">
      <w:pPr>
        <w:ind w:left="360"/>
        <w:rPr>
          <w:rFonts w:ascii="Segoe UI" w:hAnsi="Segoe UI" w:cs="Segoe UI"/>
          <w:sz w:val="24"/>
          <w:shd w:val="clear" w:color="auto" w:fill="FFFFFF"/>
        </w:rPr>
      </w:pPr>
      <w:r>
        <w:rPr>
          <w:rFonts w:hint="eastAsia" w:ascii="Segoe UI" w:hAnsi="Segoe UI" w:cs="Segoe UI"/>
          <w:sz w:val="24"/>
          <w:shd w:val="clear" w:color="auto" w:fill="FFFFFF"/>
        </w:rPr>
        <w:t>华夏龙晖（北京）汽车电子科技股份有限公司负责相关数据提供：</w:t>
      </w:r>
    </w:p>
    <w:p w14:paraId="7B93AD63">
      <w:pPr>
        <w:ind w:left="360"/>
        <w:rPr>
          <w:rFonts w:ascii="Segoe UI" w:hAnsi="Segoe UI" w:cs="Segoe UI"/>
          <w:sz w:val="24"/>
          <w:shd w:val="clear" w:color="auto" w:fill="FFFFFF"/>
        </w:rPr>
      </w:pPr>
      <w:r>
        <w:rPr>
          <w:rFonts w:hint="eastAsia" w:ascii="Segoe UI" w:hAnsi="Segoe UI" w:cs="Segoe UI"/>
          <w:sz w:val="24"/>
          <w:shd w:val="clear" w:color="auto" w:fill="FFFFFF"/>
        </w:rPr>
        <w:t>高志远、罗会标</w:t>
      </w:r>
    </w:p>
    <w:p w14:paraId="4E521BF2">
      <w:pPr>
        <w:ind w:left="360"/>
        <w:rPr>
          <w:rFonts w:ascii="Segoe UI" w:hAnsi="Segoe UI" w:cs="Segoe UI"/>
          <w:sz w:val="24"/>
          <w:shd w:val="clear" w:color="auto" w:fill="FFFFFF"/>
        </w:rPr>
      </w:pPr>
      <w:r>
        <w:rPr>
          <w:rFonts w:hint="eastAsia" w:ascii="Segoe UI" w:hAnsi="Segoe UI" w:cs="Segoe UI"/>
          <w:sz w:val="24"/>
          <w:shd w:val="clear" w:color="auto" w:fill="FFFFFF"/>
        </w:rPr>
        <w:t>辽宁三特石油化工有限公司负责相关数据提供：</w:t>
      </w:r>
    </w:p>
    <w:p w14:paraId="04E7884F">
      <w:pPr>
        <w:ind w:left="360"/>
        <w:rPr>
          <w:rFonts w:ascii="仿宋" w:hAnsi="仿宋" w:eastAsia="仿宋" w:cs="仿宋"/>
          <w:sz w:val="24"/>
        </w:rPr>
      </w:pPr>
      <w:r>
        <w:rPr>
          <w:rFonts w:hint="eastAsia" w:ascii="Segoe UI" w:hAnsi="Segoe UI" w:cs="Segoe UI"/>
          <w:sz w:val="24"/>
          <w:shd w:val="clear" w:color="auto" w:fill="FFFFFF"/>
        </w:rPr>
        <w:t>刘辉</w:t>
      </w:r>
    </w:p>
    <w:p w14:paraId="680C6BB8">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1FC93771">
      <w:pPr>
        <w:ind w:left="357" w:firstLine="480" w:firstLineChars="200"/>
        <w:rPr>
          <w:rFonts w:ascii="仿宋" w:hAnsi="仿宋" w:eastAsia="仿宋" w:cs="仿宋"/>
          <w:color w:val="000000" w:themeColor="text1"/>
          <w:sz w:val="24"/>
          <w14:textFill>
            <w14:solidFill>
              <w14:schemeClr w14:val="tx1"/>
            </w14:solidFill>
          </w14:textFill>
        </w:rPr>
      </w:pPr>
      <w:r>
        <w:rPr>
          <w:rFonts w:ascii="Segoe UI" w:hAnsi="Segoe UI" w:cs="Segoe UI"/>
          <w:sz w:val="24"/>
          <w:shd w:val="clear" w:color="auto" w:fill="FFFFFF"/>
        </w:rPr>
        <w:t>甲醇发电机组生产企业在标准研讨中发挥着重要作用。企业在生产过程中积累了大量的实践经验和测试数据，这些数据对于制定科学合理的试验标准具有重要的参考价值。</w:t>
      </w:r>
      <w:r>
        <w:rPr>
          <w:rFonts w:hint="eastAsia" w:ascii="Segoe UI" w:hAnsi="Segoe UI" w:cs="Segoe UI"/>
          <w:sz w:val="24"/>
          <w:shd w:val="clear" w:color="auto" w:fill="FFFFFF"/>
        </w:rPr>
        <w:t>各</w:t>
      </w:r>
      <w:r>
        <w:rPr>
          <w:rFonts w:ascii="Segoe UI" w:hAnsi="Segoe UI" w:cs="Segoe UI"/>
          <w:sz w:val="24"/>
          <w:shd w:val="clear" w:color="auto" w:fill="FFFFFF"/>
        </w:rPr>
        <w:t>公司在开展甲醇发电机组的研发和生产过程中，通过对发动机的性能摸底和可靠性验证，为标准的制定提供了实际的技术参数和性能指标</w:t>
      </w:r>
      <w:r>
        <w:rPr>
          <w:rFonts w:hint="eastAsia" w:ascii="Segoe UI" w:hAnsi="Segoe UI" w:cs="Segoe UI"/>
          <w:sz w:val="24"/>
          <w:shd w:val="clear" w:color="auto" w:fill="FFFFFF"/>
        </w:rPr>
        <w:t>。</w:t>
      </w:r>
    </w:p>
    <w:p w14:paraId="49AD516C">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1B96B8A3">
      <w:pPr>
        <w:ind w:left="239" w:leftChars="114" w:firstLine="480" w:firstLineChars="200"/>
        <w:rPr>
          <w:rFonts w:ascii="Segoe UI" w:hAnsi="Segoe UI" w:cs="Segoe UI"/>
          <w:sz w:val="24"/>
          <w:shd w:val="clear" w:color="auto" w:fill="FFFFFF"/>
        </w:rPr>
      </w:pPr>
      <w:r>
        <w:rPr>
          <w:rFonts w:ascii="Segoe UI" w:hAnsi="Segoe UI" w:cs="Segoe UI"/>
          <w:sz w:val="24"/>
          <w:shd w:val="clear" w:color="auto" w:fill="FFFFFF"/>
        </w:rPr>
        <w:t>标准编制基于坚实的科学理论，包括化学、物理学、机械工程学等多个学科领域</w:t>
      </w:r>
      <w:r>
        <w:rPr>
          <w:rFonts w:hint="eastAsia" w:ascii="Segoe UI" w:hAnsi="Segoe UI" w:cs="Segoe UI"/>
          <w:sz w:val="24"/>
          <w:shd w:val="clear" w:color="auto" w:fill="FFFFFF"/>
        </w:rPr>
        <w:t>，通过</w:t>
      </w:r>
      <w:r>
        <w:rPr>
          <w:rFonts w:ascii="Segoe UI" w:hAnsi="Segoe UI" w:cs="Segoe UI"/>
          <w:sz w:val="24"/>
          <w:shd w:val="clear" w:color="auto" w:fill="FFFFFF"/>
        </w:rPr>
        <w:t>大量的实验数据来验证标准中的各项指标和要求。在实验室和实际工况下对甲醇发电机组进行性能测试、耐久性测试、排放测试等，获取准确的数据，以确保标准的科学性</w:t>
      </w:r>
      <w:r>
        <w:rPr>
          <w:rFonts w:hint="eastAsia" w:ascii="Segoe UI" w:hAnsi="Segoe UI" w:cs="Segoe UI"/>
          <w:sz w:val="24"/>
          <w:shd w:val="clear" w:color="auto" w:fill="FFFFFF"/>
        </w:rPr>
        <w:t>。</w:t>
      </w:r>
    </w:p>
    <w:p w14:paraId="711F40B7">
      <w:pPr>
        <w:ind w:left="239" w:leftChars="114" w:firstLine="480" w:firstLineChars="200"/>
        <w:rPr>
          <w:rFonts w:ascii="Segoe UI" w:hAnsi="Segoe UI" w:cs="Segoe UI"/>
          <w:sz w:val="24"/>
          <w:shd w:val="clear" w:color="auto" w:fill="FFFFFF"/>
        </w:rPr>
      </w:pPr>
      <w:r>
        <w:rPr>
          <w:rFonts w:hint="eastAsia" w:ascii="Segoe UI" w:hAnsi="Segoe UI" w:cs="Segoe UI"/>
          <w:sz w:val="24"/>
          <w:shd w:val="clear" w:color="auto" w:fill="FFFFFF"/>
        </w:rPr>
        <w:t>本标准中明确的甲醇发动机试验的边界条件，并要求在试验过程中需使用符合国家标准的甲醇燃料以及甲醇添加剂，并对甲醇专用机油指标进行要求。</w:t>
      </w:r>
    </w:p>
    <w:p w14:paraId="758FA916">
      <w:pPr>
        <w:ind w:left="239" w:leftChars="114" w:firstLine="480" w:firstLineChars="200"/>
        <w:rPr>
          <w:rFonts w:ascii="Segoe UI" w:hAnsi="Segoe UI" w:cs="Segoe UI"/>
          <w:sz w:val="24"/>
          <w:shd w:val="clear" w:color="auto" w:fill="FFFFFF"/>
        </w:rPr>
      </w:pPr>
      <w:r>
        <w:rPr>
          <w:rFonts w:hint="eastAsia" w:ascii="Segoe UI" w:hAnsi="Segoe UI" w:cs="Segoe UI"/>
          <w:sz w:val="24"/>
          <w:shd w:val="clear" w:color="auto" w:fill="FFFFFF"/>
        </w:rPr>
        <w:t>并且首次明确了甲醇增程器需要进行的试验项目、试验条件以及各个试验项目的试验方法、每项试验的测量项目，而不只是对发动机或者发电机的要求。</w:t>
      </w:r>
    </w:p>
    <w:p w14:paraId="698BD369">
      <w:pPr>
        <w:ind w:firstLine="720" w:firstLineChars="300"/>
        <w:rPr>
          <w:rFonts w:ascii="Segoe UI" w:hAnsi="Segoe UI" w:cs="Segoe UI"/>
          <w:sz w:val="24"/>
          <w:shd w:val="clear" w:color="auto" w:fill="FFFFFF"/>
        </w:rPr>
      </w:pPr>
      <w:r>
        <w:rPr>
          <w:rFonts w:hint="eastAsia" w:ascii="Segoe UI" w:hAnsi="Segoe UI" w:cs="Segoe UI"/>
          <w:sz w:val="24"/>
          <w:shd w:val="clear" w:color="auto" w:fill="FFFFFF"/>
        </w:rPr>
        <w:t>也体现了不同排量的甲醇增程器的要求，使标准的覆盖面更广，也更能推   动甲醇行业的发展。</w:t>
      </w:r>
    </w:p>
    <w:p w14:paraId="2A52D7C5">
      <w:pPr>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sz w:val="24"/>
        </w:rPr>
        <w:t>三、采用国际标准和国外先进标准情况</w:t>
      </w:r>
      <w:r>
        <w:rPr>
          <w:rFonts w:hint="eastAsia" w:ascii="黑体" w:hAnsi="黑体" w:eastAsia="黑体" w:cs="黑体"/>
          <w:color w:val="000000" w:themeColor="text1"/>
          <w:sz w:val="24"/>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 xml:space="preserve"> </w:t>
      </w:r>
    </w:p>
    <w:p w14:paraId="185BB038">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本标准未采用国际和国外标准，不涉及国际国外标准采标情况</w:t>
      </w:r>
    </w:p>
    <w:p w14:paraId="588CAE54">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50558C1C">
      <w:pPr>
        <w:pStyle w:val="9"/>
        <w:numPr>
          <w:ilvl w:val="0"/>
          <w:numId w:val="3"/>
        </w:numPr>
        <w:ind w:firstLineChars="0"/>
        <w:rPr>
          <w:sz w:val="24"/>
        </w:rPr>
      </w:pPr>
      <w:r>
        <w:rPr>
          <w:rFonts w:hint="eastAsia"/>
          <w:sz w:val="24"/>
        </w:rPr>
        <w:t>对甲醇燃料中增加添加剂事宜进行明确，经过验证未使用添加剂的甲醇燃料使发动机的磨损和积碳较严重。</w:t>
      </w:r>
    </w:p>
    <w:p w14:paraId="48DF122D">
      <w:pPr>
        <w:pStyle w:val="9"/>
        <w:ind w:left="1320" w:firstLine="0" w:firstLineChars="0"/>
        <w:rPr>
          <w:color w:val="FF0000"/>
        </w:rPr>
      </w:pPr>
      <w:r>
        <w:rPr>
          <w:color w:val="FF0000"/>
        </w:rPr>
        <w:drawing>
          <wp:inline distT="0" distB="0" distL="0" distR="0">
            <wp:extent cx="160020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00282" cy="1238314"/>
                    </a:xfrm>
                    <a:prstGeom prst="rect">
                      <a:avLst/>
                    </a:prstGeom>
                  </pic:spPr>
                </pic:pic>
              </a:graphicData>
            </a:graphic>
          </wp:inline>
        </w:drawing>
      </w:r>
      <w:r>
        <w:rPr>
          <w:rFonts w:hint="eastAsia"/>
          <w:color w:val="FF0000"/>
        </w:rPr>
        <w:t xml:space="preserve"> </w:t>
      </w:r>
      <w:r>
        <w:rPr>
          <w:color w:val="FF0000"/>
        </w:rPr>
        <w:t xml:space="preserve">  </w:t>
      </w:r>
      <w:r>
        <w:rPr>
          <w:color w:val="FF0000"/>
        </w:rPr>
        <w:drawing>
          <wp:inline distT="0" distB="0" distL="0" distR="0">
            <wp:extent cx="1600200" cy="128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00282" cy="1282766"/>
                    </a:xfrm>
                    <a:prstGeom prst="rect">
                      <a:avLst/>
                    </a:prstGeom>
                  </pic:spPr>
                </pic:pic>
              </a:graphicData>
            </a:graphic>
          </wp:inline>
        </w:drawing>
      </w:r>
    </w:p>
    <w:p w14:paraId="4B583823">
      <w:pPr>
        <w:pStyle w:val="9"/>
        <w:ind w:left="1320" w:firstLine="0" w:firstLineChars="0"/>
        <w:rPr>
          <w:sz w:val="24"/>
        </w:rPr>
      </w:pPr>
      <w:r>
        <w:rPr>
          <w:rFonts w:hint="eastAsia"/>
          <w:sz w:val="24"/>
        </w:rPr>
        <w:t>使用甲醇添加剂后，磨损和积碳有明显的优化。</w:t>
      </w:r>
    </w:p>
    <w:p w14:paraId="3BD2EFD8">
      <w:pPr>
        <w:pStyle w:val="9"/>
        <w:ind w:left="1320" w:firstLine="0" w:firstLineChars="0"/>
        <w:rPr>
          <w:rFonts w:ascii="宋体" w:hAnsi="宋体" w:cs="瀹嬩綋"/>
          <w:color w:val="FF0000"/>
          <w:kern w:val="0"/>
          <w:sz w:val="24"/>
          <w:szCs w:val="21"/>
        </w:rPr>
      </w:pPr>
      <w:r>
        <w:rPr>
          <w:color w:val="FF0000"/>
        </w:rPr>
        <w:drawing>
          <wp:inline distT="0" distB="0" distL="0" distR="0">
            <wp:extent cx="1568450" cy="12890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568531" cy="1289116"/>
                    </a:xfrm>
                    <a:prstGeom prst="rect">
                      <a:avLst/>
                    </a:prstGeom>
                  </pic:spPr>
                </pic:pic>
              </a:graphicData>
            </a:graphic>
          </wp:inline>
        </w:drawing>
      </w:r>
      <w:r>
        <w:rPr>
          <w:rFonts w:hint="eastAsia" w:ascii="宋体" w:hAnsi="宋体" w:cs="瀹嬩綋"/>
          <w:color w:val="FF0000"/>
          <w:kern w:val="0"/>
          <w:sz w:val="24"/>
          <w:szCs w:val="21"/>
        </w:rPr>
        <w:t xml:space="preserve"> </w:t>
      </w:r>
      <w:r>
        <w:rPr>
          <w:rFonts w:ascii="宋体" w:hAnsi="宋体" w:cs="瀹嬩綋"/>
          <w:color w:val="FF0000"/>
          <w:kern w:val="0"/>
          <w:sz w:val="24"/>
          <w:szCs w:val="21"/>
        </w:rPr>
        <w:t xml:space="preserve">   </w:t>
      </w:r>
      <w:r>
        <w:rPr>
          <w:color w:val="FF0000"/>
        </w:rPr>
        <w:drawing>
          <wp:inline distT="0" distB="0" distL="0" distR="0">
            <wp:extent cx="1593850" cy="12890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593932" cy="1289116"/>
                    </a:xfrm>
                    <a:prstGeom prst="rect">
                      <a:avLst/>
                    </a:prstGeom>
                  </pic:spPr>
                </pic:pic>
              </a:graphicData>
            </a:graphic>
          </wp:inline>
        </w:drawing>
      </w:r>
    </w:p>
    <w:p w14:paraId="6054EB85">
      <w:pPr>
        <w:pStyle w:val="9"/>
        <w:numPr>
          <w:ilvl w:val="0"/>
          <w:numId w:val="3"/>
        </w:numPr>
        <w:ind w:firstLineChars="0"/>
        <w:rPr>
          <w:rFonts w:ascii="宋体" w:hAnsi="宋体" w:cs="宋体"/>
          <w:sz w:val="24"/>
        </w:rPr>
      </w:pPr>
      <w:r>
        <w:rPr>
          <w:rFonts w:hint="eastAsia" w:ascii="宋体" w:hAnsi="宋体" w:cs="宋体"/>
          <w:sz w:val="24"/>
        </w:rPr>
        <w:t>甲醇供给系统中管路材质应耐甲醇腐蚀（建议使用氟橡胶、不锈钢管）。在试验过程中普通油管材质不耐甲醇腐蚀，会析出絮状物，堵塞喷油器及油管。</w:t>
      </w:r>
    </w:p>
    <w:p w14:paraId="7606E735">
      <w:pPr>
        <w:pStyle w:val="9"/>
        <w:numPr>
          <w:ilvl w:val="0"/>
          <w:numId w:val="3"/>
        </w:numPr>
        <w:ind w:firstLineChars="0"/>
        <w:rPr>
          <w:rFonts w:ascii="宋体" w:hAnsi="宋体" w:cs="宋体"/>
          <w:sz w:val="24"/>
        </w:rPr>
      </w:pPr>
      <w:r>
        <w:rPr>
          <w:rFonts w:hint="eastAsia" w:ascii="宋体" w:hAnsi="宋体" w:cs="宋体"/>
          <w:sz w:val="24"/>
        </w:rPr>
        <w:t>对气道喷射甲醇增程器，允许使用汽油进行冷机启动，受甲醇燃料特性的限制，低温时挥发性变差，影响冷启动，所以对气道喷射型甲醇发动机，允许其使用汽油进行辅助冷启动。</w:t>
      </w:r>
    </w:p>
    <w:p w14:paraId="393325F3">
      <w:pPr>
        <w:pStyle w:val="9"/>
        <w:numPr>
          <w:ilvl w:val="0"/>
          <w:numId w:val="3"/>
        </w:numPr>
        <w:ind w:firstLineChars="0"/>
        <w:rPr>
          <w:rFonts w:ascii="宋体" w:hAnsi="宋体" w:cs="宋体"/>
          <w:sz w:val="24"/>
        </w:rPr>
      </w:pPr>
      <w:r>
        <w:rPr>
          <w:rFonts w:hint="eastAsia" w:ascii="宋体" w:hAnsi="宋体" w:cs="宋体"/>
          <w:sz w:val="24"/>
        </w:rPr>
        <w:t>参考4M18C发动机甲醇发动机润滑油指标制定高速机润滑油性能指标。</w:t>
      </w:r>
    </w:p>
    <w:p w14:paraId="0169B39B">
      <w:pPr>
        <w:ind w:firstLine="480" w:firstLineChars="200"/>
        <w:rPr>
          <w:rFonts w:ascii="仿宋" w:hAnsi="仿宋" w:eastAsia="仿宋" w:cs="仿宋"/>
          <w:i/>
          <w:iCs/>
          <w:color w:val="000000" w:themeColor="text1"/>
          <w:szCs w:val="21"/>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05E32ADA">
      <w:pPr>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iCs/>
          <w:sz w:val="24"/>
        </w:rPr>
        <w:t>本标准符合现行法律、法规、政策及相关强制性标准要求。</w:t>
      </w:r>
    </w:p>
    <w:p w14:paraId="34FAB527">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76F87517">
      <w:pPr>
        <w:ind w:left="479" w:leftChars="228"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开展内部培训课程：根据标准的内容和员工的岗位需求，设计有针对性的培训课程。对于技术标准，可以邀请内部专家或外部顾问进行详细讲解，包括标准的理论知识和实际操作技巧。</w:t>
      </w:r>
    </w:p>
    <w:p w14:paraId="4279A885">
      <w:pPr>
        <w:ind w:left="479" w:leftChars="228"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提供学习资料：除了培训课程外，还可以为员工提供标准文本、解释指南、案例分析等学习资料。鼓励进行学习交流，分享贯彻标准的经验和心得。</w:t>
      </w:r>
    </w:p>
    <w:p w14:paraId="2BC1C0DD">
      <w:pPr>
        <w:numPr>
          <w:ilvl w:val="0"/>
          <w:numId w:val="4"/>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5FD2A1A3">
      <w:pPr>
        <w:ind w:firstLine="960" w:firstLineChars="400"/>
        <w:rPr>
          <w:sz w:val="24"/>
        </w:rPr>
      </w:pPr>
      <w:r>
        <w:rPr>
          <w:rFonts w:hint="eastAsia"/>
          <w:sz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瀹嬩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abstractNum w:abstractNumId="3">
    <w:nsid w:val="056777DC"/>
    <w:multiLevelType w:val="multilevel"/>
    <w:tmpl w:val="056777DC"/>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FE"/>
    <w:rsid w:val="00080F9E"/>
    <w:rsid w:val="00094AA7"/>
    <w:rsid w:val="000C1D1F"/>
    <w:rsid w:val="000D42B9"/>
    <w:rsid w:val="00111E3B"/>
    <w:rsid w:val="001126D9"/>
    <w:rsid w:val="00151A87"/>
    <w:rsid w:val="001674BC"/>
    <w:rsid w:val="001F2D2E"/>
    <w:rsid w:val="00272032"/>
    <w:rsid w:val="003466C2"/>
    <w:rsid w:val="00374E28"/>
    <w:rsid w:val="003F479A"/>
    <w:rsid w:val="00425E72"/>
    <w:rsid w:val="0043387F"/>
    <w:rsid w:val="004B1C46"/>
    <w:rsid w:val="004D0BE3"/>
    <w:rsid w:val="004D74FA"/>
    <w:rsid w:val="0054747C"/>
    <w:rsid w:val="005A76D2"/>
    <w:rsid w:val="0074579B"/>
    <w:rsid w:val="00763795"/>
    <w:rsid w:val="007F6EB4"/>
    <w:rsid w:val="008334CD"/>
    <w:rsid w:val="00993591"/>
    <w:rsid w:val="00C04D04"/>
    <w:rsid w:val="00C30682"/>
    <w:rsid w:val="00DF4DE0"/>
    <w:rsid w:val="00E30E97"/>
    <w:rsid w:val="00E82A73"/>
    <w:rsid w:val="00E85259"/>
    <w:rsid w:val="00E96564"/>
    <w:rsid w:val="00EA0A8C"/>
    <w:rsid w:val="00EC0C8A"/>
    <w:rsid w:val="00F0624D"/>
    <w:rsid w:val="00F136FE"/>
    <w:rsid w:val="00F837BC"/>
    <w:rsid w:val="00F96B6B"/>
    <w:rsid w:val="17FE211F"/>
    <w:rsid w:val="1DC4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1409</Words>
  <Characters>1425</Characters>
  <Lines>10</Lines>
  <Paragraphs>2</Paragraphs>
  <TotalTime>60</TotalTime>
  <ScaleCrop>false</ScaleCrop>
  <LinksUpToDate>false</LinksUpToDate>
  <CharactersWithSpaces>1438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鹏</cp:lastModifiedBy>
  <dcterms:modified xsi:type="dcterms:W3CDTF">2025-04-07T05:56:40Z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agleCloud">
    <vt:lpwstr>{"watermark_type":"track","current_time":"2024-10-22 14:01:01","employee_id":"emp_f1bad0a6-751d-4353-9f30-61ca41307e1a","agent_id":"f787ad44bc1bfd2fc4e6e6c2a5d44439db9731d1c66e157ff0cea988703bba73","process":"WXWork.exe","custom_content":"控股租户","total_con</vt:lpwstr>
  </property>
  <property fmtid="{D5CDD505-2E9C-101B-9397-08002B2CF9AE}" pid="4" name="KSOTemplateDocerSaveRecord">
    <vt:lpwstr>eyJoZGlkIjoiYmUyMTYwYWIxMmJkNWRjMTlhMWEyMWFiMTdkZWViZDMiLCJ1c2VySWQiOiIxNDk4NjM2Nzc4In0=</vt:lpwstr>
  </property>
  <property fmtid="{D5CDD505-2E9C-101B-9397-08002B2CF9AE}" pid="5" name="ICV">
    <vt:lpwstr>270F9D670D41476DA9730ACA2A39A96B_12</vt:lpwstr>
  </property>
</Properties>
</file>