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99489">
      <w:pPr>
        <w:widowControl/>
        <w:jc w:val="center"/>
        <w:rPr>
          <w:rFonts w:eastAsia="黑体"/>
          <w:sz w:val="32"/>
          <w:szCs w:val="32"/>
        </w:rPr>
      </w:pPr>
      <w:r>
        <w:rPr>
          <w:rFonts w:hint="eastAsia" w:eastAsia="黑体"/>
          <w:sz w:val="32"/>
          <w:szCs w:val="32"/>
        </w:rPr>
        <w:t>《电动汽车用碳化硅场效应晶体管可靠性要求及试验方法》</w:t>
      </w:r>
    </w:p>
    <w:p w14:paraId="6EC2274C">
      <w:pPr>
        <w:widowControl/>
        <w:jc w:val="center"/>
        <w:rPr>
          <w:rFonts w:hint="eastAsia" w:eastAsia="黑体"/>
          <w:sz w:val="32"/>
          <w:szCs w:val="32"/>
        </w:rPr>
      </w:pPr>
      <w:r>
        <w:rPr>
          <w:rFonts w:hint="eastAsia" w:eastAsia="黑体"/>
          <w:sz w:val="32"/>
          <w:szCs w:val="32"/>
        </w:rPr>
        <w:t>团体标准编制说明</w:t>
      </w:r>
    </w:p>
    <w:p w14:paraId="76877BF9">
      <w:pPr>
        <w:widowControl/>
        <w:jc w:val="center"/>
        <w:rPr>
          <w:rFonts w:hint="eastAsia" w:eastAsia="黑体"/>
          <w:sz w:val="22"/>
          <w:szCs w:val="22"/>
        </w:rPr>
      </w:pPr>
    </w:p>
    <w:p w14:paraId="67F3817F">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64751B29">
      <w:pPr>
        <w:numPr>
          <w:ilvl w:val="0"/>
          <w:numId w:val="2"/>
        </w:numPr>
        <w:spacing w:line="360" w:lineRule="auto"/>
        <w:ind w:left="0"/>
        <w:outlineLvl w:val="1"/>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任务</w:t>
      </w:r>
      <w:r>
        <w:rPr>
          <w:rFonts w:hint="eastAsia" w:ascii="黑体" w:hAnsi="黑体" w:eastAsia="黑体" w:cs="仿宋"/>
          <w:color w:val="000000" w:themeColor="text1"/>
          <w:sz w:val="24"/>
          <w:lang w:val="en-US" w:eastAsia="zh-CN"/>
          <w14:textFill>
            <w14:solidFill>
              <w14:schemeClr w14:val="tx1"/>
            </w14:solidFill>
          </w14:textFill>
        </w:rPr>
        <w:t>背景及</w:t>
      </w:r>
      <w:r>
        <w:rPr>
          <w:rFonts w:hint="eastAsia" w:ascii="黑体" w:hAnsi="黑体" w:eastAsia="黑体" w:cs="仿宋"/>
          <w:color w:val="000000" w:themeColor="text1"/>
          <w:sz w:val="24"/>
          <w14:textFill>
            <w14:solidFill>
              <w14:schemeClr w14:val="tx1"/>
            </w14:solidFill>
          </w14:textFill>
        </w:rPr>
        <w:t>来源</w:t>
      </w:r>
    </w:p>
    <w:p w14:paraId="4580A3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1 任务来源</w:t>
      </w:r>
    </w:p>
    <w:p w14:paraId="55C27C4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着新能源汽车产业的快速发展，碳化硅（SiC）等宽禁带半导体器件因其高效能、耐高温等优势，逐渐成为电动汽车电驱动系统的核心组件。然而，传统硅基器件的可靠性测试标准已无法满足SiC器件的特殊性能要求，亟需针对性的测试规范。因此，本项目制定碳化硅场效应晶体管可靠性要求及试验方法，以填补行业空白。</w:t>
      </w:r>
    </w:p>
    <w:p w14:paraId="0915653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《电动汽车用碳化硅场效应晶体管可靠性要求及试验方法》团体标准是由中国汽车工业协会标准法规工作委员会批准立项，文件号为：中汽协函字【2024】335号，计划号为2024-046。</w:t>
      </w:r>
    </w:p>
    <w:p w14:paraId="279C27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2 编制背景与目标</w:t>
      </w:r>
    </w:p>
    <w:p w14:paraId="1C23850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着我国新能源汽车渗透率逐年上升，电动化、网联V2X、智能驾驶等技术的快速发展，电子电气系统架构更加复杂，对功率器件芯片提出了更高的要求。因碳化硅（SiC）功率芯片在各项性能表现上有着独特的优越性，应用前景广泛。但在此领域的技术发展和国家标准制定相对滞后，汽车用碳化硅功率芯片技术要求及试验方法没有对应的标准。为此，制定《电动汽车用SiC MOSFET功率芯片技术要求及试验方法》标准，具有深远的意义和目的，主要体现在以下几个方面：</w:t>
      </w:r>
    </w:p>
    <w:p w14:paraId="0F80F677">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提升汽车芯片性能：通过制定碳化硅功率芯片的技术要求，可以明确芯片的性能指标和评估方法，推动芯片制造商不断提高产品的性能水平，从而满足汽车行业日益增长的性能需求。</w:t>
      </w:r>
    </w:p>
    <w:p w14:paraId="3AA6C4BA">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确保行车安全：碳化硅功率芯片在汽车电子控制系统中扮演着关键角色，其质量和可靠性直接影响到汽车的行驶安全和稳定性。制定相关试验方法，可以确保芯片在各种恶劣条件下的稳定性和可靠性，从而降低因芯片故障而引发的安全事故风险。</w:t>
      </w:r>
    </w:p>
    <w:p w14:paraId="22A25D23">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促进碳化硅材料应用：碳化硅作为一种高性能、高可靠性的半导体材料，在功率芯片领域具有广阔的应用前景。制定相关技术要求和试验方法，有助于推动碳化硅材料在汽车行业的应用，促进材料科学的发展和创新。</w:t>
      </w:r>
    </w:p>
    <w:p w14:paraId="718B842E">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规范芯片试验流程：通过制定标准化的试验方法，可以规范芯片的测试和评估流程，确保试验结果的准确性和可靠性。这有助于减少不同厂商之间的测试差异，提高行业的整体技术水平。</w:t>
      </w:r>
    </w:p>
    <w:p w14:paraId="67E8D549">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促进汽车芯片行业标准化：标准化是推动行业健康发展的关键因素之一。制定《汽车用碳化硅功率芯片技术要求及试验方法》标准，可以促进汽车芯片行业的标准化进程，提高行业的整体竞争力和市场规范度。</w:t>
      </w:r>
    </w:p>
    <w:p w14:paraId="24BDF2DA">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降低制造成本：通过制定统一的技术要求和试验方法，可以促进芯片制造商之间的合作和技术交流，推动产业链的优化和协同发展。这有助于降低制造成本，提高产品的性价比，为消费者提供更优质的汽车产品。</w:t>
      </w:r>
    </w:p>
    <w:p w14:paraId="7F4D0E42">
      <w:pPr>
        <w:pStyle w:val="13"/>
        <w:numPr>
          <w:ilvl w:val="0"/>
          <w:numId w:val="3"/>
        </w:numPr>
        <w:spacing w:line="360" w:lineRule="auto"/>
        <w:ind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升国内芯片产业竞争力：通过制定《汽车用碳化硅功率芯片技术要求及试验方法》标准，可以推动我国芯片产业的技术进步和自主创新，提高国内芯片产业的竞争力和市场份额。这有助于实现我国汽车产业的自主可控和可持续发展。</w:t>
      </w:r>
    </w:p>
    <w:p w14:paraId="3A289D39">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textAlignment w:val="auto"/>
        <w:outlineLvl w:val="1"/>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主要起草单位及任务分工</w:t>
      </w:r>
    </w:p>
    <w:p w14:paraId="604617F5">
      <w:pPr>
        <w:spacing w:line="360" w:lineRule="auto"/>
        <w:ind w:firstLine="480" w:firstLineChars="200"/>
        <w:rPr>
          <w:rFonts w:hint="eastAsia" w:ascii="仿宋" w:hAnsi="仿宋" w:eastAsia="仿宋"/>
          <w:sz w:val="24"/>
        </w:rPr>
      </w:pPr>
      <w:r>
        <w:rPr>
          <w:rFonts w:hint="eastAsia" w:ascii="仿宋" w:hAnsi="仿宋" w:eastAsia="仿宋" w:cs="宋体"/>
          <w:sz w:val="24"/>
        </w:rPr>
        <w:t>标准立项后，艾创微联合整车企业、零部件企业、芯片企业、检测公司、测试设备公司、高校等共同制定和完善标准草案。参编单位有：合肥艾创微电子科技有限公司、国家新能源汽车技术创新中心、广电计量检测集团股份有限公司、北汽福田汽车股份有限公司、博世华域转向系统有限公司、北汽福田汽车股份有限公司、辽宁工业大学、北京国联万众半导体科技有限公司、中汽创智科技有限公司、中国汽车工程研究院股份有限公司、中国电子科技集团公司第五十五研究所、重庆长安汽车股份有限公司、北京东土科技股份有限公司、北京微电子技术研究所、北京车和家汽车科技有限公司、上海机动车检测认证技术研究中心有限公司、上海贝岭股份有限公司、</w:t>
      </w:r>
      <w:r>
        <w:rPr>
          <w:rFonts w:hint="eastAsia" w:ascii="仿宋" w:hAnsi="仿宋" w:eastAsia="仿宋"/>
          <w:sz w:val="24"/>
        </w:rPr>
        <w:t>飞锃半导体有限公司、上海积塔半导体有限公司等。</w:t>
      </w:r>
    </w:p>
    <w:p w14:paraId="1E1DA66E">
      <w:pPr>
        <w:spacing w:line="360" w:lineRule="auto"/>
        <w:ind w:firstLine="480" w:firstLineChars="200"/>
        <w:rPr>
          <w:rFonts w:hint="eastAsia" w:ascii="仿宋" w:hAnsi="仿宋" w:eastAsia="仿宋"/>
          <w:sz w:val="24"/>
        </w:rPr>
      </w:pPr>
      <w:r>
        <w:rPr>
          <w:rFonts w:hint="eastAsia" w:ascii="仿宋" w:hAnsi="仿宋" w:eastAsia="仿宋"/>
          <w:sz w:val="24"/>
        </w:rPr>
        <w:t>其中，牵头单位的主要工作内容：</w:t>
      </w:r>
    </w:p>
    <w:p w14:paraId="6163ECA9">
      <w:pPr>
        <w:numPr>
          <w:ilvl w:val="0"/>
          <w:numId w:val="4"/>
        </w:numPr>
        <w:spacing w:line="360" w:lineRule="auto"/>
        <w:ind w:firstLine="480" w:firstLineChars="200"/>
        <w:rPr>
          <w:rFonts w:hint="eastAsia" w:ascii="仿宋" w:hAnsi="仿宋" w:eastAsia="仿宋"/>
          <w:sz w:val="24"/>
        </w:rPr>
      </w:pPr>
      <w:r>
        <w:rPr>
          <w:rFonts w:hint="eastAsia" w:ascii="仿宋" w:hAnsi="仿宋" w:eastAsia="仿宋"/>
          <w:sz w:val="24"/>
        </w:rPr>
        <w:t>组织成立标准起草组;</w:t>
      </w:r>
    </w:p>
    <w:p w14:paraId="7551EA9D">
      <w:pPr>
        <w:numPr>
          <w:ilvl w:val="0"/>
          <w:numId w:val="4"/>
        </w:numPr>
        <w:spacing w:line="360" w:lineRule="auto"/>
        <w:ind w:firstLine="480" w:firstLineChars="200"/>
        <w:rPr>
          <w:rFonts w:hint="eastAsia" w:ascii="仿宋" w:hAnsi="仿宋" w:eastAsia="仿宋"/>
          <w:sz w:val="24"/>
        </w:rPr>
      </w:pPr>
      <w:r>
        <w:rPr>
          <w:rFonts w:hint="eastAsia" w:ascii="仿宋" w:hAnsi="仿宋" w:eastAsia="仿宋"/>
          <w:sz w:val="24"/>
        </w:rPr>
        <w:t>组织并参加标准化起草活动;</w:t>
      </w:r>
    </w:p>
    <w:p w14:paraId="619B7456">
      <w:pPr>
        <w:numPr>
          <w:ilvl w:val="0"/>
          <w:numId w:val="4"/>
        </w:numPr>
        <w:spacing w:line="360" w:lineRule="auto"/>
        <w:ind w:firstLine="480" w:firstLineChars="200"/>
        <w:rPr>
          <w:rFonts w:hint="eastAsia" w:ascii="仿宋" w:hAnsi="仿宋" w:eastAsia="仿宋"/>
          <w:sz w:val="24"/>
        </w:rPr>
      </w:pPr>
      <w:r>
        <w:rPr>
          <w:rFonts w:hint="eastAsia" w:ascii="仿宋" w:hAnsi="仿宋" w:eastAsia="仿宋"/>
          <w:sz w:val="24"/>
        </w:rPr>
        <w:t>协调处理起草工作中出现的问题，根据以往经验，结合起草组各单位建议，完善标准草稿;</w:t>
      </w:r>
    </w:p>
    <w:p w14:paraId="0D6DF3DE">
      <w:pPr>
        <w:numPr>
          <w:ilvl w:val="0"/>
          <w:numId w:val="4"/>
        </w:numPr>
        <w:spacing w:line="360" w:lineRule="auto"/>
        <w:ind w:firstLine="480" w:firstLineChars="200"/>
        <w:outlineLvl w:val="2"/>
        <w:rPr>
          <w:rFonts w:hint="eastAsia" w:ascii="仿宋" w:hAnsi="仿宋" w:eastAsia="仿宋"/>
          <w:sz w:val="24"/>
        </w:rPr>
      </w:pPr>
      <w:r>
        <w:rPr>
          <w:rFonts w:hint="eastAsia" w:ascii="仿宋" w:hAnsi="仿宋" w:eastAsia="仿宋"/>
          <w:sz w:val="24"/>
        </w:rPr>
        <w:t>组织相关单位，对标准测试相关内容进行试验验证。</w:t>
      </w:r>
    </w:p>
    <w:p w14:paraId="252FBA83">
      <w:pPr>
        <w:numPr>
          <w:ilvl w:val="0"/>
          <w:numId w:val="0"/>
        </w:numPr>
        <w:spacing w:line="360" w:lineRule="auto"/>
        <w:ind w:firstLine="480" w:firstLineChars="200"/>
        <w:rPr>
          <w:rFonts w:hint="eastAsia" w:ascii="仿宋" w:hAnsi="仿宋" w:eastAsia="仿宋"/>
          <w:sz w:val="24"/>
        </w:rPr>
      </w:pPr>
      <w:r>
        <w:rPr>
          <w:rFonts w:hint="eastAsia" w:ascii="仿宋" w:hAnsi="仿宋" w:eastAsia="仿宋"/>
          <w:sz w:val="24"/>
        </w:rPr>
        <w:t>起草组成员的主要工作内容：</w:t>
      </w:r>
    </w:p>
    <w:p w14:paraId="57B91932">
      <w:pPr>
        <w:numPr>
          <w:ilvl w:val="0"/>
          <w:numId w:val="5"/>
        </w:numPr>
        <w:spacing w:line="360" w:lineRule="auto"/>
        <w:ind w:firstLine="480" w:firstLineChars="200"/>
        <w:rPr>
          <w:rFonts w:hint="eastAsia" w:ascii="仿宋" w:hAnsi="仿宋" w:eastAsia="仿宋"/>
          <w:sz w:val="24"/>
        </w:rPr>
      </w:pPr>
      <w:r>
        <w:rPr>
          <w:rFonts w:hint="eastAsia" w:ascii="仿宋" w:hAnsi="仿宋" w:eastAsia="仿宋"/>
          <w:sz w:val="24"/>
        </w:rPr>
        <w:t>配合牵头单位成立标准起草组配合牵头单位共同完成标准起草工作;</w:t>
      </w:r>
    </w:p>
    <w:p w14:paraId="023E4D54">
      <w:pPr>
        <w:numPr>
          <w:ilvl w:val="0"/>
          <w:numId w:val="5"/>
        </w:numPr>
        <w:spacing w:line="360" w:lineRule="auto"/>
        <w:ind w:firstLine="480" w:firstLineChars="200"/>
        <w:rPr>
          <w:rFonts w:hint="eastAsia" w:ascii="仿宋" w:hAnsi="仿宋" w:eastAsia="仿宋"/>
          <w:sz w:val="24"/>
        </w:rPr>
      </w:pPr>
      <w:r>
        <w:rPr>
          <w:rFonts w:hint="eastAsia" w:ascii="仿宋" w:hAnsi="仿宋" w:eastAsia="仿宋"/>
          <w:sz w:val="24"/>
        </w:rPr>
        <w:t>根据分工，承担标准起草任务：相关单位根据自身经验，反馈汽车用碳化硅功率芯片检测内容和要求;</w:t>
      </w:r>
    </w:p>
    <w:p w14:paraId="1F6CF35F">
      <w:pPr>
        <w:numPr>
          <w:ilvl w:val="0"/>
          <w:numId w:val="5"/>
        </w:numPr>
        <w:spacing w:line="360" w:lineRule="auto"/>
        <w:ind w:firstLine="480" w:firstLineChars="200"/>
        <w:outlineLvl w:val="2"/>
        <w:rPr>
          <w:rFonts w:hint="eastAsia" w:ascii="仿宋" w:hAnsi="仿宋" w:eastAsia="仿宋"/>
          <w:sz w:val="24"/>
        </w:rPr>
      </w:pPr>
      <w:r>
        <w:rPr>
          <w:rFonts w:hint="eastAsia" w:ascii="仿宋" w:hAnsi="仿宋" w:eastAsia="仿宋"/>
          <w:sz w:val="24"/>
        </w:rPr>
        <w:t>根据需要，配合开展标准的测试验证工作。</w:t>
      </w:r>
    </w:p>
    <w:p w14:paraId="5508B0E4">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363"/>
        <w:textAlignment w:val="auto"/>
        <w:outlineLvl w:val="1"/>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标准研讨情况</w:t>
      </w:r>
    </w:p>
    <w:p w14:paraId="46DE02B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标准起草组遵守GB/T 1.1-2020等文件相关规定，结合标准制定工作程序的各个环节，进行了探讨和研究。对国内外的相关标准进行系统研究，对行业现有标准技术文件和研究成果进行归纳整理，对比国内外车规半导体标准的技术要求，进行了必要的试验验证，保证标准研究方向的正确性及可行性。同时标准起草组广泛听取了行业知名专家的意见，组织相关技术人员对标准中各章节的技术指标、内容要求进行多次研讨。具体工作过程如下。</w:t>
      </w:r>
    </w:p>
    <w:p w14:paraId="60C78EB1">
      <w:pPr>
        <w:spacing w:line="360" w:lineRule="auto"/>
        <w:outlineLvl w:val="2"/>
        <w:rPr>
          <w:rFonts w:hint="eastAsia" w:ascii="黑体" w:hAnsi="黑体" w:eastAsia="黑体" w:cs="仿宋"/>
          <w:sz w:val="24"/>
        </w:rPr>
      </w:pPr>
      <w:r>
        <w:rPr>
          <w:rFonts w:hint="eastAsia" w:ascii="黑体" w:hAnsi="黑体" w:eastAsia="黑体" w:cs="仿宋"/>
          <w:sz w:val="24"/>
        </w:rPr>
        <w:t>1.3.1 预研</w:t>
      </w:r>
    </w:p>
    <w:p w14:paraId="06E2FCF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调查研究国内、欧洲、美国和日本等主要汽车生产商的电动汽车用SiC MOSFET器件的技术规范和国内电动汽车用SiC MOSFET器件标准研究制定情况，明确标准定位与差异性，确定电动汽车用SiC MOSFET器件技术规范标准制定的意义和目的，深入调研电动汽车应用场景下的典型工况（如高低温循环、振动、湿度、电气应力等）及其对SiC MOSFET可靠性的影响，拟解决目前行业需求和需要解决的问题。根据调研结果，汇总后形成结论，形成标准框架草案及技术路线图，确定核心章节及验证方案，用于编制标准立项汇报材料以及标准立项建议书，</w:t>
      </w:r>
      <w:r>
        <w:rPr>
          <w:rFonts w:ascii="仿宋" w:hAnsi="仿宋" w:eastAsia="仿宋" w:cs="仿宋"/>
          <w:color w:val="000000" w:themeColor="text1"/>
          <w:sz w:val="24"/>
          <w14:textFill>
            <w14:solidFill>
              <w14:schemeClr w14:val="tx1"/>
            </w14:solidFill>
          </w14:textFill>
        </w:rPr>
        <w:t>为后续起草奠定技术共识和数据基础</w:t>
      </w:r>
      <w:r>
        <w:rPr>
          <w:rFonts w:hint="eastAsia" w:ascii="仿宋" w:hAnsi="仿宋" w:eastAsia="仿宋" w:cs="仿宋"/>
          <w:color w:val="000000" w:themeColor="text1"/>
          <w:sz w:val="24"/>
          <w14:textFill>
            <w14:solidFill>
              <w14:schemeClr w14:val="tx1"/>
            </w14:solidFill>
          </w14:textFill>
        </w:rPr>
        <w:t>。</w:t>
      </w:r>
    </w:p>
    <w:p w14:paraId="75ED7074">
      <w:pPr>
        <w:spacing w:line="360" w:lineRule="auto"/>
        <w:outlineLvl w:val="2"/>
        <w:rPr>
          <w:rFonts w:hint="eastAsia" w:ascii="黑体" w:hAnsi="黑体" w:eastAsia="黑体" w:cs="仿宋"/>
          <w:sz w:val="24"/>
        </w:rPr>
      </w:pPr>
      <w:r>
        <w:rPr>
          <w:rFonts w:hint="eastAsia" w:ascii="黑体" w:hAnsi="黑体" w:eastAsia="黑体" w:cs="仿宋"/>
          <w:sz w:val="24"/>
        </w:rPr>
        <w:t>1.3.2 立项</w:t>
      </w:r>
    </w:p>
    <w:p w14:paraId="609582E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据汽车芯片标准体系建设整体设计思路，完成标准正文初稿框架结构内容初版编写，完成标准立项相关材料初版编写；召开内部评审会，听取行业整车企业、芯片企业与零部件企业专家意见并进行修订后，提交立项资料至</w:t>
      </w:r>
      <w:bookmarkStart w:id="0" w:name="OLE_LINK3"/>
      <w:r>
        <w:rPr>
          <w:rFonts w:ascii="仿宋" w:hAnsi="仿宋" w:eastAsia="仿宋" w:cs="仿宋"/>
          <w:color w:val="000000" w:themeColor="text1"/>
          <w:sz w:val="24"/>
          <w14:textFill>
            <w14:solidFill>
              <w14:schemeClr w14:val="tx1"/>
            </w14:solidFill>
          </w14:textFill>
        </w:rPr>
        <w:t>国家新能源汽车技术创新中心</w:t>
      </w:r>
      <w:bookmarkEnd w:id="0"/>
      <w:r>
        <w:rPr>
          <w:rFonts w:hint="eastAsia" w:ascii="仿宋" w:hAnsi="仿宋" w:eastAsia="仿宋" w:cs="仿宋"/>
          <w:color w:val="000000" w:themeColor="text1"/>
          <w:sz w:val="24"/>
          <w14:textFill>
            <w14:solidFill>
              <w14:schemeClr w14:val="tx1"/>
            </w14:solidFill>
          </w14:textFill>
        </w:rPr>
        <w:t>进行立项申报，2024年6月20日由</w:t>
      </w:r>
      <w:r>
        <w:rPr>
          <w:rFonts w:ascii="仿宋" w:hAnsi="仿宋" w:eastAsia="仿宋" w:cs="仿宋"/>
          <w:color w:val="000000" w:themeColor="text1"/>
          <w:sz w:val="24"/>
          <w14:textFill>
            <w14:solidFill>
              <w14:schemeClr w14:val="tx1"/>
            </w14:solidFill>
          </w14:textFill>
        </w:rPr>
        <w:t>国家新能源汽车技术创新中心</w:t>
      </w:r>
      <w:r>
        <w:rPr>
          <w:rFonts w:hint="eastAsia" w:ascii="仿宋" w:hAnsi="仿宋" w:eastAsia="仿宋" w:cs="仿宋"/>
          <w:color w:val="000000" w:themeColor="text1"/>
          <w:sz w:val="24"/>
          <w14:textFill>
            <w14:solidFill>
              <w14:schemeClr w14:val="tx1"/>
            </w14:solidFill>
          </w14:textFill>
        </w:rPr>
        <w:t>组织汽车、芯片等行业专家进行标准立项审查，2024年7月17日，中国汽车工业协会发布标准立项通过公示。</w:t>
      </w:r>
    </w:p>
    <w:p w14:paraId="7155A97C">
      <w:pPr>
        <w:spacing w:line="360" w:lineRule="auto"/>
        <w:outlineLvl w:val="2"/>
        <w:rPr>
          <w:rFonts w:hint="eastAsia" w:ascii="黑体" w:hAnsi="黑体" w:eastAsia="黑体" w:cs="仿宋"/>
          <w:sz w:val="24"/>
        </w:rPr>
      </w:pPr>
      <w:r>
        <w:rPr>
          <w:rFonts w:hint="eastAsia" w:ascii="黑体" w:hAnsi="黑体" w:eastAsia="黑体" w:cs="仿宋"/>
          <w:sz w:val="24"/>
        </w:rPr>
        <w:t>1.3.3 起草</w:t>
      </w:r>
    </w:p>
    <w:p w14:paraId="522EBC22">
      <w:pPr>
        <w:spacing w:line="360" w:lineRule="auto"/>
        <w:ind w:firstLine="480" w:firstLineChars="200"/>
        <w:rPr>
          <w:rFonts w:hint="eastAsia" w:ascii="仿宋" w:hAnsi="仿宋" w:eastAsia="仿宋" w:cs="仿宋"/>
          <w:sz w:val="24"/>
        </w:rPr>
      </w:pPr>
      <w:r>
        <w:rPr>
          <w:rFonts w:hint="eastAsia" w:ascii="仿宋" w:hAnsi="仿宋" w:eastAsia="仿宋" w:cs="仿宋"/>
          <w:sz w:val="24"/>
        </w:rPr>
        <w:t>标准立项后，艾创微联合整车企业、零部件企业、芯片企业、检测公司、测试设备公司、高校等共同制定和完善标准草案。参编单位有：</w:t>
      </w:r>
      <w:r>
        <w:rPr>
          <w:rFonts w:hint="eastAsia" w:ascii="仿宋" w:hAnsi="仿宋" w:eastAsia="仿宋" w:cs="宋体"/>
          <w:sz w:val="24"/>
        </w:rPr>
        <w:t>合肥艾创微电子科技有限公司、国家新能源汽车技术创新中心、广电计量检测集团股份有限公司、北汽福田汽车股份有限公司、博世华域转向系统有限公司、北汽福田汽车股份有限公司、辽宁工业大学、北京国联万众半导体科技有限公司、中汽创智科技有限公司、中国汽车工程研究院股份有限公司、中国电子科技集团公司第五十五研究所、重庆长安汽车股份有限公司、北京东土科技股份有限公司、北京微电子技术研究所、北京车和家汽车科技有限公司、上海机动车检测认证技术研究中心有限公司、上海贝岭股份有限公司、</w:t>
      </w:r>
      <w:r>
        <w:rPr>
          <w:rFonts w:hint="eastAsia" w:ascii="仿宋" w:hAnsi="仿宋" w:eastAsia="仿宋"/>
          <w:sz w:val="24"/>
        </w:rPr>
        <w:t>飞锃半导体有限公司、上海积塔半导体有限公司</w:t>
      </w:r>
      <w:r>
        <w:rPr>
          <w:rFonts w:hint="eastAsia" w:ascii="仿宋" w:hAnsi="仿宋" w:eastAsia="仿宋" w:cs="仿宋"/>
          <w:sz w:val="24"/>
        </w:rPr>
        <w:t>等。</w:t>
      </w:r>
    </w:p>
    <w:p w14:paraId="36EBF718">
      <w:pPr>
        <w:spacing w:line="360" w:lineRule="auto"/>
        <w:ind w:firstLine="480" w:firstLineChars="200"/>
        <w:rPr>
          <w:rFonts w:hint="eastAsia" w:ascii="仿宋" w:hAnsi="仿宋" w:eastAsia="仿宋" w:cs="仿宋"/>
          <w:sz w:val="24"/>
        </w:rPr>
      </w:pPr>
      <w:r>
        <w:rPr>
          <w:rFonts w:hint="eastAsia" w:ascii="仿宋" w:hAnsi="仿宋" w:eastAsia="仿宋" w:cs="仿宋"/>
          <w:sz w:val="24"/>
        </w:rPr>
        <w:t>2024年9月10日，</w:t>
      </w:r>
      <w:r>
        <w:rPr>
          <w:rFonts w:hint="eastAsia" w:ascii="仿宋" w:hAnsi="仿宋" w:eastAsia="仿宋" w:cs="仿宋"/>
          <w:sz w:val="24"/>
          <w:lang w:val="en-US" w:eastAsia="zh-CN"/>
        </w:rPr>
        <w:t>中汽协汽车芯片专委会秘书处组织</w:t>
      </w:r>
      <w:r>
        <w:rPr>
          <w:rFonts w:hint="eastAsia" w:ascii="仿宋" w:hAnsi="仿宋" w:eastAsia="仿宋" w:cs="仿宋"/>
          <w:sz w:val="24"/>
        </w:rPr>
        <w:t>在合肥组织召开标准起草组启动会暨第一次标准研讨会，会上项目组介绍了标准编制的背景、目的、意义和基本思路，以及标准起草方案，起草组就国创中心编制的了标准框架就标准草案进行了讨论，会上给出了20条意见和建议。起草组经过讨论形成标准研究编写初步分工并确定起草阶段工作计划及下一步工作计划。</w:t>
      </w:r>
    </w:p>
    <w:p w14:paraId="799EE85E">
      <w:pPr>
        <w:spacing w:line="360" w:lineRule="auto"/>
        <w:ind w:firstLine="480" w:firstLineChars="200"/>
        <w:rPr>
          <w:rFonts w:hint="eastAsia" w:ascii="仿宋" w:hAnsi="仿宋" w:eastAsia="仿宋" w:cs="仿宋"/>
          <w:sz w:val="24"/>
        </w:rPr>
      </w:pPr>
      <w:r>
        <w:rPr>
          <w:rFonts w:hint="eastAsia" w:ascii="仿宋" w:hAnsi="仿宋" w:eastAsia="仿宋" w:cs="仿宋"/>
          <w:sz w:val="24"/>
        </w:rPr>
        <w:t>2024年12月18日，</w:t>
      </w:r>
      <w:r>
        <w:rPr>
          <w:rFonts w:hint="eastAsia" w:ascii="仿宋" w:hAnsi="仿宋" w:eastAsia="仿宋" w:cs="仿宋"/>
          <w:sz w:val="24"/>
          <w:lang w:val="en-US" w:eastAsia="zh-CN"/>
        </w:rPr>
        <w:t>中汽协汽车芯片专委会秘书处</w:t>
      </w:r>
      <w:r>
        <w:rPr>
          <w:rFonts w:hint="eastAsia" w:ascii="仿宋" w:hAnsi="仿宋" w:eastAsia="仿宋" w:cs="仿宋"/>
          <w:sz w:val="24"/>
        </w:rPr>
        <w:t>组织起草组单位召开了起草组第二次标准研讨会，标准主笔人介绍了根据第一次会议意见对标准文本的修改情况，以及标准编写整体情况。起草组各编写单位就承担部分的编写思路进行了讲解，起草组全体成员就标准各部分内容进行了讨论，形成改进意见20余项。起草组成员讨论确定下一步工作计划。</w:t>
      </w:r>
    </w:p>
    <w:p w14:paraId="6E4B72C3">
      <w:pPr>
        <w:spacing w:line="360" w:lineRule="auto"/>
        <w:ind w:firstLine="480" w:firstLineChars="200"/>
        <w:rPr>
          <w:rFonts w:hint="eastAsia" w:ascii="仿宋" w:hAnsi="仿宋" w:eastAsia="仿宋" w:cs="仿宋"/>
          <w:sz w:val="24"/>
        </w:rPr>
      </w:pPr>
      <w:r>
        <w:rPr>
          <w:rFonts w:hint="eastAsia" w:ascii="仿宋" w:hAnsi="仿宋" w:eastAsia="仿宋" w:cs="仿宋"/>
          <w:sz w:val="24"/>
        </w:rPr>
        <w:t>2025年3月26日，</w:t>
      </w:r>
      <w:r>
        <w:rPr>
          <w:rFonts w:hint="eastAsia" w:ascii="仿宋" w:hAnsi="仿宋" w:eastAsia="仿宋" w:cs="仿宋"/>
          <w:sz w:val="24"/>
          <w:lang w:val="en-US" w:eastAsia="zh-CN"/>
        </w:rPr>
        <w:t>中汽协汽车芯片专委会秘书处组织</w:t>
      </w:r>
      <w:r>
        <w:rPr>
          <w:rFonts w:hint="eastAsia" w:ascii="仿宋" w:hAnsi="仿宋" w:eastAsia="仿宋" w:cs="仿宋"/>
          <w:sz w:val="24"/>
        </w:rPr>
        <w:t>通过线上会议组织起草组单位召开了起草组第三次标准研讨会，标准主笔人介绍了标准整体进展，起草组内对标准文本意见的处理情况，起草组对相关意见进行了讨论和确认。艾创微标准主笔人介绍了标准试验验证计划及后续的验证分工，相关单位根据会议要求，会后按期反馈试验报告及进行试验验证等。</w:t>
      </w:r>
    </w:p>
    <w:p w14:paraId="2E830236">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1.3.4 试验验证</w:t>
      </w:r>
    </w:p>
    <w:p w14:paraId="33C34535">
      <w:pPr>
        <w:spacing w:line="360" w:lineRule="auto"/>
        <w:ind w:firstLine="480" w:firstLineChars="200"/>
        <w:rPr>
          <w:rFonts w:hint="eastAsia" w:ascii="仿宋" w:hAnsi="仿宋" w:eastAsia="仿宋" w:cs="仿宋"/>
          <w:sz w:val="24"/>
        </w:rPr>
      </w:pPr>
      <w:r>
        <w:rPr>
          <w:rFonts w:hint="eastAsia" w:ascii="仿宋" w:hAnsi="仿宋" w:eastAsia="仿宋" w:cs="仿宋"/>
          <w:sz w:val="24"/>
        </w:rPr>
        <w:t>2025年3月，由牵头单位组织起草组单位，征集标准试验验证参与意向、验证内容，并根据参与意向及验证内容制定试验验证计划及方案。</w:t>
      </w:r>
    </w:p>
    <w:p w14:paraId="676F9696">
      <w:pPr>
        <w:spacing w:line="360" w:lineRule="auto"/>
        <w:ind w:firstLine="480" w:firstLineChars="200"/>
        <w:rPr>
          <w:rFonts w:hint="eastAsia" w:ascii="仿宋" w:hAnsi="仿宋" w:eastAsia="仿宋" w:cs="仿宋"/>
          <w:sz w:val="24"/>
        </w:rPr>
      </w:pPr>
      <w:r>
        <w:rPr>
          <w:rFonts w:hint="eastAsia" w:ascii="仿宋" w:hAnsi="仿宋" w:eastAsia="仿宋" w:cs="仿宋"/>
          <w:sz w:val="24"/>
        </w:rPr>
        <w:t>2025年3月～2024年4月，选取不同型号SiC MOSFET分立器件，依据《电动汽车用碳化硅场效应晶体管可靠性要求及试验方法》进行了主要项目检验，通过分析试验过程以及测试数据，验证了标准内容的合理性和可行性。</w:t>
      </w:r>
    </w:p>
    <w:p w14:paraId="5B37E303">
      <w:pPr>
        <w:spacing w:line="360" w:lineRule="auto"/>
        <w:outlineLvl w:val="2"/>
        <w:rPr>
          <w:rFonts w:hint="eastAsia" w:ascii="黑体" w:hAnsi="黑体" w:eastAsia="黑体" w:cs="仿宋"/>
          <w:color w:val="auto"/>
          <w:sz w:val="24"/>
          <w:highlight w:val="none"/>
        </w:rPr>
      </w:pPr>
      <w:r>
        <w:rPr>
          <w:rFonts w:hint="eastAsia" w:ascii="黑体" w:hAnsi="黑体" w:eastAsia="黑体" w:cs="仿宋"/>
          <w:color w:val="auto"/>
          <w:sz w:val="24"/>
          <w:highlight w:val="none"/>
        </w:rPr>
        <w:t>1.3.5 征求意见</w:t>
      </w:r>
    </w:p>
    <w:p w14:paraId="68773D64">
      <w:pPr>
        <w:spacing w:line="360" w:lineRule="auto"/>
        <w:ind w:left="36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highlight w:val="none"/>
        </w:rPr>
        <w:t>试验验证后，标准起草组修改标准文本、形成标准征求意见稿和编制说明，于2025年4月提交中国汽车工业协会申请行业公开征求意见。</w:t>
      </w:r>
    </w:p>
    <w:p w14:paraId="567343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3AE4281A">
      <w:pPr>
        <w:spacing w:line="360" w:lineRule="auto"/>
        <w:outlineLvl w:val="1"/>
        <w:rPr>
          <w:rFonts w:hint="eastAsia" w:ascii="黑体" w:hAnsi="黑体" w:eastAsia="黑体"/>
          <w:sz w:val="24"/>
          <w:szCs w:val="24"/>
        </w:rPr>
      </w:pPr>
      <w:r>
        <w:rPr>
          <w:rFonts w:hint="eastAsia" w:ascii="黑体" w:hAnsi="黑体" w:eastAsia="黑体"/>
          <w:sz w:val="24"/>
          <w:szCs w:val="24"/>
        </w:rPr>
        <w:t>2.1</w:t>
      </w:r>
      <w:r>
        <w:rPr>
          <w:rFonts w:hint="eastAsia" w:ascii="黑体" w:hAnsi="黑体" w:eastAsia="黑体"/>
          <w:sz w:val="24"/>
          <w:szCs w:val="24"/>
          <w:lang w:val="en-US" w:eastAsia="zh-CN"/>
        </w:rPr>
        <w:t xml:space="preserve"> </w:t>
      </w:r>
      <w:r>
        <w:rPr>
          <w:rFonts w:hint="eastAsia" w:ascii="黑体" w:hAnsi="黑体" w:eastAsia="黑体"/>
          <w:sz w:val="24"/>
          <w:szCs w:val="24"/>
        </w:rPr>
        <w:t>标准制定原则</w:t>
      </w:r>
    </w:p>
    <w:p w14:paraId="5DE3512C">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1）本标准编写符合 GB/T 1.1—2020《标准化工作导则 第 1 部分：标准化文件的结构和起草规则》的规定起草。</w:t>
      </w:r>
    </w:p>
    <w:p w14:paraId="74ADFC1E">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2）本标准无对应的国际或国外标准可供对照及参考。起草过程中，充分考虑与国内外现有相关标准的统一和协调，标准中的指标要求充分考虑了国内当前行业技术水平，草案内容已经过多次充分讨论、修改和完善，并在起草组内多次征求意见。本标准的制定是在对我国电动汽车用SiC MOSFET器件产品开发及应用现状进行调查，对相关国际、国外相关标准的关键技术指标在我国的适用性进行分析研究，并且对相关的试验方法在我国现阶段实施的可行性进行论证分析研究的基础上，结合我国实际情况提出的电动汽车用SiC MOSFET器件技术要求及试验方法；并通过验证试验，对试验方案的可行性进行了验证，确定了适合我国实际情况的电动汽车用SiC MOSFET器件的技术规范。</w:t>
      </w:r>
    </w:p>
    <w:p w14:paraId="51AE03C2">
      <w:pPr>
        <w:pStyle w:val="2"/>
        <w:spacing w:before="156" w:beforeLines="50" w:after="156" w:afterLines="50"/>
        <w:ind w:firstLine="0" w:firstLineChars="0"/>
        <w:outlineLvl w:val="2"/>
        <w:rPr>
          <w:rFonts w:hint="eastAsia" w:ascii="黑体" w:hAnsi="黑体" w:eastAsia="黑体" w:cs="黑体"/>
          <w:sz w:val="21"/>
          <w:szCs w:val="21"/>
        </w:rPr>
      </w:pPr>
      <w:r>
        <w:rPr>
          <w:rFonts w:hint="eastAsia" w:ascii="黑体" w:hAnsi="黑体" w:eastAsia="黑体" w:cs="黑体"/>
          <w:sz w:val="21"/>
          <w:szCs w:val="21"/>
        </w:rPr>
        <w:t>2.1.1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通用性原则</w:t>
      </w:r>
    </w:p>
    <w:p w14:paraId="1BD302DE">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编写《电动汽车用碳化硅场效应晶体管可靠性要求及试验方法》标准是为了确保该标准能够适用于不同的应用场景、制造商和产品，同时保持技术规范的一致性和可比性。标准提出的指标和要求符合行业发展水平，提供的试验方法可实现、可操作，在行业内具有较高的通用性。</w:t>
      </w:r>
    </w:p>
    <w:p w14:paraId="0921CCE1">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1）中立性和普适性：标准应中立地制定，不偏袒任何特定的制造商或技术。同时，标准应具备普适性，能够涵盖电动汽车行业的主要应用场景和需求。</w:t>
      </w:r>
    </w:p>
    <w:p w14:paraId="70BD7920">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2）基于国际标准和行业共识：在制定技术规范时，本标准尽量参考和借鉴已有的国际标准和行业共识，以确保标准的兼容性和互操作性。</w:t>
      </w:r>
    </w:p>
    <w:p w14:paraId="2FDCB2F8">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3）考虑技术进步和未来发展：在制定本标准时，考虑了技术进步对SiC MOSFET性能和需求的影响，为未来的升级和改进留出空间。</w:t>
      </w:r>
    </w:p>
    <w:p w14:paraId="40CA8EC3">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4）测试方法和评估标准的统一：为确保SiC MOSFET的性能和质量，制定统一、可重复的测试方法和评估标准。这些方法基于科学原理和工程实践，能够客观、准确地评价SiC MOSFET的性能指标。</w:t>
      </w:r>
    </w:p>
    <w:p w14:paraId="35D3B14C">
      <w:pPr>
        <w:pStyle w:val="2"/>
        <w:spacing w:before="156" w:beforeLines="50" w:after="156" w:afterLines="50"/>
        <w:ind w:firstLine="0" w:firstLineChars="0"/>
        <w:outlineLvl w:val="2"/>
        <w:rPr>
          <w:rFonts w:hint="eastAsia" w:ascii="黑体" w:hAnsi="黑体" w:eastAsia="黑体" w:cs="黑体"/>
          <w:sz w:val="24"/>
          <w:szCs w:val="24"/>
        </w:rPr>
      </w:pPr>
      <w:r>
        <w:rPr>
          <w:rFonts w:hint="eastAsia" w:ascii="黑体" w:hAnsi="黑体" w:eastAsia="黑体" w:cs="黑体"/>
          <w:sz w:val="24"/>
          <w:szCs w:val="24"/>
        </w:rPr>
        <w:t>2.1.2</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指导性原则</w:t>
      </w:r>
    </w:p>
    <w:p w14:paraId="15457E03">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1）明确性和精确性：规范应详细阐述SiC MOSFET的可靠性要求和试验方法等，确保读者能够充分理解并按照标准执行。</w:t>
      </w:r>
    </w:p>
    <w:p w14:paraId="260004EB">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2）兼容性和互通性：考虑到电动汽车行业的快速发展，该标准应尽可能与现有的国际和行业标准兼容，同时考虑到未来技术发展的可能性，保持一定的前瞻性。</w:t>
      </w:r>
    </w:p>
    <w:p w14:paraId="69C97E51">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3）安全性和可靠性：SiC MOSFET作为电动汽车中的关键组件，其安全性和可靠性至关重要。应提出严格的测试方法和评估标准，以确保SiC MOSFET在实际应用中能够满足安全和可靠性的要求。</w:t>
      </w:r>
    </w:p>
    <w:p w14:paraId="71FFC62F">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4）可操作性和实用性：标准应易于理解和操作，方便工程师和技术人员在实际生产和使用中遵循。同时，应考虑不同制造商的生产能力和市场需求，制定合理的技术规范，以促进SiC MOSFET的广泛应用和普及。</w:t>
      </w:r>
    </w:p>
    <w:p w14:paraId="7C62F454">
      <w:pPr>
        <w:pStyle w:val="2"/>
        <w:spacing w:before="156" w:beforeLines="50" w:after="156" w:afterLines="50"/>
        <w:ind w:firstLine="0" w:firstLineChars="0"/>
        <w:outlineLvl w:val="2"/>
        <w:rPr>
          <w:rFonts w:hint="eastAsia" w:ascii="黑体" w:hAnsi="黑体" w:eastAsia="黑体" w:cs="黑体"/>
          <w:sz w:val="24"/>
          <w:szCs w:val="24"/>
        </w:rPr>
      </w:pPr>
      <w:r>
        <w:rPr>
          <w:rFonts w:hint="eastAsia" w:ascii="黑体" w:hAnsi="黑体" w:eastAsia="黑体" w:cs="黑体"/>
          <w:sz w:val="24"/>
          <w:szCs w:val="24"/>
        </w:rPr>
        <w:t>2.1.3</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协调性原则</w:t>
      </w:r>
    </w:p>
    <w:p w14:paraId="7B443312">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本标准提出的检验规范，通过与整车企业、零部件企业、芯片企业、检测公司、测试设备公司、高校等多方专家讨论论证，使标准的检验项目和检验要求与各单位的现行情况相协调。</w:t>
      </w:r>
    </w:p>
    <w:p w14:paraId="026843C9">
      <w:pPr>
        <w:pStyle w:val="2"/>
        <w:spacing w:before="156" w:beforeLines="50" w:after="156" w:afterLines="50"/>
        <w:ind w:firstLine="0" w:firstLineChars="0"/>
        <w:outlineLvl w:val="2"/>
        <w:rPr>
          <w:rFonts w:hint="eastAsia" w:ascii="黑体" w:hAnsi="黑体" w:eastAsia="黑体" w:cs="黑体"/>
          <w:sz w:val="24"/>
          <w:szCs w:val="24"/>
        </w:rPr>
      </w:pPr>
      <w:r>
        <w:rPr>
          <w:rFonts w:hint="eastAsia" w:ascii="黑体" w:hAnsi="黑体" w:eastAsia="黑体" w:cs="黑体"/>
          <w:sz w:val="24"/>
          <w:szCs w:val="24"/>
        </w:rPr>
        <w:t>2.1.4</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兼容性原则</w:t>
      </w:r>
    </w:p>
    <w:p w14:paraId="74FD2E70">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本标准提出的功能要求、技术指标要求充分考虑了当前技术水平，同时注重实用性和前瞻性，本标准吸取了国内外车用半导体器件相关标准的优秀经验，在标准制定的过程中，将持续收集当前电动汽车用SiC MOSFET存在的各项问题，在现有AEC-Q101和IEC60747-9等标准的基础上，进一步优化性能参数和可靠性指标，以便指导车企、Tier1以及半导体企业的研发、生产。</w:t>
      </w:r>
    </w:p>
    <w:p w14:paraId="2FEB7647">
      <w:pPr>
        <w:pStyle w:val="2"/>
        <w:spacing w:before="156" w:beforeLines="50" w:after="156" w:afterLines="50"/>
        <w:ind w:firstLine="0" w:firstLineChars="0"/>
        <w:outlineLvl w:val="1"/>
        <w:rPr>
          <w:rFonts w:hint="eastAsia" w:ascii="黑体" w:hAnsi="黑体" w:eastAsia="黑体" w:cs="黑体"/>
          <w:sz w:val="24"/>
          <w:szCs w:val="24"/>
        </w:rPr>
      </w:pPr>
      <w:r>
        <w:rPr>
          <w:rFonts w:hint="eastAsia" w:ascii="黑体" w:hAnsi="黑体" w:eastAsia="黑体" w:cs="黑体"/>
          <w:sz w:val="24"/>
          <w:szCs w:val="24"/>
        </w:rPr>
        <w:t>2.2 标准主要技术内容</w:t>
      </w:r>
    </w:p>
    <w:p w14:paraId="77254873">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本标准规定了电动汽车用碳化硅场效应晶体管的可靠性要求、试验方法，主要涉及可靠性要求、试验方法两个层面。</w:t>
      </w:r>
    </w:p>
    <w:p w14:paraId="6C5948A1">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可靠性要求主要涉及涉及电动汽车用碳化硅场效应晶体管的特性参数、外观和尺寸要求。</w:t>
      </w:r>
    </w:p>
    <w:p w14:paraId="38443536">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试验方法部分主要包括如下几个方面：</w:t>
      </w:r>
    </w:p>
    <w:p w14:paraId="2BBA21AD">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环境可靠性试验：主要涉及预处理（PC）、</w:t>
      </w:r>
      <w:bookmarkStart w:id="1" w:name="OLE_LINK4"/>
      <w:r>
        <w:rPr>
          <w:rFonts w:hint="eastAsia" w:ascii="仿宋" w:hAnsi="仿宋" w:eastAsia="仿宋" w:cs="宋体"/>
          <w:sz w:val="24"/>
          <w:szCs w:val="24"/>
        </w:rPr>
        <w:t>高压蒸煮（AC）、高温存储（HTS）、低温存储（LTS）、温度循环（TC）、温度冲击（TST）、可焊性试验（SD）、盐雾试验（SST）</w:t>
      </w:r>
      <w:bookmarkEnd w:id="1"/>
      <w:r>
        <w:rPr>
          <w:rFonts w:hint="eastAsia" w:ascii="仿宋" w:hAnsi="仿宋" w:eastAsia="仿宋" w:cs="宋体"/>
          <w:sz w:val="24"/>
          <w:szCs w:val="24"/>
        </w:rPr>
        <w:t>等，验证功率器件的各种环境应力试验条件下的可靠性；</w:t>
      </w:r>
    </w:p>
    <w:p w14:paraId="1EAAA126">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加速寿命可靠性试验：主要涉及高温反偏（HTRB）、高温栅极反偏（HTGB）、高温高湿反偏（H3TRB）、高加速应力试验（HAST）、间歇工作寿命（IOL）、静电放电（ESD）、动态栅偏（DGB）、动态反偏（DRB）、动态高温高湿反偏（DH3TRB）等，验证产品寿命情况。</w:t>
      </w:r>
    </w:p>
    <w:p w14:paraId="260F461A">
      <w:pPr>
        <w:pStyle w:val="2"/>
        <w:spacing w:after="0" w:line="360" w:lineRule="auto"/>
        <w:ind w:firstLine="420" w:firstLineChars="0"/>
        <w:jc w:val="both"/>
        <w:rPr>
          <w:rFonts w:hint="eastAsia" w:ascii="仿宋" w:hAnsi="仿宋" w:eastAsia="仿宋" w:cs="宋体"/>
          <w:sz w:val="24"/>
          <w:szCs w:val="24"/>
        </w:rPr>
      </w:pPr>
      <w:r>
        <w:rPr>
          <w:rFonts w:hint="eastAsia" w:ascii="仿宋" w:hAnsi="仿宋" w:eastAsia="仿宋" w:cs="宋体"/>
          <w:sz w:val="24"/>
          <w:szCs w:val="24"/>
        </w:rPr>
        <w:t>应用可靠性试验：机械振动（MV）、机械冲击（MS）、晶须实验（WG）等，验证SiC MOSFET的应用可靠性。</w:t>
      </w:r>
    </w:p>
    <w:p w14:paraId="7AD3B755">
      <w:pPr>
        <w:pStyle w:val="2"/>
        <w:spacing w:before="156" w:beforeLines="50" w:after="156" w:afterLines="50"/>
        <w:ind w:firstLine="0" w:firstLineChars="0"/>
        <w:outlineLvl w:val="1"/>
        <w:rPr>
          <w:rFonts w:hint="eastAsia" w:hAnsi="宋体" w:cs="宋体"/>
          <w:sz w:val="24"/>
          <w:szCs w:val="24"/>
        </w:rPr>
      </w:pPr>
      <w:r>
        <w:rPr>
          <w:rFonts w:hint="eastAsia" w:ascii="黑体" w:hAnsi="黑体" w:eastAsia="黑体" w:cs="黑体"/>
          <w:sz w:val="24"/>
          <w:szCs w:val="24"/>
        </w:rPr>
        <w:t>2.3</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关键技术问题说明</w:t>
      </w:r>
    </w:p>
    <w:p w14:paraId="272D243A">
      <w:pPr>
        <w:pStyle w:val="2"/>
        <w:spacing w:after="0" w:line="360" w:lineRule="auto"/>
        <w:ind w:firstLine="480" w:firstLineChars="200"/>
        <w:jc w:val="both"/>
        <w:rPr>
          <w:rFonts w:hint="eastAsia" w:ascii="仿宋" w:hAnsi="仿宋" w:eastAsia="仿宋" w:cs="宋体"/>
          <w:sz w:val="24"/>
          <w:szCs w:val="24"/>
        </w:rPr>
      </w:pPr>
      <w:r>
        <w:rPr>
          <w:rFonts w:hint="eastAsia" w:ascii="仿宋" w:hAnsi="仿宋" w:eastAsia="仿宋" w:cs="宋体"/>
          <w:sz w:val="24"/>
          <w:szCs w:val="24"/>
        </w:rPr>
        <w:t>本文件中的试验项目适用于SiC MOSFET在进行可靠性试验前、中、后的功能测试，芯片设计验证、量产筛选、使用方芯片选型等环节的测试可参照使用。本标准计划根据电动汽车的应用特点，对车用SiC MOSFET关注的测试指标进行了筛选和梳理，针对这些指标的测试条件和方法进一步予以明确，同时对SiC MOSFET的可靠性要求和试验方法进行整体梳理，在AEC-Q101基础上根据当前行业实际应用情况和适用性进行修订，同时对于方法进行整体规范，以避免歧义和试验的不一致性，更加准确地体现不同产品的可靠性性能，有利于第三方认证和设计选型等需求。</w:t>
      </w:r>
    </w:p>
    <w:p w14:paraId="148A3915">
      <w:pPr>
        <w:pStyle w:val="2"/>
        <w:spacing w:after="0" w:line="360" w:lineRule="auto"/>
        <w:ind w:firstLine="480" w:firstLineChars="200"/>
        <w:jc w:val="both"/>
        <w:rPr>
          <w:rFonts w:hint="eastAsia" w:ascii="仿宋" w:hAnsi="仿宋" w:eastAsia="仿宋" w:cs="宋体"/>
          <w:sz w:val="24"/>
          <w:szCs w:val="24"/>
        </w:rPr>
      </w:pPr>
      <w:r>
        <w:rPr>
          <w:rFonts w:hint="eastAsia" w:ascii="仿宋" w:hAnsi="仿宋" w:eastAsia="仿宋" w:cs="宋体"/>
          <w:sz w:val="24"/>
          <w:szCs w:val="24"/>
        </w:rPr>
        <w:t>此检验规范可以进一步打消用户对于国产SiC MOSFET的电动汽车使用疑虑，进一步提升车用国产SiC MOSFET的使用覆盖率，避免国外产品的市场垄断和技术压制。</w:t>
      </w:r>
    </w:p>
    <w:p w14:paraId="15BC8A10">
      <w:pPr>
        <w:pStyle w:val="2"/>
        <w:spacing w:before="156" w:beforeLines="50" w:after="156" w:afterLines="50"/>
        <w:ind w:firstLine="0" w:firstLineChars="0"/>
        <w:outlineLvl w:val="1"/>
        <w:rPr>
          <w:rFonts w:hint="eastAsia" w:ascii="黑体" w:hAnsi="黑体" w:eastAsia="黑体" w:cs="黑体"/>
          <w:sz w:val="24"/>
          <w:szCs w:val="24"/>
        </w:rPr>
      </w:pPr>
      <w:r>
        <w:rPr>
          <w:rFonts w:hint="eastAsia" w:ascii="黑体" w:hAnsi="黑体" w:eastAsia="黑体" w:cs="黑体"/>
          <w:sz w:val="24"/>
          <w:szCs w:val="24"/>
        </w:rPr>
        <w:t>2.4</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标准主要内容的论据</w:t>
      </w:r>
    </w:p>
    <w:p w14:paraId="7D093A76">
      <w:pPr>
        <w:pStyle w:val="2"/>
        <w:spacing w:after="0" w:line="360" w:lineRule="auto"/>
        <w:ind w:firstLine="200" w:firstLineChars="0"/>
        <w:jc w:val="both"/>
        <w:rPr>
          <w:rFonts w:hint="eastAsia" w:ascii="仿宋" w:hAnsi="仿宋" w:eastAsia="仿宋" w:cs="宋体"/>
          <w:sz w:val="24"/>
          <w:szCs w:val="24"/>
        </w:rPr>
      </w:pPr>
      <w:r>
        <w:rPr>
          <w:rFonts w:hint="eastAsia" w:ascii="仿宋" w:hAnsi="仿宋" w:eastAsia="仿宋" w:cs="宋体"/>
          <w:sz w:val="24"/>
          <w:szCs w:val="24"/>
        </w:rPr>
        <w:t>本标准吸取了国内外车用半导体器件相关标准的优秀经验，在标准制定的过程中，将持续收集当前电动汽车用SiC MOSFET存在的各项问题，在现有AEC-Q101和IEC60747-9等标准的基础上，进一步优化性能参数和可靠性指标，以便指导车企、Tier1以及半导体企业的研发、生产。</w:t>
      </w:r>
    </w:p>
    <w:p w14:paraId="6614B8FA">
      <w:pPr>
        <w:pStyle w:val="2"/>
        <w:spacing w:before="156" w:beforeLines="50" w:after="156" w:afterLines="50"/>
        <w:ind w:firstLine="0" w:firstLineChars="0"/>
        <w:outlineLvl w:val="1"/>
        <w:rPr>
          <w:rFonts w:hint="eastAsia" w:ascii="黑体" w:hAnsi="黑体" w:eastAsia="黑体" w:cs="黑体"/>
          <w:sz w:val="21"/>
          <w:szCs w:val="21"/>
        </w:rPr>
      </w:pPr>
      <w:r>
        <w:rPr>
          <w:rFonts w:hint="eastAsia" w:ascii="黑体" w:hAnsi="黑体" w:eastAsia="黑体" w:cs="黑体"/>
          <w:sz w:val="21"/>
          <w:szCs w:val="21"/>
        </w:rPr>
        <w:t>2.5</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标准工作基础</w:t>
      </w:r>
    </w:p>
    <w:p w14:paraId="4298CBEA">
      <w:pPr>
        <w:pStyle w:val="11"/>
        <w:spacing w:line="360" w:lineRule="auto"/>
        <w:ind w:firstLine="480"/>
        <w:rPr>
          <w:rFonts w:hint="eastAsia" w:ascii="仿宋" w:hAnsi="仿宋" w:eastAsia="仿宋" w:cs="宋体"/>
          <w:sz w:val="24"/>
          <w:szCs w:val="24"/>
        </w:rPr>
      </w:pPr>
      <w:r>
        <w:rPr>
          <w:rFonts w:hint="eastAsia" w:ascii="仿宋" w:hAnsi="仿宋" w:eastAsia="仿宋" w:cs="宋体"/>
          <w:sz w:val="24"/>
          <w:szCs w:val="24"/>
        </w:rPr>
        <w:t>本标准起草组单位由国内知名的整车企业、零部件企业、芯片企业、检测公司、测试设备公司、高校等等组成，涵盖了汽车行业各个主要环节，具备完整的汽车电子知识体系和行业经验，可以为本标准的制定和验证提供强有力的技术和资源支持。通过SiC MOSFET研发方、使用方、检测方等共同参与标准制定，在最大程度上保证了本标准的可操作性、可用性和实用性。</w:t>
      </w:r>
    </w:p>
    <w:p w14:paraId="2EA7A6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三、采用国际标准和国外先进标准情况</w:t>
      </w:r>
    </w:p>
    <w:p w14:paraId="6D47068D">
      <w:pPr>
        <w:pStyle w:val="11"/>
        <w:spacing w:line="360" w:lineRule="auto"/>
        <w:ind w:firstLine="480"/>
        <w:rPr>
          <w:rFonts w:hint="eastAsia" w:ascii="仿宋" w:hAnsi="仿宋" w:eastAsia="仿宋" w:cs="宋体"/>
          <w:sz w:val="24"/>
          <w:szCs w:val="24"/>
        </w:rPr>
      </w:pPr>
      <w:r>
        <w:rPr>
          <w:rFonts w:hint="eastAsia" w:ascii="仿宋" w:hAnsi="仿宋" w:eastAsia="仿宋" w:cs="宋体"/>
          <w:sz w:val="24"/>
          <w:szCs w:val="24"/>
        </w:rPr>
        <w:t>本标准采用国际和国外标准包括：</w:t>
      </w:r>
    </w:p>
    <w:p w14:paraId="6C479713">
      <w:pPr>
        <w:spacing w:line="360" w:lineRule="auto"/>
        <w:ind w:firstLine="480" w:firstLineChars="200"/>
        <w:rPr>
          <w:rFonts w:hint="eastAsia" w:ascii="仿宋" w:hAnsi="仿宋" w:eastAsia="仿宋" w:cs="宋体"/>
          <w:kern w:val="0"/>
          <w:sz w:val="24"/>
        </w:rPr>
      </w:pPr>
      <w:r>
        <w:rPr>
          <w:rFonts w:ascii="仿宋" w:hAnsi="仿宋" w:eastAsia="仿宋" w:cs="宋体"/>
          <w:kern w:val="0"/>
          <w:sz w:val="24"/>
        </w:rPr>
        <w:t>IEC 60747-8:2021  Semiconductor devices–Discrete devices–Part 8:Field-effect transistors</w:t>
      </w:r>
    </w:p>
    <w:p w14:paraId="117B96F6">
      <w:pPr>
        <w:spacing w:line="360" w:lineRule="auto"/>
        <w:ind w:firstLine="480" w:firstLineChars="200"/>
        <w:rPr>
          <w:rFonts w:hint="eastAsia" w:ascii="仿宋" w:hAnsi="仿宋" w:eastAsia="仿宋" w:cs="宋体"/>
          <w:kern w:val="0"/>
          <w:sz w:val="24"/>
        </w:rPr>
      </w:pPr>
      <w:r>
        <w:rPr>
          <w:rFonts w:ascii="仿宋" w:hAnsi="仿宋" w:eastAsia="仿宋" w:cs="宋体"/>
          <w:kern w:val="0"/>
          <w:sz w:val="24"/>
        </w:rPr>
        <w:t>IEC 60749-34:2010  Semiconductor devices-Mechanical and climatic test methods-Part 34:Power cycling</w:t>
      </w:r>
    </w:p>
    <w:p w14:paraId="4D5B13F0">
      <w:pPr>
        <w:spacing w:line="360" w:lineRule="auto"/>
        <w:ind w:firstLine="480" w:firstLineChars="200"/>
        <w:rPr>
          <w:rFonts w:hint="eastAsia" w:ascii="仿宋" w:hAnsi="仿宋" w:eastAsia="仿宋" w:cs="宋体"/>
          <w:kern w:val="0"/>
          <w:sz w:val="24"/>
        </w:rPr>
      </w:pPr>
      <w:r>
        <w:rPr>
          <w:rFonts w:ascii="仿宋" w:hAnsi="仿宋" w:eastAsia="仿宋" w:cs="宋体"/>
          <w:kern w:val="0"/>
          <w:sz w:val="24"/>
        </w:rPr>
        <w:t>IEC 60068-2-82:2019  Environmental testing-Part 2-82:Tests-Test Xw1,:Whisker test methods for components and partsused in electronic assemblies</w:t>
      </w:r>
    </w:p>
    <w:p w14:paraId="54B607BB">
      <w:pPr>
        <w:spacing w:line="360" w:lineRule="auto"/>
        <w:ind w:firstLine="480" w:firstLineChars="200"/>
        <w:rPr>
          <w:rFonts w:ascii="仿宋" w:hAnsi="仿宋" w:eastAsia="仿宋" w:cs="宋体"/>
          <w:kern w:val="0"/>
          <w:sz w:val="24"/>
        </w:rPr>
      </w:pPr>
      <w:r>
        <w:rPr>
          <w:rFonts w:ascii="仿宋" w:hAnsi="仿宋" w:eastAsia="仿宋" w:cs="宋体"/>
          <w:kern w:val="0"/>
          <w:sz w:val="24"/>
        </w:rPr>
        <w:t>IEC 60749-28:2022  Semiconductor devices-Mechanical and climatic test methods-Part 28:Electrostatic discharge(ESD) sensitivity testing-Charged device model(CDM)-device level</w:t>
      </w:r>
    </w:p>
    <w:p w14:paraId="73A0A5BD">
      <w:pPr>
        <w:spacing w:line="360" w:lineRule="auto"/>
        <w:ind w:firstLine="480" w:firstLineChars="200"/>
        <w:rPr>
          <w:rFonts w:ascii="仿宋" w:hAnsi="仿宋" w:eastAsia="仿宋" w:cs="宋体"/>
          <w:kern w:val="0"/>
          <w:sz w:val="24"/>
        </w:rPr>
      </w:pPr>
    </w:p>
    <w:p w14:paraId="5989D6ED">
      <w:pPr>
        <w:spacing w:line="360" w:lineRule="auto"/>
        <w:ind w:firstLine="480" w:firstLineChars="200"/>
        <w:rPr>
          <w:rFonts w:hint="eastAsia" w:ascii="仿宋" w:hAnsi="仿宋" w:eastAsia="仿宋" w:cs="宋体"/>
          <w:kern w:val="0"/>
          <w:sz w:val="24"/>
        </w:rPr>
      </w:pPr>
    </w:p>
    <w:p w14:paraId="324797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0724F965">
      <w:pPr>
        <w:spacing w:line="360" w:lineRule="auto"/>
        <w:ind w:firstLine="960" w:firstLineChars="400"/>
        <w:rPr>
          <w:rFonts w:hint="eastAsia" w:ascii="仿宋" w:hAnsi="仿宋" w:eastAsia="仿宋" w:cs="宋体"/>
          <w:kern w:val="0"/>
          <w:sz w:val="24"/>
        </w:rPr>
      </w:pPr>
      <w:r>
        <w:rPr>
          <w:rFonts w:hint="eastAsia" w:ascii="仿宋" w:hAnsi="仿宋" w:eastAsia="仿宋" w:cs="宋体"/>
          <w:kern w:val="0"/>
          <w:sz w:val="24"/>
          <w:lang w:val="en-US" w:eastAsia="zh-CN"/>
        </w:rPr>
        <w:t>本规范的</w:t>
      </w:r>
      <w:r>
        <w:rPr>
          <w:rFonts w:hint="eastAsia" w:ascii="仿宋" w:hAnsi="仿宋" w:eastAsia="仿宋" w:cs="宋体"/>
          <w:kern w:val="0"/>
          <w:sz w:val="24"/>
        </w:rPr>
        <w:t>试验结果</w:t>
      </w:r>
      <w:r>
        <w:rPr>
          <w:rFonts w:hint="eastAsia" w:ascii="仿宋" w:hAnsi="仿宋" w:eastAsia="仿宋" w:cs="宋体"/>
          <w:kern w:val="0"/>
          <w:sz w:val="24"/>
          <w:lang w:val="en-US" w:eastAsia="zh-CN"/>
        </w:rPr>
        <w:t>情况如下</w:t>
      </w:r>
      <w:r>
        <w:rPr>
          <w:rFonts w:hint="eastAsia" w:ascii="仿宋" w:hAnsi="仿宋" w:eastAsia="仿宋" w:cs="宋体"/>
          <w:kern w:val="0"/>
          <w:sz w:val="24"/>
        </w:rPr>
        <w:t>：</w:t>
      </w:r>
    </w:p>
    <w:tbl>
      <w:tblPr>
        <w:tblStyle w:val="6"/>
        <w:tblpPr w:leftFromText="180" w:rightFromText="180" w:vertAnchor="text" w:horzAnchor="page" w:tblpXSpec="center" w:tblpY="57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697"/>
        <w:gridCol w:w="781"/>
        <w:gridCol w:w="755"/>
        <w:gridCol w:w="499"/>
        <w:gridCol w:w="3436"/>
        <w:gridCol w:w="810"/>
        <w:gridCol w:w="892"/>
      </w:tblGrid>
      <w:tr w14:paraId="451C9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2" w:type="dxa"/>
            <w:shd w:val="clear" w:color="auto" w:fill="auto"/>
            <w:vAlign w:val="center"/>
          </w:tcPr>
          <w:p w14:paraId="43FD0561">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697" w:type="dxa"/>
            <w:shd w:val="clear" w:color="auto" w:fill="auto"/>
            <w:vAlign w:val="center"/>
          </w:tcPr>
          <w:p w14:paraId="5CC43BDE">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中文名称</w:t>
            </w:r>
          </w:p>
        </w:tc>
        <w:tc>
          <w:tcPr>
            <w:tcW w:w="781" w:type="dxa"/>
            <w:shd w:val="clear" w:color="auto" w:fill="auto"/>
            <w:vAlign w:val="center"/>
          </w:tcPr>
          <w:p w14:paraId="6F39A77C">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简称</w:t>
            </w:r>
          </w:p>
        </w:tc>
        <w:tc>
          <w:tcPr>
            <w:tcW w:w="755" w:type="dxa"/>
            <w:shd w:val="clear" w:color="auto" w:fill="auto"/>
            <w:vAlign w:val="center"/>
          </w:tcPr>
          <w:p w14:paraId="11DB3936">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样品数量</w:t>
            </w:r>
          </w:p>
        </w:tc>
        <w:tc>
          <w:tcPr>
            <w:tcW w:w="499" w:type="dxa"/>
            <w:shd w:val="clear" w:color="auto" w:fill="auto"/>
            <w:vAlign w:val="center"/>
          </w:tcPr>
          <w:p w14:paraId="222E7528">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批次</w:t>
            </w:r>
          </w:p>
        </w:tc>
        <w:tc>
          <w:tcPr>
            <w:tcW w:w="3436" w:type="dxa"/>
            <w:shd w:val="clear" w:color="auto" w:fill="auto"/>
            <w:vAlign w:val="center"/>
          </w:tcPr>
          <w:p w14:paraId="6B513D45">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试验概要描述</w:t>
            </w:r>
          </w:p>
        </w:tc>
        <w:tc>
          <w:tcPr>
            <w:tcW w:w="810" w:type="dxa"/>
            <w:shd w:val="clear" w:color="auto" w:fill="auto"/>
            <w:vAlign w:val="center"/>
          </w:tcPr>
          <w:p w14:paraId="26A873AF">
            <w:pPr>
              <w:widowControl/>
              <w:jc w:val="center"/>
              <w:textAlignment w:val="center"/>
              <w:rPr>
                <w:rFonts w:hint="eastAsia" w:ascii="宋体" w:hAnsi="宋体" w:eastAsia="宋体" w:cs="宋体"/>
                <w:b/>
                <w:bCs/>
                <w:color w:val="000000"/>
                <w:sz w:val="18"/>
                <w:szCs w:val="18"/>
                <w:lang w:eastAsia="zh-CN"/>
              </w:rPr>
            </w:pPr>
            <w:r>
              <w:rPr>
                <w:rFonts w:hint="eastAsia" w:ascii="宋体" w:hAnsi="宋体" w:cs="宋体"/>
                <w:b/>
                <w:bCs/>
                <w:color w:val="000000"/>
                <w:kern w:val="0"/>
                <w:sz w:val="18"/>
                <w:szCs w:val="18"/>
                <w:lang w:bidi="ar"/>
              </w:rPr>
              <w:t>试验</w:t>
            </w:r>
            <w:r>
              <w:rPr>
                <w:rFonts w:hint="eastAsia" w:ascii="宋体" w:hAnsi="宋体" w:cs="宋体"/>
                <w:b/>
                <w:bCs/>
                <w:color w:val="000000"/>
                <w:kern w:val="0"/>
                <w:sz w:val="18"/>
                <w:szCs w:val="18"/>
                <w:lang w:val="en-US" w:eastAsia="zh-CN" w:bidi="ar"/>
              </w:rPr>
              <w:t>符合性</w:t>
            </w:r>
          </w:p>
        </w:tc>
        <w:tc>
          <w:tcPr>
            <w:tcW w:w="892" w:type="dxa"/>
            <w:shd w:val="clear" w:color="auto" w:fill="auto"/>
            <w:vAlign w:val="center"/>
          </w:tcPr>
          <w:p w14:paraId="276ABE8B">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备注</w:t>
            </w:r>
          </w:p>
        </w:tc>
      </w:tr>
      <w:tr w14:paraId="64AE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452" w:type="dxa"/>
            <w:shd w:val="clear" w:color="auto" w:fill="auto"/>
            <w:vAlign w:val="center"/>
          </w:tcPr>
          <w:p w14:paraId="74BE6C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97" w:type="dxa"/>
            <w:shd w:val="clear" w:color="auto" w:fill="auto"/>
            <w:vAlign w:val="center"/>
          </w:tcPr>
          <w:p w14:paraId="485FC4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预处理</w:t>
            </w:r>
          </w:p>
        </w:tc>
        <w:tc>
          <w:tcPr>
            <w:tcW w:w="781" w:type="dxa"/>
            <w:shd w:val="clear" w:color="auto" w:fill="auto"/>
            <w:vAlign w:val="center"/>
          </w:tcPr>
          <w:p w14:paraId="1CF84F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PC</w:t>
            </w:r>
          </w:p>
        </w:tc>
        <w:tc>
          <w:tcPr>
            <w:tcW w:w="755" w:type="dxa"/>
            <w:shd w:val="clear" w:color="auto" w:fill="auto"/>
            <w:vAlign w:val="center"/>
          </w:tcPr>
          <w:p w14:paraId="7D20C7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462</w:t>
            </w:r>
          </w:p>
        </w:tc>
        <w:tc>
          <w:tcPr>
            <w:tcW w:w="499" w:type="dxa"/>
            <w:shd w:val="clear" w:color="auto" w:fill="auto"/>
            <w:vAlign w:val="center"/>
          </w:tcPr>
          <w:p w14:paraId="6DA3432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w:t>
            </w:r>
          </w:p>
        </w:tc>
        <w:tc>
          <w:tcPr>
            <w:tcW w:w="3436" w:type="dxa"/>
            <w:shd w:val="clear" w:color="auto" w:fill="auto"/>
            <w:vAlign w:val="center"/>
          </w:tcPr>
          <w:p w14:paraId="531633A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a）初始特性测试：将样品在25 ℃条件下进行参数检测，记录检测结果；</w:t>
            </w:r>
          </w:p>
          <w:p w14:paraId="4A5E0CB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b）外部目检：40倍光学放大下进行外部目视检查，记录检测结果；</w:t>
            </w:r>
          </w:p>
          <w:p w14:paraId="38CC5B6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c）内部检视：将样品放置在超声波扫描设备上检查样品封装内部情况，记录检测结果；</w:t>
            </w:r>
          </w:p>
          <w:p w14:paraId="6E513B1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d）温度循环：-40 ℃到60 ℃进行五个温度循环。</w:t>
            </w:r>
          </w:p>
          <w:p w14:paraId="2031692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e）烘烤：在125(+5/0)℃下至少烘烤24 h；</w:t>
            </w:r>
          </w:p>
          <w:p w14:paraId="60E7579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f）湿气渗浸:应在烘烤后2 h内开始本试验，将样品放置在一个干净、干燥且浅的容器中，使样品封装间不会相互接触或重叠，然后放置在温湿度试验箱内，按照GB/T 4937.20-2018规定进行渗浸测试。</w:t>
            </w:r>
          </w:p>
          <w:p w14:paraId="270894A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g）回流焊后的焊接：样品移除温湿度试验箱15 min到4 h之间，按照GB/T 4937.20-2018规定回流焊条件下进行3次循环。</w:t>
            </w:r>
          </w:p>
          <w:p w14:paraId="2B5386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h）最终目检和超声波扫描：回流后样品使用40倍光学显微镜检查，并利用超声波扫描显微镜检测，记录结果与初始目检、超声波扫描结果对比。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i）最终特性参数检测：样品恢复到25 ℃环境温度下，进行电参数和功能测试，记录结果并对比。</w:t>
            </w:r>
          </w:p>
        </w:tc>
        <w:tc>
          <w:tcPr>
            <w:tcW w:w="810" w:type="dxa"/>
            <w:shd w:val="clear" w:color="auto" w:fill="auto"/>
            <w:vAlign w:val="center"/>
          </w:tcPr>
          <w:p w14:paraId="3E6684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7DEC13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仅适用于贴片器件</w:t>
            </w:r>
          </w:p>
        </w:tc>
      </w:tr>
      <w:tr w14:paraId="65BE2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452" w:type="dxa"/>
            <w:shd w:val="clear" w:color="auto" w:fill="auto"/>
            <w:vAlign w:val="center"/>
          </w:tcPr>
          <w:p w14:paraId="2425A04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697" w:type="dxa"/>
            <w:shd w:val="clear" w:color="auto" w:fill="auto"/>
            <w:vAlign w:val="center"/>
          </w:tcPr>
          <w:p w14:paraId="52833FB3">
            <w:pPr>
              <w:widowControl/>
              <w:jc w:val="left"/>
              <w:textAlignment w:val="center"/>
              <w:rPr>
                <w:rFonts w:hint="eastAsia" w:ascii="宋体" w:hAnsi="宋体" w:cs="宋体"/>
                <w:color w:val="000000"/>
                <w:sz w:val="18"/>
                <w:szCs w:val="18"/>
              </w:rPr>
            </w:pPr>
            <w:r>
              <w:rPr>
                <w:rFonts w:hint="eastAsia" w:ascii="宋体" w:hAnsi="宋体" w:cs="宋体"/>
                <w:sz w:val="18"/>
                <w:szCs w:val="18"/>
              </w:rPr>
              <w:t>高压蒸煮</w:t>
            </w:r>
          </w:p>
        </w:tc>
        <w:tc>
          <w:tcPr>
            <w:tcW w:w="781" w:type="dxa"/>
            <w:shd w:val="clear" w:color="auto" w:fill="auto"/>
            <w:vAlign w:val="center"/>
          </w:tcPr>
          <w:p w14:paraId="102FA9CB">
            <w:pPr>
              <w:widowControl/>
              <w:jc w:val="center"/>
              <w:textAlignment w:val="center"/>
              <w:rPr>
                <w:rFonts w:hint="eastAsia" w:ascii="宋体" w:hAnsi="宋体" w:cs="宋体"/>
                <w:color w:val="000000"/>
                <w:sz w:val="18"/>
                <w:szCs w:val="18"/>
              </w:rPr>
            </w:pPr>
            <w:r>
              <w:rPr>
                <w:rFonts w:hint="eastAsia" w:ascii="宋体" w:hAnsi="宋体" w:cs="宋体"/>
                <w:sz w:val="18"/>
                <w:szCs w:val="18"/>
              </w:rPr>
              <w:t>AC</w:t>
            </w:r>
          </w:p>
        </w:tc>
        <w:tc>
          <w:tcPr>
            <w:tcW w:w="755" w:type="dxa"/>
            <w:shd w:val="clear" w:color="auto" w:fill="auto"/>
            <w:vAlign w:val="center"/>
          </w:tcPr>
          <w:p w14:paraId="0F919C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603086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5C021F79">
            <w:pPr>
              <w:widowControl/>
              <w:numPr>
                <w:ilvl w:val="0"/>
                <w:numId w:val="6"/>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温度：T</w:t>
            </w:r>
            <w:r>
              <w:rPr>
                <w:rFonts w:hint="eastAsia" w:ascii="宋体" w:hAnsi="宋体" w:cs="宋体"/>
                <w:color w:val="000000"/>
                <w:sz w:val="18"/>
                <w:szCs w:val="18"/>
                <w:vertAlign w:val="subscript"/>
              </w:rPr>
              <w:t>a</w:t>
            </w:r>
            <w:r>
              <w:rPr>
                <w:rFonts w:hint="eastAsia" w:ascii="宋体" w:hAnsi="宋体" w:cs="宋体"/>
                <w:color w:val="000000"/>
                <w:sz w:val="18"/>
                <w:szCs w:val="18"/>
              </w:rPr>
              <w:t xml:space="preserve"> = 121 ℃；</w:t>
            </w:r>
          </w:p>
          <w:p w14:paraId="587E526D">
            <w:pPr>
              <w:widowControl/>
              <w:numPr>
                <w:ilvl w:val="0"/>
                <w:numId w:val="6"/>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湿度：100% RH；</w:t>
            </w:r>
          </w:p>
          <w:p w14:paraId="012D07E7">
            <w:pPr>
              <w:widowControl/>
              <w:numPr>
                <w:ilvl w:val="0"/>
                <w:numId w:val="6"/>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气压：103 kPa；</w:t>
            </w:r>
          </w:p>
          <w:p w14:paraId="409EE118">
            <w:pPr>
              <w:widowControl/>
              <w:numPr>
                <w:ilvl w:val="0"/>
                <w:numId w:val="6"/>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试验时间：96 h。</w:t>
            </w:r>
          </w:p>
        </w:tc>
        <w:tc>
          <w:tcPr>
            <w:tcW w:w="810" w:type="dxa"/>
            <w:shd w:val="clear" w:color="auto" w:fill="auto"/>
            <w:vAlign w:val="center"/>
          </w:tcPr>
          <w:p w14:paraId="2A2E2A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48259B28">
            <w:pPr>
              <w:jc w:val="center"/>
              <w:rPr>
                <w:rFonts w:hint="eastAsia" w:ascii="宋体" w:hAnsi="宋体" w:cs="宋体"/>
                <w:color w:val="000000"/>
                <w:sz w:val="18"/>
                <w:szCs w:val="18"/>
              </w:rPr>
            </w:pPr>
          </w:p>
        </w:tc>
      </w:tr>
      <w:tr w14:paraId="3D04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452" w:type="dxa"/>
            <w:shd w:val="clear" w:color="auto" w:fill="auto"/>
            <w:vAlign w:val="center"/>
          </w:tcPr>
          <w:p w14:paraId="4B6C340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697" w:type="dxa"/>
            <w:shd w:val="clear" w:color="auto" w:fill="auto"/>
            <w:vAlign w:val="center"/>
          </w:tcPr>
          <w:p w14:paraId="11142518">
            <w:pPr>
              <w:widowControl/>
              <w:jc w:val="left"/>
              <w:textAlignment w:val="center"/>
              <w:rPr>
                <w:rFonts w:hint="eastAsia" w:ascii="宋体" w:hAnsi="宋体" w:cs="宋体"/>
                <w:color w:val="000000"/>
                <w:sz w:val="18"/>
                <w:szCs w:val="18"/>
              </w:rPr>
            </w:pPr>
            <w:r>
              <w:rPr>
                <w:rFonts w:hint="eastAsia" w:ascii="宋体" w:hAnsi="宋体" w:cs="宋体"/>
                <w:sz w:val="18"/>
                <w:szCs w:val="18"/>
              </w:rPr>
              <w:t>高温存储</w:t>
            </w:r>
          </w:p>
        </w:tc>
        <w:tc>
          <w:tcPr>
            <w:tcW w:w="781" w:type="dxa"/>
            <w:shd w:val="clear" w:color="auto" w:fill="auto"/>
            <w:vAlign w:val="center"/>
          </w:tcPr>
          <w:p w14:paraId="4CDFC091">
            <w:pPr>
              <w:widowControl/>
              <w:jc w:val="center"/>
              <w:textAlignment w:val="center"/>
              <w:rPr>
                <w:rFonts w:hint="eastAsia" w:ascii="宋体" w:hAnsi="宋体" w:cs="宋体"/>
                <w:color w:val="000000"/>
                <w:sz w:val="18"/>
                <w:szCs w:val="18"/>
              </w:rPr>
            </w:pPr>
            <w:r>
              <w:rPr>
                <w:rFonts w:hint="eastAsia" w:ascii="宋体" w:hAnsi="宋体" w:cs="宋体"/>
                <w:sz w:val="18"/>
                <w:szCs w:val="18"/>
              </w:rPr>
              <w:t>HTS</w:t>
            </w:r>
          </w:p>
        </w:tc>
        <w:tc>
          <w:tcPr>
            <w:tcW w:w="755" w:type="dxa"/>
            <w:shd w:val="clear" w:color="auto" w:fill="auto"/>
            <w:vAlign w:val="center"/>
          </w:tcPr>
          <w:p w14:paraId="3EEB53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64DCA0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3AC75D6D">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——温度：T</w:t>
            </w:r>
            <w:r>
              <w:rPr>
                <w:rFonts w:hint="eastAsia" w:ascii="宋体" w:hAnsi="宋体" w:cs="宋体"/>
                <w:color w:val="000000"/>
                <w:sz w:val="18"/>
                <w:szCs w:val="18"/>
                <w:vertAlign w:val="subscript"/>
              </w:rPr>
              <w:t>a</w:t>
            </w:r>
            <w:r>
              <w:rPr>
                <w:rFonts w:hint="eastAsia" w:ascii="宋体" w:hAnsi="宋体" w:cs="宋体"/>
                <w:color w:val="000000"/>
                <w:sz w:val="18"/>
                <w:szCs w:val="18"/>
              </w:rPr>
              <w:t xml:space="preserve"> = T</w:t>
            </w:r>
            <w:r>
              <w:rPr>
                <w:rFonts w:hint="eastAsia" w:ascii="宋体" w:hAnsi="宋体" w:cs="宋体"/>
                <w:color w:val="000000"/>
                <w:sz w:val="18"/>
                <w:szCs w:val="18"/>
                <w:vertAlign w:val="subscript"/>
              </w:rPr>
              <w:t>stgmax</w:t>
            </w:r>
            <w:r>
              <w:rPr>
                <w:rFonts w:hint="eastAsia" w:ascii="宋体" w:hAnsi="宋体" w:cs="宋体"/>
                <w:color w:val="000000"/>
                <w:sz w:val="18"/>
                <w:szCs w:val="18"/>
              </w:rPr>
              <w:t>；</w:t>
            </w:r>
          </w:p>
          <w:p w14:paraId="7EFB16B3">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——时间：≥1000h。</w:t>
            </w:r>
          </w:p>
        </w:tc>
        <w:tc>
          <w:tcPr>
            <w:tcW w:w="810" w:type="dxa"/>
            <w:shd w:val="clear" w:color="auto" w:fill="auto"/>
            <w:vAlign w:val="center"/>
          </w:tcPr>
          <w:p w14:paraId="01A2BE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5B649715">
            <w:pPr>
              <w:jc w:val="center"/>
              <w:rPr>
                <w:rFonts w:hint="eastAsia" w:ascii="宋体" w:hAnsi="宋体" w:cs="宋体"/>
                <w:color w:val="000000"/>
                <w:sz w:val="18"/>
                <w:szCs w:val="18"/>
              </w:rPr>
            </w:pPr>
          </w:p>
        </w:tc>
      </w:tr>
      <w:tr w14:paraId="001D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52" w:type="dxa"/>
            <w:shd w:val="clear" w:color="auto" w:fill="auto"/>
            <w:vAlign w:val="center"/>
          </w:tcPr>
          <w:p w14:paraId="006E918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697" w:type="dxa"/>
            <w:shd w:val="clear" w:color="auto" w:fill="auto"/>
            <w:vAlign w:val="center"/>
          </w:tcPr>
          <w:p w14:paraId="2CD121FD">
            <w:pPr>
              <w:widowControl/>
              <w:jc w:val="left"/>
              <w:textAlignment w:val="center"/>
              <w:rPr>
                <w:rFonts w:hint="eastAsia" w:ascii="宋体" w:hAnsi="宋体" w:cs="宋体"/>
                <w:color w:val="000000"/>
                <w:sz w:val="18"/>
                <w:szCs w:val="18"/>
              </w:rPr>
            </w:pPr>
            <w:r>
              <w:rPr>
                <w:rFonts w:hint="eastAsia" w:ascii="宋体" w:hAnsi="宋体" w:cs="宋体"/>
                <w:sz w:val="18"/>
                <w:szCs w:val="18"/>
              </w:rPr>
              <w:t>低温存储</w:t>
            </w:r>
          </w:p>
        </w:tc>
        <w:tc>
          <w:tcPr>
            <w:tcW w:w="781" w:type="dxa"/>
            <w:shd w:val="clear" w:color="auto" w:fill="auto"/>
            <w:vAlign w:val="center"/>
          </w:tcPr>
          <w:p w14:paraId="6E11A0C1">
            <w:pPr>
              <w:widowControl/>
              <w:jc w:val="center"/>
              <w:textAlignment w:val="center"/>
              <w:rPr>
                <w:rFonts w:hint="eastAsia" w:ascii="宋体" w:hAnsi="宋体" w:cs="宋体"/>
                <w:color w:val="000000"/>
                <w:sz w:val="18"/>
                <w:szCs w:val="18"/>
              </w:rPr>
            </w:pPr>
            <w:r>
              <w:rPr>
                <w:rFonts w:hint="eastAsia" w:ascii="宋体" w:hAnsi="宋体" w:cs="宋体"/>
                <w:sz w:val="18"/>
                <w:szCs w:val="18"/>
              </w:rPr>
              <w:t>LTS</w:t>
            </w:r>
          </w:p>
        </w:tc>
        <w:tc>
          <w:tcPr>
            <w:tcW w:w="755" w:type="dxa"/>
            <w:shd w:val="clear" w:color="auto" w:fill="auto"/>
            <w:vAlign w:val="center"/>
          </w:tcPr>
          <w:p w14:paraId="3550FA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7E9940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5AF6AF2A">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——温度：T</w:t>
            </w:r>
            <w:r>
              <w:rPr>
                <w:rFonts w:hint="eastAsia" w:ascii="宋体" w:hAnsi="宋体" w:cs="宋体"/>
                <w:color w:val="000000"/>
                <w:sz w:val="18"/>
                <w:szCs w:val="18"/>
                <w:vertAlign w:val="subscript"/>
              </w:rPr>
              <w:t>a</w:t>
            </w:r>
            <w:r>
              <w:rPr>
                <w:rFonts w:hint="eastAsia" w:ascii="宋体" w:hAnsi="宋体" w:cs="宋体"/>
                <w:color w:val="000000"/>
                <w:sz w:val="18"/>
                <w:szCs w:val="18"/>
              </w:rPr>
              <w:t xml:space="preserve"> = T</w:t>
            </w:r>
            <w:r>
              <w:rPr>
                <w:rFonts w:hint="eastAsia" w:ascii="宋体" w:hAnsi="宋体" w:cs="宋体"/>
                <w:color w:val="000000"/>
                <w:sz w:val="18"/>
                <w:szCs w:val="18"/>
                <w:vertAlign w:val="subscript"/>
              </w:rPr>
              <w:t>stgmin</w:t>
            </w:r>
            <w:r>
              <w:rPr>
                <w:rFonts w:hint="eastAsia" w:ascii="宋体" w:hAnsi="宋体" w:cs="宋体"/>
                <w:color w:val="000000"/>
                <w:sz w:val="18"/>
                <w:szCs w:val="18"/>
              </w:rPr>
              <w:t>；</w:t>
            </w:r>
          </w:p>
          <w:p w14:paraId="584F06CA">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——时间：≥1000h。</w:t>
            </w:r>
          </w:p>
        </w:tc>
        <w:tc>
          <w:tcPr>
            <w:tcW w:w="810" w:type="dxa"/>
            <w:shd w:val="clear" w:color="auto" w:fill="auto"/>
            <w:vAlign w:val="center"/>
          </w:tcPr>
          <w:p w14:paraId="6AC466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0BB028E5">
            <w:pPr>
              <w:jc w:val="center"/>
              <w:rPr>
                <w:rFonts w:hint="eastAsia" w:ascii="宋体" w:hAnsi="宋体" w:cs="宋体"/>
                <w:color w:val="000000"/>
                <w:sz w:val="18"/>
                <w:szCs w:val="18"/>
              </w:rPr>
            </w:pPr>
          </w:p>
        </w:tc>
      </w:tr>
      <w:tr w14:paraId="5F6C8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452" w:type="dxa"/>
            <w:shd w:val="clear" w:color="auto" w:fill="auto"/>
            <w:vAlign w:val="center"/>
          </w:tcPr>
          <w:p w14:paraId="08DE0B7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697" w:type="dxa"/>
            <w:shd w:val="clear" w:color="auto" w:fill="auto"/>
            <w:vAlign w:val="center"/>
          </w:tcPr>
          <w:p w14:paraId="496AB02B">
            <w:pPr>
              <w:widowControl/>
              <w:jc w:val="left"/>
              <w:textAlignment w:val="center"/>
              <w:rPr>
                <w:rFonts w:hint="eastAsia" w:ascii="宋体" w:hAnsi="宋体" w:cs="宋体"/>
                <w:color w:val="000000"/>
                <w:sz w:val="18"/>
                <w:szCs w:val="18"/>
              </w:rPr>
            </w:pPr>
            <w:r>
              <w:rPr>
                <w:rFonts w:hint="eastAsia" w:ascii="宋体" w:hAnsi="宋体" w:cs="宋体"/>
                <w:sz w:val="18"/>
                <w:szCs w:val="18"/>
              </w:rPr>
              <w:t>温度循环</w:t>
            </w:r>
          </w:p>
        </w:tc>
        <w:tc>
          <w:tcPr>
            <w:tcW w:w="781" w:type="dxa"/>
            <w:shd w:val="clear" w:color="auto" w:fill="auto"/>
            <w:vAlign w:val="center"/>
          </w:tcPr>
          <w:p w14:paraId="1CF544F8">
            <w:pPr>
              <w:widowControl/>
              <w:jc w:val="center"/>
              <w:textAlignment w:val="center"/>
              <w:rPr>
                <w:rFonts w:hint="eastAsia" w:ascii="宋体" w:hAnsi="宋体" w:cs="宋体"/>
                <w:color w:val="000000"/>
                <w:sz w:val="18"/>
                <w:szCs w:val="18"/>
              </w:rPr>
            </w:pPr>
            <w:r>
              <w:rPr>
                <w:rFonts w:hint="eastAsia" w:ascii="宋体" w:hAnsi="宋体" w:cs="宋体"/>
                <w:sz w:val="18"/>
                <w:szCs w:val="18"/>
              </w:rPr>
              <w:t>TC</w:t>
            </w:r>
          </w:p>
        </w:tc>
        <w:tc>
          <w:tcPr>
            <w:tcW w:w="755" w:type="dxa"/>
            <w:shd w:val="clear" w:color="auto" w:fill="auto"/>
            <w:vAlign w:val="center"/>
          </w:tcPr>
          <w:p w14:paraId="0863A3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717501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7368EC03">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——试验温度：-55 ℃到最高额定结温(不超过150 ℃)；或试验温度为-55 ℃到最高额定结温+25 ℃(不超过175 ℃)；</w:t>
            </w:r>
          </w:p>
          <w:p w14:paraId="1B331525">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——循环次数：循环次数为1000次（最高结温不超150 ℃）或400次（最高结温+25 ℃，不超175 ℃）在1 h内完成两次循环，且每次循环在最低温度和最高温度下的持续时间均不少于10 min；</w:t>
            </w:r>
          </w:p>
          <w:p w14:paraId="30C56CEC">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——最高温度的允许误差范围为-5 ℃～10 ℃，最低温度的允许误差范围为-10 ℃～5 ℃。</w:t>
            </w:r>
          </w:p>
        </w:tc>
        <w:tc>
          <w:tcPr>
            <w:tcW w:w="810" w:type="dxa"/>
            <w:shd w:val="clear" w:color="auto" w:fill="auto"/>
            <w:vAlign w:val="center"/>
          </w:tcPr>
          <w:p w14:paraId="20F072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4377A11C">
            <w:pPr>
              <w:widowControl/>
              <w:jc w:val="center"/>
              <w:textAlignment w:val="center"/>
              <w:rPr>
                <w:rFonts w:hint="eastAsia" w:ascii="宋体" w:hAnsi="宋体" w:cs="宋体"/>
                <w:color w:val="000000"/>
                <w:sz w:val="18"/>
                <w:szCs w:val="18"/>
              </w:rPr>
            </w:pPr>
          </w:p>
        </w:tc>
      </w:tr>
      <w:tr w14:paraId="1ADF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60F0D3D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w:t>
            </w:r>
          </w:p>
        </w:tc>
        <w:tc>
          <w:tcPr>
            <w:tcW w:w="697" w:type="dxa"/>
            <w:shd w:val="clear" w:color="auto" w:fill="auto"/>
            <w:vAlign w:val="center"/>
          </w:tcPr>
          <w:p w14:paraId="11FC13C3">
            <w:pPr>
              <w:widowControl/>
              <w:jc w:val="left"/>
              <w:textAlignment w:val="center"/>
              <w:rPr>
                <w:rFonts w:hint="eastAsia" w:ascii="宋体" w:hAnsi="宋体" w:cs="宋体"/>
                <w:color w:val="000000"/>
                <w:sz w:val="18"/>
                <w:szCs w:val="18"/>
              </w:rPr>
            </w:pPr>
            <w:r>
              <w:rPr>
                <w:rFonts w:hint="eastAsia" w:ascii="宋体" w:hAnsi="宋体" w:cs="宋体"/>
                <w:sz w:val="18"/>
                <w:szCs w:val="18"/>
              </w:rPr>
              <w:t>温度冲击</w:t>
            </w:r>
          </w:p>
        </w:tc>
        <w:tc>
          <w:tcPr>
            <w:tcW w:w="781" w:type="dxa"/>
            <w:shd w:val="clear" w:color="auto" w:fill="auto"/>
            <w:vAlign w:val="center"/>
          </w:tcPr>
          <w:p w14:paraId="0E8ED0D9">
            <w:pPr>
              <w:widowControl/>
              <w:jc w:val="center"/>
              <w:textAlignment w:val="center"/>
              <w:rPr>
                <w:rFonts w:hint="eastAsia" w:ascii="宋体" w:hAnsi="宋体" w:cs="宋体"/>
                <w:color w:val="000000"/>
                <w:sz w:val="18"/>
                <w:szCs w:val="18"/>
              </w:rPr>
            </w:pPr>
            <w:r>
              <w:rPr>
                <w:rFonts w:hint="eastAsia" w:ascii="宋体" w:hAnsi="宋体" w:cs="宋体"/>
                <w:sz w:val="18"/>
                <w:szCs w:val="18"/>
              </w:rPr>
              <w:t>TST</w:t>
            </w:r>
          </w:p>
        </w:tc>
        <w:tc>
          <w:tcPr>
            <w:tcW w:w="755" w:type="dxa"/>
            <w:shd w:val="clear" w:color="auto" w:fill="auto"/>
            <w:vAlign w:val="center"/>
          </w:tcPr>
          <w:p w14:paraId="17EEC0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3D569E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44349250">
            <w:pPr>
              <w:widowControl/>
              <w:jc w:val="left"/>
              <w:textAlignment w:val="center"/>
              <w:rPr>
                <w:rFonts w:hint="eastAsia" w:ascii="宋体" w:hAnsi="宋体" w:cs="宋体"/>
                <w:color w:val="000000"/>
                <w:sz w:val="18"/>
                <w:szCs w:val="18"/>
              </w:rPr>
            </w:pPr>
            <w:r>
              <w:rPr>
                <w:rFonts w:ascii="宋体" w:hAnsi="宋体" w:cs="宋体"/>
                <w:color w:val="000000"/>
                <w:sz w:val="18"/>
                <w:szCs w:val="18"/>
              </w:rPr>
              <w:t>温度：T</w:t>
            </w:r>
            <w:r>
              <w:rPr>
                <w:rFonts w:ascii="宋体" w:hAnsi="宋体" w:cs="宋体"/>
                <w:color w:val="000000"/>
                <w:sz w:val="18"/>
                <w:szCs w:val="18"/>
                <w:vertAlign w:val="subscript"/>
              </w:rPr>
              <w:t>stgmin</w:t>
            </w:r>
            <w:r>
              <w:rPr>
                <w:rFonts w:ascii="宋体" w:hAnsi="宋体" w:cs="宋体"/>
                <w:color w:val="000000"/>
                <w:sz w:val="18"/>
                <w:szCs w:val="18"/>
              </w:rPr>
              <w:t>～T</w:t>
            </w:r>
            <w:r>
              <w:rPr>
                <w:rFonts w:ascii="宋体" w:hAnsi="宋体" w:cs="宋体"/>
                <w:color w:val="000000"/>
                <w:sz w:val="18"/>
                <w:szCs w:val="18"/>
                <w:vertAlign w:val="subscript"/>
              </w:rPr>
              <w:t>stgmax</w:t>
            </w:r>
            <w:r>
              <w:rPr>
                <w:rFonts w:ascii="宋体" w:hAnsi="宋体" w:cs="宋体"/>
                <w:color w:val="000000"/>
                <w:sz w:val="18"/>
                <w:szCs w:val="18"/>
              </w:rPr>
              <w:t>；</w:t>
            </w:r>
          </w:p>
          <w:p w14:paraId="2FDDDC08">
            <w:pPr>
              <w:widowControl/>
              <w:jc w:val="left"/>
              <w:textAlignment w:val="center"/>
              <w:rPr>
                <w:rFonts w:hint="eastAsia" w:ascii="宋体" w:hAnsi="宋体" w:cs="宋体"/>
                <w:color w:val="000000"/>
                <w:sz w:val="18"/>
                <w:szCs w:val="18"/>
              </w:rPr>
            </w:pPr>
            <w:r>
              <w:rPr>
                <w:rFonts w:ascii="宋体" w:hAnsi="宋体" w:cs="宋体"/>
                <w:color w:val="000000"/>
                <w:sz w:val="18"/>
                <w:szCs w:val="18"/>
              </w:rPr>
              <w:t>——循环数：≥1000 次；</w:t>
            </w:r>
          </w:p>
          <w:p w14:paraId="6D4EF7FE">
            <w:pPr>
              <w:widowControl/>
              <w:jc w:val="left"/>
              <w:textAlignment w:val="center"/>
              <w:rPr>
                <w:rFonts w:hint="eastAsia" w:ascii="宋体" w:hAnsi="宋体" w:cs="宋体"/>
                <w:color w:val="000000"/>
                <w:sz w:val="18"/>
                <w:szCs w:val="18"/>
              </w:rPr>
            </w:pPr>
            <w:r>
              <w:rPr>
                <w:rFonts w:ascii="宋体" w:hAnsi="宋体" w:cs="宋体"/>
                <w:color w:val="000000"/>
                <w:sz w:val="18"/>
                <w:szCs w:val="18"/>
              </w:rPr>
              <w:t>——高温存储阶段时间：≥15 min；</w:t>
            </w:r>
          </w:p>
          <w:p w14:paraId="098CCA5B">
            <w:pPr>
              <w:widowControl/>
              <w:jc w:val="left"/>
              <w:textAlignment w:val="center"/>
              <w:rPr>
                <w:rFonts w:hint="eastAsia" w:ascii="宋体" w:hAnsi="宋体" w:cs="宋体"/>
                <w:color w:val="000000"/>
                <w:sz w:val="18"/>
                <w:szCs w:val="18"/>
              </w:rPr>
            </w:pPr>
            <w:r>
              <w:rPr>
                <w:rFonts w:ascii="宋体" w:hAnsi="宋体" w:cs="宋体"/>
                <w:color w:val="000000"/>
                <w:sz w:val="18"/>
                <w:szCs w:val="18"/>
              </w:rPr>
              <w:t>——低温存储阶段时间：≥15 min；</w:t>
            </w:r>
          </w:p>
          <w:p w14:paraId="793BBAEE">
            <w:pPr>
              <w:widowControl/>
              <w:jc w:val="left"/>
              <w:textAlignment w:val="center"/>
              <w:rPr>
                <w:rFonts w:hint="eastAsia" w:ascii="宋体" w:hAnsi="宋体" w:cs="宋体"/>
                <w:color w:val="000000"/>
                <w:sz w:val="18"/>
                <w:szCs w:val="18"/>
              </w:rPr>
            </w:pPr>
            <w:r>
              <w:rPr>
                <w:rFonts w:ascii="宋体" w:hAnsi="宋体" w:cs="宋体"/>
                <w:color w:val="000000"/>
                <w:sz w:val="18"/>
                <w:szCs w:val="18"/>
              </w:rPr>
              <w:t>——温度转换阶段时间：＞5 s且＜30 s；</w:t>
            </w:r>
          </w:p>
          <w:p w14:paraId="3EFB4D7E">
            <w:pPr>
              <w:widowControl/>
              <w:jc w:val="left"/>
              <w:textAlignment w:val="center"/>
              <w:rPr>
                <w:rFonts w:hint="eastAsia" w:ascii="宋体" w:hAnsi="宋体" w:cs="宋体"/>
                <w:color w:val="000000"/>
                <w:sz w:val="18"/>
                <w:szCs w:val="18"/>
              </w:rPr>
            </w:pPr>
            <w:r>
              <w:rPr>
                <w:rFonts w:ascii="宋体" w:hAnsi="宋体" w:cs="宋体"/>
                <w:color w:val="000000"/>
                <w:sz w:val="18"/>
                <w:szCs w:val="18"/>
              </w:rPr>
              <w:t>——被测样件状态：不带电工作状态。</w:t>
            </w:r>
          </w:p>
        </w:tc>
        <w:tc>
          <w:tcPr>
            <w:tcW w:w="810" w:type="dxa"/>
            <w:shd w:val="clear" w:color="auto" w:fill="auto"/>
            <w:vAlign w:val="center"/>
          </w:tcPr>
          <w:p w14:paraId="49D8A7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17A47315">
            <w:pPr>
              <w:jc w:val="center"/>
              <w:rPr>
                <w:rFonts w:hint="eastAsia" w:ascii="宋体" w:hAnsi="宋体" w:cs="宋体"/>
                <w:color w:val="000000"/>
                <w:sz w:val="18"/>
                <w:szCs w:val="18"/>
              </w:rPr>
            </w:pPr>
          </w:p>
        </w:tc>
      </w:tr>
      <w:tr w14:paraId="1ACC0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52" w:type="dxa"/>
            <w:shd w:val="clear" w:color="auto" w:fill="auto"/>
            <w:vAlign w:val="center"/>
          </w:tcPr>
          <w:p w14:paraId="1358379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w:t>
            </w:r>
          </w:p>
        </w:tc>
        <w:tc>
          <w:tcPr>
            <w:tcW w:w="697" w:type="dxa"/>
            <w:shd w:val="clear" w:color="auto" w:fill="auto"/>
            <w:vAlign w:val="center"/>
          </w:tcPr>
          <w:p w14:paraId="3A59630A">
            <w:pPr>
              <w:widowControl/>
              <w:jc w:val="left"/>
              <w:textAlignment w:val="center"/>
              <w:rPr>
                <w:rFonts w:hint="eastAsia" w:ascii="宋体" w:hAnsi="宋体" w:cs="宋体"/>
                <w:color w:val="000000"/>
                <w:sz w:val="18"/>
                <w:szCs w:val="18"/>
              </w:rPr>
            </w:pPr>
            <w:r>
              <w:rPr>
                <w:rFonts w:hint="eastAsia" w:ascii="宋体" w:hAnsi="宋体" w:cs="宋体"/>
                <w:sz w:val="18"/>
                <w:szCs w:val="18"/>
              </w:rPr>
              <w:t>可焊性试验</w:t>
            </w:r>
          </w:p>
        </w:tc>
        <w:tc>
          <w:tcPr>
            <w:tcW w:w="781" w:type="dxa"/>
            <w:shd w:val="clear" w:color="auto" w:fill="auto"/>
            <w:vAlign w:val="center"/>
          </w:tcPr>
          <w:p w14:paraId="12393F8B">
            <w:pPr>
              <w:widowControl/>
              <w:jc w:val="center"/>
              <w:textAlignment w:val="center"/>
              <w:rPr>
                <w:rFonts w:hint="eastAsia" w:ascii="宋体" w:hAnsi="宋体" w:cs="宋体"/>
                <w:color w:val="000000"/>
                <w:sz w:val="18"/>
                <w:szCs w:val="18"/>
              </w:rPr>
            </w:pPr>
            <w:r>
              <w:rPr>
                <w:rFonts w:hint="eastAsia" w:ascii="宋体" w:hAnsi="宋体" w:cs="宋体"/>
                <w:sz w:val="18"/>
                <w:szCs w:val="18"/>
              </w:rPr>
              <w:t>SD</w:t>
            </w:r>
          </w:p>
        </w:tc>
        <w:tc>
          <w:tcPr>
            <w:tcW w:w="755" w:type="dxa"/>
            <w:shd w:val="clear" w:color="auto" w:fill="auto"/>
            <w:vAlign w:val="center"/>
          </w:tcPr>
          <w:p w14:paraId="394760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025B95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6CFCD667">
            <w:pPr>
              <w:widowControl/>
              <w:jc w:val="left"/>
              <w:textAlignment w:val="center"/>
              <w:rPr>
                <w:rFonts w:hint="eastAsia" w:ascii="宋体" w:hAnsi="宋体" w:cs="宋体"/>
                <w:color w:val="000000"/>
                <w:sz w:val="18"/>
                <w:szCs w:val="18"/>
              </w:rPr>
            </w:pPr>
            <w:r>
              <w:rPr>
                <w:rFonts w:ascii="宋体" w:hAnsi="宋体" w:cs="宋体"/>
                <w:color w:val="000000"/>
                <w:sz w:val="18"/>
                <w:szCs w:val="18"/>
              </w:rPr>
              <w:t>——温度：235℃±5℃；</w:t>
            </w:r>
          </w:p>
          <w:p w14:paraId="0E868824">
            <w:pPr>
              <w:widowControl/>
              <w:jc w:val="left"/>
              <w:textAlignment w:val="center"/>
              <w:rPr>
                <w:rFonts w:hint="eastAsia" w:ascii="宋体" w:hAnsi="宋体" w:cs="宋体"/>
                <w:color w:val="000000"/>
                <w:sz w:val="18"/>
                <w:szCs w:val="18"/>
              </w:rPr>
            </w:pPr>
            <w:r>
              <w:rPr>
                <w:rFonts w:ascii="宋体" w:hAnsi="宋体" w:cs="宋体"/>
                <w:color w:val="000000"/>
                <w:sz w:val="18"/>
                <w:szCs w:val="18"/>
              </w:rPr>
              <w:t>——等级：老化等级3。</w:t>
            </w:r>
          </w:p>
        </w:tc>
        <w:tc>
          <w:tcPr>
            <w:tcW w:w="810" w:type="dxa"/>
            <w:shd w:val="clear" w:color="auto" w:fill="auto"/>
            <w:vAlign w:val="center"/>
          </w:tcPr>
          <w:p w14:paraId="5A218F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547B572C">
            <w:pPr>
              <w:jc w:val="center"/>
              <w:rPr>
                <w:rFonts w:hint="eastAsia" w:ascii="宋体" w:hAnsi="宋体" w:cs="宋体"/>
                <w:color w:val="000000"/>
                <w:sz w:val="18"/>
                <w:szCs w:val="18"/>
              </w:rPr>
            </w:pPr>
          </w:p>
        </w:tc>
      </w:tr>
      <w:tr w14:paraId="440B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452" w:type="dxa"/>
            <w:shd w:val="clear" w:color="auto" w:fill="auto"/>
            <w:vAlign w:val="center"/>
          </w:tcPr>
          <w:p w14:paraId="2093722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w:t>
            </w:r>
          </w:p>
        </w:tc>
        <w:tc>
          <w:tcPr>
            <w:tcW w:w="697" w:type="dxa"/>
            <w:shd w:val="clear" w:color="auto" w:fill="auto"/>
            <w:vAlign w:val="center"/>
          </w:tcPr>
          <w:p w14:paraId="538EC876">
            <w:pPr>
              <w:widowControl/>
              <w:jc w:val="left"/>
              <w:textAlignment w:val="center"/>
              <w:rPr>
                <w:rFonts w:hint="eastAsia" w:ascii="宋体" w:hAnsi="宋体" w:cs="宋体"/>
                <w:color w:val="000000"/>
                <w:sz w:val="18"/>
                <w:szCs w:val="18"/>
              </w:rPr>
            </w:pPr>
            <w:r>
              <w:rPr>
                <w:rFonts w:hint="eastAsia" w:ascii="宋体" w:hAnsi="宋体" w:cs="宋体"/>
                <w:sz w:val="18"/>
                <w:szCs w:val="18"/>
              </w:rPr>
              <w:t>盐雾试验</w:t>
            </w:r>
          </w:p>
        </w:tc>
        <w:tc>
          <w:tcPr>
            <w:tcW w:w="781" w:type="dxa"/>
            <w:shd w:val="clear" w:color="auto" w:fill="auto"/>
            <w:vAlign w:val="center"/>
          </w:tcPr>
          <w:p w14:paraId="27AD3A99">
            <w:pPr>
              <w:widowControl/>
              <w:jc w:val="center"/>
              <w:textAlignment w:val="center"/>
              <w:rPr>
                <w:rFonts w:hint="eastAsia" w:ascii="宋体" w:hAnsi="宋体" w:cs="宋体"/>
                <w:color w:val="000000"/>
                <w:sz w:val="18"/>
                <w:szCs w:val="18"/>
              </w:rPr>
            </w:pPr>
            <w:r>
              <w:rPr>
                <w:rFonts w:hint="eastAsia" w:ascii="宋体" w:hAnsi="宋体" w:cs="宋体"/>
                <w:sz w:val="18"/>
                <w:szCs w:val="18"/>
              </w:rPr>
              <w:t>SST</w:t>
            </w:r>
          </w:p>
        </w:tc>
        <w:tc>
          <w:tcPr>
            <w:tcW w:w="755" w:type="dxa"/>
            <w:shd w:val="clear" w:color="auto" w:fill="auto"/>
            <w:vAlign w:val="center"/>
          </w:tcPr>
          <w:p w14:paraId="3BADD0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161F05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3F24F1E7">
            <w:pPr>
              <w:widowControl/>
              <w:jc w:val="left"/>
              <w:textAlignment w:val="center"/>
              <w:rPr>
                <w:rFonts w:hint="eastAsia" w:ascii="宋体" w:hAnsi="宋体" w:cs="宋体"/>
                <w:color w:val="000000"/>
                <w:sz w:val="18"/>
                <w:szCs w:val="18"/>
              </w:rPr>
            </w:pPr>
            <w:r>
              <w:rPr>
                <w:rFonts w:ascii="宋体" w:hAnsi="宋体" w:cs="宋体"/>
                <w:color w:val="000000"/>
                <w:sz w:val="18"/>
                <w:szCs w:val="18"/>
              </w:rPr>
              <w:t>按照GB/T 4937.13的规定执行</w:t>
            </w:r>
          </w:p>
        </w:tc>
        <w:tc>
          <w:tcPr>
            <w:tcW w:w="810" w:type="dxa"/>
            <w:shd w:val="clear" w:color="auto" w:fill="auto"/>
            <w:vAlign w:val="center"/>
          </w:tcPr>
          <w:p w14:paraId="0760F22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2D377839">
            <w:pPr>
              <w:jc w:val="center"/>
              <w:rPr>
                <w:rFonts w:hint="eastAsia" w:ascii="宋体" w:hAnsi="宋体" w:cs="宋体"/>
                <w:color w:val="000000"/>
                <w:sz w:val="18"/>
                <w:szCs w:val="18"/>
              </w:rPr>
            </w:pPr>
          </w:p>
        </w:tc>
      </w:tr>
      <w:tr w14:paraId="689A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6" w:hRule="atLeast"/>
        </w:trPr>
        <w:tc>
          <w:tcPr>
            <w:tcW w:w="452" w:type="dxa"/>
            <w:shd w:val="clear" w:color="auto" w:fill="auto"/>
            <w:vAlign w:val="center"/>
          </w:tcPr>
          <w:p w14:paraId="18C2311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w:t>
            </w:r>
          </w:p>
        </w:tc>
        <w:tc>
          <w:tcPr>
            <w:tcW w:w="697" w:type="dxa"/>
            <w:shd w:val="clear" w:color="auto" w:fill="auto"/>
            <w:vAlign w:val="center"/>
          </w:tcPr>
          <w:p w14:paraId="6CE29B91">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高温反偏</w:t>
            </w:r>
          </w:p>
        </w:tc>
        <w:tc>
          <w:tcPr>
            <w:tcW w:w="781" w:type="dxa"/>
            <w:shd w:val="clear" w:color="auto" w:fill="auto"/>
            <w:vAlign w:val="center"/>
          </w:tcPr>
          <w:p w14:paraId="4C7703C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（HTRB）</w:t>
            </w:r>
          </w:p>
        </w:tc>
        <w:tc>
          <w:tcPr>
            <w:tcW w:w="755" w:type="dxa"/>
            <w:shd w:val="clear" w:color="auto" w:fill="auto"/>
            <w:vAlign w:val="center"/>
          </w:tcPr>
          <w:p w14:paraId="0CD9F9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2133AA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5E3E2E9F">
            <w:pPr>
              <w:widowControl/>
              <w:jc w:val="left"/>
              <w:textAlignment w:val="center"/>
              <w:rPr>
                <w:rFonts w:hint="eastAsia" w:ascii="宋体" w:hAnsi="宋体" w:cs="宋体"/>
                <w:color w:val="000000"/>
                <w:sz w:val="18"/>
                <w:szCs w:val="18"/>
              </w:rPr>
            </w:pPr>
            <w:r>
              <w:rPr>
                <w:rFonts w:ascii="宋体" w:hAnsi="宋体" w:cs="宋体"/>
                <w:color w:val="000000"/>
                <w:sz w:val="18"/>
                <w:szCs w:val="18"/>
              </w:rPr>
              <w:t>——电压：V</w:t>
            </w:r>
            <w:r>
              <w:rPr>
                <w:rFonts w:ascii="宋体" w:hAnsi="宋体" w:cs="宋体"/>
                <w:color w:val="000000"/>
                <w:sz w:val="18"/>
                <w:szCs w:val="18"/>
                <w:vertAlign w:val="subscript"/>
              </w:rPr>
              <w:t>DS</w:t>
            </w:r>
            <w:r>
              <w:rPr>
                <w:rFonts w:ascii="宋体" w:hAnsi="宋体" w:cs="宋体"/>
                <w:color w:val="000000"/>
                <w:sz w:val="18"/>
                <w:szCs w:val="18"/>
              </w:rPr>
              <w:t>为额定电压的100%，V</w:t>
            </w:r>
            <w:r>
              <w:rPr>
                <w:rFonts w:ascii="宋体" w:hAnsi="宋体" w:cs="宋体"/>
                <w:color w:val="000000"/>
                <w:sz w:val="18"/>
                <w:szCs w:val="18"/>
                <w:vertAlign w:val="subscript"/>
              </w:rPr>
              <w:t>GS</w:t>
            </w:r>
            <w:r>
              <w:rPr>
                <w:rFonts w:ascii="宋体" w:hAnsi="宋体" w:cs="宋体"/>
                <w:color w:val="000000"/>
                <w:sz w:val="18"/>
                <w:szCs w:val="18"/>
              </w:rPr>
              <w:t>=0 V（如器件不能保证漏源极沟道完全关断，则根据数据手册确定最小负压）；</w:t>
            </w:r>
          </w:p>
          <w:p w14:paraId="128F8326">
            <w:pPr>
              <w:widowControl/>
              <w:jc w:val="left"/>
              <w:textAlignment w:val="center"/>
              <w:rPr>
                <w:rFonts w:hint="eastAsia" w:ascii="宋体" w:hAnsi="宋体" w:cs="宋体"/>
                <w:color w:val="000000"/>
                <w:sz w:val="18"/>
                <w:szCs w:val="18"/>
              </w:rPr>
            </w:pPr>
            <w:r>
              <w:rPr>
                <w:rFonts w:ascii="宋体" w:hAnsi="宋体" w:cs="宋体"/>
                <w:color w:val="000000"/>
                <w:sz w:val="18"/>
                <w:szCs w:val="18"/>
              </w:rPr>
              <w:t>——温度：T</w:t>
            </w:r>
            <w:r>
              <w:rPr>
                <w:rFonts w:ascii="宋体" w:hAnsi="宋体" w:cs="宋体"/>
                <w:color w:val="000000"/>
                <w:sz w:val="18"/>
                <w:szCs w:val="18"/>
                <w:vertAlign w:val="subscript"/>
              </w:rPr>
              <w:t>a</w:t>
            </w:r>
            <w:r>
              <w:rPr>
                <w:rFonts w:ascii="宋体" w:hAnsi="宋体" w:cs="宋体"/>
                <w:color w:val="000000"/>
                <w:sz w:val="18"/>
                <w:szCs w:val="18"/>
              </w:rPr>
              <w:t>根据T</w:t>
            </w:r>
            <w:r>
              <w:rPr>
                <w:rFonts w:ascii="宋体" w:hAnsi="宋体" w:cs="宋体"/>
                <w:color w:val="000000"/>
                <w:sz w:val="18"/>
                <w:szCs w:val="18"/>
                <w:vertAlign w:val="subscript"/>
              </w:rPr>
              <w:t>jmax</w:t>
            </w:r>
            <w:r>
              <w:rPr>
                <w:rFonts w:ascii="宋体" w:hAnsi="宋体" w:cs="宋体"/>
                <w:color w:val="000000"/>
                <w:sz w:val="18"/>
                <w:szCs w:val="18"/>
              </w:rPr>
              <w:t>和漏电流带来的温度变化确定；</w:t>
            </w:r>
          </w:p>
          <w:p w14:paraId="5612A85A">
            <w:pPr>
              <w:widowControl/>
              <w:jc w:val="left"/>
              <w:textAlignment w:val="center"/>
              <w:rPr>
                <w:rFonts w:hint="eastAsia" w:ascii="宋体" w:hAnsi="宋体" w:cs="宋体"/>
                <w:color w:val="000000"/>
                <w:sz w:val="18"/>
                <w:szCs w:val="18"/>
              </w:rPr>
            </w:pPr>
            <w:r>
              <w:rPr>
                <w:rFonts w:ascii="宋体" w:hAnsi="宋体" w:cs="宋体"/>
                <w:color w:val="000000"/>
                <w:sz w:val="18"/>
                <w:szCs w:val="18"/>
              </w:rPr>
              <w:t>——时间：≥1000 h。</w:t>
            </w:r>
          </w:p>
        </w:tc>
        <w:tc>
          <w:tcPr>
            <w:tcW w:w="810" w:type="dxa"/>
            <w:shd w:val="clear" w:color="auto" w:fill="auto"/>
            <w:vAlign w:val="center"/>
          </w:tcPr>
          <w:p w14:paraId="24D161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0FA5D9A0">
            <w:pPr>
              <w:jc w:val="center"/>
              <w:rPr>
                <w:rFonts w:hint="eastAsia" w:ascii="宋体" w:hAnsi="宋体" w:cs="宋体"/>
                <w:color w:val="000000"/>
                <w:sz w:val="18"/>
                <w:szCs w:val="18"/>
              </w:rPr>
            </w:pPr>
          </w:p>
        </w:tc>
      </w:tr>
      <w:tr w14:paraId="7752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52" w:type="dxa"/>
            <w:shd w:val="clear" w:color="auto" w:fill="auto"/>
            <w:vAlign w:val="center"/>
          </w:tcPr>
          <w:p w14:paraId="0B74356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10</w:t>
            </w:r>
          </w:p>
        </w:tc>
        <w:tc>
          <w:tcPr>
            <w:tcW w:w="697" w:type="dxa"/>
            <w:shd w:val="clear" w:color="auto" w:fill="auto"/>
            <w:vAlign w:val="center"/>
          </w:tcPr>
          <w:p w14:paraId="04317727">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高温栅极反偏</w:t>
            </w:r>
          </w:p>
        </w:tc>
        <w:tc>
          <w:tcPr>
            <w:tcW w:w="781" w:type="dxa"/>
            <w:shd w:val="clear" w:color="auto" w:fill="auto"/>
            <w:vAlign w:val="center"/>
          </w:tcPr>
          <w:p w14:paraId="78B4D8A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（HTGB）</w:t>
            </w:r>
          </w:p>
        </w:tc>
        <w:tc>
          <w:tcPr>
            <w:tcW w:w="755" w:type="dxa"/>
            <w:shd w:val="clear" w:color="auto" w:fill="auto"/>
            <w:vAlign w:val="center"/>
          </w:tcPr>
          <w:p w14:paraId="4CE75A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628A9B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05B2C5DA">
            <w:pPr>
              <w:widowControl/>
              <w:jc w:val="left"/>
              <w:textAlignment w:val="center"/>
              <w:rPr>
                <w:rFonts w:hint="eastAsia" w:ascii="宋体" w:hAnsi="宋体" w:cs="宋体"/>
                <w:color w:val="000000"/>
                <w:sz w:val="18"/>
                <w:szCs w:val="18"/>
              </w:rPr>
            </w:pPr>
            <w:r>
              <w:rPr>
                <w:rFonts w:ascii="宋体" w:hAnsi="宋体" w:cs="宋体"/>
                <w:color w:val="000000"/>
                <w:sz w:val="18"/>
                <w:szCs w:val="18"/>
              </w:rPr>
              <w:t>——电压：V</w:t>
            </w:r>
            <w:r>
              <w:rPr>
                <w:rFonts w:ascii="宋体" w:hAnsi="宋体" w:cs="宋体"/>
                <w:color w:val="000000"/>
                <w:sz w:val="18"/>
                <w:szCs w:val="18"/>
                <w:vertAlign w:val="subscript"/>
              </w:rPr>
              <w:t>GS</w:t>
            </w:r>
            <w:r>
              <w:rPr>
                <w:rFonts w:ascii="宋体" w:hAnsi="宋体" w:cs="宋体"/>
                <w:color w:val="000000"/>
                <w:sz w:val="18"/>
                <w:szCs w:val="18"/>
              </w:rPr>
              <w:t>为规定的最大电压（包含正和负最大允许值）；</w:t>
            </w:r>
          </w:p>
          <w:p w14:paraId="365CFCA2">
            <w:pPr>
              <w:widowControl/>
              <w:jc w:val="left"/>
              <w:textAlignment w:val="center"/>
              <w:rPr>
                <w:rFonts w:hint="eastAsia" w:ascii="宋体" w:hAnsi="宋体" w:cs="宋体"/>
                <w:color w:val="000000"/>
                <w:sz w:val="18"/>
                <w:szCs w:val="18"/>
              </w:rPr>
            </w:pPr>
            <w:r>
              <w:rPr>
                <w:rFonts w:ascii="宋体" w:hAnsi="宋体" w:cs="宋体"/>
                <w:color w:val="000000"/>
                <w:sz w:val="18"/>
                <w:szCs w:val="18"/>
              </w:rPr>
              <w:t>——温度：T</w:t>
            </w:r>
            <w:r>
              <w:rPr>
                <w:rFonts w:ascii="宋体" w:hAnsi="宋体" w:cs="宋体"/>
                <w:color w:val="000000"/>
                <w:sz w:val="18"/>
                <w:szCs w:val="18"/>
                <w:vertAlign w:val="subscript"/>
              </w:rPr>
              <w:t>a</w:t>
            </w:r>
            <w:r>
              <w:rPr>
                <w:rFonts w:ascii="宋体" w:hAnsi="宋体" w:cs="宋体"/>
                <w:color w:val="000000"/>
                <w:sz w:val="18"/>
                <w:szCs w:val="18"/>
              </w:rPr>
              <w:t xml:space="preserve"> = T</w:t>
            </w:r>
            <w:r>
              <w:rPr>
                <w:rFonts w:ascii="宋体" w:hAnsi="宋体" w:cs="宋体"/>
                <w:color w:val="000000"/>
                <w:sz w:val="18"/>
                <w:szCs w:val="18"/>
                <w:vertAlign w:val="subscript"/>
              </w:rPr>
              <w:t>jmax</w:t>
            </w:r>
            <w:r>
              <w:rPr>
                <w:rFonts w:ascii="宋体" w:hAnsi="宋体" w:cs="宋体"/>
                <w:color w:val="000000"/>
                <w:sz w:val="18"/>
                <w:szCs w:val="18"/>
              </w:rPr>
              <w:t>；</w:t>
            </w:r>
          </w:p>
          <w:p w14:paraId="7A75F53A">
            <w:pPr>
              <w:widowControl/>
              <w:jc w:val="left"/>
              <w:textAlignment w:val="center"/>
              <w:rPr>
                <w:rFonts w:hint="eastAsia" w:ascii="宋体" w:hAnsi="宋体" w:cs="宋体"/>
                <w:color w:val="000000"/>
                <w:sz w:val="18"/>
                <w:szCs w:val="18"/>
              </w:rPr>
            </w:pPr>
            <w:r>
              <w:rPr>
                <w:rFonts w:ascii="宋体" w:hAnsi="宋体" w:cs="宋体"/>
                <w:color w:val="000000"/>
                <w:sz w:val="18"/>
                <w:szCs w:val="18"/>
              </w:rPr>
              <w:t>——时间：≥1000h。</w:t>
            </w:r>
          </w:p>
        </w:tc>
        <w:tc>
          <w:tcPr>
            <w:tcW w:w="810" w:type="dxa"/>
            <w:shd w:val="clear" w:color="auto" w:fill="auto"/>
            <w:vAlign w:val="center"/>
          </w:tcPr>
          <w:p w14:paraId="1A4D9A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2E3661C9">
            <w:pPr>
              <w:jc w:val="center"/>
              <w:rPr>
                <w:rFonts w:hint="eastAsia" w:ascii="宋体" w:hAnsi="宋体" w:cs="宋体"/>
                <w:color w:val="000000"/>
                <w:sz w:val="18"/>
                <w:szCs w:val="18"/>
              </w:rPr>
            </w:pPr>
            <w:r>
              <w:rPr>
                <w:rFonts w:hint="eastAsia" w:ascii="宋体" w:hAnsi="宋体" w:cs="宋体"/>
                <w:color w:val="000000"/>
                <w:kern w:val="0"/>
                <w:sz w:val="18"/>
                <w:szCs w:val="18"/>
                <w:lang w:bidi="ar"/>
              </w:rPr>
              <w:t>正负栅压各3个批次</w:t>
            </w:r>
          </w:p>
        </w:tc>
      </w:tr>
      <w:tr w14:paraId="1F9A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452" w:type="dxa"/>
            <w:shd w:val="clear" w:color="auto" w:fill="auto"/>
            <w:vAlign w:val="center"/>
          </w:tcPr>
          <w:p w14:paraId="2756713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11</w:t>
            </w:r>
          </w:p>
        </w:tc>
        <w:tc>
          <w:tcPr>
            <w:tcW w:w="697" w:type="dxa"/>
            <w:shd w:val="clear" w:color="auto" w:fill="auto"/>
            <w:vAlign w:val="center"/>
          </w:tcPr>
          <w:p w14:paraId="3A412A43">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高温高湿反偏</w:t>
            </w:r>
          </w:p>
        </w:tc>
        <w:tc>
          <w:tcPr>
            <w:tcW w:w="781" w:type="dxa"/>
            <w:shd w:val="clear" w:color="auto" w:fill="auto"/>
            <w:vAlign w:val="center"/>
          </w:tcPr>
          <w:p w14:paraId="70FF0E6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（H</w:t>
            </w:r>
            <w:r>
              <w:rPr>
                <w:rFonts w:hint="eastAsia" w:ascii="宋体" w:hAnsi="宋体" w:cs="宋体"/>
                <w:color w:val="000000"/>
                <w:sz w:val="18"/>
                <w:szCs w:val="18"/>
                <w:vertAlign w:val="superscript"/>
              </w:rPr>
              <w:t>3</w:t>
            </w:r>
            <w:r>
              <w:rPr>
                <w:rFonts w:hint="eastAsia" w:ascii="宋体" w:hAnsi="宋体" w:cs="宋体"/>
                <w:color w:val="000000"/>
                <w:sz w:val="18"/>
                <w:szCs w:val="18"/>
              </w:rPr>
              <w:t>TRB）</w:t>
            </w:r>
          </w:p>
        </w:tc>
        <w:tc>
          <w:tcPr>
            <w:tcW w:w="755" w:type="dxa"/>
            <w:shd w:val="clear" w:color="auto" w:fill="auto"/>
            <w:vAlign w:val="center"/>
          </w:tcPr>
          <w:p w14:paraId="03D94D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427A5D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5CB5ECE2">
            <w:pPr>
              <w:widowControl/>
              <w:jc w:val="left"/>
              <w:textAlignment w:val="center"/>
              <w:rPr>
                <w:rFonts w:hint="eastAsia" w:ascii="宋体" w:hAnsi="宋体" w:cs="宋体"/>
                <w:color w:val="000000"/>
                <w:sz w:val="18"/>
                <w:szCs w:val="18"/>
              </w:rPr>
            </w:pPr>
            <w:r>
              <w:rPr>
                <w:rFonts w:ascii="宋体" w:hAnsi="宋体" w:cs="宋体"/>
                <w:color w:val="000000"/>
                <w:sz w:val="18"/>
                <w:szCs w:val="18"/>
              </w:rPr>
              <w:t>——电压：V</w:t>
            </w:r>
            <w:r>
              <w:rPr>
                <w:rFonts w:ascii="宋体" w:hAnsi="宋体" w:cs="宋体"/>
                <w:color w:val="000000"/>
                <w:sz w:val="18"/>
                <w:szCs w:val="18"/>
                <w:vertAlign w:val="subscript"/>
              </w:rPr>
              <w:t>DS</w:t>
            </w:r>
            <w:r>
              <w:rPr>
                <w:rFonts w:ascii="宋体" w:hAnsi="宋体" w:cs="宋体"/>
                <w:color w:val="000000"/>
                <w:sz w:val="18"/>
                <w:szCs w:val="18"/>
              </w:rPr>
              <w:t>为额定电压的80%，V</w:t>
            </w:r>
            <w:r>
              <w:rPr>
                <w:rFonts w:ascii="宋体" w:hAnsi="宋体" w:cs="宋体"/>
                <w:color w:val="000000"/>
                <w:sz w:val="18"/>
                <w:szCs w:val="18"/>
                <w:vertAlign w:val="subscript"/>
              </w:rPr>
              <w:t>GS</w:t>
            </w:r>
            <w:r>
              <w:rPr>
                <w:rFonts w:ascii="宋体" w:hAnsi="宋体" w:cs="宋体"/>
                <w:color w:val="000000"/>
                <w:sz w:val="18"/>
                <w:szCs w:val="18"/>
              </w:rPr>
              <w:t xml:space="preserve"> = 0V（如器件不能保证漏源极沟道完全关断，则根据数据手册确定最小负压）；</w:t>
            </w:r>
          </w:p>
          <w:p w14:paraId="4A4D8C84">
            <w:pPr>
              <w:widowControl/>
              <w:jc w:val="left"/>
              <w:textAlignment w:val="center"/>
              <w:rPr>
                <w:rFonts w:hint="eastAsia" w:ascii="宋体" w:hAnsi="宋体" w:cs="宋体"/>
                <w:color w:val="000000"/>
                <w:sz w:val="18"/>
                <w:szCs w:val="18"/>
              </w:rPr>
            </w:pPr>
            <w:r>
              <w:rPr>
                <w:rFonts w:ascii="宋体" w:hAnsi="宋体" w:cs="宋体"/>
                <w:color w:val="000000"/>
                <w:sz w:val="18"/>
                <w:szCs w:val="18"/>
              </w:rPr>
              <w:t>——相对湿度：85 %；</w:t>
            </w:r>
          </w:p>
          <w:p w14:paraId="1C148BCE">
            <w:pPr>
              <w:widowControl/>
              <w:jc w:val="left"/>
              <w:textAlignment w:val="center"/>
              <w:rPr>
                <w:rFonts w:hint="eastAsia" w:ascii="宋体" w:hAnsi="宋体" w:cs="宋体"/>
                <w:color w:val="000000"/>
                <w:sz w:val="18"/>
                <w:szCs w:val="18"/>
              </w:rPr>
            </w:pPr>
            <w:r>
              <w:rPr>
                <w:rFonts w:ascii="宋体" w:hAnsi="宋体" w:cs="宋体"/>
                <w:color w:val="000000"/>
                <w:sz w:val="18"/>
                <w:szCs w:val="18"/>
              </w:rPr>
              <w:t>——温度：85 ℃；</w:t>
            </w:r>
          </w:p>
          <w:p w14:paraId="6B6A7A17">
            <w:pPr>
              <w:widowControl/>
              <w:jc w:val="left"/>
              <w:textAlignment w:val="center"/>
              <w:rPr>
                <w:rFonts w:hint="eastAsia" w:ascii="宋体" w:hAnsi="宋体" w:cs="宋体"/>
                <w:color w:val="000000"/>
                <w:sz w:val="18"/>
                <w:szCs w:val="18"/>
              </w:rPr>
            </w:pPr>
            <w:r>
              <w:rPr>
                <w:rFonts w:ascii="宋体" w:hAnsi="宋体" w:cs="宋体"/>
                <w:color w:val="000000"/>
                <w:sz w:val="18"/>
                <w:szCs w:val="18"/>
              </w:rPr>
              <w:t>——时间：≥1000 h。</w:t>
            </w:r>
          </w:p>
        </w:tc>
        <w:tc>
          <w:tcPr>
            <w:tcW w:w="810" w:type="dxa"/>
            <w:shd w:val="clear" w:color="auto" w:fill="auto"/>
            <w:vAlign w:val="center"/>
          </w:tcPr>
          <w:p w14:paraId="6EDAB6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578B8C87">
            <w:pPr>
              <w:widowControl/>
              <w:jc w:val="left"/>
              <w:textAlignment w:val="center"/>
              <w:rPr>
                <w:rFonts w:hint="eastAsia" w:ascii="宋体" w:hAnsi="宋体" w:cs="宋体"/>
                <w:color w:val="000000"/>
                <w:sz w:val="18"/>
                <w:szCs w:val="18"/>
              </w:rPr>
            </w:pPr>
          </w:p>
        </w:tc>
      </w:tr>
      <w:tr w14:paraId="0E7BF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3B66A7B0">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12</w:t>
            </w:r>
          </w:p>
        </w:tc>
        <w:tc>
          <w:tcPr>
            <w:tcW w:w="697" w:type="dxa"/>
            <w:shd w:val="clear" w:color="auto" w:fill="auto"/>
            <w:vAlign w:val="center"/>
          </w:tcPr>
          <w:p w14:paraId="6C3BE5AC">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间歇工作寿命</w:t>
            </w:r>
          </w:p>
        </w:tc>
        <w:tc>
          <w:tcPr>
            <w:tcW w:w="781" w:type="dxa"/>
            <w:shd w:val="clear" w:color="auto" w:fill="auto"/>
            <w:vAlign w:val="center"/>
          </w:tcPr>
          <w:p w14:paraId="50E6F66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（IOL）</w:t>
            </w:r>
          </w:p>
        </w:tc>
        <w:tc>
          <w:tcPr>
            <w:tcW w:w="755" w:type="dxa"/>
            <w:shd w:val="clear" w:color="auto" w:fill="auto"/>
            <w:vAlign w:val="center"/>
          </w:tcPr>
          <w:p w14:paraId="47880E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49B2AD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104C1324">
            <w:pPr>
              <w:widowControl/>
              <w:numPr>
                <w:ilvl w:val="0"/>
                <w:numId w:val="7"/>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电流：I</w:t>
            </w:r>
            <w:r>
              <w:rPr>
                <w:rFonts w:hint="eastAsia" w:ascii="宋体" w:hAnsi="宋体" w:cs="宋体"/>
                <w:color w:val="000000"/>
                <w:sz w:val="18"/>
                <w:szCs w:val="18"/>
                <w:vertAlign w:val="subscript"/>
              </w:rPr>
              <w:t>on</w:t>
            </w:r>
            <w:r>
              <w:rPr>
                <w:rFonts w:hint="eastAsia" w:ascii="宋体" w:hAnsi="宋体" w:cs="宋体"/>
                <w:color w:val="000000"/>
                <w:sz w:val="18"/>
                <w:szCs w:val="18"/>
              </w:rPr>
              <w:t>以实际测试为准；</w:t>
            </w:r>
          </w:p>
          <w:p w14:paraId="518708D8">
            <w:pPr>
              <w:widowControl/>
              <w:numPr>
                <w:ilvl w:val="0"/>
                <w:numId w:val="7"/>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如温升ΔT</w:t>
            </w:r>
            <w:r>
              <w:rPr>
                <w:rFonts w:hint="eastAsia" w:ascii="宋体" w:hAnsi="宋体" w:cs="宋体"/>
                <w:color w:val="000000"/>
                <w:sz w:val="18"/>
                <w:szCs w:val="18"/>
                <w:vertAlign w:val="subscript"/>
              </w:rPr>
              <w:t>j</w:t>
            </w:r>
            <w:r>
              <w:rPr>
                <w:rFonts w:hint="eastAsia" w:ascii="宋体" w:hAnsi="宋体" w:cs="宋体"/>
                <w:color w:val="000000"/>
                <w:sz w:val="18"/>
                <w:szCs w:val="18"/>
              </w:rPr>
              <w:t>大于等于100 ℃（T</w:t>
            </w:r>
            <w:r>
              <w:rPr>
                <w:rFonts w:hint="eastAsia" w:ascii="宋体" w:hAnsi="宋体" w:cs="宋体"/>
                <w:color w:val="000000"/>
                <w:sz w:val="18"/>
                <w:szCs w:val="18"/>
                <w:vertAlign w:val="subscript"/>
              </w:rPr>
              <w:t>j</w:t>
            </w:r>
            <w:r>
              <w:rPr>
                <w:rFonts w:hint="eastAsia" w:ascii="宋体" w:hAnsi="宋体" w:cs="宋体"/>
                <w:color w:val="000000"/>
                <w:sz w:val="18"/>
                <w:szCs w:val="18"/>
              </w:rPr>
              <w:t>不超过器件最高额定结温），循环次数为60000/(x+y)次，但不大于15000次；如温升ΔT</w:t>
            </w:r>
            <w:r>
              <w:rPr>
                <w:rFonts w:hint="eastAsia" w:ascii="宋体" w:hAnsi="宋体" w:cs="宋体"/>
                <w:color w:val="000000"/>
                <w:sz w:val="18"/>
                <w:szCs w:val="18"/>
                <w:vertAlign w:val="subscript"/>
              </w:rPr>
              <w:t>j</w:t>
            </w:r>
            <w:r>
              <w:rPr>
                <w:rFonts w:hint="eastAsia" w:ascii="宋体" w:hAnsi="宋体" w:cs="宋体"/>
                <w:color w:val="000000"/>
                <w:sz w:val="18"/>
                <w:szCs w:val="18"/>
              </w:rPr>
              <w:t>大于等于125 ℃（T</w:t>
            </w:r>
            <w:r>
              <w:rPr>
                <w:rFonts w:hint="eastAsia" w:ascii="宋体" w:hAnsi="宋体" w:cs="宋体"/>
                <w:color w:val="000000"/>
                <w:sz w:val="18"/>
                <w:szCs w:val="18"/>
                <w:vertAlign w:val="subscript"/>
              </w:rPr>
              <w:t>j</w:t>
            </w:r>
            <w:r>
              <w:rPr>
                <w:rFonts w:hint="eastAsia" w:ascii="宋体" w:hAnsi="宋体" w:cs="宋体"/>
                <w:color w:val="000000"/>
                <w:sz w:val="18"/>
                <w:szCs w:val="18"/>
              </w:rPr>
              <w:t>不超过器件最高额定结温），循环不大于7500次；</w:t>
            </w:r>
          </w:p>
          <w:p w14:paraId="446B2C39">
            <w:pPr>
              <w:widowControl/>
              <w:numPr>
                <w:ilvl w:val="0"/>
                <w:numId w:val="7"/>
              </w:numPr>
              <w:ind w:left="0"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每次循环导通时器件从环境温度达到Tj所需最短时间应大于等于2 min。每次循环关断时器件从Tj冷却到环境温度所需最短时间应大于等于2 min。</w:t>
            </w:r>
          </w:p>
          <w:p w14:paraId="5E8C53CF">
            <w:pPr>
              <w:widowControl/>
              <w:jc w:val="left"/>
              <w:textAlignment w:val="center"/>
              <w:rPr>
                <w:rFonts w:hint="eastAsia" w:ascii="宋体" w:hAnsi="宋体" w:cs="宋体"/>
                <w:color w:val="000000"/>
                <w:sz w:val="18"/>
                <w:szCs w:val="18"/>
              </w:rPr>
            </w:pPr>
            <w:r>
              <w:rPr>
                <w:rFonts w:ascii="宋体" w:hAnsi="宋体" w:cs="宋体"/>
                <w:color w:val="000000"/>
                <w:sz w:val="18"/>
                <w:szCs w:val="18"/>
              </w:rPr>
              <w:t>注：x代表器件从环境温度下达到要求的ΔT</w:t>
            </w:r>
            <w:r>
              <w:rPr>
                <w:rFonts w:ascii="宋体" w:hAnsi="宋体" w:cs="宋体"/>
                <w:color w:val="000000"/>
                <w:sz w:val="18"/>
                <w:szCs w:val="18"/>
                <w:vertAlign w:val="subscript"/>
              </w:rPr>
              <w:t>j</w:t>
            </w:r>
            <w:r>
              <w:rPr>
                <w:rFonts w:ascii="宋体" w:hAnsi="宋体" w:cs="宋体"/>
                <w:color w:val="000000"/>
                <w:sz w:val="18"/>
                <w:szCs w:val="18"/>
              </w:rPr>
              <w:t>所需的最短时间。y代表器件从要求的ΔT</w:t>
            </w:r>
            <w:r>
              <w:rPr>
                <w:rFonts w:ascii="宋体" w:hAnsi="宋体" w:cs="宋体"/>
                <w:color w:val="000000"/>
                <w:sz w:val="18"/>
                <w:szCs w:val="18"/>
                <w:vertAlign w:val="subscript"/>
              </w:rPr>
              <w:t>j</w:t>
            </w:r>
            <w:r>
              <w:rPr>
                <w:rFonts w:ascii="宋体" w:hAnsi="宋体" w:cs="宋体"/>
                <w:color w:val="000000"/>
                <w:sz w:val="18"/>
                <w:szCs w:val="18"/>
              </w:rPr>
              <w:t>冷却到环境温度所需的最短时间。</w:t>
            </w:r>
          </w:p>
          <w:p w14:paraId="66BD125F">
            <w:pPr>
              <w:widowControl/>
              <w:jc w:val="left"/>
              <w:textAlignment w:val="center"/>
              <w:rPr>
                <w:rFonts w:hint="eastAsia" w:ascii="宋体" w:hAnsi="宋体" w:cs="宋体"/>
                <w:color w:val="000000"/>
                <w:sz w:val="18"/>
                <w:szCs w:val="18"/>
              </w:rPr>
            </w:pPr>
          </w:p>
        </w:tc>
        <w:tc>
          <w:tcPr>
            <w:tcW w:w="810" w:type="dxa"/>
            <w:shd w:val="clear" w:color="auto" w:fill="auto"/>
            <w:vAlign w:val="center"/>
          </w:tcPr>
          <w:p w14:paraId="7E76A8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292BC046">
            <w:pPr>
              <w:jc w:val="center"/>
              <w:rPr>
                <w:rFonts w:hint="eastAsia" w:ascii="宋体" w:hAnsi="宋体" w:cs="宋体"/>
                <w:color w:val="000000"/>
                <w:sz w:val="18"/>
                <w:szCs w:val="18"/>
              </w:rPr>
            </w:pPr>
          </w:p>
        </w:tc>
      </w:tr>
      <w:tr w14:paraId="262A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4573B35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13</w:t>
            </w:r>
          </w:p>
        </w:tc>
        <w:tc>
          <w:tcPr>
            <w:tcW w:w="697" w:type="dxa"/>
            <w:shd w:val="clear" w:color="auto" w:fill="auto"/>
            <w:vAlign w:val="center"/>
          </w:tcPr>
          <w:p w14:paraId="02B38B4A">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静电放电</w:t>
            </w:r>
          </w:p>
        </w:tc>
        <w:tc>
          <w:tcPr>
            <w:tcW w:w="781" w:type="dxa"/>
            <w:shd w:val="clear" w:color="auto" w:fill="auto"/>
            <w:vAlign w:val="center"/>
          </w:tcPr>
          <w:p w14:paraId="3CF34D5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（ESD）</w:t>
            </w:r>
          </w:p>
        </w:tc>
        <w:tc>
          <w:tcPr>
            <w:tcW w:w="755" w:type="dxa"/>
            <w:shd w:val="clear" w:color="auto" w:fill="auto"/>
            <w:vAlign w:val="center"/>
          </w:tcPr>
          <w:p w14:paraId="5CEA793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80</w:t>
            </w:r>
          </w:p>
        </w:tc>
        <w:tc>
          <w:tcPr>
            <w:tcW w:w="499" w:type="dxa"/>
            <w:shd w:val="clear" w:color="auto" w:fill="auto"/>
            <w:vAlign w:val="center"/>
          </w:tcPr>
          <w:p w14:paraId="2A3A155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3436" w:type="dxa"/>
            <w:shd w:val="clear" w:color="auto" w:fill="auto"/>
            <w:vAlign w:val="center"/>
          </w:tcPr>
          <w:p w14:paraId="65D22F62">
            <w:pPr>
              <w:widowControl/>
              <w:jc w:val="left"/>
              <w:textAlignment w:val="center"/>
              <w:rPr>
                <w:rFonts w:hint="eastAsia" w:ascii="宋体" w:hAnsi="宋体" w:cs="宋体"/>
                <w:color w:val="000000"/>
                <w:sz w:val="18"/>
                <w:szCs w:val="18"/>
              </w:rPr>
            </w:pPr>
            <w:r>
              <w:rPr>
                <w:rFonts w:ascii="宋体" w:hAnsi="宋体" w:cs="宋体"/>
                <w:color w:val="000000"/>
                <w:sz w:val="18"/>
                <w:szCs w:val="18"/>
              </w:rPr>
              <w:t>——环境温度：25 ℃±5 ℃；</w:t>
            </w:r>
          </w:p>
          <w:p w14:paraId="11509D72">
            <w:pPr>
              <w:widowControl/>
              <w:jc w:val="left"/>
              <w:textAlignment w:val="center"/>
              <w:rPr>
                <w:rFonts w:hint="eastAsia" w:ascii="宋体" w:hAnsi="宋体" w:cs="宋体"/>
                <w:color w:val="000000"/>
                <w:sz w:val="18"/>
                <w:szCs w:val="18"/>
              </w:rPr>
            </w:pPr>
            <w:r>
              <w:rPr>
                <w:rFonts w:ascii="宋体" w:hAnsi="宋体" w:cs="宋体"/>
                <w:color w:val="000000"/>
                <w:sz w:val="18"/>
                <w:szCs w:val="18"/>
              </w:rPr>
              <w:t>——相对湿度：55±10 %。</w:t>
            </w:r>
          </w:p>
        </w:tc>
        <w:tc>
          <w:tcPr>
            <w:tcW w:w="810" w:type="dxa"/>
            <w:shd w:val="clear" w:color="auto" w:fill="auto"/>
            <w:vAlign w:val="center"/>
          </w:tcPr>
          <w:p w14:paraId="5CB4C9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1EAE7778">
            <w:pPr>
              <w:rPr>
                <w:rFonts w:hint="eastAsia" w:ascii="宋体" w:hAnsi="宋体" w:cs="宋体"/>
                <w:color w:val="000000"/>
                <w:sz w:val="18"/>
                <w:szCs w:val="18"/>
              </w:rPr>
            </w:pPr>
            <w:r>
              <w:rPr>
                <w:rFonts w:hint="eastAsia" w:ascii="宋体" w:hAnsi="宋体" w:cs="宋体"/>
                <w:color w:val="000000"/>
                <w:sz w:val="18"/>
                <w:szCs w:val="18"/>
              </w:rPr>
              <w:t>HBM和CDM模式，每个模式4个静电等级，每个等级10只器件</w:t>
            </w:r>
          </w:p>
        </w:tc>
      </w:tr>
      <w:tr w14:paraId="4D36A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28E1D26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14</w:t>
            </w:r>
          </w:p>
        </w:tc>
        <w:tc>
          <w:tcPr>
            <w:tcW w:w="697" w:type="dxa"/>
            <w:shd w:val="clear" w:color="auto" w:fill="auto"/>
            <w:vAlign w:val="center"/>
          </w:tcPr>
          <w:p w14:paraId="7A51D291">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机械振动</w:t>
            </w:r>
          </w:p>
        </w:tc>
        <w:tc>
          <w:tcPr>
            <w:tcW w:w="781" w:type="dxa"/>
            <w:shd w:val="clear" w:color="auto" w:fill="auto"/>
            <w:vAlign w:val="center"/>
          </w:tcPr>
          <w:p w14:paraId="30080F5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(MV)</w:t>
            </w:r>
          </w:p>
        </w:tc>
        <w:tc>
          <w:tcPr>
            <w:tcW w:w="755" w:type="dxa"/>
            <w:shd w:val="clear" w:color="auto" w:fill="auto"/>
            <w:vAlign w:val="center"/>
          </w:tcPr>
          <w:p w14:paraId="40426B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4F1E47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252757F3">
            <w:pPr>
              <w:widowControl/>
              <w:jc w:val="left"/>
              <w:textAlignment w:val="center"/>
              <w:rPr>
                <w:rFonts w:hint="eastAsia" w:ascii="宋体" w:hAnsi="宋体" w:cs="宋体"/>
                <w:color w:val="000000"/>
                <w:sz w:val="18"/>
                <w:szCs w:val="18"/>
              </w:rPr>
            </w:pPr>
            <w:r>
              <w:rPr>
                <w:rFonts w:ascii="宋体" w:hAnsi="宋体" w:cs="宋体"/>
                <w:color w:val="000000"/>
                <w:sz w:val="18"/>
                <w:szCs w:val="18"/>
              </w:rPr>
              <w:t>——扫频范围：5～200 Hz；</w:t>
            </w:r>
          </w:p>
          <w:p w14:paraId="7165D18D">
            <w:pPr>
              <w:widowControl/>
              <w:jc w:val="left"/>
              <w:textAlignment w:val="center"/>
              <w:rPr>
                <w:rFonts w:hint="eastAsia" w:ascii="宋体" w:hAnsi="宋体" w:cs="宋体"/>
                <w:color w:val="000000"/>
                <w:sz w:val="18"/>
                <w:szCs w:val="18"/>
              </w:rPr>
            </w:pPr>
            <w:r>
              <w:rPr>
                <w:rFonts w:ascii="宋体" w:hAnsi="宋体" w:cs="宋体"/>
                <w:color w:val="000000"/>
                <w:sz w:val="18"/>
                <w:szCs w:val="18"/>
              </w:rPr>
              <w:t>——扫描速度：1 otc/min；</w:t>
            </w:r>
          </w:p>
          <w:p w14:paraId="6A250AFA">
            <w:pPr>
              <w:widowControl/>
              <w:jc w:val="left"/>
              <w:textAlignment w:val="center"/>
              <w:rPr>
                <w:rFonts w:hint="eastAsia" w:ascii="宋体" w:hAnsi="宋体" w:cs="宋体"/>
                <w:color w:val="000000"/>
                <w:sz w:val="18"/>
                <w:szCs w:val="18"/>
              </w:rPr>
            </w:pPr>
            <w:r>
              <w:rPr>
                <w:rFonts w:ascii="宋体" w:hAnsi="宋体" w:cs="宋体"/>
                <w:color w:val="000000"/>
                <w:sz w:val="18"/>
                <w:szCs w:val="18"/>
              </w:rPr>
              <w:t>——加速度：50 m/s</w:t>
            </w:r>
            <w:r>
              <w:rPr>
                <w:rFonts w:ascii="宋体" w:hAnsi="宋体" w:cs="宋体"/>
                <w:color w:val="000000"/>
                <w:sz w:val="18"/>
                <w:szCs w:val="18"/>
                <w:vertAlign w:val="superscript"/>
              </w:rPr>
              <w:t>2</w:t>
            </w:r>
            <w:r>
              <w:rPr>
                <w:rFonts w:ascii="宋体" w:hAnsi="宋体" w:cs="宋体"/>
                <w:color w:val="000000"/>
                <w:sz w:val="18"/>
                <w:szCs w:val="18"/>
              </w:rPr>
              <w:t>；</w:t>
            </w:r>
          </w:p>
          <w:p w14:paraId="2A23034C">
            <w:pPr>
              <w:widowControl/>
              <w:jc w:val="left"/>
              <w:textAlignment w:val="center"/>
              <w:rPr>
                <w:rFonts w:hint="eastAsia" w:ascii="宋体" w:hAnsi="宋体" w:cs="宋体"/>
                <w:color w:val="000000"/>
                <w:sz w:val="18"/>
                <w:szCs w:val="18"/>
              </w:rPr>
            </w:pPr>
            <w:r>
              <w:rPr>
                <w:rFonts w:ascii="宋体" w:hAnsi="宋体" w:cs="宋体"/>
                <w:color w:val="000000"/>
                <w:sz w:val="18"/>
                <w:szCs w:val="18"/>
              </w:rPr>
              <w:t>——交越频率：9.2 Hz；</w:t>
            </w:r>
          </w:p>
          <w:p w14:paraId="1C42325C">
            <w:pPr>
              <w:widowControl/>
              <w:jc w:val="left"/>
              <w:textAlignment w:val="center"/>
              <w:rPr>
                <w:rFonts w:hint="eastAsia" w:ascii="宋体" w:hAnsi="宋体" w:cs="宋体"/>
                <w:color w:val="000000"/>
                <w:sz w:val="18"/>
                <w:szCs w:val="18"/>
              </w:rPr>
            </w:pPr>
            <w:r>
              <w:rPr>
                <w:rFonts w:ascii="宋体" w:hAnsi="宋体" w:cs="宋体"/>
                <w:color w:val="000000"/>
                <w:sz w:val="18"/>
                <w:szCs w:val="18"/>
              </w:rPr>
              <w:t>——每轴小时数：30 h；</w:t>
            </w:r>
          </w:p>
          <w:p w14:paraId="579A6246">
            <w:pPr>
              <w:widowControl/>
              <w:jc w:val="left"/>
              <w:textAlignment w:val="center"/>
              <w:rPr>
                <w:rFonts w:hint="eastAsia" w:ascii="宋体" w:hAnsi="宋体" w:cs="宋体"/>
                <w:color w:val="000000"/>
                <w:sz w:val="18"/>
                <w:szCs w:val="18"/>
              </w:rPr>
            </w:pPr>
            <w:r>
              <w:rPr>
                <w:rFonts w:ascii="宋体" w:hAnsi="宋体" w:cs="宋体"/>
                <w:color w:val="000000"/>
                <w:sz w:val="18"/>
                <w:szCs w:val="18"/>
              </w:rPr>
              <w:t>——震动方向：X、Y、Z共3向。</w:t>
            </w:r>
          </w:p>
        </w:tc>
        <w:tc>
          <w:tcPr>
            <w:tcW w:w="810" w:type="dxa"/>
            <w:shd w:val="clear" w:color="auto" w:fill="auto"/>
            <w:vAlign w:val="center"/>
          </w:tcPr>
          <w:p w14:paraId="58B8E9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48D92393">
            <w:pPr>
              <w:jc w:val="center"/>
              <w:rPr>
                <w:rFonts w:hint="eastAsia" w:ascii="宋体" w:hAnsi="宋体" w:cs="宋体"/>
                <w:color w:val="000000"/>
                <w:sz w:val="18"/>
                <w:szCs w:val="18"/>
              </w:rPr>
            </w:pPr>
          </w:p>
        </w:tc>
      </w:tr>
      <w:tr w14:paraId="5FB7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14ECED3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697" w:type="dxa"/>
            <w:shd w:val="clear" w:color="auto" w:fill="auto"/>
            <w:vAlign w:val="center"/>
          </w:tcPr>
          <w:p w14:paraId="605583B0">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机械冲击</w:t>
            </w:r>
          </w:p>
        </w:tc>
        <w:tc>
          <w:tcPr>
            <w:tcW w:w="781" w:type="dxa"/>
            <w:shd w:val="clear" w:color="auto" w:fill="auto"/>
            <w:vAlign w:val="center"/>
          </w:tcPr>
          <w:p w14:paraId="4BA9EAED">
            <w:pPr>
              <w:widowControl/>
              <w:jc w:val="center"/>
              <w:textAlignment w:val="center"/>
              <w:rPr>
                <w:rFonts w:hint="eastAsia" w:ascii="宋体" w:hAnsi="宋体" w:cs="宋体"/>
                <w:color w:val="000000"/>
                <w:sz w:val="18"/>
                <w:szCs w:val="18"/>
              </w:rPr>
            </w:pPr>
            <w:r>
              <w:rPr>
                <w:rFonts w:ascii="宋体" w:hAnsi="宋体" w:cs="宋体"/>
                <w:color w:val="000000"/>
                <w:sz w:val="18"/>
                <w:szCs w:val="18"/>
              </w:rPr>
              <w:t>(MS)</w:t>
            </w:r>
          </w:p>
        </w:tc>
        <w:tc>
          <w:tcPr>
            <w:tcW w:w="755" w:type="dxa"/>
            <w:shd w:val="clear" w:color="auto" w:fill="auto"/>
            <w:vAlign w:val="center"/>
          </w:tcPr>
          <w:p w14:paraId="50A666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1AC3BF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1595354D">
            <w:pPr>
              <w:widowControl/>
              <w:jc w:val="left"/>
              <w:textAlignment w:val="center"/>
              <w:rPr>
                <w:rFonts w:hint="eastAsia" w:ascii="宋体" w:hAnsi="宋体" w:cs="宋体"/>
                <w:color w:val="000000"/>
                <w:sz w:val="18"/>
                <w:szCs w:val="18"/>
              </w:rPr>
            </w:pPr>
            <w:r>
              <w:rPr>
                <w:rFonts w:ascii="宋体" w:hAnsi="宋体" w:cs="宋体"/>
                <w:color w:val="000000"/>
                <w:sz w:val="18"/>
                <w:szCs w:val="18"/>
              </w:rPr>
              <w:t>——加速度：500 m/s</w:t>
            </w:r>
            <w:r>
              <w:rPr>
                <w:rFonts w:ascii="宋体" w:hAnsi="宋体" w:cs="宋体"/>
                <w:color w:val="000000"/>
                <w:sz w:val="18"/>
                <w:szCs w:val="18"/>
                <w:vertAlign w:val="superscript"/>
              </w:rPr>
              <w:t>2</w:t>
            </w:r>
            <w:r>
              <w:rPr>
                <w:rFonts w:ascii="宋体" w:hAnsi="宋体" w:cs="宋体"/>
                <w:color w:val="000000"/>
                <w:sz w:val="18"/>
                <w:szCs w:val="18"/>
              </w:rPr>
              <w:t>；</w:t>
            </w:r>
          </w:p>
          <w:p w14:paraId="182A827F">
            <w:pPr>
              <w:widowControl/>
              <w:jc w:val="left"/>
              <w:textAlignment w:val="center"/>
              <w:rPr>
                <w:rFonts w:hint="eastAsia" w:ascii="宋体" w:hAnsi="宋体" w:cs="宋体"/>
                <w:color w:val="000000"/>
                <w:sz w:val="18"/>
                <w:szCs w:val="18"/>
              </w:rPr>
            </w:pPr>
            <w:r>
              <w:rPr>
                <w:rFonts w:ascii="宋体" w:hAnsi="宋体" w:cs="宋体"/>
                <w:color w:val="000000"/>
                <w:sz w:val="18"/>
                <w:szCs w:val="18"/>
              </w:rPr>
              <w:t>——脉冲时间：6 ms；</w:t>
            </w:r>
          </w:p>
          <w:p w14:paraId="31DD0C77">
            <w:pPr>
              <w:widowControl/>
              <w:jc w:val="left"/>
              <w:textAlignment w:val="center"/>
              <w:rPr>
                <w:rFonts w:hint="eastAsia" w:ascii="宋体" w:hAnsi="宋体" w:cs="宋体"/>
                <w:color w:val="000000"/>
                <w:sz w:val="18"/>
                <w:szCs w:val="18"/>
              </w:rPr>
            </w:pPr>
            <w:r>
              <w:rPr>
                <w:rFonts w:ascii="宋体" w:hAnsi="宋体" w:cs="宋体"/>
                <w:color w:val="000000"/>
                <w:sz w:val="18"/>
                <w:szCs w:val="18"/>
              </w:rPr>
              <w:t>——冲击次数：10次；</w:t>
            </w:r>
          </w:p>
          <w:p w14:paraId="08341244">
            <w:pPr>
              <w:widowControl/>
              <w:jc w:val="left"/>
              <w:textAlignment w:val="center"/>
              <w:rPr>
                <w:rFonts w:hint="eastAsia" w:ascii="宋体" w:hAnsi="宋体" w:cs="宋体"/>
                <w:color w:val="000000"/>
                <w:sz w:val="18"/>
                <w:szCs w:val="18"/>
              </w:rPr>
            </w:pPr>
            <w:r>
              <w:rPr>
                <w:rFonts w:ascii="宋体" w:hAnsi="宋体" w:cs="宋体"/>
                <w:color w:val="000000"/>
                <w:sz w:val="18"/>
                <w:szCs w:val="18"/>
              </w:rPr>
              <w:t>——冲击方向：±X、±Y、±Z共6向；</w:t>
            </w:r>
          </w:p>
          <w:p w14:paraId="62A81E40">
            <w:pPr>
              <w:widowControl/>
              <w:jc w:val="left"/>
              <w:textAlignment w:val="center"/>
              <w:rPr>
                <w:rFonts w:hint="eastAsia" w:ascii="宋体" w:hAnsi="宋体" w:cs="宋体"/>
                <w:color w:val="000000"/>
                <w:sz w:val="18"/>
                <w:szCs w:val="18"/>
              </w:rPr>
            </w:pPr>
            <w:r>
              <w:rPr>
                <w:rFonts w:ascii="宋体" w:hAnsi="宋体" w:cs="宋体"/>
                <w:color w:val="000000"/>
                <w:sz w:val="18"/>
                <w:szCs w:val="18"/>
              </w:rPr>
              <w:t>——波形：半正弦波。</w:t>
            </w:r>
          </w:p>
        </w:tc>
        <w:tc>
          <w:tcPr>
            <w:tcW w:w="810" w:type="dxa"/>
            <w:shd w:val="clear" w:color="auto" w:fill="auto"/>
            <w:vAlign w:val="center"/>
          </w:tcPr>
          <w:p w14:paraId="669D6D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408F9795">
            <w:pPr>
              <w:jc w:val="center"/>
              <w:rPr>
                <w:rFonts w:hint="eastAsia" w:ascii="宋体" w:hAnsi="宋体" w:cs="宋体"/>
                <w:color w:val="000000"/>
                <w:sz w:val="18"/>
                <w:szCs w:val="18"/>
              </w:rPr>
            </w:pPr>
          </w:p>
        </w:tc>
      </w:tr>
      <w:tr w14:paraId="052F8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290EAE9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16</w:t>
            </w:r>
          </w:p>
        </w:tc>
        <w:tc>
          <w:tcPr>
            <w:tcW w:w="697" w:type="dxa"/>
            <w:shd w:val="clear" w:color="auto" w:fill="auto"/>
            <w:vAlign w:val="center"/>
          </w:tcPr>
          <w:p w14:paraId="334D7C5A">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晶须试验</w:t>
            </w:r>
          </w:p>
        </w:tc>
        <w:tc>
          <w:tcPr>
            <w:tcW w:w="781" w:type="dxa"/>
            <w:shd w:val="clear" w:color="auto" w:fill="auto"/>
            <w:vAlign w:val="center"/>
          </w:tcPr>
          <w:p w14:paraId="3EA84ED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（WG）</w:t>
            </w:r>
          </w:p>
        </w:tc>
        <w:tc>
          <w:tcPr>
            <w:tcW w:w="755" w:type="dxa"/>
            <w:shd w:val="clear" w:color="auto" w:fill="auto"/>
            <w:vAlign w:val="center"/>
          </w:tcPr>
          <w:p w14:paraId="59E4F5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499" w:type="dxa"/>
            <w:shd w:val="clear" w:color="auto" w:fill="auto"/>
            <w:vAlign w:val="center"/>
          </w:tcPr>
          <w:p w14:paraId="3FA946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436" w:type="dxa"/>
            <w:shd w:val="clear" w:color="auto" w:fill="auto"/>
            <w:vAlign w:val="center"/>
          </w:tcPr>
          <w:p w14:paraId="1EA6286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——试验条件A温度循环，不超过45um</w:t>
            </w:r>
          </w:p>
          <w:p w14:paraId="54FB1EA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·温度：55</w:t>
            </w:r>
            <w:r>
              <w:rPr>
                <w:rFonts w:hint="eastAsia" w:ascii="宋体" w:hAnsi="宋体" w:cs="宋体"/>
                <w:color w:val="000000"/>
                <w:kern w:val="0"/>
                <w:sz w:val="18"/>
                <w:szCs w:val="18"/>
                <w:lang w:bidi="ar"/>
                <w:eastAsianLayout w:id="1" w:combine="1"/>
              </w:rPr>
              <w:t>0  -10</w:t>
            </w:r>
            <w:r>
              <w:rPr>
                <w:rFonts w:hint="eastAsia" w:ascii="宋体" w:hAnsi="宋体" w:cs="宋体"/>
                <w:color w:val="000000"/>
                <w:kern w:val="0"/>
                <w:sz w:val="18"/>
                <w:szCs w:val="18"/>
                <w:lang w:bidi="ar"/>
              </w:rPr>
              <w:t>℃～85</w:t>
            </w:r>
            <w:r>
              <w:rPr>
                <w:rFonts w:hint="eastAsia" w:ascii="宋体" w:hAnsi="宋体" w:cs="宋体"/>
                <w:color w:val="000000"/>
                <w:kern w:val="0"/>
                <w:sz w:val="18"/>
                <w:szCs w:val="18"/>
                <w:lang w:bidi="ar"/>
                <w:eastAsianLayout w:id="2" w:combine="1"/>
              </w:rPr>
              <w:t>+10 0</w:t>
            </w:r>
            <w:r>
              <w:rPr>
                <w:rFonts w:hint="eastAsia" w:ascii="宋体" w:hAnsi="宋体" w:cs="宋体"/>
                <w:color w:val="000000"/>
                <w:kern w:val="0"/>
                <w:sz w:val="18"/>
                <w:szCs w:val="18"/>
                <w:lang w:bidi="ar"/>
              </w:rPr>
              <w:t>℃时，每小时3个循环；</w:t>
            </w:r>
          </w:p>
          <w:p w14:paraId="3717D50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·循环次数：1500次；</w:t>
            </w:r>
          </w:p>
          <w:p w14:paraId="34DD684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·检测间隔：每500循环检查一次。</w:t>
            </w:r>
          </w:p>
          <w:p w14:paraId="6A9CF90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——试验条件B温湿度存储：不超过40um</w:t>
            </w:r>
          </w:p>
          <w:p w14:paraId="03BB8A4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·温湿度：55</w:t>
            </w:r>
            <w:r>
              <w:rPr>
                <w:rFonts w:hint="eastAsia" w:ascii="宋体" w:hAnsi="宋体" w:cs="宋体"/>
                <w:color w:val="000000"/>
                <w:kern w:val="0"/>
                <w:sz w:val="18"/>
                <w:szCs w:val="18"/>
                <w:lang w:bidi="ar"/>
                <w:eastAsianLayout w:id="3" w:combine="1"/>
              </w:rPr>
              <w:t>+3 -3</w:t>
            </w:r>
            <w:r>
              <w:rPr>
                <w:rFonts w:hint="eastAsia" w:ascii="宋体" w:hAnsi="宋体" w:cs="宋体"/>
                <w:color w:val="000000"/>
                <w:kern w:val="0"/>
                <w:sz w:val="18"/>
                <w:szCs w:val="18"/>
                <w:lang w:bidi="ar"/>
              </w:rPr>
              <w:t>℃和85</w:t>
            </w:r>
            <w:r>
              <w:rPr>
                <w:rFonts w:hint="eastAsia" w:ascii="宋体" w:hAnsi="宋体" w:cs="宋体"/>
                <w:color w:val="000000"/>
                <w:kern w:val="0"/>
                <w:sz w:val="18"/>
                <w:szCs w:val="18"/>
                <w:lang w:bidi="ar"/>
                <w:eastAsianLayout w:id="4" w:combine="1"/>
              </w:rPr>
              <w:t>+3 -3</w:t>
            </w:r>
            <w:r>
              <w:rPr>
                <w:rFonts w:hint="eastAsia" w:ascii="宋体" w:hAnsi="宋体" w:cs="宋体"/>
                <w:color w:val="000000"/>
                <w:kern w:val="0"/>
                <w:sz w:val="18"/>
                <w:szCs w:val="18"/>
                <w:lang w:bidi="ar"/>
              </w:rPr>
              <w:t>%RH；</w:t>
            </w:r>
          </w:p>
          <w:p w14:paraId="1625332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·试验时间：4000 h；</w:t>
            </w:r>
          </w:p>
          <w:p w14:paraId="5BF6CA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·检测间隔：每1000 h检查一次</w:t>
            </w:r>
          </w:p>
        </w:tc>
        <w:tc>
          <w:tcPr>
            <w:tcW w:w="810" w:type="dxa"/>
            <w:shd w:val="clear" w:color="auto" w:fill="auto"/>
            <w:vAlign w:val="center"/>
          </w:tcPr>
          <w:p w14:paraId="25D49D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68AB0D71">
            <w:pPr>
              <w:jc w:val="center"/>
              <w:rPr>
                <w:rFonts w:hint="eastAsia" w:ascii="宋体" w:hAnsi="宋体" w:cs="宋体"/>
                <w:color w:val="000000"/>
                <w:sz w:val="18"/>
                <w:szCs w:val="18"/>
              </w:rPr>
            </w:pPr>
          </w:p>
        </w:tc>
      </w:tr>
      <w:tr w14:paraId="327CE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52" w:type="dxa"/>
            <w:shd w:val="clear" w:color="auto" w:fill="auto"/>
            <w:vAlign w:val="center"/>
          </w:tcPr>
          <w:p w14:paraId="0C8DE2DF">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17</w:t>
            </w:r>
          </w:p>
        </w:tc>
        <w:tc>
          <w:tcPr>
            <w:tcW w:w="697" w:type="dxa"/>
            <w:shd w:val="clear" w:color="auto" w:fill="auto"/>
            <w:vAlign w:val="center"/>
          </w:tcPr>
          <w:p w14:paraId="3A453F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外观检验</w:t>
            </w:r>
          </w:p>
        </w:tc>
        <w:tc>
          <w:tcPr>
            <w:tcW w:w="781" w:type="dxa"/>
            <w:shd w:val="clear" w:color="auto" w:fill="auto"/>
            <w:vAlign w:val="center"/>
          </w:tcPr>
          <w:p w14:paraId="0DABB8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EV </w:t>
            </w:r>
          </w:p>
        </w:tc>
        <w:tc>
          <w:tcPr>
            <w:tcW w:w="755" w:type="dxa"/>
            <w:shd w:val="clear" w:color="auto" w:fill="auto"/>
            <w:vAlign w:val="center"/>
          </w:tcPr>
          <w:p w14:paraId="0FD34F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All</w:t>
            </w:r>
          </w:p>
        </w:tc>
        <w:tc>
          <w:tcPr>
            <w:tcW w:w="499" w:type="dxa"/>
            <w:shd w:val="clear" w:color="auto" w:fill="auto"/>
            <w:vAlign w:val="center"/>
          </w:tcPr>
          <w:p w14:paraId="389A61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All</w:t>
            </w:r>
          </w:p>
        </w:tc>
        <w:tc>
          <w:tcPr>
            <w:tcW w:w="3436" w:type="dxa"/>
            <w:shd w:val="clear" w:color="auto" w:fill="auto"/>
            <w:vAlign w:val="center"/>
          </w:tcPr>
          <w:p w14:paraId="15A352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10" w:type="dxa"/>
            <w:shd w:val="clear" w:color="auto" w:fill="auto"/>
            <w:vAlign w:val="center"/>
          </w:tcPr>
          <w:p w14:paraId="35A266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符合</w:t>
            </w:r>
          </w:p>
        </w:tc>
        <w:tc>
          <w:tcPr>
            <w:tcW w:w="892" w:type="dxa"/>
            <w:shd w:val="clear" w:color="auto" w:fill="auto"/>
            <w:vAlign w:val="center"/>
          </w:tcPr>
          <w:p w14:paraId="3248EB70">
            <w:pPr>
              <w:jc w:val="center"/>
              <w:rPr>
                <w:rFonts w:hint="eastAsia" w:ascii="宋体" w:hAnsi="宋体" w:cs="宋体"/>
                <w:color w:val="000000"/>
                <w:sz w:val="18"/>
                <w:szCs w:val="18"/>
              </w:rPr>
            </w:pPr>
          </w:p>
        </w:tc>
      </w:tr>
    </w:tbl>
    <w:p w14:paraId="77BEB722">
      <w:pPr>
        <w:spacing w:line="360" w:lineRule="auto"/>
        <w:rPr>
          <w:rFonts w:hint="eastAsia" w:ascii="仿宋" w:hAnsi="仿宋" w:eastAsia="仿宋" w:cs="宋体"/>
          <w:kern w:val="0"/>
          <w:sz w:val="24"/>
        </w:rPr>
      </w:pPr>
    </w:p>
    <w:p w14:paraId="0FE5706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en-US" w:eastAsia="zh-CN"/>
        </w:rPr>
        <w:t>本规范的</w:t>
      </w:r>
      <w:r>
        <w:rPr>
          <w:rFonts w:hint="eastAsia" w:ascii="仿宋" w:hAnsi="仿宋" w:eastAsia="仿宋" w:cs="宋体"/>
          <w:kern w:val="0"/>
          <w:sz w:val="24"/>
        </w:rPr>
        <w:t>试验数据如下：</w:t>
      </w:r>
    </w:p>
    <w:p w14:paraId="52A6DC00">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rPr>
        <w:drawing>
          <wp:inline distT="0" distB="0" distL="0" distR="0">
            <wp:extent cx="5409565" cy="8090535"/>
            <wp:effectExtent l="0" t="0" r="635" b="12065"/>
            <wp:docPr id="916827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27254"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9565" cy="8090535"/>
                    </a:xfrm>
                    <a:prstGeom prst="rect">
                      <a:avLst/>
                    </a:prstGeom>
                    <a:noFill/>
                    <a:ln>
                      <a:noFill/>
                    </a:ln>
                  </pic:spPr>
                </pic:pic>
              </a:graphicData>
            </a:graphic>
          </wp:inline>
        </w:drawing>
      </w:r>
    </w:p>
    <w:p w14:paraId="44EC0C5E">
      <w:pPr>
        <w:spacing w:line="360" w:lineRule="auto"/>
        <w:jc w:val="center"/>
        <w:rPr>
          <w:rFonts w:ascii="仿宋" w:hAnsi="仿宋" w:eastAsia="仿宋" w:cs="仿宋"/>
          <w:color w:val="000000" w:themeColor="text1"/>
          <w:sz w:val="28"/>
          <w:szCs w:val="28"/>
          <w14:textFill>
            <w14:solidFill>
              <w14:schemeClr w14:val="tx1"/>
            </w14:solidFill>
          </w14:textFill>
        </w:rPr>
      </w:pPr>
      <w:bookmarkStart w:id="2" w:name="_GoBack"/>
      <w:r>
        <w:rPr>
          <w:rFonts w:hint="eastAsia"/>
        </w:rPr>
        <w:drawing>
          <wp:inline distT="0" distB="0" distL="0" distR="0">
            <wp:extent cx="5377815" cy="8389620"/>
            <wp:effectExtent l="0" t="0" r="6985" b="5080"/>
            <wp:docPr id="17876258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25861"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77815" cy="8389620"/>
                    </a:xfrm>
                    <a:prstGeom prst="rect">
                      <a:avLst/>
                    </a:prstGeom>
                    <a:noFill/>
                    <a:ln>
                      <a:noFill/>
                    </a:ln>
                  </pic:spPr>
                </pic:pic>
              </a:graphicData>
            </a:graphic>
          </wp:inline>
        </w:drawing>
      </w:r>
      <w:bookmarkEnd w:id="2"/>
    </w:p>
    <w:p w14:paraId="1BE06AC5">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rPr>
        <w:drawing>
          <wp:inline distT="0" distB="0" distL="0" distR="0">
            <wp:extent cx="5382260" cy="8484235"/>
            <wp:effectExtent l="0" t="0" r="2540" b="12065"/>
            <wp:docPr id="8221990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99046"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82260" cy="8484235"/>
                    </a:xfrm>
                    <a:prstGeom prst="rect">
                      <a:avLst/>
                    </a:prstGeom>
                    <a:noFill/>
                    <a:ln>
                      <a:noFill/>
                    </a:ln>
                  </pic:spPr>
                </pic:pic>
              </a:graphicData>
            </a:graphic>
          </wp:inline>
        </w:drawing>
      </w:r>
    </w:p>
    <w:p w14:paraId="4268E6EE">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rPr>
        <w:drawing>
          <wp:inline distT="0" distB="0" distL="0" distR="0">
            <wp:extent cx="5369560" cy="8465185"/>
            <wp:effectExtent l="0" t="0" r="2540" b="5715"/>
            <wp:docPr id="662833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339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69560" cy="8465185"/>
                    </a:xfrm>
                    <a:prstGeom prst="rect">
                      <a:avLst/>
                    </a:prstGeom>
                    <a:noFill/>
                    <a:ln>
                      <a:noFill/>
                    </a:ln>
                  </pic:spPr>
                </pic:pic>
              </a:graphicData>
            </a:graphic>
          </wp:inline>
        </w:drawing>
      </w:r>
    </w:p>
    <w:p w14:paraId="59583D43">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default" w:ascii="Times New Roman" w:hAnsi="Times New Roman" w:cs="Times New Roman"/>
        </w:rPr>
        <w:drawing>
          <wp:inline distT="0" distB="0" distL="0" distR="0">
            <wp:extent cx="5374005" cy="8320405"/>
            <wp:effectExtent l="0" t="0" r="10795" b="10795"/>
            <wp:docPr id="3364917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9176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74005" cy="8320405"/>
                    </a:xfrm>
                    <a:prstGeom prst="rect">
                      <a:avLst/>
                    </a:prstGeom>
                    <a:noFill/>
                    <a:ln>
                      <a:noFill/>
                    </a:ln>
                  </pic:spPr>
                </pic:pic>
              </a:graphicData>
            </a:graphic>
          </wp:inline>
        </w:drawing>
      </w:r>
    </w:p>
    <w:p w14:paraId="0B759689">
      <w:pPr>
        <w:spacing w:line="360" w:lineRule="auto"/>
        <w:rPr>
          <w:rFonts w:hint="eastAsia" w:ascii="黑体" w:hAnsi="黑体" w:eastAsia="黑体" w:cs="黑体"/>
          <w:color w:val="000000" w:themeColor="text1"/>
          <w:sz w:val="24"/>
          <w14:textFill>
            <w14:solidFill>
              <w14:schemeClr w14:val="tx1"/>
            </w14:solidFill>
          </w14:textFill>
        </w:rPr>
      </w:pPr>
    </w:p>
    <w:p w14:paraId="7A2C044A">
      <w:pPr>
        <w:spacing w:line="360" w:lineRule="auto"/>
        <w:rPr>
          <w:rFonts w:hint="eastAsia" w:ascii="黑体" w:hAnsi="黑体" w:eastAsia="黑体" w:cs="黑体"/>
          <w:color w:val="000000" w:themeColor="text1"/>
          <w:sz w:val="24"/>
          <w14:textFill>
            <w14:solidFill>
              <w14:schemeClr w14:val="tx1"/>
            </w14:solidFill>
          </w14:textFill>
        </w:rPr>
      </w:pPr>
    </w:p>
    <w:p w14:paraId="53D71481">
      <w:pPr>
        <w:spacing w:line="360" w:lineRule="auto"/>
        <w:rPr>
          <w:rFonts w:hint="eastAsia" w:ascii="黑体" w:hAnsi="黑体" w:eastAsia="黑体" w:cs="黑体"/>
          <w:color w:val="000000" w:themeColor="text1"/>
          <w:sz w:val="24"/>
          <w14:textFill>
            <w14:solidFill>
              <w14:schemeClr w14:val="tx1"/>
            </w14:solidFill>
          </w14:textFill>
        </w:rPr>
      </w:pPr>
    </w:p>
    <w:p w14:paraId="2C6E84E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2422B51A">
      <w:pPr>
        <w:pStyle w:val="11"/>
        <w:spacing w:line="360" w:lineRule="auto"/>
        <w:ind w:firstLine="480"/>
        <w:rPr>
          <w:rFonts w:hint="eastAsia" w:ascii="仿宋" w:hAnsi="仿宋" w:eastAsia="仿宋" w:cs="宋体"/>
          <w:sz w:val="24"/>
          <w:szCs w:val="24"/>
        </w:rPr>
      </w:pPr>
      <w:r>
        <w:rPr>
          <w:rFonts w:hint="eastAsia" w:ascii="仿宋" w:hAnsi="仿宋" w:eastAsia="仿宋" w:cs="宋体"/>
          <w:sz w:val="24"/>
          <w:szCs w:val="24"/>
        </w:rPr>
        <w:t>本标准的条目，符合国家有关法律、法规和相关强制性标准的要求，与现行的国家标准、行业标准相协调。</w:t>
      </w:r>
    </w:p>
    <w:p w14:paraId="58F2570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宋体"/>
          <w:sz w:val="24"/>
        </w:rPr>
        <w:t>当前无SiC MOSFET可靠性要求及试验方法国家标准，本标准是面向SiC MOSFET分立器件。</w:t>
      </w:r>
    </w:p>
    <w:p w14:paraId="422B47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0899168A">
      <w:pPr>
        <w:pStyle w:val="11"/>
        <w:spacing w:line="360" w:lineRule="auto"/>
        <w:ind w:firstLine="480"/>
        <w:rPr>
          <w:rFonts w:hint="eastAsia" w:ascii="仿宋" w:hAnsi="仿宋" w:eastAsia="仿宋" w:cs="宋体"/>
          <w:sz w:val="24"/>
          <w:szCs w:val="24"/>
        </w:rPr>
      </w:pPr>
      <w:r>
        <w:rPr>
          <w:rFonts w:hint="eastAsia" w:ascii="仿宋" w:hAnsi="仿宋" w:eastAsia="仿宋" w:cs="宋体"/>
          <w:sz w:val="24"/>
          <w:szCs w:val="24"/>
        </w:rPr>
        <w:t>严格按照本标准提出的可靠性要求及试验方法，对检验工程师进行理论学习和操作培训，保证检验方法操作的准确性。</w:t>
      </w:r>
    </w:p>
    <w:p w14:paraId="512100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黑体" w:hAnsi="黑体" w:eastAsia="黑体" w:cs="黑体"/>
          <w:color w:val="000000" w:themeColor="text1"/>
          <w:sz w:val="24"/>
          <w:lang w:val="en-US" w:eastAsia="zh-CN"/>
          <w14:textFill>
            <w14:solidFill>
              <w14:schemeClr w14:val="tx1"/>
            </w14:solidFill>
          </w14:textFill>
        </w:rPr>
      </w:pPr>
      <w:r>
        <w:rPr>
          <w:rFonts w:hint="eastAsia" w:ascii="黑体" w:hAnsi="黑体" w:eastAsia="黑体" w:cs="黑体"/>
          <w:color w:val="000000" w:themeColor="text1"/>
          <w:sz w:val="24"/>
          <w:lang w:val="en-US" w:eastAsia="zh-CN"/>
          <w14:textFill>
            <w14:solidFill>
              <w14:schemeClr w14:val="tx1"/>
            </w14:solidFill>
          </w14:textFill>
        </w:rPr>
        <w:t>七、</w:t>
      </w:r>
      <w:r>
        <w:rPr>
          <w:rFonts w:hint="eastAsia" w:ascii="黑体" w:hAnsi="黑体" w:eastAsia="黑体" w:cs="黑体"/>
          <w:color w:val="000000" w:themeColor="text1"/>
          <w:sz w:val="24"/>
          <w14:textFill>
            <w14:solidFill>
              <w14:schemeClr w14:val="tx1"/>
            </w14:solidFill>
          </w14:textFill>
        </w:rPr>
        <w:t>其他需要说明的事项</w:t>
      </w:r>
      <w:r>
        <w:rPr>
          <w:rFonts w:hint="eastAsia" w:ascii="黑体" w:hAnsi="黑体" w:eastAsia="黑体" w:cs="黑体"/>
          <w:color w:val="000000" w:themeColor="text1"/>
          <w:sz w:val="24"/>
          <w:lang w:val="en-US" w:eastAsia="zh-CN"/>
          <w14:textFill>
            <w14:solidFill>
              <w14:schemeClr w14:val="tx1"/>
            </w14:solidFill>
          </w14:textFill>
        </w:rPr>
        <w:t>·</w:t>
      </w:r>
    </w:p>
    <w:p w14:paraId="08910254">
      <w:pPr>
        <w:spacing w:line="360" w:lineRule="auto"/>
        <w:ind w:firstLine="960" w:firstLineChars="400"/>
        <w:rPr>
          <w:rFonts w:hint="eastAsia" w:ascii="仿宋" w:hAnsi="仿宋" w:eastAsia="仿宋" w:cs="宋体"/>
          <w:kern w:val="0"/>
          <w:sz w:val="24"/>
        </w:rPr>
      </w:pPr>
      <w:r>
        <w:rPr>
          <w:rFonts w:hint="eastAsia" w:ascii="仿宋" w:hAnsi="仿宋" w:eastAsia="仿宋" w:cs="宋体"/>
          <w:kern w:val="0"/>
          <w:sz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A6A1C"/>
    <w:multiLevelType w:val="singleLevel"/>
    <w:tmpl w:val="809A6A1C"/>
    <w:lvl w:ilvl="0" w:tentative="0">
      <w:start w:val="1"/>
      <w:numFmt w:val="decimal"/>
      <w:suff w:val="nothing"/>
      <w:lvlText w:val="%1）"/>
      <w:lvlJc w:val="left"/>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1EA85159"/>
    <w:multiLevelType w:val="multilevel"/>
    <w:tmpl w:val="1EA85159"/>
    <w:lvl w:ilvl="0" w:tentative="0">
      <w:start w:val="1"/>
      <w:numFmt w:val="none"/>
      <w:suff w:val="nothing"/>
      <w:lvlText w:val="%1——"/>
      <w:lvlJc w:val="left"/>
      <w:pPr>
        <w:ind w:left="833" w:hanging="408"/>
      </w:pPr>
      <w:rPr>
        <w:rFonts w:hint="eastAsia" w:ascii="宋体" w:hAnsi="宋体" w:eastAsia="宋体"/>
      </w:rPr>
    </w:lvl>
    <w:lvl w:ilvl="1" w:tentative="0">
      <w:start w:val="1"/>
      <w:numFmt w:val="bullet"/>
      <w:lvlText w:val=""/>
      <w:lvlJc w:val="left"/>
      <w:pPr>
        <w:tabs>
          <w:tab w:val="left" w:pos="760"/>
        </w:tabs>
        <w:ind w:left="1264" w:hanging="413"/>
      </w:pPr>
      <w:rPr>
        <w:rFonts w:hint="default" w:ascii="Symbol" w:hAnsi="Symbol"/>
      </w:rPr>
    </w:lvl>
    <w:lvl w:ilvl="2" w:tentative="0">
      <w:start w:val="1"/>
      <w:numFmt w:val="bullet"/>
      <w:lvlText w:val=""/>
      <w:lvlJc w:val="left"/>
      <w:pPr>
        <w:tabs>
          <w:tab w:val="left" w:pos="1678"/>
        </w:tabs>
        <w:ind w:left="1678" w:hanging="414"/>
      </w:pPr>
      <w:rPr>
        <w:rFonts w:hint="default" w:ascii="Symbol" w:hAnsi="Symbol"/>
      </w:rPr>
    </w:lvl>
    <w:lvl w:ilvl="3" w:tentative="0">
      <w:start w:val="1"/>
      <w:numFmt w:val="decimal"/>
      <w:lvlText w:val="%4."/>
      <w:lvlJc w:val="left"/>
      <w:pPr>
        <w:tabs>
          <w:tab w:val="left" w:pos="2071"/>
        </w:tabs>
        <w:ind w:left="1884" w:hanging="528"/>
      </w:pPr>
      <w:rPr>
        <w:rFonts w:hint="eastAsia" w:ascii="宋体" w:hAnsi="宋体" w:eastAsia="宋体"/>
      </w:rPr>
    </w:lvl>
    <w:lvl w:ilvl="4" w:tentative="0">
      <w:start w:val="1"/>
      <w:numFmt w:val="lowerLetter"/>
      <w:lvlText w:val="%5)"/>
      <w:lvlJc w:val="left"/>
      <w:pPr>
        <w:tabs>
          <w:tab w:val="left" w:pos="2383"/>
        </w:tabs>
        <w:ind w:left="2196" w:hanging="528"/>
      </w:pPr>
      <w:rPr>
        <w:rFonts w:hint="eastAsia" w:ascii="宋体" w:hAnsi="宋体" w:eastAsia="宋体"/>
      </w:rPr>
    </w:lvl>
    <w:lvl w:ilvl="5" w:tentative="0">
      <w:start w:val="1"/>
      <w:numFmt w:val="lowerRoman"/>
      <w:lvlText w:val="%6."/>
      <w:lvlJc w:val="right"/>
      <w:pPr>
        <w:tabs>
          <w:tab w:val="left" w:pos="2695"/>
        </w:tabs>
        <w:ind w:left="2508" w:hanging="528"/>
      </w:pPr>
      <w:rPr>
        <w:rFonts w:hint="eastAsia" w:ascii="宋体" w:hAnsi="宋体" w:eastAsia="宋体"/>
      </w:rPr>
    </w:lvl>
    <w:lvl w:ilvl="6" w:tentative="0">
      <w:start w:val="1"/>
      <w:numFmt w:val="decimal"/>
      <w:lvlText w:val="%7."/>
      <w:lvlJc w:val="left"/>
      <w:pPr>
        <w:tabs>
          <w:tab w:val="left" w:pos="3007"/>
        </w:tabs>
        <w:ind w:left="2820" w:hanging="528"/>
      </w:pPr>
      <w:rPr>
        <w:rFonts w:hint="eastAsia" w:ascii="宋体" w:hAnsi="宋体" w:eastAsia="宋体"/>
      </w:rPr>
    </w:lvl>
    <w:lvl w:ilvl="7" w:tentative="0">
      <w:start w:val="1"/>
      <w:numFmt w:val="lowerLetter"/>
      <w:lvlText w:val="%8)"/>
      <w:lvlJc w:val="left"/>
      <w:pPr>
        <w:tabs>
          <w:tab w:val="left" w:pos="3319"/>
        </w:tabs>
        <w:ind w:left="3132" w:hanging="528"/>
      </w:pPr>
      <w:rPr>
        <w:rFonts w:hint="eastAsia" w:ascii="宋体" w:hAnsi="宋体" w:eastAsia="宋体"/>
      </w:rPr>
    </w:lvl>
    <w:lvl w:ilvl="8" w:tentative="0">
      <w:start w:val="1"/>
      <w:numFmt w:val="lowerRoman"/>
      <w:lvlText w:val="%9."/>
      <w:lvlJc w:val="right"/>
      <w:pPr>
        <w:tabs>
          <w:tab w:val="left" w:pos="3631"/>
        </w:tabs>
        <w:ind w:left="3444" w:hanging="528"/>
      </w:pPr>
      <w:rPr>
        <w:rFonts w:hint="eastAsia" w:ascii="宋体" w:hAnsi="宋体" w:eastAsia="宋体"/>
      </w:rPr>
    </w:lvl>
  </w:abstractNum>
  <w:abstractNum w:abstractNumId="4">
    <w:nsid w:val="259B5829"/>
    <w:multiLevelType w:val="multilevel"/>
    <w:tmpl w:val="259B5829"/>
    <w:lvl w:ilvl="0" w:tentative="0">
      <w:start w:val="1"/>
      <w:numFmt w:val="decimal"/>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27AF0D84"/>
    <w:multiLevelType w:val="multilevel"/>
    <w:tmpl w:val="27AF0D84"/>
    <w:lvl w:ilvl="0" w:tentative="0">
      <w:start w:val="1"/>
      <w:numFmt w:val="none"/>
      <w:suff w:val="nothing"/>
      <w:lvlText w:val="%1——"/>
      <w:lvlJc w:val="left"/>
      <w:pPr>
        <w:ind w:left="833" w:hanging="408"/>
      </w:pPr>
      <w:rPr>
        <w:rFonts w:hint="eastAsia" w:ascii="宋体" w:hAnsi="宋体" w:eastAsia="宋体"/>
      </w:rPr>
    </w:lvl>
    <w:lvl w:ilvl="1" w:tentative="0">
      <w:start w:val="1"/>
      <w:numFmt w:val="bullet"/>
      <w:lvlText w:val=""/>
      <w:lvlJc w:val="left"/>
      <w:pPr>
        <w:tabs>
          <w:tab w:val="left" w:pos="760"/>
        </w:tabs>
        <w:ind w:left="1264" w:hanging="413"/>
      </w:pPr>
      <w:rPr>
        <w:rFonts w:hint="default" w:ascii="Symbol" w:hAnsi="Symbol"/>
      </w:rPr>
    </w:lvl>
    <w:lvl w:ilvl="2" w:tentative="0">
      <w:start w:val="1"/>
      <w:numFmt w:val="bullet"/>
      <w:lvlText w:val=""/>
      <w:lvlJc w:val="left"/>
      <w:pPr>
        <w:tabs>
          <w:tab w:val="left" w:pos="1678"/>
        </w:tabs>
        <w:ind w:left="1678" w:hanging="414"/>
      </w:pPr>
      <w:rPr>
        <w:rFonts w:hint="default" w:ascii="Symbol" w:hAnsi="Symbol"/>
      </w:rPr>
    </w:lvl>
    <w:lvl w:ilvl="3" w:tentative="0">
      <w:start w:val="1"/>
      <w:numFmt w:val="decimal"/>
      <w:lvlText w:val="%4."/>
      <w:lvlJc w:val="left"/>
      <w:pPr>
        <w:tabs>
          <w:tab w:val="left" w:pos="2071"/>
        </w:tabs>
        <w:ind w:left="1884" w:hanging="528"/>
      </w:pPr>
      <w:rPr>
        <w:rFonts w:hint="eastAsia" w:ascii="宋体" w:hAnsi="宋体" w:eastAsia="宋体"/>
      </w:rPr>
    </w:lvl>
    <w:lvl w:ilvl="4" w:tentative="0">
      <w:start w:val="1"/>
      <w:numFmt w:val="lowerLetter"/>
      <w:lvlText w:val="%5)"/>
      <w:lvlJc w:val="left"/>
      <w:pPr>
        <w:tabs>
          <w:tab w:val="left" w:pos="2383"/>
        </w:tabs>
        <w:ind w:left="2196" w:hanging="528"/>
      </w:pPr>
      <w:rPr>
        <w:rFonts w:hint="eastAsia" w:ascii="宋体" w:hAnsi="宋体" w:eastAsia="宋体"/>
      </w:rPr>
    </w:lvl>
    <w:lvl w:ilvl="5" w:tentative="0">
      <w:start w:val="1"/>
      <w:numFmt w:val="lowerRoman"/>
      <w:lvlText w:val="%6."/>
      <w:lvlJc w:val="right"/>
      <w:pPr>
        <w:tabs>
          <w:tab w:val="left" w:pos="2695"/>
        </w:tabs>
        <w:ind w:left="2508" w:hanging="528"/>
      </w:pPr>
      <w:rPr>
        <w:rFonts w:hint="eastAsia" w:ascii="宋体" w:hAnsi="宋体" w:eastAsia="宋体"/>
      </w:rPr>
    </w:lvl>
    <w:lvl w:ilvl="6" w:tentative="0">
      <w:start w:val="1"/>
      <w:numFmt w:val="decimal"/>
      <w:lvlText w:val="%7."/>
      <w:lvlJc w:val="left"/>
      <w:pPr>
        <w:tabs>
          <w:tab w:val="left" w:pos="3007"/>
        </w:tabs>
        <w:ind w:left="2820" w:hanging="528"/>
      </w:pPr>
      <w:rPr>
        <w:rFonts w:hint="eastAsia" w:ascii="宋体" w:hAnsi="宋体" w:eastAsia="宋体"/>
      </w:rPr>
    </w:lvl>
    <w:lvl w:ilvl="7" w:tentative="0">
      <w:start w:val="1"/>
      <w:numFmt w:val="lowerLetter"/>
      <w:lvlText w:val="%8)"/>
      <w:lvlJc w:val="left"/>
      <w:pPr>
        <w:tabs>
          <w:tab w:val="left" w:pos="3319"/>
        </w:tabs>
        <w:ind w:left="3132" w:hanging="528"/>
      </w:pPr>
      <w:rPr>
        <w:rFonts w:hint="eastAsia" w:ascii="宋体" w:hAnsi="宋体" w:eastAsia="宋体"/>
      </w:rPr>
    </w:lvl>
    <w:lvl w:ilvl="8" w:tentative="0">
      <w:start w:val="1"/>
      <w:numFmt w:val="lowerRoman"/>
      <w:lvlText w:val="%9."/>
      <w:lvlJc w:val="right"/>
      <w:pPr>
        <w:tabs>
          <w:tab w:val="left" w:pos="3631"/>
        </w:tabs>
        <w:ind w:left="3444" w:hanging="528"/>
      </w:pPr>
      <w:rPr>
        <w:rFonts w:hint="eastAsia" w:ascii="宋体" w:hAnsi="宋体" w:eastAsia="宋体"/>
      </w:rPr>
    </w:lvl>
  </w:abstractNum>
  <w:abstractNum w:abstractNumId="6">
    <w:nsid w:val="54336163"/>
    <w:multiLevelType w:val="singleLevel"/>
    <w:tmpl w:val="54336163"/>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6"/>
  </w:num>
  <w:num w:numId="6">
    <w:abstractNumId w:val="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71"/>
    <w:rsid w:val="00063052"/>
    <w:rsid w:val="0006607A"/>
    <w:rsid w:val="000E33B8"/>
    <w:rsid w:val="001028D3"/>
    <w:rsid w:val="00120D86"/>
    <w:rsid w:val="001A1421"/>
    <w:rsid w:val="001A5BBC"/>
    <w:rsid w:val="001D732A"/>
    <w:rsid w:val="002015CE"/>
    <w:rsid w:val="00212F80"/>
    <w:rsid w:val="00235D5E"/>
    <w:rsid w:val="00250392"/>
    <w:rsid w:val="002516C2"/>
    <w:rsid w:val="0026410E"/>
    <w:rsid w:val="00297F71"/>
    <w:rsid w:val="002A72E5"/>
    <w:rsid w:val="00315DAC"/>
    <w:rsid w:val="00323C64"/>
    <w:rsid w:val="00337F73"/>
    <w:rsid w:val="00354AB7"/>
    <w:rsid w:val="00375FBD"/>
    <w:rsid w:val="003855AC"/>
    <w:rsid w:val="004127B0"/>
    <w:rsid w:val="004A11D0"/>
    <w:rsid w:val="004C6815"/>
    <w:rsid w:val="004D2F78"/>
    <w:rsid w:val="00573BD5"/>
    <w:rsid w:val="00583F1B"/>
    <w:rsid w:val="005B1A65"/>
    <w:rsid w:val="005E42DF"/>
    <w:rsid w:val="00605FE8"/>
    <w:rsid w:val="006C2821"/>
    <w:rsid w:val="006D50AE"/>
    <w:rsid w:val="006D54E6"/>
    <w:rsid w:val="00742ED2"/>
    <w:rsid w:val="0074571D"/>
    <w:rsid w:val="00755F36"/>
    <w:rsid w:val="007F7E8B"/>
    <w:rsid w:val="008200D7"/>
    <w:rsid w:val="0087531C"/>
    <w:rsid w:val="00887FE3"/>
    <w:rsid w:val="008C0E5E"/>
    <w:rsid w:val="008C5F32"/>
    <w:rsid w:val="008F1ACE"/>
    <w:rsid w:val="009241A8"/>
    <w:rsid w:val="00945383"/>
    <w:rsid w:val="00957976"/>
    <w:rsid w:val="0098782A"/>
    <w:rsid w:val="00987AC9"/>
    <w:rsid w:val="009A1D17"/>
    <w:rsid w:val="009D6477"/>
    <w:rsid w:val="009E3C20"/>
    <w:rsid w:val="009F3D16"/>
    <w:rsid w:val="00A22C24"/>
    <w:rsid w:val="00A511E4"/>
    <w:rsid w:val="00A86B67"/>
    <w:rsid w:val="00A944A2"/>
    <w:rsid w:val="00AD6A48"/>
    <w:rsid w:val="00B54E09"/>
    <w:rsid w:val="00B75950"/>
    <w:rsid w:val="00BE56B5"/>
    <w:rsid w:val="00BF7794"/>
    <w:rsid w:val="00CB45AA"/>
    <w:rsid w:val="00CC6DAE"/>
    <w:rsid w:val="00CE3D7F"/>
    <w:rsid w:val="00D30C85"/>
    <w:rsid w:val="00D470AA"/>
    <w:rsid w:val="00D55C4D"/>
    <w:rsid w:val="00D933E3"/>
    <w:rsid w:val="00E332E1"/>
    <w:rsid w:val="00E35C30"/>
    <w:rsid w:val="00EA46DC"/>
    <w:rsid w:val="00EA4EA6"/>
    <w:rsid w:val="00EB7A75"/>
    <w:rsid w:val="00EE1580"/>
    <w:rsid w:val="00EF7D19"/>
    <w:rsid w:val="00F071AB"/>
    <w:rsid w:val="00F07B44"/>
    <w:rsid w:val="00F135F0"/>
    <w:rsid w:val="00F542F4"/>
    <w:rsid w:val="00FB0F5B"/>
    <w:rsid w:val="00FD1BA5"/>
    <w:rsid w:val="049743AD"/>
    <w:rsid w:val="0B252643"/>
    <w:rsid w:val="0ED91C40"/>
    <w:rsid w:val="122F22A3"/>
    <w:rsid w:val="14C173FE"/>
    <w:rsid w:val="15D14D0C"/>
    <w:rsid w:val="17FE211F"/>
    <w:rsid w:val="1B324BB2"/>
    <w:rsid w:val="1B530620"/>
    <w:rsid w:val="1CD90307"/>
    <w:rsid w:val="21667363"/>
    <w:rsid w:val="269F6165"/>
    <w:rsid w:val="31FB3AF8"/>
    <w:rsid w:val="39F72C7E"/>
    <w:rsid w:val="3A3029B7"/>
    <w:rsid w:val="3EAB0654"/>
    <w:rsid w:val="5B6E411E"/>
    <w:rsid w:val="63260125"/>
    <w:rsid w:val="6A6634FD"/>
    <w:rsid w:val="6F5222A2"/>
    <w:rsid w:val="701612EA"/>
    <w:rsid w:val="706C7393"/>
    <w:rsid w:val="73C179F6"/>
    <w:rsid w:val="77364257"/>
    <w:rsid w:val="799040F2"/>
    <w:rsid w:val="7C03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after="120"/>
      <w:ind w:firstLine="425" w:firstLineChars="193"/>
      <w:jc w:val="left"/>
    </w:pPr>
    <w:rPr>
      <w:kern w:val="0"/>
      <w:sz w:val="2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font31"/>
    <w:basedOn w:val="7"/>
    <w:qFormat/>
    <w:uiPriority w:val="0"/>
    <w:rPr>
      <w:rFonts w:hint="eastAsia" w:ascii="仿宋" w:hAnsi="仿宋" w:eastAsia="仿宋" w:cs="仿宋"/>
      <w:color w:val="000000"/>
      <w:sz w:val="20"/>
      <w:szCs w:val="20"/>
      <w:u w:val="none"/>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sz w:val="21"/>
    </w:rPr>
  </w:style>
  <w:style w:type="paragraph" w:styleId="13">
    <w:name w:val="List Paragraph"/>
    <w:basedOn w:val="1"/>
    <w:unhideWhenUsed/>
    <w:qFormat/>
    <w:uiPriority w:val="99"/>
    <w:pPr>
      <w:ind w:firstLine="420" w:firstLineChars="200"/>
    </w:pPr>
  </w:style>
  <w:style w:type="character" w:customStyle="1" w:styleId="14">
    <w:name w:val="font21"/>
    <w:basedOn w:val="7"/>
    <w:qFormat/>
    <w:uiPriority w:val="0"/>
    <w:rPr>
      <w:rFonts w:hint="eastAsia" w:ascii="微软雅黑 Light" w:hAnsi="微软雅黑 Light" w:eastAsia="微软雅黑 Light" w:cs="微软雅黑 Light"/>
      <w:color w:val="000000"/>
      <w:sz w:val="18"/>
      <w:szCs w:val="18"/>
      <w:u w:val="none"/>
    </w:rPr>
  </w:style>
  <w:style w:type="character" w:customStyle="1" w:styleId="15">
    <w:name w:val="font41"/>
    <w:basedOn w:val="7"/>
    <w:qFormat/>
    <w:uiPriority w:val="0"/>
    <w:rPr>
      <w:rFonts w:hint="eastAsia" w:ascii="微软雅黑 Light" w:hAnsi="微软雅黑 Light" w:eastAsia="微软雅黑 Light" w:cs="微软雅黑 Light"/>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7506</Words>
  <Characters>8659</Characters>
  <Lines>686</Lines>
  <Paragraphs>921</Paragraphs>
  <TotalTime>10</TotalTime>
  <ScaleCrop>false</ScaleCrop>
  <LinksUpToDate>false</LinksUpToDate>
  <CharactersWithSpaces>8826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2025-03-25T02:53:00Z</dcterms:created>
  <dc:creator>ZHQ</dc:creator>
  <cp:lastModifiedBy>颜洲</cp:lastModifiedBy>
  <dcterms:modified xsi:type="dcterms:W3CDTF">2025-04-24T07:07:41Z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eyJoZGlkIjoiODYwYjcwMzkxNWIyZTAzOTdhNmQxMTVmYjI5M2Y3ZGQiLCJ1c2VySWQiOiI0MzMxMDc1MTMifQ==</vt:lpwstr>
  </property>
  <property fmtid="{D5CDD505-2E9C-101B-9397-08002B2CF9AE}" pid="4" name="ICV">
    <vt:lpwstr>4FB0FA39C508479692D32B8F2530B993_13</vt:lpwstr>
  </property>
</Properties>
</file>