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sz w:val="28"/>
          <w:szCs w:val="28"/>
        </w:rPr>
      </w:pPr>
    </w:p>
    <w:p>
      <w:pPr>
        <w:rPr>
          <w:rFonts w:hint="eastAsia" w:asciiTheme="majorEastAsia" w:hAnsiTheme="majorEastAsia" w:eastAsiaTheme="majorEastAsia"/>
          <w:sz w:val="28"/>
          <w:szCs w:val="28"/>
        </w:rPr>
      </w:pPr>
    </w:p>
    <w:p>
      <w:pPr>
        <w:rPr>
          <w:rFonts w:hint="eastAsia" w:asciiTheme="majorEastAsia" w:hAnsiTheme="majorEastAsia" w:eastAsiaTheme="majorEastAsia"/>
          <w:sz w:val="28"/>
          <w:szCs w:val="28"/>
        </w:rPr>
      </w:pPr>
    </w:p>
    <w:p>
      <w:pPr>
        <w:rPr>
          <w:rFonts w:hint="eastAsia" w:asciiTheme="majorEastAsia" w:hAnsiTheme="majorEastAsia" w:eastAsiaTheme="majorEastAsia"/>
          <w:sz w:val="28"/>
          <w:szCs w:val="28"/>
        </w:rPr>
      </w:pPr>
    </w:p>
    <w:p>
      <w:pPr>
        <w:spacing w:before="172"/>
        <w:ind w:left="452" w:right="571" w:firstLine="0"/>
        <w:jc w:val="center"/>
        <w:rPr>
          <w:rFonts w:hint="eastAsia" w:ascii="黑体" w:eastAsia="黑体"/>
          <w:sz w:val="52"/>
        </w:rPr>
      </w:pPr>
      <w:r>
        <w:rPr>
          <w:rFonts w:hint="eastAsia" w:ascii="黑体" w:eastAsia="黑体"/>
          <w:spacing w:val="-3"/>
          <w:sz w:val="52"/>
        </w:rPr>
        <w:t>汽车</w:t>
      </w:r>
      <w:r>
        <w:rPr>
          <w:rFonts w:hint="eastAsia" w:ascii="黑体" w:eastAsia="黑体"/>
          <w:spacing w:val="-3"/>
          <w:sz w:val="52"/>
          <w:lang w:val="en-US" w:eastAsia="zh-CN"/>
        </w:rPr>
        <w:t>团体</w:t>
      </w:r>
      <w:r>
        <w:rPr>
          <w:rFonts w:hint="eastAsia" w:ascii="黑体" w:eastAsia="黑体"/>
          <w:spacing w:val="-3"/>
          <w:sz w:val="52"/>
        </w:rPr>
        <w:t>标准</w:t>
      </w:r>
    </w:p>
    <w:p>
      <w:pPr>
        <w:spacing w:before="269" w:line="336" w:lineRule="auto"/>
        <w:ind w:left="452" w:right="571" w:firstLine="0"/>
        <w:jc w:val="center"/>
        <w:rPr>
          <w:rFonts w:hint="eastAsia" w:ascii="黑体" w:eastAsia="黑体"/>
          <w:sz w:val="52"/>
        </w:rPr>
      </w:pPr>
      <w:r>
        <w:rPr>
          <w:rFonts w:hint="eastAsia" w:ascii="黑体" w:eastAsia="黑体"/>
          <w:spacing w:val="-3"/>
          <w:sz w:val="52"/>
        </w:rPr>
        <w:t>《汽车低压电气系统用半桥预驱动芯片技术要求及试验方法》</w:t>
      </w:r>
    </w:p>
    <w:p>
      <w:pPr>
        <w:spacing w:before="0" w:line="391" w:lineRule="exact"/>
        <w:ind w:left="451" w:right="571" w:firstLine="0"/>
        <w:jc w:val="center"/>
        <w:rPr>
          <w:rFonts w:hint="eastAsia" w:ascii="黑体" w:eastAsia="黑体"/>
          <w:sz w:val="32"/>
        </w:rPr>
      </w:pPr>
      <w:r>
        <w:rPr>
          <w:rFonts w:hint="eastAsia" w:ascii="黑体" w:eastAsia="黑体"/>
          <w:sz w:val="32"/>
        </w:rPr>
        <w:t>（征求意见稿）</w:t>
      </w:r>
    </w:p>
    <w:p>
      <w:pPr>
        <w:spacing w:before="240"/>
        <w:ind w:left="452" w:right="569" w:firstLine="0"/>
        <w:jc w:val="center"/>
        <w:rPr>
          <w:rFonts w:hint="eastAsia" w:ascii="黑体" w:eastAsia="黑体"/>
          <w:sz w:val="52"/>
        </w:rPr>
      </w:pPr>
      <w:r>
        <w:rPr>
          <w:rFonts w:hint="eastAsia" w:ascii="黑体" w:eastAsia="黑体"/>
          <w:sz w:val="52"/>
        </w:rPr>
        <w:t>编制说明</w:t>
      </w:r>
    </w:p>
    <w:p>
      <w:pPr>
        <w:pStyle w:val="5"/>
        <w:rPr>
          <w:rFonts w:ascii="黑体"/>
          <w:sz w:val="52"/>
        </w:rPr>
      </w:pPr>
    </w:p>
    <w:p>
      <w:pPr>
        <w:pStyle w:val="5"/>
        <w:rPr>
          <w:rFonts w:ascii="黑体"/>
          <w:sz w:val="52"/>
        </w:rPr>
      </w:pPr>
    </w:p>
    <w:p>
      <w:pPr>
        <w:pStyle w:val="5"/>
        <w:rPr>
          <w:rFonts w:ascii="黑体"/>
          <w:sz w:val="52"/>
        </w:rPr>
      </w:pPr>
    </w:p>
    <w:p>
      <w:pPr>
        <w:pStyle w:val="5"/>
        <w:rPr>
          <w:rFonts w:ascii="黑体"/>
          <w:sz w:val="52"/>
        </w:rPr>
      </w:pPr>
    </w:p>
    <w:p>
      <w:pPr>
        <w:pStyle w:val="5"/>
        <w:spacing w:before="12"/>
        <w:rPr>
          <w:rFonts w:ascii="黑体"/>
          <w:sz w:val="49"/>
        </w:rPr>
      </w:pPr>
    </w:p>
    <w:p>
      <w:pPr>
        <w:spacing w:before="1"/>
        <w:ind w:left="452" w:right="569" w:firstLine="0"/>
        <w:jc w:val="center"/>
        <w:rPr>
          <w:sz w:val="28"/>
        </w:rPr>
      </w:pPr>
      <w:r>
        <w:rPr>
          <w:sz w:val="28"/>
        </w:rPr>
        <w:t>标准起草项目组</w:t>
      </w:r>
    </w:p>
    <w:p>
      <w:pPr>
        <w:spacing w:before="1"/>
        <w:ind w:left="452" w:right="569" w:firstLine="0"/>
        <w:jc w:val="center"/>
        <w:rPr>
          <w:sz w:val="28"/>
        </w:rPr>
      </w:pPr>
      <w:r>
        <w:rPr>
          <w:rFonts w:ascii="Times New Roman" w:eastAsia="Times New Roman"/>
          <w:sz w:val="28"/>
        </w:rPr>
        <w:t>202</w:t>
      </w:r>
      <w:r>
        <w:rPr>
          <w:rFonts w:hint="eastAsia" w:ascii="Times New Roman"/>
          <w:sz w:val="28"/>
          <w:lang w:val="en-US" w:eastAsia="zh-CN"/>
        </w:rPr>
        <w:t>5</w:t>
      </w:r>
      <w:r>
        <w:rPr>
          <w:sz w:val="28"/>
        </w:rPr>
        <w:t>年</w:t>
      </w:r>
      <w:r>
        <w:rPr>
          <w:rFonts w:hint="eastAsia"/>
          <w:sz w:val="28"/>
          <w:lang w:val="en-US" w:eastAsia="zh-CN"/>
        </w:rPr>
        <w:t>4</w:t>
      </w:r>
      <w:r>
        <w:rPr>
          <w:sz w:val="28"/>
        </w:rPr>
        <w:t>月</w:t>
      </w:r>
    </w:p>
    <w:p>
      <w:pPr>
        <w:spacing w:before="1"/>
        <w:ind w:left="452" w:right="569" w:firstLine="0"/>
        <w:jc w:val="center"/>
        <w:rPr>
          <w:sz w:val="28"/>
        </w:rPr>
      </w:pPr>
    </w:p>
    <w:p>
      <w:pPr>
        <w:rPr>
          <w:rFonts w:hint="eastAsia" w:asciiTheme="majorEastAsia" w:hAnsiTheme="majorEastAsia" w:eastAsiaTheme="majorEastAsia"/>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pPr>
        <w:widowControl/>
        <w:jc w:val="center"/>
        <w:rPr>
          <w:rFonts w:eastAsia="黑体"/>
          <w:sz w:val="28"/>
          <w:szCs w:val="28"/>
        </w:rPr>
      </w:pPr>
      <w:r>
        <w:rPr>
          <w:rFonts w:hint="eastAsia" w:eastAsia="黑体"/>
          <w:sz w:val="28"/>
          <w:szCs w:val="28"/>
        </w:rPr>
        <w:t>中汽协会《汽车低压电气系统用半桥</w:t>
      </w:r>
      <w:r>
        <w:rPr>
          <w:rFonts w:hint="eastAsia" w:eastAsia="黑体"/>
          <w:sz w:val="28"/>
          <w:szCs w:val="28"/>
          <w:lang w:val="en-US" w:eastAsia="zh-CN"/>
        </w:rPr>
        <w:t>预</w:t>
      </w:r>
      <w:r>
        <w:rPr>
          <w:rFonts w:hint="eastAsia" w:eastAsia="黑体"/>
          <w:sz w:val="28"/>
          <w:szCs w:val="28"/>
        </w:rPr>
        <w:t>驱动芯片技术要求及试验方法》</w:t>
      </w:r>
      <w:r>
        <w:rPr>
          <w:rFonts w:hint="eastAsia" w:eastAsia="黑体"/>
          <w:sz w:val="28"/>
          <w:szCs w:val="28"/>
          <w:lang w:val="en-US" w:eastAsia="zh-CN"/>
        </w:rPr>
        <w:t>团体</w:t>
      </w:r>
      <w:r>
        <w:rPr>
          <w:rFonts w:hint="eastAsia" w:eastAsia="黑体"/>
          <w:sz w:val="28"/>
          <w:szCs w:val="28"/>
        </w:rPr>
        <w:t>标准编制说明</w:t>
      </w:r>
    </w:p>
    <w:p>
      <w:pPr>
        <w:rPr>
          <w:rFonts w:ascii="黑体" w:hAnsi="黑体" w:eastAsia="黑体" w:cs="黑体"/>
          <w:color w:val="000000" w:themeColor="text1"/>
          <w:sz w:val="30"/>
          <w:szCs w:val="30"/>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半桥预驱动芯片属于电机驱动芯片的一种，由半桥预驱动芯片驱动外部NMOSFET，组成半桥、H桥或者三相半桥可以驱动各种较大功率（10W-500W）的直流有刷电机或者直流无刷电机。半桥预驱动芯片功性能的好坏，直接影响着驾驶体验与整车性能。但目前，国内外尚无关于半桥预驱动芯片的标准规范，行业内没有统一的评判标准，导致市场上的该类产品良莠不齐，使Tier1以及主机厂在使用过程中遇到各种各样的问题，包括功能上缺陷，以及质量和可靠性问题等。</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为提升我国半桥预驱动芯片的技术水平，降低Tier1和主机厂使用芯片的技术风险，本项目制定汽车用半桥预驱动芯片的技术规范，为芯片上下游企业提供统一的标准规范，填补我国在该领域的标准空白。</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2024年7月，</w:t>
      </w:r>
      <w:r>
        <w:rPr>
          <w:rFonts w:hint="eastAsia" w:ascii="宋体" w:hAnsi="宋体" w:eastAsia="宋体" w:cs="宋体"/>
          <w:color w:val="000000" w:themeColor="text1"/>
          <w:sz w:val="21"/>
          <w:szCs w:val="21"/>
          <w:lang w:val="en-US" w:eastAsia="zh-CN"/>
          <w14:textFill>
            <w14:solidFill>
              <w14:schemeClr w14:val="tx1"/>
            </w14:solidFill>
          </w14:textFill>
        </w:rPr>
        <w:t>《汽车低压电气系统用半桥预驱动芯片技术要求及试验方法》团体标准由中国汽车工业协会批准立项，文件号中汽协函字【2024】335号，任务号为2024-45。</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本标准由</w:t>
      </w:r>
      <w:r>
        <w:rPr>
          <w:rFonts w:hint="eastAsia" w:ascii="宋体" w:hAnsi="宋体" w:cs="宋体"/>
          <w:color w:val="000000" w:themeColor="text1"/>
          <w:sz w:val="21"/>
          <w:szCs w:val="21"/>
          <w:lang w:val="en-US" w:eastAsia="zh-CN"/>
          <w14:textFill>
            <w14:solidFill>
              <w14:schemeClr w14:val="tx1"/>
            </w14:solidFill>
          </w14:textFill>
        </w:rPr>
        <w:t>北京国家新能源汽车技术创新中心有限公司</w:t>
      </w:r>
      <w:r>
        <w:rPr>
          <w:rFonts w:hint="eastAsia" w:ascii="宋体" w:hAnsi="宋体" w:eastAsia="宋体" w:cs="宋体"/>
          <w:color w:val="000000" w:themeColor="text1"/>
          <w:sz w:val="21"/>
          <w:szCs w:val="21"/>
          <w:lang w:val="en-US" w:eastAsia="zh-CN"/>
          <w14:textFill>
            <w14:solidFill>
              <w14:schemeClr w14:val="tx1"/>
            </w14:solidFill>
          </w14:textFill>
        </w:rPr>
        <w:t>提出，由中国第一汽车股份有限公司（简称“中国一汽”）牵头，联合合肥智芯半导体有限公司、北京经纬恒润科技股份有限公司、北京国家新能源汽车技术创新中心有限公司、东方久乐汽车电子(上海)股份有限公司、紫光同芯微电子有限公司、中电科芯片技术（集团）有限公司、蔚来汽车科技有限公司、中国科学院微电子研究所、北京集创北方科技股份有限公司、思瑞浦微电子科技（苏州）股份有限公司、合肥艾创微电子科技有限公司和圣邦微电子（北京）股份有限公司等共同研究起草。起草过程中，牵头单位主要负责标准编写和试验验证，其他起草组成员单位主要参与标准研讨。标准编写分工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5067"/>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blHeader/>
          <w:jc w:val="center"/>
        </w:trPr>
        <w:tc>
          <w:tcPr>
            <w:tcW w:w="1498" w:type="dxa"/>
            <w:vAlign w:val="center"/>
          </w:tcPr>
          <w:p>
            <w:pPr>
              <w:widowControl/>
              <w:jc w:val="center"/>
              <w:rPr>
                <w:rStyle w:val="11"/>
                <w:sz w:val="18"/>
                <w:szCs w:val="18"/>
              </w:rPr>
            </w:pPr>
            <w:r>
              <w:rPr>
                <w:rStyle w:val="11"/>
                <w:rFonts w:hint="eastAsia"/>
                <w:sz w:val="18"/>
                <w:szCs w:val="18"/>
                <w:lang w:val="en-US" w:eastAsia="zh-CN"/>
              </w:rPr>
              <w:t>主要</w:t>
            </w:r>
            <w:r>
              <w:rPr>
                <w:rStyle w:val="11"/>
                <w:rFonts w:hint="eastAsia"/>
                <w:sz w:val="18"/>
                <w:szCs w:val="18"/>
              </w:rPr>
              <w:t>章节</w:t>
            </w:r>
          </w:p>
        </w:tc>
        <w:tc>
          <w:tcPr>
            <w:tcW w:w="5067" w:type="dxa"/>
          </w:tcPr>
          <w:p>
            <w:pPr>
              <w:widowControl/>
              <w:jc w:val="center"/>
              <w:rPr>
                <w:rStyle w:val="11"/>
                <w:rFonts w:hint="default" w:eastAsia="宋体"/>
                <w:sz w:val="18"/>
                <w:szCs w:val="18"/>
                <w:lang w:val="en-US" w:eastAsia="zh-CN"/>
              </w:rPr>
            </w:pPr>
            <w:r>
              <w:rPr>
                <w:rStyle w:val="11"/>
                <w:rFonts w:hint="eastAsia"/>
                <w:sz w:val="18"/>
                <w:szCs w:val="18"/>
                <w:lang w:val="en-US" w:eastAsia="zh-CN"/>
              </w:rPr>
              <w:t>主要编写单位</w:t>
            </w:r>
          </w:p>
        </w:tc>
        <w:tc>
          <w:tcPr>
            <w:tcW w:w="1534" w:type="dxa"/>
          </w:tcPr>
          <w:p>
            <w:pPr>
              <w:widowControl/>
              <w:jc w:val="center"/>
              <w:rPr>
                <w:rStyle w:val="11"/>
                <w:rFonts w:hint="default" w:eastAsia="宋体"/>
                <w:sz w:val="18"/>
                <w:szCs w:val="18"/>
                <w:lang w:val="en-US" w:eastAsia="zh-CN"/>
              </w:rPr>
            </w:pPr>
            <w:r>
              <w:rPr>
                <w:rStyle w:val="11"/>
                <w:rFonts w:hint="eastAsia"/>
                <w:sz w:val="18"/>
                <w:szCs w:val="18"/>
                <w:lang w:val="en-US" w:eastAsia="zh-CN"/>
              </w:rPr>
              <w:t>参与讨论单位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sz w:val="18"/>
                <w:szCs w:val="18"/>
              </w:rPr>
            </w:pPr>
            <w:r>
              <w:rPr>
                <w:rStyle w:val="11"/>
                <w:rFonts w:hint="eastAsia"/>
                <w:sz w:val="18"/>
                <w:szCs w:val="18"/>
              </w:rPr>
              <w:t>范围</w:t>
            </w:r>
          </w:p>
        </w:tc>
        <w:tc>
          <w:tcPr>
            <w:tcW w:w="5067" w:type="dxa"/>
          </w:tcPr>
          <w:p>
            <w:pPr>
              <w:widowControl/>
              <w:jc w:val="left"/>
              <w:rPr>
                <w:rStyle w:val="11"/>
                <w:sz w:val="18"/>
                <w:szCs w:val="18"/>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Style w:val="11"/>
                <w:rFonts w:hint="eastAsia"/>
                <w:sz w:val="18"/>
                <w:szCs w:val="18"/>
                <w:lang w:eastAsia="zh-CN"/>
              </w:rPr>
              <w:t>、</w:t>
            </w:r>
            <w:r>
              <w:rPr>
                <w:rFonts w:hint="eastAsia" w:ascii="宋体" w:hAnsi="宋体" w:eastAsia="宋体" w:cs="宋体"/>
                <w:color w:val="000000" w:themeColor="text1"/>
                <w:sz w:val="18"/>
                <w:szCs w:val="18"/>
                <w:lang w:val="en-US" w:eastAsia="zh-CN"/>
                <w14:textFill>
                  <w14:solidFill>
                    <w14:schemeClr w14:val="tx1"/>
                  </w14:solidFill>
                </w14:textFill>
              </w:rPr>
              <w:t>北京国家新能源汽车技术创新中心有限公司</w:t>
            </w:r>
          </w:p>
        </w:tc>
        <w:tc>
          <w:tcPr>
            <w:tcW w:w="1534" w:type="dxa"/>
            <w:vAlign w:val="center"/>
          </w:tcPr>
          <w:p>
            <w:pPr>
              <w:widowControl/>
              <w:jc w:val="center"/>
              <w:rPr>
                <w:rStyle w:val="11"/>
                <w:rFonts w:hint="default" w:eastAsia="宋体"/>
                <w:sz w:val="18"/>
                <w:szCs w:val="18"/>
                <w:lang w:val="en-US" w:eastAsia="zh-CN"/>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sz w:val="18"/>
                <w:szCs w:val="18"/>
              </w:rPr>
            </w:pPr>
            <w:r>
              <w:rPr>
                <w:rStyle w:val="11"/>
                <w:rFonts w:hint="eastAsia"/>
                <w:sz w:val="18"/>
                <w:szCs w:val="18"/>
              </w:rPr>
              <w:t>规范性引用文件</w:t>
            </w:r>
          </w:p>
        </w:tc>
        <w:tc>
          <w:tcPr>
            <w:tcW w:w="5067" w:type="dxa"/>
          </w:tcPr>
          <w:p>
            <w:pPr>
              <w:widowControl/>
              <w:jc w:val="left"/>
              <w:rPr>
                <w:rStyle w:val="11"/>
                <w:sz w:val="18"/>
                <w:szCs w:val="18"/>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p>
        </w:tc>
        <w:tc>
          <w:tcPr>
            <w:tcW w:w="1534" w:type="dxa"/>
            <w:vAlign w:val="center"/>
          </w:tcPr>
          <w:p>
            <w:pPr>
              <w:widowControl/>
              <w:jc w:val="center"/>
              <w:rPr>
                <w:rStyle w:val="11"/>
                <w:sz w:val="18"/>
                <w:szCs w:val="18"/>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sz w:val="18"/>
                <w:szCs w:val="18"/>
              </w:rPr>
            </w:pPr>
            <w:r>
              <w:rPr>
                <w:rStyle w:val="11"/>
                <w:rFonts w:hint="eastAsia"/>
                <w:sz w:val="18"/>
                <w:szCs w:val="18"/>
              </w:rPr>
              <w:t>术语和定义</w:t>
            </w:r>
          </w:p>
        </w:tc>
        <w:tc>
          <w:tcPr>
            <w:tcW w:w="5067" w:type="dxa"/>
          </w:tcPr>
          <w:p>
            <w:pPr>
              <w:widowControl/>
              <w:jc w:val="left"/>
              <w:rPr>
                <w:rStyle w:val="11"/>
                <w:rFonts w:hint="eastAsia" w:eastAsia="宋体"/>
                <w:sz w:val="18"/>
                <w:szCs w:val="18"/>
                <w:lang w:eastAsia="zh-CN"/>
              </w:rPr>
            </w:pPr>
            <w:r>
              <w:rPr>
                <w:rStyle w:val="11"/>
                <w:rFonts w:hint="eastAsia"/>
                <w:sz w:val="18"/>
                <w:szCs w:val="18"/>
              </w:rPr>
              <w:t>合肥智芯半导体有限公司</w:t>
            </w:r>
            <w:r>
              <w:rPr>
                <w:rStyle w:val="11"/>
                <w:rFonts w:hint="eastAsia"/>
                <w:sz w:val="18"/>
                <w:szCs w:val="18"/>
                <w:lang w:eastAsia="zh-CN"/>
              </w:rPr>
              <w:t>、</w:t>
            </w:r>
            <w:r>
              <w:rPr>
                <w:rFonts w:hint="eastAsia" w:ascii="宋体" w:hAnsi="宋体" w:eastAsia="宋体" w:cs="宋体"/>
                <w:color w:val="000000" w:themeColor="text1"/>
                <w:sz w:val="18"/>
                <w:szCs w:val="18"/>
                <w:lang w:val="en-US" w:eastAsia="zh-CN"/>
                <w14:textFill>
                  <w14:solidFill>
                    <w14:schemeClr w14:val="tx1"/>
                  </w14:solidFill>
                </w14:textFill>
              </w:rPr>
              <w:t>东方久乐汽车电子(上海)股份有限公司</w:t>
            </w:r>
          </w:p>
        </w:tc>
        <w:tc>
          <w:tcPr>
            <w:tcW w:w="1534" w:type="dxa"/>
            <w:vAlign w:val="center"/>
          </w:tcPr>
          <w:p>
            <w:pPr>
              <w:widowControl/>
              <w:jc w:val="center"/>
              <w:rPr>
                <w:rStyle w:val="11"/>
                <w:sz w:val="18"/>
                <w:szCs w:val="18"/>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rFonts w:hint="default" w:eastAsia="宋体"/>
                <w:sz w:val="18"/>
                <w:szCs w:val="18"/>
                <w:lang w:val="en-US" w:eastAsia="zh-CN"/>
              </w:rPr>
            </w:pPr>
            <w:r>
              <w:rPr>
                <w:rStyle w:val="11"/>
                <w:rFonts w:hint="eastAsia"/>
                <w:sz w:val="18"/>
                <w:szCs w:val="18"/>
                <w:lang w:val="en-US" w:eastAsia="zh-CN"/>
              </w:rPr>
              <w:t>符合和缩略语</w:t>
            </w:r>
          </w:p>
        </w:tc>
        <w:tc>
          <w:tcPr>
            <w:tcW w:w="5067" w:type="dxa"/>
          </w:tcPr>
          <w:p>
            <w:pPr>
              <w:widowControl/>
              <w:jc w:val="left"/>
              <w:rPr>
                <w:rStyle w:val="11"/>
                <w:rFonts w:hint="eastAsia"/>
                <w:sz w:val="18"/>
                <w:szCs w:val="18"/>
              </w:rPr>
            </w:pPr>
            <w:r>
              <w:rPr>
                <w:rStyle w:val="11"/>
                <w:rFonts w:hint="eastAsia"/>
                <w:sz w:val="18"/>
                <w:szCs w:val="18"/>
              </w:rPr>
              <w:t>合肥智芯半导体有限公司</w:t>
            </w:r>
          </w:p>
        </w:tc>
        <w:tc>
          <w:tcPr>
            <w:tcW w:w="1534" w:type="dxa"/>
          </w:tcPr>
          <w:p>
            <w:pPr>
              <w:widowControl/>
              <w:jc w:val="center"/>
              <w:rPr>
                <w:rStyle w:val="11"/>
                <w:rFonts w:hint="eastAsia"/>
                <w:sz w:val="18"/>
                <w:szCs w:val="18"/>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98" w:type="dxa"/>
            <w:tcBorders>
              <w:right w:val="single" w:color="auto" w:sz="4" w:space="0"/>
            </w:tcBorders>
            <w:vAlign w:val="center"/>
          </w:tcPr>
          <w:p>
            <w:pPr>
              <w:widowControl/>
              <w:jc w:val="center"/>
              <w:rPr>
                <w:rStyle w:val="11"/>
                <w:rFonts w:hint="default" w:eastAsia="宋体"/>
                <w:sz w:val="18"/>
                <w:szCs w:val="18"/>
                <w:lang w:val="en-US" w:eastAsia="zh-CN"/>
              </w:rPr>
            </w:pPr>
            <w:r>
              <w:rPr>
                <w:rStyle w:val="11"/>
                <w:rFonts w:hint="eastAsia"/>
                <w:sz w:val="18"/>
                <w:szCs w:val="18"/>
                <w:lang w:val="en-US" w:eastAsia="zh-CN"/>
              </w:rPr>
              <w:t>功能要求</w:t>
            </w:r>
          </w:p>
        </w:tc>
        <w:tc>
          <w:tcPr>
            <w:tcW w:w="5067" w:type="dxa"/>
            <w:tcBorders>
              <w:left w:val="single" w:color="auto" w:sz="4" w:space="0"/>
              <w:right w:val="single" w:color="000000" w:sz="4" w:space="0"/>
            </w:tcBorders>
          </w:tcPr>
          <w:p>
            <w:pPr>
              <w:widowControl/>
              <w:jc w:val="left"/>
              <w:rPr>
                <w:rStyle w:val="11"/>
                <w:rFonts w:hint="eastAsia" w:eastAsia="宋体"/>
                <w:sz w:val="18"/>
                <w:szCs w:val="18"/>
                <w:lang w:eastAsia="zh-CN"/>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r>
              <w:rPr>
                <w:rStyle w:val="11"/>
                <w:rFonts w:hint="eastAsia"/>
                <w:sz w:val="18"/>
                <w:szCs w:val="18"/>
                <w:lang w:eastAsia="zh-CN"/>
              </w:rPr>
              <w:t>、</w:t>
            </w:r>
            <w:r>
              <w:rPr>
                <w:rStyle w:val="11"/>
                <w:rFonts w:hint="eastAsia"/>
                <w:sz w:val="18"/>
                <w:szCs w:val="18"/>
                <w:lang w:val="en-US" w:eastAsia="zh-CN"/>
              </w:rPr>
              <w:t>紫光同芯微电子有限公司</w:t>
            </w:r>
          </w:p>
        </w:tc>
        <w:tc>
          <w:tcPr>
            <w:tcW w:w="1534" w:type="dxa"/>
            <w:tcBorders>
              <w:left w:val="single" w:color="000000" w:sz="4" w:space="0"/>
            </w:tcBorders>
            <w:vAlign w:val="center"/>
          </w:tcPr>
          <w:p>
            <w:pPr>
              <w:widowControl/>
              <w:jc w:val="center"/>
              <w:rPr>
                <w:rStyle w:val="11"/>
                <w:rFonts w:hint="eastAsia" w:eastAsia="宋体"/>
                <w:sz w:val="18"/>
                <w:szCs w:val="18"/>
                <w:lang w:val="en-US" w:eastAsia="zh-CN"/>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98" w:type="dxa"/>
            <w:tcBorders>
              <w:right w:val="single" w:color="auto" w:sz="4" w:space="0"/>
            </w:tcBorders>
            <w:vAlign w:val="center"/>
          </w:tcPr>
          <w:p>
            <w:pPr>
              <w:widowControl/>
              <w:jc w:val="center"/>
              <w:rPr>
                <w:rStyle w:val="11"/>
                <w:rFonts w:hint="default"/>
                <w:sz w:val="18"/>
                <w:szCs w:val="18"/>
                <w:lang w:val="en-US" w:eastAsia="zh-CN"/>
              </w:rPr>
            </w:pPr>
            <w:r>
              <w:rPr>
                <w:rStyle w:val="11"/>
                <w:rFonts w:hint="eastAsia"/>
                <w:sz w:val="18"/>
                <w:szCs w:val="18"/>
                <w:lang w:val="en-US" w:eastAsia="zh-CN"/>
              </w:rPr>
              <w:t>技术要求</w:t>
            </w:r>
          </w:p>
        </w:tc>
        <w:tc>
          <w:tcPr>
            <w:tcW w:w="5067" w:type="dxa"/>
            <w:tcBorders>
              <w:left w:val="single" w:color="auto" w:sz="4" w:space="0"/>
              <w:right w:val="single" w:color="000000" w:sz="4" w:space="0"/>
            </w:tcBorders>
          </w:tcPr>
          <w:p>
            <w:pPr>
              <w:widowControl/>
              <w:jc w:val="left"/>
              <w:rPr>
                <w:rStyle w:val="11"/>
                <w:rFonts w:hint="eastAsia" w:eastAsia="宋体"/>
                <w:sz w:val="18"/>
                <w:szCs w:val="18"/>
                <w:lang w:eastAsia="zh-CN"/>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r>
              <w:rPr>
                <w:rStyle w:val="11"/>
                <w:rFonts w:hint="eastAsia"/>
                <w:sz w:val="18"/>
                <w:szCs w:val="18"/>
                <w:lang w:eastAsia="zh-CN"/>
              </w:rPr>
              <w:t>、</w:t>
            </w:r>
            <w:r>
              <w:rPr>
                <w:rFonts w:hint="eastAsia" w:ascii="宋体" w:hAnsi="宋体" w:eastAsia="宋体" w:cs="宋体"/>
                <w:color w:val="000000" w:themeColor="text1"/>
                <w:sz w:val="18"/>
                <w:szCs w:val="18"/>
                <w:lang w:val="en-US" w:eastAsia="zh-CN"/>
                <w14:textFill>
                  <w14:solidFill>
                    <w14:schemeClr w14:val="tx1"/>
                  </w14:solidFill>
                </w14:textFill>
              </w:rPr>
              <w:t>北京国家新能源汽车</w:t>
            </w:r>
            <w:r>
              <w:rPr>
                <w:rFonts w:hint="eastAsia" w:ascii="宋体" w:hAnsi="宋体" w:eastAsia="宋体" w:cs="宋体"/>
                <w:color w:val="000000" w:themeColor="text1"/>
                <w:sz w:val="18"/>
                <w:szCs w:val="18"/>
                <w:lang w:val="en-US" w:eastAsia="zh-CN"/>
                <w14:textFill>
                  <w14:solidFill>
                    <w14:schemeClr w14:val="tx1"/>
                  </w14:solidFill>
                </w14:textFill>
              </w:rPr>
              <w:t>技术创新中心有限公司</w:t>
            </w:r>
            <w:r>
              <w:rPr>
                <w:rFonts w:hint="eastAsia" w:ascii="宋体" w:hAnsi="宋体" w:cs="宋体"/>
                <w:color w:val="000000" w:themeColor="text1"/>
                <w:sz w:val="18"/>
                <w:szCs w:val="18"/>
                <w:lang w:val="en-US"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北京经纬恒润科技股份有限公司</w:t>
            </w:r>
          </w:p>
        </w:tc>
        <w:tc>
          <w:tcPr>
            <w:tcW w:w="1534" w:type="dxa"/>
            <w:tcBorders>
              <w:left w:val="single" w:color="000000" w:sz="4" w:space="0"/>
            </w:tcBorders>
            <w:vAlign w:val="center"/>
          </w:tcPr>
          <w:p>
            <w:pPr>
              <w:widowControl/>
              <w:jc w:val="center"/>
              <w:rPr>
                <w:rStyle w:val="11"/>
                <w:rFonts w:hint="eastAsia" w:eastAsia="宋体"/>
                <w:sz w:val="18"/>
                <w:szCs w:val="18"/>
                <w:lang w:val="en-US" w:eastAsia="zh-CN"/>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498" w:type="dxa"/>
            <w:tcBorders>
              <w:right w:val="single" w:color="auto" w:sz="4" w:space="0"/>
            </w:tcBorders>
            <w:vAlign w:val="center"/>
          </w:tcPr>
          <w:p>
            <w:pPr>
              <w:widowControl/>
              <w:jc w:val="center"/>
              <w:rPr>
                <w:rStyle w:val="11"/>
                <w:rFonts w:hint="default"/>
                <w:sz w:val="18"/>
                <w:szCs w:val="18"/>
                <w:lang w:val="en-US" w:eastAsia="zh-CN"/>
              </w:rPr>
            </w:pPr>
            <w:r>
              <w:rPr>
                <w:rStyle w:val="11"/>
                <w:rFonts w:hint="eastAsia"/>
                <w:sz w:val="18"/>
                <w:szCs w:val="18"/>
                <w:lang w:val="en-US" w:eastAsia="zh-CN"/>
              </w:rPr>
              <w:t>可靠性要求</w:t>
            </w:r>
          </w:p>
        </w:tc>
        <w:tc>
          <w:tcPr>
            <w:tcW w:w="5067" w:type="dxa"/>
            <w:tcBorders>
              <w:left w:val="single" w:color="auto" w:sz="4" w:space="0"/>
              <w:right w:val="single" w:color="000000" w:sz="4" w:space="0"/>
            </w:tcBorders>
          </w:tcPr>
          <w:p>
            <w:pPr>
              <w:widowControl/>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r>
              <w:rPr>
                <w:rStyle w:val="11"/>
                <w:rFonts w:hint="eastAsia"/>
                <w:sz w:val="18"/>
                <w:szCs w:val="18"/>
                <w:lang w:eastAsia="zh-CN"/>
              </w:rPr>
              <w:t>、</w:t>
            </w:r>
            <w:r>
              <w:rPr>
                <w:rFonts w:hint="eastAsia" w:ascii="宋体" w:hAnsi="宋体" w:eastAsia="宋体" w:cs="宋体"/>
                <w:color w:val="000000" w:themeColor="text1"/>
                <w:sz w:val="18"/>
                <w:szCs w:val="18"/>
                <w:lang w:val="en-US" w:eastAsia="zh-CN"/>
                <w14:textFill>
                  <w14:solidFill>
                    <w14:schemeClr w14:val="tx1"/>
                  </w14:solidFill>
                </w14:textFill>
              </w:rPr>
              <w:t>北京国家新能源汽车技术创新中心有限公司</w:t>
            </w:r>
          </w:p>
        </w:tc>
        <w:tc>
          <w:tcPr>
            <w:tcW w:w="1534" w:type="dxa"/>
            <w:tcBorders>
              <w:left w:val="single" w:color="000000" w:sz="4" w:space="0"/>
            </w:tcBorders>
            <w:vAlign w:val="center"/>
          </w:tcPr>
          <w:p>
            <w:pPr>
              <w:widowControl/>
              <w:jc w:val="center"/>
              <w:rPr>
                <w:rStyle w:val="11"/>
                <w:rFonts w:hint="default"/>
                <w:sz w:val="18"/>
                <w:szCs w:val="18"/>
                <w:lang w:val="en-US" w:eastAsia="zh-CN"/>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tcBorders>
              <w:right w:val="single" w:color="auto" w:sz="4" w:space="0"/>
            </w:tcBorders>
            <w:vAlign w:val="center"/>
          </w:tcPr>
          <w:p>
            <w:pPr>
              <w:widowControl/>
              <w:jc w:val="center"/>
              <w:rPr>
                <w:rStyle w:val="11"/>
                <w:rFonts w:hint="default"/>
                <w:sz w:val="18"/>
                <w:szCs w:val="18"/>
                <w:lang w:val="en-US" w:eastAsia="zh-CN"/>
              </w:rPr>
            </w:pPr>
            <w:r>
              <w:rPr>
                <w:rStyle w:val="11"/>
                <w:rFonts w:hint="eastAsia"/>
                <w:sz w:val="18"/>
                <w:szCs w:val="18"/>
                <w:lang w:val="en-US" w:eastAsia="zh-CN"/>
              </w:rPr>
              <w:t>电磁兼容要求</w:t>
            </w:r>
          </w:p>
        </w:tc>
        <w:tc>
          <w:tcPr>
            <w:tcW w:w="5067" w:type="dxa"/>
            <w:tcBorders>
              <w:left w:val="single" w:color="auto" w:sz="4" w:space="0"/>
              <w:right w:val="single" w:color="000000" w:sz="4" w:space="0"/>
            </w:tcBorders>
          </w:tcPr>
          <w:p>
            <w:pPr>
              <w:widowControl/>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p>
        </w:tc>
        <w:tc>
          <w:tcPr>
            <w:tcW w:w="1534" w:type="dxa"/>
            <w:tcBorders>
              <w:left w:val="single" w:color="000000" w:sz="4" w:space="0"/>
            </w:tcBorders>
            <w:vAlign w:val="center"/>
          </w:tcPr>
          <w:p>
            <w:pPr>
              <w:widowControl/>
              <w:jc w:val="center"/>
              <w:rPr>
                <w:rStyle w:val="11"/>
                <w:rFonts w:hint="default"/>
                <w:sz w:val="18"/>
                <w:szCs w:val="18"/>
                <w:lang w:val="en-US" w:eastAsia="zh-CN"/>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tcBorders>
              <w:right w:val="single" w:color="auto" w:sz="4" w:space="0"/>
            </w:tcBorders>
            <w:vAlign w:val="center"/>
          </w:tcPr>
          <w:p>
            <w:pPr>
              <w:widowControl/>
              <w:jc w:val="center"/>
              <w:rPr>
                <w:rStyle w:val="11"/>
                <w:rFonts w:hint="default"/>
                <w:sz w:val="18"/>
                <w:szCs w:val="18"/>
                <w:lang w:val="en-US" w:eastAsia="zh-CN"/>
              </w:rPr>
            </w:pPr>
            <w:r>
              <w:rPr>
                <w:rStyle w:val="11"/>
                <w:rFonts w:hint="eastAsia"/>
                <w:sz w:val="18"/>
                <w:szCs w:val="18"/>
                <w:lang w:val="en-US" w:eastAsia="zh-CN"/>
              </w:rPr>
              <w:t>功能安全</w:t>
            </w:r>
          </w:p>
        </w:tc>
        <w:tc>
          <w:tcPr>
            <w:tcW w:w="5067" w:type="dxa"/>
            <w:tcBorders>
              <w:left w:val="single" w:color="auto" w:sz="4" w:space="0"/>
              <w:right w:val="single" w:color="000000" w:sz="4" w:space="0"/>
            </w:tcBorders>
          </w:tcPr>
          <w:p>
            <w:pPr>
              <w:widowControl/>
              <w:jc w:val="left"/>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p>
        </w:tc>
        <w:tc>
          <w:tcPr>
            <w:tcW w:w="1534" w:type="dxa"/>
            <w:tcBorders>
              <w:left w:val="single" w:color="000000" w:sz="4" w:space="0"/>
            </w:tcBorders>
            <w:vAlign w:val="center"/>
          </w:tcPr>
          <w:p>
            <w:pPr>
              <w:widowControl/>
              <w:jc w:val="center"/>
              <w:rPr>
                <w:rStyle w:val="11"/>
                <w:rFonts w:hint="default"/>
                <w:sz w:val="18"/>
                <w:szCs w:val="18"/>
                <w:lang w:val="en-US" w:eastAsia="zh-CN"/>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rFonts w:hint="default" w:eastAsia="宋体"/>
                <w:sz w:val="18"/>
                <w:szCs w:val="18"/>
                <w:lang w:val="en-US" w:eastAsia="zh-CN"/>
              </w:rPr>
            </w:pPr>
            <w:r>
              <w:rPr>
                <w:rStyle w:val="11"/>
                <w:rFonts w:hint="eastAsia"/>
                <w:sz w:val="18"/>
                <w:szCs w:val="18"/>
                <w:lang w:val="en-US" w:eastAsia="zh-CN"/>
              </w:rPr>
              <w:t>试验条件</w:t>
            </w:r>
          </w:p>
        </w:tc>
        <w:tc>
          <w:tcPr>
            <w:tcW w:w="5067" w:type="dxa"/>
          </w:tcPr>
          <w:p>
            <w:pPr>
              <w:widowControl/>
              <w:jc w:val="left"/>
              <w:rPr>
                <w:rStyle w:val="11"/>
                <w:sz w:val="18"/>
                <w:szCs w:val="18"/>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p>
        </w:tc>
        <w:tc>
          <w:tcPr>
            <w:tcW w:w="1534" w:type="dxa"/>
            <w:vAlign w:val="center"/>
          </w:tcPr>
          <w:p>
            <w:pPr>
              <w:widowControl/>
              <w:jc w:val="center"/>
              <w:rPr>
                <w:rStyle w:val="11"/>
                <w:sz w:val="18"/>
                <w:szCs w:val="18"/>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rFonts w:hint="default" w:eastAsia="宋体"/>
                <w:sz w:val="18"/>
                <w:szCs w:val="18"/>
                <w:lang w:val="en-US" w:eastAsia="zh-CN"/>
              </w:rPr>
            </w:pPr>
            <w:r>
              <w:rPr>
                <w:rStyle w:val="11"/>
                <w:rFonts w:hint="eastAsia"/>
                <w:sz w:val="18"/>
                <w:szCs w:val="18"/>
                <w:lang w:val="en-US" w:eastAsia="zh-CN"/>
              </w:rPr>
              <w:t>功能试验</w:t>
            </w:r>
          </w:p>
        </w:tc>
        <w:tc>
          <w:tcPr>
            <w:tcW w:w="5067" w:type="dxa"/>
          </w:tcPr>
          <w:p>
            <w:pPr>
              <w:widowControl/>
              <w:jc w:val="left"/>
              <w:rPr>
                <w:rStyle w:val="11"/>
                <w:sz w:val="18"/>
                <w:szCs w:val="18"/>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p>
        </w:tc>
        <w:tc>
          <w:tcPr>
            <w:tcW w:w="1534" w:type="dxa"/>
            <w:vAlign w:val="center"/>
          </w:tcPr>
          <w:p>
            <w:pPr>
              <w:widowControl/>
              <w:jc w:val="center"/>
              <w:rPr>
                <w:rStyle w:val="11"/>
                <w:sz w:val="18"/>
                <w:szCs w:val="18"/>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rFonts w:hint="default" w:eastAsia="宋体"/>
                <w:sz w:val="18"/>
                <w:szCs w:val="18"/>
                <w:lang w:val="en-US" w:eastAsia="zh-CN"/>
              </w:rPr>
            </w:pPr>
            <w:r>
              <w:rPr>
                <w:rStyle w:val="11"/>
                <w:rFonts w:hint="eastAsia"/>
                <w:sz w:val="18"/>
                <w:szCs w:val="18"/>
                <w:lang w:val="en-US" w:eastAsia="zh-CN"/>
              </w:rPr>
              <w:t>性能试验</w:t>
            </w:r>
          </w:p>
        </w:tc>
        <w:tc>
          <w:tcPr>
            <w:tcW w:w="5067" w:type="dxa"/>
          </w:tcPr>
          <w:p>
            <w:pPr>
              <w:widowControl/>
              <w:jc w:val="left"/>
              <w:rPr>
                <w:rStyle w:val="11"/>
                <w:sz w:val="18"/>
                <w:szCs w:val="18"/>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p>
        </w:tc>
        <w:tc>
          <w:tcPr>
            <w:tcW w:w="1534" w:type="dxa"/>
            <w:vAlign w:val="center"/>
          </w:tcPr>
          <w:p>
            <w:pPr>
              <w:widowControl/>
              <w:jc w:val="center"/>
              <w:rPr>
                <w:rStyle w:val="11"/>
                <w:sz w:val="18"/>
                <w:szCs w:val="18"/>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498" w:type="dxa"/>
            <w:vAlign w:val="center"/>
          </w:tcPr>
          <w:p>
            <w:pPr>
              <w:widowControl/>
              <w:jc w:val="center"/>
              <w:rPr>
                <w:rStyle w:val="11"/>
                <w:rFonts w:hint="default" w:eastAsia="宋体"/>
                <w:sz w:val="18"/>
                <w:szCs w:val="18"/>
                <w:lang w:val="en-US" w:eastAsia="zh-CN"/>
              </w:rPr>
            </w:pPr>
            <w:r>
              <w:rPr>
                <w:rStyle w:val="11"/>
                <w:rFonts w:hint="eastAsia"/>
                <w:sz w:val="18"/>
                <w:szCs w:val="18"/>
                <w:lang w:val="en-US" w:eastAsia="zh-CN"/>
              </w:rPr>
              <w:t>可靠性试验</w:t>
            </w:r>
          </w:p>
        </w:tc>
        <w:tc>
          <w:tcPr>
            <w:tcW w:w="5067" w:type="dxa"/>
          </w:tcPr>
          <w:p>
            <w:pPr>
              <w:widowControl/>
              <w:jc w:val="left"/>
              <w:rPr>
                <w:rStyle w:val="11"/>
                <w:rFonts w:hint="default" w:eastAsia="宋体"/>
                <w:sz w:val="18"/>
                <w:szCs w:val="18"/>
                <w:lang w:val="en-US" w:eastAsia="zh-CN"/>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p>
        </w:tc>
        <w:tc>
          <w:tcPr>
            <w:tcW w:w="1534" w:type="dxa"/>
            <w:vAlign w:val="center"/>
          </w:tcPr>
          <w:p>
            <w:pPr>
              <w:widowControl/>
              <w:jc w:val="center"/>
              <w:rPr>
                <w:rStyle w:val="11"/>
                <w:sz w:val="18"/>
                <w:szCs w:val="18"/>
              </w:rPr>
            </w:pPr>
            <w:r>
              <w:rPr>
                <w:rStyle w:val="11"/>
                <w:rFonts w:hint="eastAsia"/>
                <w:sz w:val="18"/>
                <w:szCs w:val="18"/>
                <w:lang w:val="en-US" w:eastAsia="zh-CN"/>
              </w:rPr>
              <w:t>全体起草组单位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98" w:type="dxa"/>
            <w:vAlign w:val="center"/>
          </w:tcPr>
          <w:p>
            <w:pPr>
              <w:widowControl/>
              <w:jc w:val="center"/>
              <w:rPr>
                <w:rStyle w:val="11"/>
                <w:rFonts w:hint="default"/>
                <w:sz w:val="18"/>
                <w:szCs w:val="18"/>
                <w:lang w:val="en-US" w:eastAsia="zh-CN"/>
              </w:rPr>
            </w:pPr>
            <w:r>
              <w:rPr>
                <w:rStyle w:val="11"/>
                <w:rFonts w:hint="eastAsia"/>
                <w:sz w:val="18"/>
                <w:szCs w:val="18"/>
                <w:lang w:val="en-US" w:eastAsia="zh-CN"/>
              </w:rPr>
              <w:t>电磁兼容试验</w:t>
            </w:r>
          </w:p>
        </w:tc>
        <w:tc>
          <w:tcPr>
            <w:tcW w:w="5067" w:type="dxa"/>
          </w:tcPr>
          <w:p>
            <w:pPr>
              <w:widowControl/>
              <w:jc w:val="left"/>
              <w:rPr>
                <w:rStyle w:val="11"/>
                <w:rFonts w:hint="eastAsia" w:eastAsia="宋体"/>
                <w:sz w:val="18"/>
                <w:szCs w:val="18"/>
                <w:lang w:eastAsia="zh-CN"/>
              </w:rPr>
            </w:pPr>
            <w:r>
              <w:rPr>
                <w:rFonts w:hint="eastAsia" w:ascii="宋体" w:hAnsi="宋体" w:eastAsia="宋体" w:cs="宋体"/>
                <w:color w:val="000000" w:themeColor="text1"/>
                <w:sz w:val="18"/>
                <w:szCs w:val="18"/>
                <w:lang w:val="en-US" w:eastAsia="zh-CN"/>
                <w14:textFill>
                  <w14:solidFill>
                    <w14:schemeClr w14:val="tx1"/>
                  </w14:solidFill>
                </w14:textFill>
              </w:rPr>
              <w:t>中国第一汽车股份有限公司</w:t>
            </w:r>
            <w:r>
              <w:rPr>
                <w:rFonts w:hint="eastAsia" w:ascii="宋体" w:hAnsi="宋体" w:cs="宋体"/>
                <w:color w:val="000000" w:themeColor="text1"/>
                <w:sz w:val="18"/>
                <w:szCs w:val="18"/>
                <w:lang w:val="en-US" w:eastAsia="zh-CN"/>
                <w14:textFill>
                  <w14:solidFill>
                    <w14:schemeClr w14:val="tx1"/>
                  </w14:solidFill>
                </w14:textFill>
              </w:rPr>
              <w:t>、</w:t>
            </w:r>
            <w:r>
              <w:rPr>
                <w:rStyle w:val="11"/>
                <w:rFonts w:hint="eastAsia"/>
                <w:sz w:val="18"/>
                <w:szCs w:val="18"/>
              </w:rPr>
              <w:t>合肥智芯半导体有限公司</w:t>
            </w:r>
          </w:p>
        </w:tc>
        <w:tc>
          <w:tcPr>
            <w:tcW w:w="1534" w:type="dxa"/>
            <w:vAlign w:val="center"/>
          </w:tcPr>
          <w:p>
            <w:pPr>
              <w:widowControl/>
              <w:jc w:val="center"/>
              <w:rPr>
                <w:rStyle w:val="11"/>
                <w:rFonts w:hint="eastAsia" w:eastAsia="宋体"/>
                <w:sz w:val="18"/>
                <w:szCs w:val="18"/>
                <w:lang w:val="en-US" w:eastAsia="zh-CN"/>
              </w:rPr>
            </w:pPr>
            <w:r>
              <w:rPr>
                <w:rStyle w:val="11"/>
                <w:rFonts w:hint="eastAsia"/>
                <w:sz w:val="18"/>
                <w:szCs w:val="18"/>
                <w:lang w:val="en-US" w:eastAsia="zh-CN"/>
              </w:rPr>
              <w:t>全体起草组单位</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预研</w:t>
      </w:r>
      <w:r>
        <w:rPr>
          <w:rFonts w:hint="eastAsia" w:ascii="宋体" w:hAnsi="宋体" w:cs="宋体"/>
          <w:b/>
          <w:bCs/>
          <w:color w:val="000000" w:themeColor="text1"/>
          <w:sz w:val="21"/>
          <w:szCs w:val="21"/>
          <w:lang w:val="en-US" w:eastAsia="zh-CN"/>
          <w14:textFill>
            <w14:solidFill>
              <w14:schemeClr w14:val="tx1"/>
            </w14:solidFill>
          </w14:textFill>
        </w:rPr>
        <w:t>阶段</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2024年1月</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牵头单位</w:t>
      </w:r>
      <w:r>
        <w:rPr>
          <w:rFonts w:hint="eastAsia" w:ascii="宋体" w:hAnsi="宋体" w:eastAsia="宋体" w:cs="宋体"/>
          <w:color w:val="000000" w:themeColor="text1"/>
          <w:sz w:val="21"/>
          <w:szCs w:val="21"/>
          <w:lang w:val="en-US" w:eastAsia="zh-CN"/>
          <w14:textFill>
            <w14:solidFill>
              <w14:schemeClr w14:val="tx1"/>
            </w14:solidFill>
          </w14:textFill>
        </w:rPr>
        <w:t>深入研究、全面分析国内外汽车</w:t>
      </w:r>
      <w:r>
        <w:rPr>
          <w:rFonts w:hint="eastAsia" w:ascii="宋体" w:hAnsi="宋体" w:cs="宋体"/>
          <w:color w:val="000000" w:themeColor="text1"/>
          <w:sz w:val="21"/>
          <w:szCs w:val="21"/>
          <w:lang w:val="en-US" w:eastAsia="zh-CN"/>
          <w14:textFill>
            <w14:solidFill>
              <w14:schemeClr w14:val="tx1"/>
            </w14:solidFill>
          </w14:textFill>
        </w:rPr>
        <w:t>半桥预驱动芯片</w:t>
      </w:r>
      <w:r>
        <w:rPr>
          <w:rFonts w:hint="eastAsia" w:ascii="宋体" w:hAnsi="宋体" w:eastAsia="宋体" w:cs="宋体"/>
          <w:color w:val="000000" w:themeColor="text1"/>
          <w:sz w:val="21"/>
          <w:szCs w:val="21"/>
          <w:lang w:val="en-US" w:eastAsia="zh-CN"/>
          <w14:textFill>
            <w14:solidFill>
              <w14:schemeClr w14:val="tx1"/>
            </w14:solidFill>
          </w14:textFill>
        </w:rPr>
        <w:t>相关标准规范，确定制定本标准的</w:t>
      </w:r>
      <w:r>
        <w:rPr>
          <w:rFonts w:hint="eastAsia" w:ascii="宋体" w:hAnsi="宋体" w:cs="宋体"/>
          <w:color w:val="000000" w:themeColor="text1"/>
          <w:sz w:val="21"/>
          <w:szCs w:val="21"/>
          <w:lang w:val="en-US" w:eastAsia="zh-CN"/>
          <w14:textFill>
            <w14:solidFill>
              <w14:schemeClr w14:val="tx1"/>
            </w14:solidFill>
          </w14:textFill>
        </w:rPr>
        <w:t>创新性、</w:t>
      </w:r>
      <w:r>
        <w:rPr>
          <w:rFonts w:hint="eastAsia" w:ascii="宋体" w:hAnsi="宋体" w:eastAsia="宋体" w:cs="宋体"/>
          <w:color w:val="000000" w:themeColor="text1"/>
          <w:sz w:val="21"/>
          <w:szCs w:val="21"/>
          <w:lang w:val="en-US" w:eastAsia="zh-CN"/>
          <w14:textFill>
            <w14:solidFill>
              <w14:schemeClr w14:val="tx1"/>
            </w14:solidFill>
          </w14:textFill>
        </w:rPr>
        <w:t>先进性和必要性。同时，邀请汽车</w:t>
      </w:r>
      <w:r>
        <w:rPr>
          <w:rFonts w:hint="eastAsia" w:ascii="宋体" w:hAnsi="宋体" w:cs="宋体"/>
          <w:color w:val="000000" w:themeColor="text1"/>
          <w:sz w:val="21"/>
          <w:szCs w:val="21"/>
          <w:lang w:val="en-US" w:eastAsia="zh-CN"/>
          <w14:textFill>
            <w14:solidFill>
              <w14:schemeClr w14:val="tx1"/>
            </w14:solidFill>
          </w14:textFill>
        </w:rPr>
        <w:t>半桥预驱动芯片</w:t>
      </w:r>
      <w:r>
        <w:rPr>
          <w:rFonts w:hint="eastAsia" w:ascii="宋体" w:hAnsi="宋体" w:eastAsia="宋体" w:cs="宋体"/>
          <w:color w:val="000000" w:themeColor="text1"/>
          <w:sz w:val="21"/>
          <w:szCs w:val="21"/>
          <w:lang w:val="en-US" w:eastAsia="zh-CN"/>
          <w14:textFill>
            <w14:solidFill>
              <w14:schemeClr w14:val="tx1"/>
            </w14:solidFill>
          </w14:textFill>
        </w:rPr>
        <w:t>相关单位和专家，召开标准预研会，讨论标准制定的可行性，初步拟定标准研究范围，研讨标准技术框架和内容，并编制标准立项申请表、标准初稿等材料。</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立项</w:t>
      </w:r>
      <w:r>
        <w:rPr>
          <w:rFonts w:hint="eastAsia" w:ascii="宋体" w:hAnsi="宋体" w:cs="宋体"/>
          <w:b/>
          <w:bCs/>
          <w:color w:val="000000" w:themeColor="text1"/>
          <w:sz w:val="21"/>
          <w:szCs w:val="21"/>
          <w:lang w:val="en-US" w:eastAsia="zh-CN"/>
          <w14:textFill>
            <w14:solidFill>
              <w14:schemeClr w14:val="tx1"/>
            </w14:solidFill>
          </w14:textFill>
        </w:rPr>
        <w:t>阶段</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2024年4月，牵头单位</w:t>
      </w:r>
      <w:r>
        <w:rPr>
          <w:rFonts w:hint="eastAsia" w:ascii="宋体" w:hAnsi="宋体" w:eastAsia="宋体" w:cs="宋体"/>
          <w:color w:val="000000" w:themeColor="text1"/>
          <w:sz w:val="21"/>
          <w:szCs w:val="21"/>
          <w:lang w:val="en-US" w:eastAsia="zh-CN"/>
          <w14:textFill>
            <w14:solidFill>
              <w14:schemeClr w14:val="tx1"/>
            </w14:solidFill>
          </w14:textFill>
        </w:rPr>
        <w:t>根据标准预研成果，确定标准的研究范围、技术框架和技术内容，邀请汽车</w:t>
      </w:r>
      <w:r>
        <w:rPr>
          <w:rFonts w:hint="eastAsia" w:ascii="宋体" w:hAnsi="宋体" w:cs="宋体"/>
          <w:color w:val="000000" w:themeColor="text1"/>
          <w:sz w:val="21"/>
          <w:szCs w:val="21"/>
          <w:lang w:val="en-US" w:eastAsia="zh-CN"/>
          <w14:textFill>
            <w14:solidFill>
              <w14:schemeClr w14:val="tx1"/>
            </w14:solidFill>
          </w14:textFill>
        </w:rPr>
        <w:t>半桥预驱动芯片</w:t>
      </w:r>
      <w:r>
        <w:rPr>
          <w:rFonts w:hint="eastAsia" w:ascii="宋体" w:hAnsi="宋体" w:eastAsia="宋体" w:cs="宋体"/>
          <w:color w:val="000000" w:themeColor="text1"/>
          <w:sz w:val="21"/>
          <w:szCs w:val="21"/>
          <w:lang w:val="en-US" w:eastAsia="zh-CN"/>
          <w14:textFill>
            <w14:solidFill>
              <w14:schemeClr w14:val="tx1"/>
            </w14:solidFill>
          </w14:textFill>
        </w:rPr>
        <w:t>相关单位和专家，组织召开标准讨论会议，根据整车企业、芯片企业与零部件企业意见，修改标准立项申请表、</w:t>
      </w:r>
      <w:r>
        <w:rPr>
          <w:rFonts w:hint="eastAsia" w:ascii="宋体" w:hAnsi="宋体" w:cs="宋体"/>
          <w:color w:val="000000" w:themeColor="text1"/>
          <w:sz w:val="21"/>
          <w:szCs w:val="21"/>
          <w:lang w:val="en-US" w:eastAsia="zh-CN"/>
          <w14:textFill>
            <w14:solidFill>
              <w14:schemeClr w14:val="tx1"/>
            </w14:solidFill>
          </w14:textFill>
        </w:rPr>
        <w:t>立项说明书和</w:t>
      </w:r>
      <w:r>
        <w:rPr>
          <w:rFonts w:hint="eastAsia" w:ascii="宋体" w:hAnsi="宋体" w:eastAsia="宋体" w:cs="宋体"/>
          <w:color w:val="000000" w:themeColor="text1"/>
          <w:sz w:val="21"/>
          <w:szCs w:val="21"/>
          <w:lang w:val="en-US" w:eastAsia="zh-CN"/>
          <w14:textFill>
            <w14:solidFill>
              <w14:schemeClr w14:val="tx1"/>
            </w14:solidFill>
          </w14:textFill>
        </w:rPr>
        <w:t>标准初稿等材料，并于202</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val="en-US" w:eastAsia="zh-CN"/>
          <w14:textFill>
            <w14:solidFill>
              <w14:schemeClr w14:val="tx1"/>
            </w14:solidFill>
          </w14:textFill>
        </w:rPr>
        <w:t>月提交中国汽车</w:t>
      </w:r>
      <w:r>
        <w:rPr>
          <w:rFonts w:hint="eastAsia" w:ascii="宋体" w:hAnsi="宋体" w:cs="宋体"/>
          <w:color w:val="000000" w:themeColor="text1"/>
          <w:sz w:val="21"/>
          <w:szCs w:val="21"/>
          <w:lang w:val="en-US" w:eastAsia="zh-CN"/>
          <w14:textFill>
            <w14:solidFill>
              <w14:schemeClr w14:val="tx1"/>
            </w14:solidFill>
          </w14:textFill>
        </w:rPr>
        <w:t>工业协会</w:t>
      </w:r>
      <w:r>
        <w:rPr>
          <w:rFonts w:hint="eastAsia" w:ascii="宋体" w:hAnsi="宋体" w:eastAsia="宋体" w:cs="宋体"/>
          <w:color w:val="000000" w:themeColor="text1"/>
          <w:sz w:val="21"/>
          <w:szCs w:val="21"/>
          <w:lang w:val="en-US" w:eastAsia="zh-CN"/>
          <w14:textFill>
            <w14:solidFill>
              <w14:schemeClr w14:val="tx1"/>
            </w14:solidFill>
          </w14:textFill>
        </w:rPr>
        <w:t>进行标准立项申报，202</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lang w:val="en-US" w:eastAsia="zh-CN"/>
          <w14:textFill>
            <w14:solidFill>
              <w14:schemeClr w14:val="tx1"/>
            </w14:solidFill>
          </w14:textFill>
        </w:rPr>
        <w:t>年</w:t>
      </w:r>
      <w:r>
        <w:rPr>
          <w:rFonts w:hint="eastAsia" w:ascii="宋体" w:hAnsi="宋体" w:cs="宋体"/>
          <w:color w:val="000000" w:themeColor="text1"/>
          <w:sz w:val="21"/>
          <w:szCs w:val="21"/>
          <w:lang w:val="en-US" w:eastAsia="zh-CN"/>
          <w14:textFill>
            <w14:solidFill>
              <w14:schemeClr w14:val="tx1"/>
            </w14:solidFill>
          </w14:textFill>
        </w:rPr>
        <w:t>7</w:t>
      </w:r>
      <w:r>
        <w:rPr>
          <w:rFonts w:hint="eastAsia" w:ascii="宋体" w:hAnsi="宋体" w:eastAsia="宋体" w:cs="宋体"/>
          <w:color w:val="000000" w:themeColor="text1"/>
          <w:sz w:val="21"/>
          <w:szCs w:val="21"/>
          <w:lang w:val="en-US" w:eastAsia="zh-CN"/>
          <w14:textFill>
            <w14:solidFill>
              <w14:schemeClr w14:val="tx1"/>
            </w14:solidFill>
          </w14:textFill>
        </w:rPr>
        <w:t>月</w:t>
      </w:r>
      <w:r>
        <w:rPr>
          <w:rFonts w:hint="eastAsia" w:ascii="宋体" w:hAnsi="宋体" w:cs="宋体"/>
          <w:color w:val="000000" w:themeColor="text1"/>
          <w:sz w:val="21"/>
          <w:szCs w:val="21"/>
          <w:lang w:val="en-US" w:eastAsia="zh-CN"/>
          <w14:textFill>
            <w14:solidFill>
              <w14:schemeClr w14:val="tx1"/>
            </w14:solidFill>
          </w14:textFill>
        </w:rPr>
        <w:t>正式</w:t>
      </w:r>
      <w:r>
        <w:rPr>
          <w:rFonts w:hint="eastAsia" w:ascii="宋体" w:hAnsi="宋体" w:eastAsia="宋体" w:cs="宋体"/>
          <w:color w:val="000000" w:themeColor="text1"/>
          <w:sz w:val="21"/>
          <w:szCs w:val="21"/>
          <w:lang w:val="en-US" w:eastAsia="zh-CN"/>
          <w14:textFill>
            <w14:solidFill>
              <w14:schemeClr w14:val="tx1"/>
            </w14:solidFill>
          </w14:textFill>
        </w:rPr>
        <w:t>通过立项</w:t>
      </w:r>
      <w:r>
        <w:rPr>
          <w:rFonts w:hint="eastAsia" w:ascii="宋体" w:hAnsi="宋体" w:cs="宋体"/>
          <w:color w:val="000000" w:themeColor="text1"/>
          <w:sz w:val="21"/>
          <w:szCs w:val="21"/>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起草</w:t>
      </w:r>
      <w:r>
        <w:rPr>
          <w:rFonts w:hint="eastAsia" w:ascii="宋体" w:hAnsi="宋体" w:cs="宋体"/>
          <w:b/>
          <w:bCs/>
          <w:color w:val="000000" w:themeColor="text1"/>
          <w:sz w:val="21"/>
          <w:szCs w:val="21"/>
          <w:lang w:val="en-US" w:eastAsia="zh-CN"/>
          <w14:textFill>
            <w14:solidFill>
              <w14:schemeClr w14:val="tx1"/>
            </w14:solidFill>
          </w14:textFill>
        </w:rPr>
        <w:t>阶段</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2024年8月</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2025年3月，</w:t>
      </w:r>
      <w:r>
        <w:rPr>
          <w:rFonts w:hint="default" w:ascii="宋体" w:hAnsi="宋体" w:cs="宋体"/>
          <w:color w:val="000000" w:themeColor="text1"/>
          <w:sz w:val="21"/>
          <w:szCs w:val="21"/>
          <w:lang w:val="en-US" w:eastAsia="zh-CN"/>
          <w14:textFill>
            <w14:solidFill>
              <w14:schemeClr w14:val="tx1"/>
            </w14:solidFill>
          </w14:textFill>
        </w:rPr>
        <w:t>标准立项</w:t>
      </w:r>
      <w:r>
        <w:rPr>
          <w:rFonts w:hint="eastAsia" w:ascii="宋体" w:hAnsi="宋体" w:cs="宋体"/>
          <w:color w:val="000000" w:themeColor="text1"/>
          <w:sz w:val="21"/>
          <w:szCs w:val="21"/>
          <w:lang w:val="en-US" w:eastAsia="zh-CN"/>
          <w14:textFill>
            <w14:solidFill>
              <w14:schemeClr w14:val="tx1"/>
            </w14:solidFill>
          </w14:textFill>
        </w:rPr>
        <w:t>下达</w:t>
      </w:r>
      <w:r>
        <w:rPr>
          <w:rFonts w:hint="default" w:ascii="宋体" w:hAnsi="宋体" w:cs="宋体"/>
          <w:color w:val="000000" w:themeColor="text1"/>
          <w:sz w:val="21"/>
          <w:szCs w:val="21"/>
          <w:lang w:val="en-US" w:eastAsia="zh-CN"/>
          <w14:textFill>
            <w14:solidFill>
              <w14:schemeClr w14:val="tx1"/>
            </w14:solidFill>
          </w14:textFill>
        </w:rPr>
        <w:t>后，</w:t>
      </w:r>
      <w:r>
        <w:rPr>
          <w:rFonts w:hint="eastAsia" w:ascii="宋体" w:hAnsi="宋体" w:cs="宋体"/>
          <w:color w:val="000000" w:themeColor="text1"/>
          <w:sz w:val="21"/>
          <w:szCs w:val="21"/>
          <w:lang w:val="en-US" w:eastAsia="zh-CN"/>
          <w14:textFill>
            <w14:solidFill>
              <w14:schemeClr w14:val="tx1"/>
            </w14:solidFill>
          </w14:textFill>
        </w:rPr>
        <w:t>牵头单位</w:t>
      </w:r>
      <w:r>
        <w:rPr>
          <w:rFonts w:hint="default" w:ascii="宋体" w:hAnsi="宋体" w:cs="宋体"/>
          <w:color w:val="000000" w:themeColor="text1"/>
          <w:sz w:val="21"/>
          <w:szCs w:val="21"/>
          <w:lang w:val="en-US" w:eastAsia="zh-CN"/>
          <w14:textFill>
            <w14:solidFill>
              <w14:schemeClr w14:val="tx1"/>
            </w14:solidFill>
          </w14:textFill>
        </w:rPr>
        <w:t>联合整车企业、零部件企业、芯片企业和科研院</w:t>
      </w:r>
      <w:r>
        <w:rPr>
          <w:rFonts w:hint="eastAsia" w:ascii="宋体" w:hAnsi="宋体" w:cs="宋体"/>
          <w:color w:val="000000" w:themeColor="text1"/>
          <w:sz w:val="21"/>
          <w:szCs w:val="21"/>
          <w:lang w:val="en-US" w:eastAsia="zh-CN"/>
          <w14:textFill>
            <w14:solidFill>
              <w14:schemeClr w14:val="tx1"/>
            </w14:solidFill>
          </w14:textFill>
        </w:rPr>
        <w:t>所</w:t>
      </w:r>
      <w:r>
        <w:rPr>
          <w:rFonts w:hint="default" w:ascii="宋体" w:hAnsi="宋体" w:cs="宋体"/>
          <w:color w:val="000000" w:themeColor="text1"/>
          <w:sz w:val="21"/>
          <w:szCs w:val="21"/>
          <w:lang w:val="en-US" w:eastAsia="zh-CN"/>
          <w14:textFill>
            <w14:solidFill>
              <w14:schemeClr w14:val="tx1"/>
            </w14:solidFill>
          </w14:textFill>
        </w:rPr>
        <w:t>等近</w:t>
      </w:r>
      <w:r>
        <w:rPr>
          <w:rFonts w:hint="eastAsia" w:ascii="宋体" w:hAnsi="宋体" w:cs="宋体"/>
          <w:color w:val="000000" w:themeColor="text1"/>
          <w:sz w:val="21"/>
          <w:szCs w:val="21"/>
          <w:lang w:val="en-US" w:eastAsia="zh-CN"/>
          <w14:textFill>
            <w14:solidFill>
              <w14:schemeClr w14:val="tx1"/>
            </w14:solidFill>
          </w14:textFill>
        </w:rPr>
        <w:t>20</w:t>
      </w:r>
      <w:r>
        <w:rPr>
          <w:rFonts w:hint="default" w:ascii="宋体" w:hAnsi="宋体" w:cs="宋体"/>
          <w:color w:val="000000" w:themeColor="text1"/>
          <w:sz w:val="21"/>
          <w:szCs w:val="21"/>
          <w:lang w:val="en-US" w:eastAsia="zh-CN"/>
          <w14:textFill>
            <w14:solidFill>
              <w14:schemeClr w14:val="tx1"/>
            </w14:solidFill>
          </w14:textFill>
        </w:rPr>
        <w:t>家单位，共同</w:t>
      </w:r>
      <w:r>
        <w:rPr>
          <w:rFonts w:hint="eastAsia" w:ascii="宋体" w:hAnsi="宋体" w:cs="宋体"/>
          <w:color w:val="000000" w:themeColor="text1"/>
          <w:sz w:val="21"/>
          <w:szCs w:val="21"/>
          <w:lang w:val="en-US" w:eastAsia="zh-CN"/>
          <w14:textFill>
            <w14:solidFill>
              <w14:schemeClr w14:val="tx1"/>
            </w14:solidFill>
          </w14:textFill>
        </w:rPr>
        <w:t>研讨、编写和</w:t>
      </w:r>
      <w:r>
        <w:rPr>
          <w:rFonts w:hint="default" w:ascii="宋体" w:hAnsi="宋体" w:cs="宋体"/>
          <w:color w:val="000000" w:themeColor="text1"/>
          <w:sz w:val="21"/>
          <w:szCs w:val="21"/>
          <w:lang w:val="en-US" w:eastAsia="zh-CN"/>
          <w14:textFill>
            <w14:solidFill>
              <w14:schemeClr w14:val="tx1"/>
            </w14:solidFill>
          </w14:textFill>
        </w:rPr>
        <w:t>完善标准草案。本阶段共组织了三次起草组标准研讨会议，会议研讨过程中，起草组成员单位</w:t>
      </w:r>
      <w:r>
        <w:rPr>
          <w:rFonts w:hint="eastAsia" w:ascii="宋体" w:hAnsi="宋体" w:cs="宋体"/>
          <w:color w:val="000000" w:themeColor="text1"/>
          <w:sz w:val="21"/>
          <w:szCs w:val="21"/>
          <w:lang w:val="en-US" w:eastAsia="zh-CN"/>
          <w14:textFill>
            <w14:solidFill>
              <w14:schemeClr w14:val="tx1"/>
            </w14:solidFill>
          </w14:textFill>
        </w:rPr>
        <w:t>积极参与标准编写，</w:t>
      </w:r>
      <w:r>
        <w:rPr>
          <w:rFonts w:hint="default" w:ascii="宋体" w:hAnsi="宋体" w:cs="宋体"/>
          <w:color w:val="000000" w:themeColor="text1"/>
          <w:sz w:val="21"/>
          <w:szCs w:val="21"/>
          <w:lang w:val="en-US" w:eastAsia="zh-CN"/>
          <w14:textFill>
            <w14:solidFill>
              <w14:schemeClr w14:val="tx1"/>
            </w14:solidFill>
          </w14:textFill>
        </w:rPr>
        <w:t>对标准文本内容</w:t>
      </w:r>
      <w:r>
        <w:rPr>
          <w:rFonts w:hint="eastAsia" w:ascii="宋体" w:hAnsi="宋体" w:cs="宋体"/>
          <w:color w:val="000000" w:themeColor="text1"/>
          <w:sz w:val="21"/>
          <w:szCs w:val="21"/>
          <w:lang w:val="en-US" w:eastAsia="zh-CN"/>
          <w14:textFill>
            <w14:solidFill>
              <w14:schemeClr w14:val="tx1"/>
            </w14:solidFill>
          </w14:textFill>
        </w:rPr>
        <w:t>展开详细</w:t>
      </w:r>
      <w:r>
        <w:rPr>
          <w:rFonts w:hint="default" w:ascii="宋体" w:hAnsi="宋体" w:cs="宋体"/>
          <w:color w:val="000000" w:themeColor="text1"/>
          <w:sz w:val="21"/>
          <w:szCs w:val="21"/>
          <w:lang w:val="en-US" w:eastAsia="zh-CN"/>
          <w14:textFill>
            <w14:solidFill>
              <w14:schemeClr w14:val="tx1"/>
            </w14:solidFill>
          </w14:textFill>
        </w:rPr>
        <w:t>讨论，</w:t>
      </w:r>
      <w:r>
        <w:rPr>
          <w:rFonts w:hint="eastAsia" w:ascii="宋体" w:hAnsi="宋体" w:cs="宋体"/>
          <w:color w:val="000000" w:themeColor="text1"/>
          <w:sz w:val="21"/>
          <w:szCs w:val="21"/>
          <w:lang w:val="en-US" w:eastAsia="zh-CN"/>
          <w14:textFill>
            <w14:solidFill>
              <w14:schemeClr w14:val="tx1"/>
            </w14:solidFill>
          </w14:textFill>
        </w:rPr>
        <w:t>同时行业</w:t>
      </w:r>
      <w:r>
        <w:rPr>
          <w:rFonts w:hint="default" w:ascii="宋体" w:hAnsi="宋体" w:cs="宋体"/>
          <w:color w:val="000000" w:themeColor="text1"/>
          <w:sz w:val="21"/>
          <w:szCs w:val="21"/>
          <w:lang w:val="en-US" w:eastAsia="zh-CN"/>
          <w14:textFill>
            <w14:solidFill>
              <w14:schemeClr w14:val="tx1"/>
            </w14:solidFill>
          </w14:textFill>
        </w:rPr>
        <w:t>技术和经验，提出标准修改意见</w:t>
      </w:r>
      <w:r>
        <w:rPr>
          <w:rFonts w:hint="eastAsia" w:ascii="宋体" w:hAnsi="宋体" w:cs="宋体"/>
          <w:color w:val="000000" w:themeColor="text1"/>
          <w:sz w:val="21"/>
          <w:szCs w:val="21"/>
          <w:lang w:val="en-US" w:eastAsia="zh-CN"/>
          <w14:textFill>
            <w14:solidFill>
              <w14:schemeClr w14:val="tx1"/>
            </w14:solidFill>
          </w14:textFill>
        </w:rPr>
        <w:t>等</w:t>
      </w:r>
      <w:r>
        <w:rPr>
          <w:rFonts w:hint="default" w:ascii="宋体" w:hAnsi="宋体" w:cs="宋体"/>
          <w:color w:val="000000" w:themeColor="text1"/>
          <w:sz w:val="21"/>
          <w:szCs w:val="2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起草组第一次会议：</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2024年11月5日，本标准第一次起草组讨论会议在北京召开，起草组成员：中国第一汽车股份有限公司、</w:t>
      </w:r>
      <w:r>
        <w:rPr>
          <w:rFonts w:hint="eastAsia" w:ascii="宋体" w:hAnsi="宋体" w:eastAsia="宋体" w:cs="宋体"/>
          <w:color w:val="000000" w:themeColor="text1"/>
          <w:sz w:val="21"/>
          <w:szCs w:val="21"/>
          <w:lang w:val="en-US" w:eastAsia="zh-CN"/>
          <w14:textFill>
            <w14:solidFill>
              <w14:schemeClr w14:val="tx1"/>
            </w14:solidFill>
          </w14:textFill>
        </w:rPr>
        <w:t>合肥智芯半导体有限公司、北京国家新能源汽车技术创新中心有限公司、北京经纬恒润科技股份有限公司、东方久乐汽车电子(上海)股份有限公司、紫光同芯微电子有限公司、中电科芯片技术（集团）有限公司、蔚来汽车科技有限公司、中国科学院微电子研究所、</w:t>
      </w:r>
      <w:r>
        <w:rPr>
          <w:rFonts w:hint="eastAsia" w:ascii="宋体" w:hAnsi="宋体" w:cs="宋体"/>
          <w:color w:val="000000" w:themeColor="text1"/>
          <w:sz w:val="21"/>
          <w:szCs w:val="21"/>
          <w:lang w:val="en-US" w:eastAsia="zh-CN"/>
          <w14:textFill>
            <w14:solidFill>
              <w14:schemeClr w14:val="tx1"/>
            </w14:solidFill>
          </w14:textFill>
        </w:rPr>
        <w:t>芯洲科技（北京）股份有限公司、</w:t>
      </w:r>
      <w:r>
        <w:rPr>
          <w:rFonts w:hint="eastAsia" w:ascii="宋体" w:hAnsi="宋体" w:eastAsia="宋体" w:cs="宋体"/>
          <w:color w:val="000000" w:themeColor="text1"/>
          <w:sz w:val="21"/>
          <w:szCs w:val="21"/>
          <w:lang w:val="en-US" w:eastAsia="zh-CN"/>
          <w14:textFill>
            <w14:solidFill>
              <w14:schemeClr w14:val="tx1"/>
            </w14:solidFill>
          </w14:textFill>
        </w:rPr>
        <w:t>圣邦微电子（北京）股份有限公司</w:t>
      </w:r>
      <w:r>
        <w:rPr>
          <w:rFonts w:hint="eastAsia" w:ascii="宋体" w:hAnsi="宋体" w:cs="宋体"/>
          <w:color w:val="000000" w:themeColor="text1"/>
          <w:sz w:val="21"/>
          <w:szCs w:val="21"/>
          <w:lang w:val="en-US" w:eastAsia="zh-CN"/>
          <w14:textFill>
            <w14:solidFill>
              <w14:schemeClr w14:val="tx1"/>
            </w14:solidFill>
          </w14:textFill>
        </w:rPr>
        <w:t>和重庆集诚汽车电子有限责任公司参会。本次会议，牵头单位对标准起草方案、标准框架和文本进行了介绍，起草组成员就标准框架进行了重点讨论，并对标准中的功能要求、技术要求、试验条件等重点章节进行了详细研讨，形成标准意见近20余项。</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起草组第二次会议：</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12月20日，本标准第二次起草组讨论会议在北京召开，起草组成员：中国第一汽车股份有限公司、合肥智芯半导体有限公司、北京国家新能源汽车技术创新中心有限公司、北京经纬恒润科技股份有限公司、东方久乐汽车电子(上海)股份有限公司、紫光同芯微电子有限公司、中电科芯片技术（集团）有限公司、蔚来汽车科技有限公司、中国科学院微电子研究所、北京集创北方科技股份有限公司、思瑞浦微电子科技（苏州）股份有限公司、合肥艾创微电子科技有限公司参会。本次会议，牵头单位对标准第一次会议标准意见处理结果和对应修改的内容进行了介绍，起草组就功能要求、技术要求、试验条件和试验方法重点章节展开详细研讨，提出标准意见，标准主笔人对标准整体进展和标准草案进行了介绍，形成标准意见15项，同时对标准试验验证计划进行了讨论和安排。</w:t>
      </w:r>
    </w:p>
    <w:p>
      <w:pPr>
        <w:keepNext w:val="0"/>
        <w:keepLines w:val="0"/>
        <w:pageBreakBefore w:val="0"/>
        <w:widowControl w:val="0"/>
        <w:kinsoku/>
        <w:wordWrap/>
        <w:overflowPunct/>
        <w:topLinePunct w:val="0"/>
        <w:autoSpaceDE/>
        <w:autoSpaceDN/>
        <w:bidi w:val="0"/>
        <w:adjustRightInd/>
        <w:snapToGrid/>
        <w:ind w:left="0" w:firstLine="422" w:firstLineChars="200"/>
        <w:textAlignment w:val="auto"/>
        <w:rPr>
          <w:rFonts w:hint="eastAsia" w:ascii="宋体" w:hAnsi="宋体" w:cs="宋体"/>
          <w:b/>
          <w:bCs/>
          <w:color w:val="000000" w:themeColor="text1"/>
          <w:sz w:val="21"/>
          <w:szCs w:val="21"/>
          <w:lang w:val="en-US" w:eastAsia="zh-CN"/>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起草组第三次会议：</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2024年4月</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日，本标准第三次起草组讨论会议在北京召开，起草组成员：中国第一汽车股份有限公司、合肥智芯半导体有限公司、北京国家新能源汽车技术创新中心有限公司、北京经纬恒润科技股份有限公司、东方久乐汽车电子(上海)股份有限公司、紫光同芯微电子有限公司、中电科芯片技术（集团）有限公司、北京集创北方科技股份有限公司、合肥艾创微电子科技有限公司、北京智芯微电子科技有限公司。本次会议，牵头单位对第二次会议标准意见处理情况和标准对应修改内容进行了介绍，与会专家对标准草案进行了逐条讨论，提出修改意见，同时对编制说明内容进行了详细讨论。</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ind w:left="0" w:leftChars="0" w:firstLine="422" w:firstLineChars="200"/>
        <w:textAlignment w:val="auto"/>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试验验证</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2024年12月</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2025年3月，起草组依据本标准对汽车半桥预驱动芯片进行了试验验证，验证了标准内容的合理性和可行性。</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试验验证后，标准起草组修改标准文本、形成标准征求意见稿和编制说明，于2025年4月提交中国汽车工业协会申请行业公开征求意见。</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ind w:firstLine="480" w:firstLineChars="200"/>
        <w:textAlignment w:val="auto"/>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标准编制原则和主要内容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left="360" w:leftChars="0"/>
        <w:textAlignment w:val="auto"/>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（一）标准编制原则</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本标准编写符合 GB/T 1.1—2020《标准化工作导则 第 1 部分：标准化文件的结构和起草规则》的规定起草。起草过程中，充分考虑与国内外现有相关标准的统一和协调，标准中的指标要求充分考虑了国内当前行业技术水平，草案内容已经过多次充分讨论、修改和完善，并在起草组内多次征求意见。</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通用性原则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本标准为行业提供了一套汽车低压电气系统半桥预驱动芯片产品标准，标准提出的功能和指标要求符合行业发展水平，提供的试验方法可实现、可操作，在行业内具有较高的通用性。</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指导性原则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目前，</w:t>
      </w:r>
      <w:r>
        <w:rPr>
          <w:rFonts w:hint="eastAsia" w:ascii="宋体" w:hAnsi="宋体" w:cs="宋体"/>
          <w:color w:val="000000" w:themeColor="text1"/>
          <w:sz w:val="21"/>
          <w:szCs w:val="21"/>
          <w:lang w:val="en-US" w:eastAsia="zh-CN"/>
          <w14:textFill>
            <w14:solidFill>
              <w14:schemeClr w14:val="tx1"/>
            </w14:solidFill>
          </w14:textFill>
        </w:rPr>
        <w:t>汽车半桥预驱动芯片虽然在汽车上广泛应用，但行业内无统一标准进行规范，本标准的制定可以帮助芯片企业统一设计要求，可以支撑Tier1和整车厂进行芯片的选型，标准的出台对行业具有指导作用。</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协调性原则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本标准规定的内容，包括技术要求、试验条件和试验方法部分，与现有标准规定的方法协调统一、互不交叉。</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兼容性原则</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default" w:ascii="宋体" w:hAnsi="宋体" w:cs="宋体"/>
          <w:color w:val="000000" w:themeColor="text1"/>
          <w:sz w:val="21"/>
          <w:szCs w:val="21"/>
          <w:lang w:val="en-US" w:eastAsia="zh-CN"/>
          <w14:textFill>
            <w14:solidFill>
              <w14:schemeClr w14:val="tx1"/>
            </w14:solidFill>
          </w14:textFill>
        </w:rPr>
        <w:t>本标准提出的</w:t>
      </w:r>
      <w:r>
        <w:rPr>
          <w:rFonts w:hint="eastAsia" w:ascii="宋体" w:hAnsi="宋体" w:cs="宋体"/>
          <w:color w:val="000000" w:themeColor="text1"/>
          <w:sz w:val="21"/>
          <w:szCs w:val="21"/>
          <w:lang w:val="en-US" w:eastAsia="zh-CN"/>
          <w14:textFill>
            <w14:solidFill>
              <w14:schemeClr w14:val="tx1"/>
            </w14:solidFill>
          </w14:textFill>
        </w:rPr>
        <w:t>功能要求、技术指标要求充分考虑了当前技术水平，同时注重实用性和前瞻性；试验方法可执行，可操作，</w:t>
      </w:r>
      <w:r>
        <w:rPr>
          <w:rFonts w:hint="default" w:ascii="宋体" w:hAnsi="宋体" w:cs="宋体"/>
          <w:color w:val="000000" w:themeColor="text1"/>
          <w:sz w:val="21"/>
          <w:szCs w:val="21"/>
          <w:lang w:val="en-US" w:eastAsia="zh-CN"/>
          <w14:textFill>
            <w14:solidFill>
              <w14:schemeClr w14:val="tx1"/>
            </w14:solidFill>
          </w14:textFill>
        </w:rPr>
        <w:t>具有普遍适用性。</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ind w:left="360" w:leftChars="0" w:firstLine="0" w:firstLine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标准主要技术内容</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本标准对汽车低压电气系统用半桥预驱动芯片功能、性能、可靠性、电磁兼容性和功能安全的技术要求及试验方法进行了规定，适用于</w:t>
      </w:r>
      <w:r>
        <w:rPr>
          <w:rFonts w:hint="default" w:ascii="宋体" w:hAnsi="宋体" w:cs="宋体"/>
          <w:color w:val="000000" w:themeColor="text1"/>
          <w:sz w:val="21"/>
          <w:szCs w:val="21"/>
          <w:lang w:val="en-US" w:eastAsia="zh-CN"/>
          <w14:textFill>
            <w14:solidFill>
              <w14:schemeClr w14:val="tx1"/>
            </w14:solidFill>
          </w14:textFill>
        </w:rPr>
        <w:t>车辆蓄电池的电压为12 V系统</w:t>
      </w:r>
      <w:r>
        <w:rPr>
          <w:rFonts w:hint="eastAsia" w:ascii="宋体" w:hAnsi="宋体" w:cs="宋体"/>
          <w:color w:val="000000" w:themeColor="text1"/>
          <w:sz w:val="21"/>
          <w:szCs w:val="21"/>
          <w:lang w:val="en-US" w:eastAsia="zh-CN"/>
          <w14:textFill>
            <w14:solidFill>
              <w14:schemeClr w14:val="tx1"/>
            </w14:solidFill>
          </w14:textFill>
        </w:rPr>
        <w:t>汽车电子电气零部件搭载的半桥预驱动芯片。标准共分为8章，包括范围、规范性引用文件、术语和定义、缩略语、芯片的典型结构、技术要求、试验条件和试验方法。其中，技术要求章节对半桥预驱动芯片的典型功能、工作电流、静态电流、预驱输出、过温保护、通讯接口和电压缓升缓降、可靠性、电磁兼容和功能安全提出了具体要求。试验条件章节对环境条件、试验样品、工作电压、测试板和测试电机进行了规定。试验方法章节对芯片的典型功能、工作电流、静态电流、预驱输出、过温保护、通讯接口和电压缓升缓降、可靠性和电磁兼容的试验方法进行了详细规定。</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本标准属于团体标准，与现行法律法规和政策以及相关标准不矛盾，引用以下先进标准内容：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4937.4—2012 半导体器件 机械和气候试验方法 第4部分：强加速稳态湿热试验（HAST）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4937.14—2018 半导体器件 机械和气候试验方法 第14部分：引出端强度（引线牢固性）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4937.26 半导体器件 机械和气候试验方法 第26部分：静电放电（ESD）敏感度测试 人体模型（HBM）</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19951 道路车辆 电气/电子部件对静电放电抗扰性的试验方法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34590.1 道路车辆 功能安全 第1部分：术语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34590.2  道路车辆 功能安全 第 2 部分：功能安全管理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34590.5—2022  道路车辆 功能安全 第 5 部分：硬件层面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35003—2018 非易失性存储器耐久和数据保持试验方法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36479—2018 集成电路 焊柱阵列试验方法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42968.2—2024 集成电路 电磁抗扰度测量 第2部分：辐射抗扰度测量 TEM小室和宽带TEM小室法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42968.4—2024 集成电路 电磁抗扰度测量 第4部分：射频功率直接注入法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43034.3—2023 集成电路 脉冲抗扰度测量 第3部分：非同步瞬态注入法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43253.4 道路车辆 功能安全审核及评估方法 第4部分：硬件层面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GB/T 44937.4—2024 集成电路 电磁发射测量 第4部分：传导发射测量 1Ω/150Ω直接欧合法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IEC 60749-3 半导体器件 机械和气候试验方法 第3部分 外观检查（Semiconductor devices - Mechanical and climatic test methods - Part 3: External visual examination）</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IEC 61967-2：2005 集成电路 电磁发射测量 第 2 部分：辐射发射测量 TEM 小室和宽带TEM 小室法（Integrated circuits - Measurement of electromagnetic emissions，150kHz to 1GHz- Part 2: Measurement of radiated emissions-TEM cell and wideband TEM cell method）</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w:t>
      </w:r>
      <w:r>
        <w:rPr>
          <w:rFonts w:hint="eastAsia" w:ascii="黑体" w:hAnsi="黑体" w:eastAsia="黑体" w:cs="黑体"/>
          <w:color w:val="000000" w:themeColor="text1"/>
          <w:sz w:val="24"/>
          <w:lang w:val="en-US" w:eastAsia="zh-CN"/>
          <w14:textFill>
            <w14:solidFill>
              <w14:schemeClr w14:val="tx1"/>
            </w14:solidFill>
          </w14:textFill>
        </w:rPr>
        <w:t>关键指标及</w:t>
      </w:r>
      <w:r>
        <w:rPr>
          <w:rFonts w:hint="eastAsia" w:ascii="黑体" w:hAnsi="黑体" w:eastAsia="黑体" w:cs="黑体"/>
          <w:color w:val="000000" w:themeColor="text1"/>
          <w:sz w:val="24"/>
          <w14:textFill>
            <w14:solidFill>
              <w14:schemeClr w14:val="tx1"/>
            </w14:solidFill>
          </w14:textFill>
        </w:rPr>
        <w:t>试验验证情况</w:t>
      </w:r>
    </w:p>
    <w:p>
      <w:pPr>
        <w:ind w:firstLine="420" w:firstLineChars="2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为验证标准合理性和可行性，2024年12月</w:t>
      </w:r>
      <w:r>
        <w:rPr>
          <w:rFonts w:hint="default" w:ascii="Times New Roman" w:hAnsi="Times New Roman" w:cs="Times New Roman"/>
          <w:color w:val="000000" w:themeColor="text1"/>
          <w:sz w:val="21"/>
          <w:szCs w:val="21"/>
          <w:lang w:val="en-US"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2025年3月，标准起草组对汽车低压电气系统半桥预驱动芯片进行了试验。试验情况和试验结果如下：</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样品情况：</w:t>
      </w:r>
    </w:p>
    <w:p>
      <w:pPr>
        <w:ind w:firstLine="420" w:firstLine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样品类型：12 V系统车用半桥预驱动芯片；</w:t>
      </w:r>
    </w:p>
    <w:p>
      <w:pPr>
        <w:ind w:firstLine="420" w:firstLineChars="200"/>
        <w:rPr>
          <w:rFonts w:hint="default" w:ascii="仿宋" w:hAnsi="仿宋" w:eastAsia="仿宋" w:cs="仿宋"/>
          <w:b w:val="0"/>
          <w:bCs w:val="0"/>
          <w:color w:val="000000" w:themeColor="text1"/>
          <w:sz w:val="24"/>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样品数量：2个生产批次，每批次3个。</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ind w:left="360" w:leftChars="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测试环境：</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室温为（23±5）℃，相对湿度：25%～75%</w:t>
      </w:r>
      <w:r>
        <w:rPr>
          <w:rFonts w:hint="eastAsia" w:ascii="宋体" w:hAnsi="宋体" w:cs="宋体"/>
          <w:color w:val="000000" w:themeColor="text1"/>
          <w:sz w:val="21"/>
          <w:szCs w:val="21"/>
          <w:lang w:val="en-US" w:eastAsia="zh-CN"/>
          <w14:textFill>
            <w14:solidFill>
              <w14:schemeClr w14:val="tx1"/>
            </w14:solidFill>
          </w14:textFill>
        </w:rPr>
        <w:t>。功能、性能测试环境示意图见图1。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宋体" w:cs="仿宋"/>
          <w:b w:val="0"/>
          <w:bCs w:val="0"/>
          <w:color w:val="000000" w:themeColor="text1"/>
          <w:sz w:val="24"/>
          <w:lang w:val="en-US" w:eastAsia="zh-CN"/>
          <w14:textFill>
            <w14:solidFill>
              <w14:schemeClr w14:val="tx1"/>
            </w14:solidFill>
          </w14:textFill>
        </w:rPr>
      </w:pPr>
      <w:r>
        <w:rPr>
          <w:rFonts w:hint="eastAsia"/>
          <w:lang w:val="en-US" w:eastAsia="zh-CN"/>
        </w:rPr>
        <w:t xml:space="preserve">  </w:t>
      </w:r>
      <w:r>
        <w:drawing>
          <wp:inline distT="0" distB="0" distL="114300" distR="114300">
            <wp:extent cx="3300730" cy="2444750"/>
            <wp:effectExtent l="0" t="0" r="127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3300730" cy="24447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图1 芯片测试环境示意图</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   试验情况：</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功能测试结果</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17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测试项</w:t>
            </w:r>
          </w:p>
        </w:tc>
        <w:tc>
          <w:tcPr>
            <w:tcW w:w="592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电源功能</w:t>
            </w:r>
          </w:p>
        </w:tc>
        <w:tc>
          <w:tcPr>
            <w:tcW w:w="5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符合要求</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具备电源供电功能、低功耗功能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接口功能</w:t>
            </w:r>
          </w:p>
        </w:tc>
        <w:tc>
          <w:tcPr>
            <w:tcW w:w="5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符合要求</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具备输入功能、输出功能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配置和控制功能</w:t>
            </w:r>
          </w:p>
        </w:tc>
        <w:tc>
          <w:tcPr>
            <w:tcW w:w="5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符合要求</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具备配置芯片参数、控制芯片的功能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预期模块功能</w:t>
            </w:r>
          </w:p>
        </w:tc>
        <w:tc>
          <w:tcPr>
            <w:tcW w:w="5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符合要求</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具备PWM输出功能、死区时间插入功能、压摆率控制功能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检测和保护</w:t>
            </w:r>
          </w:p>
        </w:tc>
        <w:tc>
          <w:tcPr>
            <w:tcW w:w="592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符合要求</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sz w:val="18"/>
                <w:szCs w:val="18"/>
                <w:highlight w:val="none"/>
                <w:lang w:val="en-US" w:eastAsia="zh-CN"/>
              </w:rPr>
              <w:t>具备</w:t>
            </w:r>
            <w:r>
              <w:rPr>
                <w:rFonts w:hint="eastAsia" w:ascii="宋体" w:hAnsi="宋体" w:cs="宋体"/>
                <w:sz w:val="18"/>
                <w:szCs w:val="18"/>
                <w:highlight w:val="none"/>
              </w:rPr>
              <w:t>过压保护</w:t>
            </w:r>
            <w:r>
              <w:rPr>
                <w:rFonts w:hint="eastAsia" w:ascii="宋体" w:hAnsi="宋体" w:cs="宋体"/>
                <w:sz w:val="18"/>
                <w:szCs w:val="18"/>
                <w:highlight w:val="none"/>
                <w:lang w:val="en-US" w:eastAsia="zh-CN"/>
              </w:rPr>
              <w:t>功能</w:t>
            </w:r>
            <w:r>
              <w:rPr>
                <w:rFonts w:hint="eastAsia" w:ascii="宋体" w:hAnsi="宋体" w:cs="宋体"/>
                <w:sz w:val="18"/>
                <w:szCs w:val="18"/>
                <w:highlight w:val="none"/>
                <w:lang w:eastAsia="zh-CN"/>
              </w:rPr>
              <w:t>、</w:t>
            </w:r>
            <w:r>
              <w:rPr>
                <w:rFonts w:hint="eastAsia" w:ascii="宋体" w:hAnsi="宋体" w:cs="宋体"/>
                <w:sz w:val="18"/>
                <w:szCs w:val="18"/>
                <w:highlight w:val="none"/>
              </w:rPr>
              <w:t>欠压保护</w:t>
            </w:r>
            <w:r>
              <w:rPr>
                <w:rFonts w:hint="eastAsia" w:ascii="宋体" w:hAnsi="宋体" w:cs="宋体"/>
                <w:sz w:val="18"/>
                <w:szCs w:val="18"/>
                <w:highlight w:val="none"/>
                <w:lang w:val="en-US" w:eastAsia="zh-CN"/>
              </w:rPr>
              <w:t>功能</w:t>
            </w:r>
            <w:r>
              <w:rPr>
                <w:rFonts w:hint="eastAsia" w:ascii="宋体" w:hAnsi="宋体" w:cs="宋体"/>
                <w:sz w:val="18"/>
                <w:szCs w:val="18"/>
                <w:highlight w:val="none"/>
                <w:lang w:eastAsia="zh-CN"/>
              </w:rPr>
              <w:t>、</w:t>
            </w:r>
            <w:r>
              <w:rPr>
                <w:rFonts w:hint="eastAsia" w:ascii="宋体" w:hAnsi="宋体" w:cs="宋体"/>
                <w:sz w:val="18"/>
                <w:szCs w:val="18"/>
                <w:highlight w:val="none"/>
              </w:rPr>
              <w:t>过流保护</w:t>
            </w:r>
            <w:r>
              <w:rPr>
                <w:rFonts w:hint="eastAsia" w:ascii="宋体" w:hAnsi="宋体" w:cs="宋体"/>
                <w:sz w:val="18"/>
                <w:szCs w:val="18"/>
                <w:highlight w:val="none"/>
                <w:lang w:val="en-US" w:eastAsia="zh-CN"/>
              </w:rPr>
              <w:t>功能和过</w:t>
            </w:r>
            <w:r>
              <w:rPr>
                <w:rFonts w:hint="eastAsia" w:ascii="宋体" w:hAnsi="宋体" w:cs="宋体"/>
                <w:sz w:val="18"/>
                <w:szCs w:val="18"/>
                <w:highlight w:val="none"/>
              </w:rPr>
              <w:t>温保护</w:t>
            </w:r>
            <w:r>
              <w:rPr>
                <w:rFonts w:hint="eastAsia" w:ascii="宋体" w:hAnsi="宋体" w:cs="宋体"/>
                <w:sz w:val="18"/>
                <w:szCs w:val="18"/>
                <w:highlight w:val="none"/>
                <w:lang w:val="en-US" w:eastAsia="zh-CN"/>
              </w:rPr>
              <w:t>功能</w:t>
            </w:r>
          </w:p>
        </w:tc>
      </w:tr>
    </w:tbl>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性能测试结果</w:t>
      </w:r>
    </w:p>
    <w:tbl>
      <w:tblPr>
        <w:tblStyle w:val="9"/>
        <w:tblW w:w="8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1812"/>
        <w:gridCol w:w="2275"/>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blHeader/>
          <w:jc w:val="center"/>
        </w:trPr>
        <w:tc>
          <w:tcPr>
            <w:tcW w:w="2113" w:type="dxa"/>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bookmarkStart w:id="0" w:name="_GoBack"/>
            <w:bookmarkEnd w:id="0"/>
            <w:r>
              <w:rPr>
                <w:rFonts w:hint="eastAsia" w:ascii="宋体" w:hAnsi="宋体" w:cs="宋体"/>
                <w:color w:val="000000" w:themeColor="text1"/>
                <w:sz w:val="18"/>
                <w:szCs w:val="18"/>
                <w:vertAlign w:val="baseline"/>
                <w:lang w:val="en-US" w:eastAsia="zh-CN"/>
                <w14:textFill>
                  <w14:solidFill>
                    <w14:schemeClr w14:val="tx1"/>
                  </w14:solidFill>
                </w14:textFill>
              </w:rPr>
              <w:t>测试项</w:t>
            </w:r>
          </w:p>
        </w:tc>
        <w:tc>
          <w:tcPr>
            <w:tcW w:w="1812" w:type="dxa"/>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符号</w:t>
            </w:r>
          </w:p>
        </w:tc>
        <w:tc>
          <w:tcPr>
            <w:tcW w:w="2275" w:type="dxa"/>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测试值</w:t>
            </w:r>
          </w:p>
        </w:tc>
        <w:tc>
          <w:tcPr>
            <w:tcW w:w="1949" w:type="dxa"/>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restart"/>
            <w:vAlign w:val="center"/>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工作电流</w:t>
            </w:r>
          </w:p>
        </w:tc>
        <w:tc>
          <w:tcPr>
            <w:tcW w:w="1812" w:type="dxa"/>
            <w:vAlign w:val="center"/>
          </w:tcPr>
          <w:p>
            <w:pPr>
              <w:numPr>
                <w:ilvl w:val="0"/>
                <w:numId w:val="0"/>
              </w:numPr>
              <w:jc w:val="center"/>
              <w:rPr>
                <w:rFonts w:hint="eastAsia"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i/>
                <w:iCs/>
                <w:color w:val="000000" w:themeColor="text1"/>
                <w:sz w:val="18"/>
                <w:szCs w:val="18"/>
                <w:vertAlign w:val="baseline"/>
                <w:lang w:val="en-US" w:eastAsia="zh-CN"/>
                <w14:textFill>
                  <w14:solidFill>
                    <w14:schemeClr w14:val="tx1"/>
                  </w14:solidFill>
                </w14:textFill>
              </w:rPr>
              <w:t>IDD</w:t>
            </w:r>
          </w:p>
        </w:tc>
        <w:tc>
          <w:tcPr>
            <w:tcW w:w="2275" w:type="dxa"/>
            <w:vAlign w:val="center"/>
          </w:tcPr>
          <w:p>
            <w:pPr>
              <w:numPr>
                <w:ilvl w:val="0"/>
                <w:numId w:val="0"/>
              </w:numPr>
              <w:jc w:val="center"/>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14mA</w:t>
            </w:r>
          </w:p>
        </w:tc>
        <w:tc>
          <w:tcPr>
            <w:tcW w:w="1949" w:type="dxa"/>
            <w:vAlign w:val="center"/>
          </w:tcPr>
          <w:p>
            <w:pPr>
              <w:numPr>
                <w:ilvl w:val="0"/>
                <w:numId w:val="0"/>
              </w:numPr>
              <w:ind w:left="0" w:leftChars="0" w:firstLine="0" w:firstLineChars="0"/>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B等级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continue"/>
            <w:vAlign w:val="center"/>
          </w:tcPr>
          <w:p>
            <w:pPr>
              <w:numPr>
                <w:ilvl w:val="0"/>
                <w:numId w:val="0"/>
              </w:numPr>
              <w:jc w:val="center"/>
              <w:rPr>
                <w:rFonts w:hint="eastAsia" w:ascii="宋体" w:hAnsi="宋体" w:cs="宋体"/>
                <w:color w:val="000000" w:themeColor="text1"/>
                <w:sz w:val="18"/>
                <w:szCs w:val="18"/>
                <w:vertAlign w:val="baseline"/>
                <w:lang w:val="en-US" w:eastAsia="zh-CN"/>
                <w14:textFill>
                  <w14:solidFill>
                    <w14:schemeClr w14:val="tx1"/>
                  </w14:solidFill>
                </w14:textFill>
              </w:rPr>
            </w:pPr>
          </w:p>
        </w:tc>
        <w:tc>
          <w:tcPr>
            <w:tcW w:w="1812" w:type="dxa"/>
            <w:vAlign w:val="center"/>
          </w:tcPr>
          <w:p>
            <w:pPr>
              <w:numPr>
                <w:ilvl w:val="0"/>
                <w:numId w:val="0"/>
              </w:numPr>
              <w:jc w:val="center"/>
              <w:rPr>
                <w:rFonts w:hint="eastAsia"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i/>
                <w:iCs/>
                <w:color w:val="000000" w:themeColor="text1"/>
                <w:sz w:val="18"/>
                <w:szCs w:val="18"/>
                <w:vertAlign w:val="baseline"/>
                <w:lang w:val="en-US" w:eastAsia="zh-CN"/>
                <w14:textFill>
                  <w14:solidFill>
                    <w14:schemeClr w14:val="tx1"/>
                  </w14:solidFill>
                </w14:textFill>
              </w:rPr>
              <w:t>IS</w:t>
            </w:r>
          </w:p>
        </w:tc>
        <w:tc>
          <w:tcPr>
            <w:tcW w:w="2275" w:type="dxa"/>
            <w:vAlign w:val="center"/>
          </w:tcPr>
          <w:p>
            <w:pPr>
              <w:numPr>
                <w:ilvl w:val="0"/>
                <w:numId w:val="0"/>
              </w:num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14mA</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color w:val="000000" w:themeColor="text1"/>
                <w:sz w:val="18"/>
                <w:szCs w:val="18"/>
                <w:vertAlign w:val="baseline"/>
                <w:lang w:val="en-US" w:eastAsia="zh-CN"/>
                <w14:textFill>
                  <w14:solidFill>
                    <w14:schemeClr w14:val="tx1"/>
                  </w14:solidFill>
                </w14:textFill>
              </w:rPr>
              <w:t>B等级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restart"/>
            <w:vAlign w:val="center"/>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静态电流</w:t>
            </w:r>
          </w:p>
        </w:tc>
        <w:tc>
          <w:tcPr>
            <w:tcW w:w="1812" w:type="dxa"/>
            <w:vAlign w:val="center"/>
          </w:tcPr>
          <w:p>
            <w:pPr>
              <w:numPr>
                <w:ilvl w:val="0"/>
                <w:numId w:val="0"/>
              </w:numPr>
              <w:jc w:val="center"/>
              <w:rPr>
                <w:rFonts w:hint="eastAsia" w:ascii="宋体" w:hAnsi="宋体" w:cs="宋体"/>
                <w:sz w:val="18"/>
                <w:szCs w:val="18"/>
              </w:rPr>
            </w:pPr>
            <w:r>
              <w:rPr>
                <w:rFonts w:hint="eastAsia" w:ascii="宋体" w:hAnsi="宋体" w:cs="宋体"/>
                <w:i/>
                <w:iCs/>
                <w:sz w:val="18"/>
                <w:szCs w:val="18"/>
              </w:rPr>
              <w:t>IS</w:t>
            </w:r>
            <w:r>
              <w:rPr>
                <w:rFonts w:hint="eastAsia" w:ascii="宋体" w:hAnsi="宋体" w:cs="宋体"/>
                <w:sz w:val="18"/>
                <w:szCs w:val="18"/>
                <w:vertAlign w:val="subscript"/>
              </w:rPr>
              <w:t>Q</w:t>
            </w:r>
          </w:p>
        </w:tc>
        <w:tc>
          <w:tcPr>
            <w:tcW w:w="2275" w:type="dxa"/>
            <w:vAlign w:val="center"/>
          </w:tcPr>
          <w:p>
            <w:pPr>
              <w:numPr>
                <w:ilvl w:val="0"/>
                <w:numId w:val="0"/>
              </w:num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10uA</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color w:val="000000" w:themeColor="text1"/>
                <w:sz w:val="18"/>
                <w:szCs w:val="18"/>
                <w:vertAlign w:val="baseline"/>
                <w:lang w:val="en-US" w:eastAsia="zh-CN"/>
                <w14:textFill>
                  <w14:solidFill>
                    <w14:schemeClr w14:val="tx1"/>
                  </w14:solidFill>
                </w14:textFill>
              </w:rPr>
              <w:t>A等级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continue"/>
            <w:vAlign w:val="center"/>
          </w:tcPr>
          <w:p>
            <w:pPr>
              <w:numPr>
                <w:ilvl w:val="0"/>
                <w:numId w:val="0"/>
              </w:numPr>
              <w:jc w:val="both"/>
              <w:rPr>
                <w:rFonts w:hint="eastAsia" w:ascii="宋体" w:hAnsi="宋体" w:cs="宋体"/>
                <w:color w:val="000000" w:themeColor="text1"/>
                <w:sz w:val="18"/>
                <w:szCs w:val="18"/>
                <w:vertAlign w:val="baseline"/>
                <w:lang w:val="en-US" w:eastAsia="zh-CN"/>
                <w14:textFill>
                  <w14:solidFill>
                    <w14:schemeClr w14:val="tx1"/>
                  </w14:solidFill>
                </w14:textFill>
              </w:rPr>
            </w:pPr>
          </w:p>
        </w:tc>
        <w:tc>
          <w:tcPr>
            <w:tcW w:w="1812" w:type="dxa"/>
            <w:vAlign w:val="center"/>
          </w:tcPr>
          <w:p>
            <w:pPr>
              <w:numPr>
                <w:ilvl w:val="0"/>
                <w:numId w:val="0"/>
              </w:numPr>
              <w:jc w:val="center"/>
              <w:rPr>
                <w:rFonts w:hint="eastAsia" w:ascii="宋体" w:hAnsi="宋体" w:cs="宋体"/>
                <w:sz w:val="18"/>
                <w:szCs w:val="18"/>
                <w:highlight w:val="none"/>
              </w:rPr>
            </w:pPr>
            <w:r>
              <w:rPr>
                <w:rFonts w:hint="eastAsia" w:ascii="宋体" w:hAnsi="宋体" w:cs="宋体"/>
                <w:i/>
                <w:iCs/>
                <w:sz w:val="18"/>
                <w:szCs w:val="18"/>
                <w:highlight w:val="none"/>
              </w:rPr>
              <w:t>IDD</w:t>
            </w:r>
            <w:r>
              <w:rPr>
                <w:rFonts w:hint="eastAsia" w:ascii="宋体" w:hAnsi="宋体" w:cs="宋体"/>
                <w:sz w:val="18"/>
                <w:szCs w:val="18"/>
                <w:highlight w:val="none"/>
                <w:vertAlign w:val="subscript"/>
              </w:rPr>
              <w:t>Q</w:t>
            </w:r>
          </w:p>
        </w:tc>
        <w:tc>
          <w:tcPr>
            <w:tcW w:w="2275" w:type="dxa"/>
            <w:vAlign w:val="center"/>
          </w:tcPr>
          <w:p>
            <w:pPr>
              <w:numPr>
                <w:ilvl w:val="0"/>
                <w:numId w:val="0"/>
              </w:num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20uA</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color w:val="000000" w:themeColor="text1"/>
                <w:sz w:val="18"/>
                <w:szCs w:val="18"/>
                <w:vertAlign w:val="baseline"/>
                <w:lang w:val="en-US" w:eastAsia="zh-CN"/>
                <w14:textFill>
                  <w14:solidFill>
                    <w14:schemeClr w14:val="tx1"/>
                  </w14:solidFill>
                </w14:textFill>
              </w:rPr>
              <w:t>B等级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restart"/>
            <w:vAlign w:val="center"/>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预驱导通和关断时间</w:t>
            </w:r>
          </w:p>
        </w:tc>
        <w:tc>
          <w:tcPr>
            <w:tcW w:w="1812" w:type="dxa"/>
            <w:vAlign w:val="center"/>
          </w:tcPr>
          <w:p>
            <w:pPr>
              <w:numPr>
                <w:ilvl w:val="0"/>
                <w:numId w:val="0"/>
              </w:numPr>
              <w:jc w:val="center"/>
              <w:rPr>
                <w:rFonts w:hint="eastAsia" w:ascii="宋体" w:hAnsi="宋体" w:cs="宋体"/>
                <w:i w:val="0"/>
                <w:iCs w:val="0"/>
                <w:sz w:val="18"/>
                <w:szCs w:val="18"/>
              </w:rPr>
            </w:pPr>
            <w:r>
              <w:rPr>
                <w:rFonts w:hint="eastAsia" w:ascii="宋体" w:hAnsi="宋体" w:cs="宋体"/>
                <w:i/>
                <w:iCs/>
                <w:sz w:val="18"/>
                <w:szCs w:val="18"/>
                <w:lang w:val="en-US" w:eastAsia="zh-CN"/>
              </w:rPr>
              <w:t>t</w:t>
            </w:r>
            <w:r>
              <w:rPr>
                <w:rFonts w:hint="eastAsia" w:ascii="宋体" w:hAnsi="宋体" w:cs="宋体"/>
                <w:i w:val="0"/>
                <w:iCs w:val="0"/>
                <w:sz w:val="18"/>
                <w:szCs w:val="18"/>
                <w:vertAlign w:val="subscript"/>
              </w:rPr>
              <w:t>PON</w:t>
            </w:r>
          </w:p>
        </w:tc>
        <w:tc>
          <w:tcPr>
            <w:tcW w:w="2275" w:type="dxa"/>
            <w:vAlign w:val="center"/>
          </w:tcPr>
          <w:p>
            <w:pPr>
              <w:numPr>
                <w:ilvl w:val="0"/>
                <w:numId w:val="0"/>
              </w:numPr>
              <w:jc w:val="center"/>
              <w:rPr>
                <w:rFonts w:hint="default" w:ascii="宋体" w:hAnsi="宋体" w:eastAsia="宋体" w:cs="宋体"/>
                <w:i w:val="0"/>
                <w:iCs w:val="0"/>
                <w:color w:val="auto"/>
                <w:sz w:val="18"/>
                <w:szCs w:val="18"/>
                <w:vertAlign w:val="baseline"/>
                <w:lang w:val="en-US" w:eastAsia="zh-CN"/>
              </w:rPr>
            </w:pPr>
            <w:r>
              <w:rPr>
                <w:rFonts w:hint="eastAsia" w:ascii="宋体" w:hAnsi="宋体" w:cs="宋体"/>
                <w:i w:val="0"/>
                <w:iCs w:val="0"/>
                <w:color w:val="auto"/>
                <w:sz w:val="18"/>
                <w:szCs w:val="18"/>
                <w:vertAlign w:val="baseline"/>
                <w:lang w:val="en-US" w:eastAsia="zh-CN"/>
              </w:rPr>
              <w:t>750ns</w:t>
            </w:r>
          </w:p>
        </w:tc>
        <w:tc>
          <w:tcPr>
            <w:tcW w:w="1949" w:type="dxa"/>
            <w:vAlign w:val="center"/>
          </w:tcPr>
          <w:p>
            <w:pPr>
              <w:numPr>
                <w:ilvl w:val="0"/>
                <w:numId w:val="0"/>
              </w:numPr>
              <w:ind w:left="0" w:leftChars="0" w:firstLine="0" w:firstLineChars="0"/>
              <w:jc w:val="center"/>
              <w:rPr>
                <w:rFonts w:hint="eastAsia" w:ascii="宋体" w:hAnsi="宋体" w:eastAsia="宋体" w:cs="宋体"/>
                <w:i w:val="0"/>
                <w:iCs w:val="0"/>
                <w:sz w:val="18"/>
                <w:szCs w:val="18"/>
                <w:lang w:val="en-US" w:eastAsia="zh-CN"/>
              </w:rPr>
            </w:pPr>
            <w:r>
              <w:rPr>
                <w:rFonts w:hint="eastAsia" w:ascii="宋体" w:hAnsi="宋体" w:cs="宋体"/>
                <w:i w:val="0"/>
                <w:iCs w:val="0"/>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continue"/>
            <w:vAlign w:val="center"/>
          </w:tcPr>
          <w:p>
            <w:pPr>
              <w:numPr>
                <w:ilvl w:val="0"/>
                <w:numId w:val="0"/>
              </w:numPr>
              <w:jc w:val="center"/>
              <w:rPr>
                <w:rFonts w:hint="eastAsia" w:ascii="宋体" w:hAnsi="宋体" w:cs="宋体"/>
                <w:color w:val="000000" w:themeColor="text1"/>
                <w:sz w:val="18"/>
                <w:szCs w:val="18"/>
                <w:vertAlign w:val="baseline"/>
                <w:lang w:val="en-US" w:eastAsia="zh-CN"/>
                <w14:textFill>
                  <w14:solidFill>
                    <w14:schemeClr w14:val="tx1"/>
                  </w14:solidFill>
                </w14:textFill>
              </w:rPr>
            </w:pPr>
          </w:p>
        </w:tc>
        <w:tc>
          <w:tcPr>
            <w:tcW w:w="1812" w:type="dxa"/>
            <w:vAlign w:val="center"/>
          </w:tcPr>
          <w:p>
            <w:pPr>
              <w:numPr>
                <w:ilvl w:val="0"/>
                <w:numId w:val="0"/>
              </w:numPr>
              <w:jc w:val="center"/>
              <w:rPr>
                <w:rFonts w:hint="eastAsia" w:ascii="宋体" w:hAnsi="宋体" w:cs="宋体"/>
                <w:i w:val="0"/>
                <w:iCs w:val="0"/>
                <w:sz w:val="18"/>
                <w:szCs w:val="18"/>
              </w:rPr>
            </w:pPr>
            <w:r>
              <w:rPr>
                <w:rFonts w:hint="eastAsia" w:ascii="宋体" w:hAnsi="宋体" w:cs="宋体"/>
                <w:i/>
                <w:iCs/>
                <w:sz w:val="18"/>
                <w:szCs w:val="18"/>
                <w:lang w:val="en-US" w:eastAsia="zh-CN"/>
              </w:rPr>
              <w:t>t</w:t>
            </w:r>
            <w:r>
              <w:rPr>
                <w:rFonts w:hint="eastAsia" w:ascii="宋体" w:hAnsi="宋体" w:cs="宋体"/>
                <w:i w:val="0"/>
                <w:iCs w:val="0"/>
                <w:sz w:val="18"/>
                <w:szCs w:val="18"/>
                <w:vertAlign w:val="subscript"/>
              </w:rPr>
              <w:t>POFF</w:t>
            </w:r>
          </w:p>
        </w:tc>
        <w:tc>
          <w:tcPr>
            <w:tcW w:w="2275" w:type="dxa"/>
            <w:vAlign w:val="center"/>
          </w:tcPr>
          <w:p>
            <w:pPr>
              <w:numPr>
                <w:ilvl w:val="0"/>
                <w:numId w:val="0"/>
              </w:num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750ns</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continue"/>
            <w:vAlign w:val="center"/>
          </w:tcPr>
          <w:p>
            <w:pPr>
              <w:numPr>
                <w:ilvl w:val="0"/>
                <w:numId w:val="0"/>
              </w:numPr>
              <w:jc w:val="center"/>
              <w:rPr>
                <w:rFonts w:hint="eastAsia" w:ascii="宋体" w:hAnsi="宋体" w:cs="宋体"/>
                <w:color w:val="000000" w:themeColor="text1"/>
                <w:sz w:val="18"/>
                <w:szCs w:val="18"/>
                <w:vertAlign w:val="baseline"/>
                <w:lang w:val="en-US" w:eastAsia="zh-CN"/>
                <w14:textFill>
                  <w14:solidFill>
                    <w14:schemeClr w14:val="tx1"/>
                  </w14:solidFill>
                </w14:textFill>
              </w:rPr>
            </w:pPr>
          </w:p>
        </w:tc>
        <w:tc>
          <w:tcPr>
            <w:tcW w:w="1812" w:type="dxa"/>
            <w:vAlign w:val="center"/>
          </w:tcPr>
          <w:p>
            <w:pPr>
              <w:numPr>
                <w:ilvl w:val="0"/>
                <w:numId w:val="0"/>
              </w:numPr>
              <w:jc w:val="center"/>
              <w:rPr>
                <w:rFonts w:hint="eastAsia" w:ascii="宋体" w:hAnsi="宋体" w:cs="宋体"/>
                <w:i w:val="0"/>
                <w:iCs w:val="0"/>
                <w:sz w:val="18"/>
                <w:szCs w:val="18"/>
              </w:rPr>
            </w:pPr>
            <w:r>
              <w:rPr>
                <w:rFonts w:hint="eastAsia" w:ascii="宋体" w:hAnsi="宋体" w:cs="宋体"/>
                <w:i/>
                <w:iCs/>
                <w:sz w:val="18"/>
                <w:szCs w:val="18"/>
                <w:lang w:val="en-US" w:eastAsia="zh-CN"/>
              </w:rPr>
              <w:t>t</w:t>
            </w:r>
            <w:r>
              <w:rPr>
                <w:rFonts w:hint="eastAsia" w:ascii="宋体" w:hAnsi="宋体" w:cs="宋体"/>
                <w:i w:val="0"/>
                <w:iCs w:val="0"/>
                <w:sz w:val="18"/>
                <w:szCs w:val="18"/>
                <w:vertAlign w:val="subscript"/>
              </w:rPr>
              <w:t>R</w:t>
            </w:r>
          </w:p>
        </w:tc>
        <w:tc>
          <w:tcPr>
            <w:tcW w:w="2275" w:type="dxa"/>
            <w:vAlign w:val="center"/>
          </w:tcPr>
          <w:p>
            <w:pPr>
              <w:numPr>
                <w:ilvl w:val="0"/>
                <w:numId w:val="0"/>
              </w:num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180ns</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continue"/>
            <w:vAlign w:val="center"/>
          </w:tcPr>
          <w:p>
            <w:pPr>
              <w:numPr>
                <w:ilvl w:val="0"/>
                <w:numId w:val="0"/>
              </w:numPr>
              <w:jc w:val="center"/>
              <w:rPr>
                <w:rFonts w:hint="eastAsia" w:ascii="宋体" w:hAnsi="宋体" w:cs="宋体"/>
                <w:color w:val="000000" w:themeColor="text1"/>
                <w:sz w:val="18"/>
                <w:szCs w:val="18"/>
                <w:vertAlign w:val="baseline"/>
                <w:lang w:val="en-US" w:eastAsia="zh-CN"/>
                <w14:textFill>
                  <w14:solidFill>
                    <w14:schemeClr w14:val="tx1"/>
                  </w14:solidFill>
                </w14:textFill>
              </w:rPr>
            </w:pPr>
          </w:p>
        </w:tc>
        <w:tc>
          <w:tcPr>
            <w:tcW w:w="1812" w:type="dxa"/>
            <w:vAlign w:val="center"/>
          </w:tcPr>
          <w:p>
            <w:pPr>
              <w:numPr>
                <w:ilvl w:val="0"/>
                <w:numId w:val="0"/>
              </w:numPr>
              <w:jc w:val="center"/>
              <w:rPr>
                <w:rFonts w:hint="eastAsia" w:ascii="宋体" w:hAnsi="宋体" w:cs="宋体"/>
                <w:i w:val="0"/>
                <w:iCs w:val="0"/>
                <w:sz w:val="18"/>
                <w:szCs w:val="18"/>
              </w:rPr>
            </w:pPr>
            <w:r>
              <w:rPr>
                <w:rFonts w:hint="eastAsia" w:ascii="宋体" w:hAnsi="宋体" w:cs="宋体"/>
                <w:i/>
                <w:iCs/>
                <w:sz w:val="18"/>
                <w:szCs w:val="18"/>
                <w:lang w:val="en-US" w:eastAsia="zh-CN"/>
              </w:rPr>
              <w:t>t</w:t>
            </w:r>
            <w:r>
              <w:rPr>
                <w:rFonts w:hint="eastAsia" w:ascii="宋体" w:hAnsi="宋体" w:cs="宋体"/>
                <w:i w:val="0"/>
                <w:iCs w:val="0"/>
                <w:sz w:val="18"/>
                <w:szCs w:val="18"/>
                <w:vertAlign w:val="subscript"/>
              </w:rPr>
              <w:t>F</w:t>
            </w:r>
          </w:p>
        </w:tc>
        <w:tc>
          <w:tcPr>
            <w:tcW w:w="2275" w:type="dxa"/>
            <w:vAlign w:val="center"/>
          </w:tcPr>
          <w:p>
            <w:pPr>
              <w:numPr>
                <w:ilvl w:val="0"/>
                <w:numId w:val="0"/>
              </w:num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90ns</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continue"/>
            <w:vAlign w:val="center"/>
          </w:tcPr>
          <w:p>
            <w:pPr>
              <w:numPr>
                <w:ilvl w:val="0"/>
                <w:numId w:val="0"/>
              </w:numPr>
              <w:jc w:val="center"/>
              <w:rPr>
                <w:rFonts w:hint="eastAsia" w:ascii="宋体" w:hAnsi="宋体" w:cs="宋体"/>
                <w:color w:val="000000" w:themeColor="text1"/>
                <w:sz w:val="18"/>
                <w:szCs w:val="18"/>
                <w:vertAlign w:val="baseline"/>
                <w:lang w:val="en-US" w:eastAsia="zh-CN"/>
                <w14:textFill>
                  <w14:solidFill>
                    <w14:schemeClr w14:val="tx1"/>
                  </w14:solidFill>
                </w14:textFill>
              </w:rPr>
            </w:pPr>
          </w:p>
        </w:tc>
        <w:tc>
          <w:tcPr>
            <w:tcW w:w="1812" w:type="dxa"/>
            <w:vAlign w:val="center"/>
          </w:tcPr>
          <w:p>
            <w:pPr>
              <w:numPr>
                <w:ilvl w:val="0"/>
                <w:numId w:val="0"/>
              </w:numPr>
              <w:jc w:val="center"/>
              <w:rPr>
                <w:rFonts w:hint="eastAsia" w:ascii="宋体" w:hAnsi="宋体" w:cs="宋体"/>
                <w:i w:val="0"/>
                <w:iCs w:val="0"/>
                <w:sz w:val="18"/>
                <w:szCs w:val="18"/>
              </w:rPr>
            </w:pPr>
            <w:r>
              <w:rPr>
                <w:rFonts w:hint="eastAsia" w:ascii="宋体" w:hAnsi="宋体" w:cs="宋体"/>
                <w:i/>
                <w:iCs/>
                <w:sz w:val="18"/>
                <w:szCs w:val="18"/>
                <w:lang w:val="en-US" w:eastAsia="zh-CN"/>
              </w:rPr>
              <w:t>t</w:t>
            </w:r>
            <w:r>
              <w:rPr>
                <w:rFonts w:hint="eastAsia" w:ascii="宋体" w:hAnsi="宋体" w:cs="宋体"/>
                <w:i w:val="0"/>
                <w:iCs w:val="0"/>
                <w:sz w:val="18"/>
                <w:szCs w:val="18"/>
                <w:vertAlign w:val="subscript"/>
              </w:rPr>
              <w:t>DT</w:t>
            </w:r>
          </w:p>
        </w:tc>
        <w:tc>
          <w:tcPr>
            <w:tcW w:w="2275" w:type="dxa"/>
            <w:vAlign w:val="center"/>
          </w:tcPr>
          <w:p>
            <w:pPr>
              <w:numPr>
                <w:ilvl w:val="0"/>
                <w:numId w:val="0"/>
              </w:num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w:t>
            </w:r>
            <w:r>
              <w:rPr>
                <w:rFonts w:hint="eastAsia" w:ascii="宋体" w:hAnsi="宋体" w:cs="宋体"/>
                <w:color w:val="auto"/>
                <w:sz w:val="18"/>
                <w:szCs w:val="18"/>
                <w:vertAlign w:val="superscript"/>
                <w:lang w:val="en-US" w:eastAsia="zh-CN"/>
              </w:rPr>
              <w:t>n</w:t>
            </w:r>
            <w:r>
              <w:rPr>
                <w:rFonts w:hint="eastAsia" w:ascii="宋体" w:hAnsi="宋体" w:cs="宋体"/>
                <w:color w:val="auto"/>
                <w:sz w:val="18"/>
                <w:szCs w:val="18"/>
                <w:lang w:val="en-US" w:eastAsia="zh-CN"/>
              </w:rPr>
              <w:t>*50ns n=0...6</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restart"/>
            <w:vAlign w:val="center"/>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cs="宋体"/>
                <w:color w:val="000000" w:themeColor="text1"/>
                <w:sz w:val="18"/>
                <w:szCs w:val="18"/>
                <w:vertAlign w:val="baseline"/>
                <w:lang w:val="en-US" w:eastAsia="zh-CN"/>
                <w14:textFill>
                  <w14:solidFill>
                    <w14:schemeClr w14:val="tx1"/>
                  </w14:solidFill>
                </w14:textFill>
              </w:rPr>
              <w:t>预驱PWM输出</w:t>
            </w:r>
          </w:p>
        </w:tc>
        <w:tc>
          <w:tcPr>
            <w:tcW w:w="1812" w:type="dxa"/>
            <w:vAlign w:val="center"/>
          </w:tcPr>
          <w:p>
            <w:pPr>
              <w:numPr>
                <w:ilvl w:val="0"/>
                <w:numId w:val="0"/>
              </w:numPr>
              <w:jc w:val="center"/>
              <w:rPr>
                <w:rFonts w:hint="eastAsia" w:ascii="宋体" w:hAnsi="宋体" w:eastAsia="宋体" w:cs="宋体"/>
                <w:sz w:val="18"/>
                <w:szCs w:val="18"/>
              </w:rPr>
            </w:pPr>
            <w:r>
              <w:rPr>
                <w:rFonts w:hint="eastAsia" w:ascii="宋体" w:hAnsi="宋体" w:eastAsia="宋体" w:cs="宋体"/>
                <w:i/>
                <w:iCs/>
                <w:sz w:val="18"/>
                <w:szCs w:val="18"/>
              </w:rPr>
              <w:t>F</w:t>
            </w:r>
            <w:r>
              <w:rPr>
                <w:rFonts w:hint="eastAsia" w:ascii="宋体" w:hAnsi="宋体" w:eastAsia="宋体" w:cs="宋体"/>
                <w:sz w:val="18"/>
                <w:szCs w:val="18"/>
                <w:vertAlign w:val="subscript"/>
              </w:rPr>
              <w:t>PWM</w:t>
            </w:r>
          </w:p>
        </w:tc>
        <w:tc>
          <w:tcPr>
            <w:tcW w:w="2275" w:type="dxa"/>
            <w:vAlign w:val="center"/>
          </w:tcPr>
          <w:p>
            <w:pPr>
              <w:numPr>
                <w:ilvl w:val="0"/>
                <w:numId w:val="0"/>
              </w:num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100KHz</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Merge w:val="continue"/>
            <w:vAlign w:val="center"/>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p>
        </w:tc>
        <w:tc>
          <w:tcPr>
            <w:tcW w:w="1812" w:type="dxa"/>
            <w:vAlign w:val="center"/>
          </w:tcPr>
          <w:p>
            <w:pPr>
              <w:numPr>
                <w:ilvl w:val="0"/>
                <w:numId w:val="0"/>
              </w:numPr>
              <w:jc w:val="center"/>
              <w:rPr>
                <w:rFonts w:hint="eastAsia" w:ascii="宋体" w:hAnsi="宋体" w:eastAsia="宋体" w:cs="宋体"/>
                <w:sz w:val="18"/>
                <w:szCs w:val="18"/>
              </w:rPr>
            </w:pPr>
            <w:r>
              <w:rPr>
                <w:rFonts w:hint="eastAsia" w:ascii="宋体" w:hAnsi="宋体" w:eastAsia="宋体" w:cs="宋体"/>
                <w:i/>
                <w:iCs/>
                <w:sz w:val="18"/>
                <w:szCs w:val="18"/>
              </w:rPr>
              <w:t>D</w:t>
            </w:r>
            <w:r>
              <w:rPr>
                <w:rFonts w:hint="eastAsia" w:ascii="宋体" w:hAnsi="宋体" w:eastAsia="宋体" w:cs="宋体"/>
                <w:sz w:val="18"/>
                <w:szCs w:val="18"/>
                <w:vertAlign w:val="subscript"/>
              </w:rPr>
              <w:t>PWM</w:t>
            </w:r>
          </w:p>
        </w:tc>
        <w:tc>
          <w:tcPr>
            <w:tcW w:w="2275" w:type="dxa"/>
            <w:vAlign w:val="center"/>
          </w:tcPr>
          <w:p>
            <w:pPr>
              <w:numPr>
                <w:ilvl w:val="0"/>
                <w:numId w:val="0"/>
              </w:numPr>
              <w:jc w:val="center"/>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100%</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center"/>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default" w:ascii="宋体" w:hAnsi="宋体" w:cs="宋体"/>
                <w:color w:val="000000" w:themeColor="text1"/>
                <w:sz w:val="18"/>
                <w:szCs w:val="18"/>
                <w:vertAlign w:val="baseline"/>
                <w:lang w:val="en-US" w:eastAsia="zh-CN"/>
                <w14:textFill>
                  <w14:solidFill>
                    <w14:schemeClr w14:val="tx1"/>
                  </w14:solidFill>
                </w14:textFill>
              </w:rPr>
              <w:t>过温保护阈值</w:t>
            </w:r>
            <w:r>
              <w:rPr>
                <w:rFonts w:hint="eastAsia" w:ascii="宋体" w:hAnsi="宋体" w:cs="宋体"/>
                <w:color w:val="000000" w:themeColor="text1"/>
                <w:sz w:val="18"/>
                <w:szCs w:val="18"/>
                <w:vertAlign w:val="baseline"/>
                <w:lang w:val="en-US" w:eastAsia="zh-CN"/>
                <w14:textFill>
                  <w14:solidFill>
                    <w14:schemeClr w14:val="tx1"/>
                  </w14:solidFill>
                </w14:textFill>
              </w:rPr>
              <w:t>温度</w:t>
            </w:r>
          </w:p>
        </w:tc>
        <w:tc>
          <w:tcPr>
            <w:tcW w:w="1812" w:type="dxa"/>
            <w:vAlign w:val="center"/>
          </w:tcPr>
          <w:p>
            <w:pPr>
              <w:numPr>
                <w:ilvl w:val="0"/>
                <w:numId w:val="0"/>
              </w:numPr>
              <w:jc w:val="center"/>
              <w:rPr>
                <w:rFonts w:hint="eastAsia" w:ascii="宋体" w:hAnsi="宋体" w:eastAsia="宋体" w:cs="宋体"/>
                <w:sz w:val="18"/>
                <w:szCs w:val="18"/>
              </w:rPr>
            </w:pPr>
            <w:r>
              <w:rPr>
                <w:rFonts w:hint="eastAsia" w:ascii="宋体" w:hAnsi="宋体" w:eastAsia="宋体" w:cs="宋体"/>
                <w:i/>
                <w:iCs/>
                <w:sz w:val="18"/>
                <w:szCs w:val="18"/>
              </w:rPr>
              <w:t>T</w:t>
            </w:r>
            <w:r>
              <w:rPr>
                <w:rFonts w:hint="eastAsia" w:ascii="宋体" w:hAnsi="宋体" w:eastAsia="宋体" w:cs="宋体"/>
                <w:sz w:val="18"/>
                <w:szCs w:val="18"/>
                <w:vertAlign w:val="subscript"/>
              </w:rPr>
              <w:t>OT_TH</w:t>
            </w:r>
          </w:p>
        </w:tc>
        <w:tc>
          <w:tcPr>
            <w:tcW w:w="2275" w:type="dxa"/>
            <w:vAlign w:val="center"/>
          </w:tcPr>
          <w:p>
            <w:pPr>
              <w:numPr>
                <w:ilvl w:val="0"/>
                <w:numId w:val="0"/>
              </w:numPr>
              <w:jc w:val="center"/>
              <w:rPr>
                <w:rFonts w:hint="default" w:ascii="宋体" w:hAnsi="宋体" w:eastAsia="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165℃</w:t>
            </w:r>
          </w:p>
        </w:tc>
        <w:tc>
          <w:tcPr>
            <w:tcW w:w="1949" w:type="dxa"/>
            <w:vAlign w:val="center"/>
          </w:tcPr>
          <w:p>
            <w:pPr>
              <w:numPr>
                <w:ilvl w:val="0"/>
                <w:numId w:val="0"/>
              </w:numPr>
              <w:ind w:left="0" w:leftChars="0" w:firstLine="0" w:firstLineChars="0"/>
              <w:jc w:val="center"/>
              <w:rPr>
                <w:rFonts w:hint="eastAsia" w:ascii="宋体" w:hAnsi="宋体" w:eastAsia="宋体" w:cs="宋体"/>
                <w:sz w:val="18"/>
                <w:szCs w:val="18"/>
                <w:lang w:val="en-US" w:eastAsia="zh-CN"/>
              </w:rPr>
            </w:pPr>
            <w:r>
              <w:rPr>
                <w:rFonts w:hint="eastAsia" w:ascii="宋体" w:hAnsi="宋体" w:cs="宋体"/>
                <w:color w:val="000000" w:themeColor="text1"/>
                <w:sz w:val="18"/>
                <w:szCs w:val="18"/>
                <w:vertAlign w:val="baseline"/>
                <w:lang w:val="en-US" w:eastAsia="zh-CN"/>
                <w14:textFill>
                  <w14:solidFill>
                    <w14:schemeClr w14:val="tx1"/>
                  </w14:solidFill>
                </w14:textFill>
              </w:rPr>
              <w:t>B等级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center"/>
          </w:tcPr>
          <w:p>
            <w:pPr>
              <w:numPr>
                <w:ilvl w:val="0"/>
                <w:numId w:val="0"/>
              </w:numPr>
              <w:jc w:val="center"/>
              <w:rPr>
                <w:rFonts w:hint="default" w:ascii="宋体" w:hAnsi="宋体" w:cs="宋体"/>
                <w:color w:val="000000" w:themeColor="text1"/>
                <w:sz w:val="18"/>
                <w:szCs w:val="18"/>
                <w:vertAlign w:val="baseline"/>
                <w:lang w:val="en-US" w:eastAsia="zh-CN"/>
                <w14:textFill>
                  <w14:solidFill>
                    <w14:schemeClr w14:val="tx1"/>
                  </w14:solidFill>
                </w14:textFill>
              </w:rPr>
            </w:pPr>
            <w:r>
              <w:rPr>
                <w:rFonts w:hint="eastAsia" w:ascii="宋体" w:hAnsi="宋体" w:eastAsia="宋体" w:cs="宋体"/>
                <w:color w:val="000000" w:themeColor="text1"/>
                <w:sz w:val="18"/>
                <w:szCs w:val="18"/>
                <w:vertAlign w:val="baseline"/>
                <w:lang w:val="en-US" w:eastAsia="zh-CN"/>
                <w14:textFill>
                  <w14:solidFill>
                    <w14:schemeClr w14:val="tx1"/>
                  </w14:solidFill>
                </w14:textFill>
              </w:rPr>
              <w:t>过温保护</w:t>
            </w:r>
            <w:r>
              <w:rPr>
                <w:rFonts w:hint="eastAsia" w:ascii="宋体" w:hAnsi="宋体" w:cs="宋体"/>
                <w:color w:val="000000" w:themeColor="text1"/>
                <w:sz w:val="18"/>
                <w:szCs w:val="18"/>
                <w:highlight w:val="none"/>
                <w:vertAlign w:val="baseline"/>
                <w:lang w:val="en-US" w:eastAsia="zh-CN"/>
                <w14:textFill>
                  <w14:solidFill>
                    <w14:schemeClr w14:val="tx1"/>
                  </w14:solidFill>
                </w14:textFill>
              </w:rPr>
              <w:t>迟滞温度</w:t>
            </w:r>
          </w:p>
        </w:tc>
        <w:tc>
          <w:tcPr>
            <w:tcW w:w="1812" w:type="dxa"/>
            <w:vAlign w:val="center"/>
          </w:tcPr>
          <w:p>
            <w:pPr>
              <w:numPr>
                <w:ilvl w:val="0"/>
                <w:numId w:val="0"/>
              </w:numPr>
              <w:jc w:val="center"/>
              <w:rPr>
                <w:rFonts w:hint="eastAsia" w:ascii="宋体" w:hAnsi="Times New Roman" w:eastAsia="宋体" w:cs="Times New Roman"/>
                <w:b w:val="0"/>
                <w:bCs w:val="0"/>
                <w:sz w:val="18"/>
                <w:szCs w:val="18"/>
              </w:rPr>
            </w:pPr>
            <w:r>
              <w:rPr>
                <w:rFonts w:hint="eastAsia" w:ascii="宋体" w:hAnsi="Times New Roman" w:eastAsia="宋体" w:cs="Times New Roman"/>
                <w:b w:val="0"/>
                <w:bCs w:val="0"/>
                <w:i/>
                <w:iCs/>
                <w:sz w:val="18"/>
                <w:szCs w:val="18"/>
              </w:rPr>
              <w:t>T</w:t>
            </w:r>
            <w:r>
              <w:rPr>
                <w:rFonts w:hint="eastAsia" w:ascii="宋体" w:hAnsi="Times New Roman" w:eastAsia="宋体" w:cs="Times New Roman"/>
                <w:b w:val="0"/>
                <w:bCs w:val="0"/>
                <w:sz w:val="18"/>
                <w:szCs w:val="18"/>
                <w:vertAlign w:val="subscript"/>
                <w:lang w:val="en-US" w:eastAsia="zh-CN"/>
              </w:rPr>
              <w:t>HYS</w:t>
            </w:r>
          </w:p>
        </w:tc>
        <w:tc>
          <w:tcPr>
            <w:tcW w:w="2275" w:type="dxa"/>
            <w:vAlign w:val="center"/>
          </w:tcPr>
          <w:p>
            <w:pPr>
              <w:numPr>
                <w:ilvl w:val="0"/>
                <w:numId w:val="0"/>
              </w:numPr>
              <w:jc w:val="center"/>
              <w:rPr>
                <w:rFonts w:hint="default" w:ascii="宋体" w:hAnsi="宋体" w:cs="宋体"/>
                <w:color w:val="auto"/>
                <w:sz w:val="18"/>
                <w:szCs w:val="18"/>
                <w:vertAlign w:val="baseline"/>
                <w:lang w:val="en-US" w:eastAsia="zh-CN"/>
              </w:rPr>
            </w:pPr>
            <w:r>
              <w:rPr>
                <w:rFonts w:hint="eastAsia" w:ascii="宋体" w:hAnsi="宋体" w:cs="宋体"/>
                <w:color w:val="auto"/>
                <w:sz w:val="18"/>
                <w:szCs w:val="18"/>
                <w:vertAlign w:val="baseline"/>
                <w:lang w:val="en-US" w:eastAsia="zh-CN"/>
              </w:rPr>
              <w:t>10℃</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lang w:val="en-US" w:eastAsia="zh-CN"/>
              </w:rPr>
            </w:pPr>
            <w:r>
              <w:rPr>
                <w:rFonts w:hint="eastAsia" w:ascii="宋体" w:hAnsi="Times New Roman" w:eastAsia="宋体" w:cs="Times New Roman"/>
                <w:b w:val="0"/>
                <w:bCs w:val="0"/>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SCLK 最小周期</w:t>
            </w:r>
            <w:r>
              <w:rPr>
                <w:rFonts w:hint="eastAsia" w:hAnsi="宋体" w:cs="宋体"/>
                <w:sz w:val="18"/>
                <w:szCs w:val="18"/>
                <w:lang w:val="en-US" w:eastAsia="zh-CN"/>
              </w:rPr>
              <w:t>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SCLK</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110ns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SCLK 最短高电平时间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SCLKH</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55ns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SCLK 最短低电平时间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SCLKL</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55ns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SDI 输入数据设置时间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SU_SDI</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35ns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SDI 输入数据保持时间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H_SDI</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85ns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Times New Roman" w:eastAsia="宋体" w:cs="Times New Roman"/>
                <w:b w:val="0"/>
                <w:bCs w:val="0"/>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SDO 输出数据延迟时间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D_SDO</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5ns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片选输入设置时间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SU_CS</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30ns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Times New Roman" w:eastAsia="宋体" w:cs="Times New Roman"/>
                <w:b w:val="0"/>
                <w:bCs w:val="0"/>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2113" w:type="dxa"/>
            <w:vAlign w:val="top"/>
          </w:tcPr>
          <w:p>
            <w:pPr>
              <w:pStyle w:val="12"/>
              <w:widowControl w:val="0"/>
              <w:ind w:firstLine="0" w:firstLineChars="0"/>
              <w:jc w:val="center"/>
              <w:rPr>
                <w:rFonts w:hint="eastAsia" w:ascii="宋体" w:hAnsi="宋体" w:eastAsia="宋体" w:cs="宋体"/>
                <w:color w:val="000000" w:themeColor="text1"/>
                <w:sz w:val="18"/>
                <w:szCs w:val="18"/>
                <w:vertAlign w:val="baseline"/>
                <w:lang w:val="en-US" w:eastAsia="zh-CN"/>
                <w14:textFill>
                  <w14:solidFill>
                    <w14:schemeClr w14:val="tx1"/>
                  </w14:solidFill>
                </w14:textFill>
              </w:rPr>
            </w:pPr>
            <w:r>
              <w:rPr>
                <w:rFonts w:hint="eastAsia" w:hAnsi="宋体" w:cs="宋体"/>
                <w:sz w:val="18"/>
                <w:szCs w:val="18"/>
              </w:rPr>
              <w:t>片选输入保持时间</w:t>
            </w:r>
          </w:p>
        </w:tc>
        <w:tc>
          <w:tcPr>
            <w:tcW w:w="1812" w:type="dxa"/>
            <w:vAlign w:val="center"/>
          </w:tcPr>
          <w:p>
            <w:pPr>
              <w:pStyle w:val="12"/>
              <w:widowControl w:val="0"/>
              <w:ind w:firstLine="0" w:firstLineChars="0"/>
              <w:jc w:val="center"/>
              <w:rPr>
                <w:rFonts w:hint="eastAsia" w:ascii="宋体" w:hAnsi="宋体" w:cs="宋体"/>
                <w:sz w:val="18"/>
                <w:szCs w:val="18"/>
              </w:rPr>
            </w:pPr>
            <w:r>
              <w:rPr>
                <w:rFonts w:hint="eastAsia" w:ascii="宋体" w:hAnsi="宋体" w:cs="宋体"/>
                <w:i/>
                <w:iCs/>
                <w:sz w:val="18"/>
                <w:szCs w:val="18"/>
              </w:rPr>
              <w:t>t</w:t>
            </w:r>
            <w:r>
              <w:rPr>
                <w:rFonts w:hint="eastAsia" w:ascii="宋体" w:hAnsi="宋体" w:cs="宋体"/>
                <w:sz w:val="18"/>
                <w:szCs w:val="18"/>
                <w:vertAlign w:val="subscript"/>
              </w:rPr>
              <w:t>H_CS</w:t>
            </w:r>
          </w:p>
        </w:tc>
        <w:tc>
          <w:tcPr>
            <w:tcW w:w="2275" w:type="dxa"/>
            <w:vAlign w:val="center"/>
          </w:tcPr>
          <w:p>
            <w:pPr>
              <w:pStyle w:val="12"/>
              <w:widowControl w:val="0"/>
              <w:ind w:firstLine="0" w:firstLineChars="0"/>
              <w:jc w:val="center"/>
              <w:rPr>
                <w:rFonts w:hint="default" w:ascii="宋体" w:hAnsi="Times New Roman" w:eastAsia="宋体" w:cs="Times New Roman"/>
                <w:b w:val="0"/>
                <w:bCs w:val="0"/>
                <w:color w:val="auto"/>
                <w:sz w:val="18"/>
                <w:szCs w:val="18"/>
                <w:lang w:val="en-US" w:eastAsia="zh-CN"/>
              </w:rPr>
            </w:pPr>
            <w:r>
              <w:rPr>
                <w:rFonts w:hint="eastAsia" w:cs="Times New Roman"/>
                <w:b w:val="0"/>
                <w:bCs w:val="0"/>
                <w:color w:val="auto"/>
                <w:sz w:val="18"/>
                <w:szCs w:val="18"/>
                <w:lang w:val="en-US" w:eastAsia="zh-CN"/>
              </w:rPr>
              <w:t>30ns</w:t>
            </w:r>
          </w:p>
        </w:tc>
        <w:tc>
          <w:tcPr>
            <w:tcW w:w="1949" w:type="dxa"/>
            <w:vAlign w:val="center"/>
          </w:tcPr>
          <w:p>
            <w:pPr>
              <w:numPr>
                <w:ilvl w:val="0"/>
                <w:numId w:val="0"/>
              </w:numPr>
              <w:ind w:left="0" w:leftChars="0" w:firstLine="0" w:firstLineChars="0"/>
              <w:jc w:val="center"/>
              <w:rPr>
                <w:rFonts w:hint="eastAsia" w:ascii="宋体" w:hAnsi="Times New Roman" w:eastAsia="宋体" w:cs="Times New Roman"/>
                <w:b w:val="0"/>
                <w:bCs w:val="0"/>
                <w:sz w:val="18"/>
                <w:szCs w:val="18"/>
              </w:rPr>
            </w:pPr>
            <w:r>
              <w:rPr>
                <w:rFonts w:hint="eastAsia" w:ascii="宋体" w:hAnsi="宋体" w:cs="宋体"/>
                <w:sz w:val="18"/>
                <w:szCs w:val="18"/>
                <w:lang w:val="en-US" w:eastAsia="zh-CN"/>
              </w:rPr>
              <w:t>通过</w:t>
            </w:r>
          </w:p>
        </w:tc>
      </w:tr>
    </w:tbl>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可靠性测试结果</w:t>
      </w:r>
    </w:p>
    <w:tbl>
      <w:tblPr>
        <w:tblStyle w:val="8"/>
        <w:tblW w:w="8158"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7"/>
        <w:gridCol w:w="1691"/>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numPr>
                <w:ilvl w:val="0"/>
                <w:numId w:val="0"/>
              </w:num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测试项</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简称</w:t>
            </w:r>
          </w:p>
        </w:tc>
        <w:tc>
          <w:tcPr>
            <w:tcW w:w="1840" w:type="dxa"/>
            <w:tcBorders>
              <w:tl2br w:val="nil"/>
              <w:tr2bl w:val="nil"/>
            </w:tcBorders>
            <w:noWrap w:val="0"/>
            <w:vAlign w:val="center"/>
          </w:tcPr>
          <w:p>
            <w:pPr>
              <w:jc w:val="center"/>
              <w:rPr>
                <w:rFonts w:hint="default" w:ascii="宋体" w:hAnsi="宋体" w:eastAsia="宋体" w:cs="宋体"/>
                <w:sz w:val="18"/>
                <w:szCs w:val="18"/>
                <w:highlight w:val="yellow"/>
                <w:lang w:val="en-US" w:eastAsia="zh-CN"/>
              </w:rPr>
            </w:pPr>
            <w:r>
              <w:rPr>
                <w:rFonts w:hint="eastAsia" w:ascii="宋体" w:hAnsi="宋体" w:eastAsia="宋体" w:cs="宋体"/>
                <w:sz w:val="18"/>
                <w:szCs w:val="18"/>
                <w:highlight w:val="none"/>
                <w:lang w:val="en-US" w:eastAsia="zh-CN"/>
              </w:rPr>
              <w:t>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27" w:type="dxa"/>
            <w:tcBorders>
              <w:tl2br w:val="nil"/>
              <w:tr2bl w:val="nil"/>
            </w:tcBorders>
            <w:shd w:val="clear" w:color="auto" w:fill="auto"/>
            <w:noWrap w:val="0"/>
            <w:vAlign w:val="top"/>
          </w:tcPr>
          <w:p>
            <w:pPr>
              <w:pStyle w:val="1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rPr>
                <w:rFonts w:hint="eastAsia" w:ascii="宋体" w:hAnsi="宋体" w:eastAsia="宋体" w:cs="宋体"/>
                <w:kern w:val="2"/>
                <w:sz w:val="18"/>
                <w:szCs w:val="18"/>
                <w:highlight w:val="none"/>
                <w:lang w:val="en-US" w:eastAsia="en-US" w:bidi="en-US"/>
              </w:rPr>
            </w:pPr>
            <w:r>
              <w:rPr>
                <w:rFonts w:hint="eastAsia" w:ascii="宋体" w:hAnsi="宋体" w:eastAsia="宋体" w:cs="宋体"/>
                <w:sz w:val="18"/>
                <w:szCs w:val="18"/>
                <w:highlight w:val="none"/>
              </w:rPr>
              <w:t>预处理</w:t>
            </w:r>
          </w:p>
        </w:tc>
        <w:tc>
          <w:tcPr>
            <w:tcW w:w="1691" w:type="dxa"/>
            <w:tcBorders>
              <w:tl2br w:val="nil"/>
              <w:tr2bl w:val="nil"/>
            </w:tcBorders>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PC</w:t>
            </w:r>
          </w:p>
        </w:tc>
        <w:tc>
          <w:tcPr>
            <w:tcW w:w="1840" w:type="dxa"/>
            <w:tcBorders>
              <w:tl2br w:val="nil"/>
              <w:tr2bl w:val="nil"/>
            </w:tcBorders>
            <w:noWrap w:val="0"/>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有偏温湿度或无偏压强加速稳态湿热试验</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THB 或HAST</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高压蒸煮或强加速稳态湿热试验或无偏温湿度试验</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AC或 UHST或 TH</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温度循环</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TC</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高温贮存寿命</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HTSL</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高温工作寿命</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HTOL</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早期寿命失效率</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ELFR</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引线键合剪切</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WBS</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引线键合拉力</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WBP</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可焊性</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SD</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物理尺寸</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PD</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应力测试前后功能/参数</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TEST</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静电放电人体模式</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HBM</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静电放电带电器件模式</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CDM</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4627"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闩锁效应</w:t>
            </w:r>
          </w:p>
        </w:tc>
        <w:tc>
          <w:tcPr>
            <w:tcW w:w="1691" w:type="dxa"/>
            <w:tcBorders>
              <w:tl2br w:val="nil"/>
              <w:tr2bl w:val="nil"/>
            </w:tcBorders>
            <w:noWrap w:val="0"/>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LU</w:t>
            </w:r>
          </w:p>
        </w:tc>
        <w:tc>
          <w:tcPr>
            <w:tcW w:w="1840" w:type="dxa"/>
            <w:tcBorders>
              <w:tl2br w:val="nil"/>
              <w:tr2bl w:val="nil"/>
            </w:tcBorders>
            <w:noWrap w:val="0"/>
            <w:vAlign w:val="center"/>
          </w:tcPr>
          <w:p>
            <w:pPr>
              <w:jc w:val="center"/>
              <w:rPr>
                <w:rFonts w:hint="eastAsia" w:ascii="宋体" w:hAnsi="宋体" w:eastAsia="宋体" w:cs="宋体"/>
                <w:sz w:val="18"/>
                <w:szCs w:val="18"/>
                <w:highlight w:val="yellow"/>
              </w:rPr>
            </w:pPr>
            <w:r>
              <w:rPr>
                <w:rFonts w:hint="eastAsia" w:ascii="宋体" w:hAnsi="宋体" w:cs="宋体"/>
                <w:sz w:val="18"/>
                <w:szCs w:val="18"/>
                <w:lang w:val="en-US" w:eastAsia="zh-CN"/>
              </w:rPr>
              <w:t>通过</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本标准规范</w:t>
      </w:r>
      <w:r>
        <w:rPr>
          <w:rFonts w:hint="eastAsia" w:ascii="宋体" w:hAnsi="宋体" w:cs="宋体"/>
          <w:color w:val="000000" w:themeColor="text1"/>
          <w:sz w:val="21"/>
          <w:szCs w:val="21"/>
          <w:lang w:val="en-US" w:eastAsia="zh-CN"/>
          <w14:textFill>
            <w14:solidFill>
              <w14:schemeClr w14:val="tx1"/>
            </w14:solidFill>
          </w14:textFill>
        </w:rPr>
        <w:t>填补了汽车用半桥预驱芯片领域标准的空白，</w:t>
      </w:r>
      <w:r>
        <w:rPr>
          <w:rFonts w:hint="eastAsia" w:ascii="宋体" w:hAnsi="宋体" w:eastAsia="宋体" w:cs="宋体"/>
          <w:color w:val="000000" w:themeColor="text1"/>
          <w:sz w:val="21"/>
          <w:szCs w:val="21"/>
          <w:lang w:val="en-US" w:eastAsia="zh-CN"/>
          <w14:textFill>
            <w14:solidFill>
              <w14:schemeClr w14:val="tx1"/>
            </w14:solidFill>
          </w14:textFill>
        </w:rPr>
        <w:t>是行业性规范性使用文件，与现行国家标准、行业标准</w:t>
      </w:r>
      <w:r>
        <w:rPr>
          <w:rFonts w:hint="eastAsia" w:ascii="宋体" w:hAnsi="宋体" w:cs="宋体"/>
          <w:color w:val="000000" w:themeColor="text1"/>
          <w:sz w:val="21"/>
          <w:szCs w:val="21"/>
          <w:lang w:val="en-US" w:eastAsia="zh-CN"/>
          <w14:textFill>
            <w14:solidFill>
              <w14:schemeClr w14:val="tx1"/>
            </w14:solidFill>
          </w14:textFill>
        </w:rPr>
        <w:t>协调一致、无冲突</w:t>
      </w:r>
      <w:r>
        <w:rPr>
          <w:rFonts w:hint="eastAsia" w:ascii="宋体" w:hAnsi="宋体" w:eastAsia="宋体" w:cs="宋体"/>
          <w:color w:val="000000" w:themeColor="text1"/>
          <w:sz w:val="21"/>
          <w:szCs w:val="21"/>
          <w:lang w:val="en-US" w:eastAsia="zh-CN"/>
          <w14:textFill>
            <w14:solidFill>
              <w14:schemeClr w14:val="tx1"/>
            </w14:solidFill>
          </w14:textFill>
        </w:rPr>
        <w:t>，并注重标准之间的协调配套。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pPr>
        <w:keepNext w:val="0"/>
        <w:keepLines w:val="0"/>
        <w:pageBreakBefore w:val="0"/>
        <w:widowControl w:val="0"/>
        <w:kinsoku/>
        <w:wordWrap/>
        <w:overflowPunct/>
        <w:topLinePunct w:val="0"/>
        <w:autoSpaceDE/>
        <w:autoSpaceDN/>
        <w:bidi w:val="0"/>
        <w:adjustRightInd/>
        <w:snapToGrid/>
        <w:ind w:left="0"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本标准为汽车团体标准，标准发布后，将首先在中国第一汽车股份有限公司、合肥智芯半导体有限公司、东方久乐汽车电子(上海)股份有限公司、北京经纬恒润科技股份有限公司等</w:t>
      </w:r>
      <w:r>
        <w:rPr>
          <w:rFonts w:hint="eastAsia" w:ascii="宋体" w:hAnsi="宋体" w:cs="宋体"/>
          <w:color w:val="000000" w:themeColor="text1"/>
          <w:sz w:val="21"/>
          <w:szCs w:val="21"/>
          <w:highlight w:val="none"/>
          <w:lang w:val="en-US" w:eastAsia="zh-CN"/>
          <w14:textFill>
            <w14:solidFill>
              <w14:schemeClr w14:val="tx1"/>
            </w14:solidFill>
          </w14:textFill>
        </w:rPr>
        <w:t>起草组成员单位及中国汽车工业协会标准法规技术委员会汽车芯片专业委员会委员单位进行宣贯</w:t>
      </w:r>
      <w:r>
        <w:rPr>
          <w:rFonts w:hint="eastAsia" w:ascii="宋体" w:hAnsi="宋体" w:cs="宋体"/>
          <w:color w:val="000000" w:themeColor="text1"/>
          <w:sz w:val="21"/>
          <w:szCs w:val="21"/>
          <w:lang w:val="en-US" w:eastAsia="zh-CN"/>
          <w14:textFill>
            <w14:solidFill>
              <w14:schemeClr w14:val="tx1"/>
            </w14:solidFill>
          </w14:textFill>
        </w:rPr>
        <w:t>，以达到行业规范性要求。同时要求试验人员进行理论学习，提供操作培训，以保证试验方法操作的准确性。</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ind w:firstLine="480" w:firstLineChars="200"/>
        <w:textAlignment w:val="auto"/>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eastAsia="宋体" w:cs="宋体"/>
          <w:i w:val="0"/>
          <w:iCs w:val="0"/>
          <w:color w:val="000000" w:themeColor="text1"/>
          <w:sz w:val="21"/>
          <w:szCs w:val="21"/>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p>
    <w:p>
      <w:pPr>
        <w:pStyle w:val="2"/>
        <w:rPr>
          <w:rFonts w:hint="eastAsia"/>
          <w:lang w:val="en-US" w:eastAsia="zh-CN"/>
        </w:rPr>
      </w:pPr>
    </w:p>
    <w:p>
      <w:pPr>
        <w:ind w:left="450"/>
        <w:jc w:val="right"/>
        <w:rPr>
          <w:rFonts w:hint="eastAsia" w:ascii="宋体" w:hAnsi="宋体"/>
          <w:kern w:val="0"/>
          <w:sz w:val="24"/>
        </w:rPr>
      </w:pPr>
      <w:r>
        <w:rPr>
          <w:rFonts w:hint="eastAsia" w:ascii="宋体" w:hAnsi="宋体"/>
          <w:kern w:val="0"/>
          <w:sz w:val="24"/>
        </w:rPr>
        <w:t>标准起草工作组</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ascii="宋体" w:hAnsi="宋体" w:eastAsia="宋体" w:cs="宋体"/>
          <w:i w:val="0"/>
          <w:iCs w:val="0"/>
          <w:color w:val="000000" w:themeColor="text1"/>
          <w:sz w:val="21"/>
          <w:szCs w:val="21"/>
          <w:lang w:val="en-US" w:eastAsia="zh-CN"/>
          <w14:textFill>
            <w14:solidFill>
              <w14:schemeClr w14:val="tx1"/>
            </w14:solidFill>
          </w14:textFill>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17</w:t>
      </w:r>
      <w:r>
        <w:rPr>
          <w:rFonts w:hint="eastAsia" w:ascii="宋体" w:hAnsi="宋体"/>
          <w:sz w:val="24"/>
        </w:rPr>
        <w:t>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5B9A"/>
    <w:multiLevelType w:val="singleLevel"/>
    <w:tmpl w:val="B73F5B9A"/>
    <w:lvl w:ilvl="0" w:tentative="0">
      <w:start w:val="2"/>
      <w:numFmt w:val="chineseCounting"/>
      <w:suff w:val="nothing"/>
      <w:lvlText w:val="（%1）"/>
      <w:lvlJc w:val="left"/>
      <w:rPr>
        <w:rFonts w:hint="eastAsia"/>
      </w:rPr>
    </w:lvl>
  </w:abstractNum>
  <w:abstractNum w:abstractNumId="1">
    <w:nsid w:val="C760A38F"/>
    <w:multiLevelType w:val="singleLevel"/>
    <w:tmpl w:val="C760A38F"/>
    <w:lvl w:ilvl="0" w:tentative="0">
      <w:start w:val="1"/>
      <w:numFmt w:val="chineseCounting"/>
      <w:suff w:val="nothing"/>
      <w:lvlText w:val="%1、"/>
      <w:lvlJc w:val="left"/>
      <w:rPr>
        <w:rFonts w:hint="eastAsia"/>
      </w:rPr>
    </w:lvl>
  </w:abstractNum>
  <w:abstractNum w:abstractNumId="2">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3">
    <w:nsid w:val="E3C56D80"/>
    <w:multiLevelType w:val="singleLevel"/>
    <w:tmpl w:val="E3C56D80"/>
    <w:lvl w:ilvl="0" w:tentative="0">
      <w:start w:val="7"/>
      <w:numFmt w:val="chineseCounting"/>
      <w:suff w:val="nothing"/>
      <w:lvlText w:val="%1、"/>
      <w:lvlJc w:val="left"/>
      <w:rPr>
        <w:rFonts w:hint="eastAsia"/>
      </w:rPr>
    </w:lvl>
  </w:abstractNum>
  <w:abstractNum w:abstractNumId="4">
    <w:nsid w:val="17A398A7"/>
    <w:multiLevelType w:val="singleLevel"/>
    <w:tmpl w:val="17A398A7"/>
    <w:lvl w:ilvl="0" w:tentative="0">
      <w:start w:val="1"/>
      <w:numFmt w:val="chineseCounting"/>
      <w:suff w:val="nothing"/>
      <w:lvlText w:val="（%1）"/>
      <w:lvlJc w:val="left"/>
      <w:rPr>
        <w:rFonts w:hint="eastAsia"/>
      </w:rPr>
    </w:lvl>
  </w:abstractNum>
  <w:abstractNum w:abstractNumId="5">
    <w:nsid w:val="41513B76"/>
    <w:multiLevelType w:val="singleLevel"/>
    <w:tmpl w:val="41513B76"/>
    <w:lvl w:ilvl="0" w:tentative="0">
      <w:start w:val="1"/>
      <w:numFmt w:val="decimal"/>
      <w:suff w:val="nothing"/>
      <w:lvlText w:val="%1、"/>
      <w:lvlJc w:val="left"/>
      <w:pPr>
        <w:ind w:left="840" w:leftChars="0" w:firstLine="0" w:firstLineChars="0"/>
      </w:pPr>
    </w:lvl>
  </w:abstractNum>
  <w:abstractNum w:abstractNumId="6">
    <w:nsid w:val="66F8CAAC"/>
    <w:multiLevelType w:val="singleLevel"/>
    <w:tmpl w:val="66F8CAAC"/>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4FB3"/>
    <w:rsid w:val="00DD3279"/>
    <w:rsid w:val="06441FBB"/>
    <w:rsid w:val="0B5635D2"/>
    <w:rsid w:val="112158D7"/>
    <w:rsid w:val="12D42F89"/>
    <w:rsid w:val="142D157B"/>
    <w:rsid w:val="17FE211F"/>
    <w:rsid w:val="1F7B1D7F"/>
    <w:rsid w:val="21304E02"/>
    <w:rsid w:val="21766C69"/>
    <w:rsid w:val="24BB33B6"/>
    <w:rsid w:val="337601D5"/>
    <w:rsid w:val="469C2DE7"/>
    <w:rsid w:val="4EE00960"/>
    <w:rsid w:val="51B23041"/>
    <w:rsid w:val="54882066"/>
    <w:rsid w:val="578B61AF"/>
    <w:rsid w:val="5BB16C29"/>
    <w:rsid w:val="5E2057D2"/>
    <w:rsid w:val="5E4C7243"/>
    <w:rsid w:val="6FEB56F5"/>
    <w:rsid w:val="72F02264"/>
    <w:rsid w:val="777F5439"/>
    <w:rsid w:val="7CF6267A"/>
    <w:rsid w:val="7D38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段落"/>
    <w:basedOn w:val="3"/>
    <w:qFormat/>
    <w:uiPriority w:val="0"/>
    <w:rPr>
      <w:rFonts w:eastAsia="方正仿宋_GBK"/>
      <w:sz w:val="32"/>
    </w:r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3">
    <w:name w:val="Table Paragraph"/>
    <w:basedOn w:val="1"/>
    <w:qFormat/>
    <w:uiPriority w:val="1"/>
    <w:pPr>
      <w:jc w:val="center"/>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4344</Words>
  <Characters>4655</Characters>
  <Lines>0</Lines>
  <Paragraphs>0</Paragraphs>
  <TotalTime>1</TotalTime>
  <ScaleCrop>false</ScaleCrop>
  <LinksUpToDate>false</LinksUpToDate>
  <CharactersWithSpaces>4759</CharactersWithSpaces>
  <Application>WPS Office_11.8.2.11965_F1E327BC-269C-435d-A152-05C5408002CA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赛华</cp:lastModifiedBy>
  <dcterms:modified xsi:type="dcterms:W3CDTF">2025-04-17T04:00:02Z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2052-11.8.2.11965</vt:lpwstr>
  </property>
  <property fmtid="{D5CDD505-2E9C-101B-9397-08002B2CF9AE}" pid="3" name="ICV">
    <vt:lpwstr>E25143C0EA684222B9DB183DC4184AEE</vt:lpwstr>
  </property>
  <property fmtid="{D5CDD505-2E9C-101B-9397-08002B2CF9AE}" pid="4" name="KSOTemplateDocerSaveRecord">
    <vt:lpwstr>eyJoZGlkIjoiYTZlMTJhMjA2NDM4ZGU2ZWEyYTI0YmM2ZTA2ZDg3YTYiLCJ1c2VySWQiOiIzNDAxMTE1MjMifQ==</vt:lpwstr>
  </property>
</Properties>
</file>