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48AE18D">
      <w:pPr>
        <w:rPr>
          <w:rFonts w:asciiTheme="majorEastAsia" w:hAnsiTheme="majorEastAsia" w:eastAsiaTheme="majorEastAsia"/>
          <w:sz w:val="28"/>
          <w:szCs w:val="28"/>
        </w:rPr>
      </w:pPr>
      <w:r>
        <w:rPr>
          <w:rFonts w:hint="eastAsia" w:asciiTheme="majorEastAsia" w:hAnsiTheme="majorEastAsia" w:eastAsiaTheme="majorEastAsia"/>
          <w:sz w:val="28"/>
          <w:szCs w:val="28"/>
        </w:rPr>
        <w:t>附件4：</w:t>
      </w:r>
    </w:p>
    <w:p w14:paraId="29487024">
      <w:pPr>
        <w:widowControl/>
        <w:jc w:val="center"/>
        <w:rPr>
          <w:rFonts w:eastAsia="黑体"/>
          <w:sz w:val="28"/>
          <w:szCs w:val="28"/>
        </w:rPr>
      </w:pPr>
      <w:r>
        <w:rPr>
          <w:rFonts w:hint="eastAsia" w:eastAsia="黑体"/>
          <w:sz w:val="28"/>
          <w:szCs w:val="28"/>
        </w:rPr>
        <w:t>中汽协会《电动汽车供电设备质量分级和评价方法》</w:t>
      </w:r>
      <w:r>
        <w:rPr>
          <w:rFonts w:hint="eastAsia" w:eastAsia="黑体"/>
          <w:sz w:val="28"/>
          <w:szCs w:val="28"/>
          <w:lang w:val="en-US" w:eastAsia="zh-CN"/>
        </w:rPr>
        <w:t>团体</w:t>
      </w:r>
      <w:r>
        <w:rPr>
          <w:rFonts w:hint="eastAsia" w:eastAsia="黑体"/>
          <w:sz w:val="28"/>
          <w:szCs w:val="28"/>
        </w:rPr>
        <w:t>标准编制说明</w:t>
      </w:r>
    </w:p>
    <w:p w14:paraId="5AB3DC51">
      <w:pPr>
        <w:rPr>
          <w:rFonts w:ascii="黑体" w:hAnsi="黑体" w:eastAsia="黑体" w:cs="黑体"/>
          <w:color w:val="000000" w:themeColor="text1"/>
          <w:sz w:val="30"/>
          <w:szCs w:val="30"/>
          <w14:textFill>
            <w14:solidFill>
              <w14:schemeClr w14:val="tx1"/>
            </w14:solidFill>
          </w14:textFill>
        </w:rPr>
      </w:pPr>
    </w:p>
    <w:p w14:paraId="2BF54302">
      <w:pPr>
        <w:numPr>
          <w:ilvl w:val="0"/>
          <w:numId w:val="1"/>
        </w:num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工作简要过程</w:t>
      </w:r>
    </w:p>
    <w:p w14:paraId="5FA98B13">
      <w:pPr>
        <w:numPr>
          <w:ilvl w:val="0"/>
          <w:numId w:val="2"/>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任务来源</w:t>
      </w:r>
    </w:p>
    <w:p w14:paraId="1833BC61">
      <w:pPr>
        <w:ind w:left="360" w:firstLine="416"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近年来，充电基础设施发展迅速，充电设施规模大、工作场景丰富、品牌种类繁多</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lang w:val="en-US" w:eastAsia="zh-CN"/>
          <w14:textFill>
            <w14:solidFill>
              <w14:schemeClr w14:val="tx1"/>
            </w14:solidFill>
          </w14:textFill>
        </w:rPr>
        <w:t>充电设施厂家技术水平不一</w:t>
      </w:r>
      <w:r>
        <w:rPr>
          <w:rFonts w:hint="eastAsia" w:ascii="仿宋" w:hAnsi="仿宋" w:eastAsia="仿宋" w:cs="仿宋"/>
          <w:color w:val="000000" w:themeColor="text1"/>
          <w:sz w:val="24"/>
          <w14:textFill>
            <w14:solidFill>
              <w14:schemeClr w14:val="tx1"/>
            </w14:solidFill>
          </w14:textFill>
        </w:rPr>
        <w:t>等</w:t>
      </w:r>
      <w:r>
        <w:rPr>
          <w:rFonts w:hint="eastAsia" w:ascii="仿宋" w:hAnsi="仿宋" w:eastAsia="仿宋" w:cs="仿宋"/>
          <w:color w:val="000000" w:themeColor="text1"/>
          <w:sz w:val="24"/>
          <w:lang w:val="en-US" w:eastAsia="zh-CN"/>
          <w14:textFill>
            <w14:solidFill>
              <w14:schemeClr w14:val="tx1"/>
            </w14:solidFill>
          </w14:textFill>
        </w:rPr>
        <w:t>特点，</w:t>
      </w:r>
      <w:r>
        <w:rPr>
          <w:rFonts w:hint="eastAsia" w:ascii="仿宋" w:hAnsi="仿宋" w:eastAsia="仿宋" w:cs="仿宋"/>
          <w:color w:val="000000" w:themeColor="text1"/>
          <w:sz w:val="24"/>
          <w14:textFill>
            <w14:solidFill>
              <w14:schemeClr w14:val="tx1"/>
            </w14:solidFill>
          </w14:textFill>
        </w:rPr>
        <w:t>充电设施的质量参差不齐。为进一步贯彻落实《质量强国建设纲要》和《关于进一步构建高质量充电基础设施体系的指导意见》文件指示精神，构建充电</w:t>
      </w:r>
      <w:r>
        <w:rPr>
          <w:rFonts w:hint="eastAsia" w:ascii="仿宋" w:hAnsi="仿宋" w:eastAsia="仿宋" w:cs="仿宋"/>
          <w:color w:val="000000" w:themeColor="text1"/>
          <w:sz w:val="24"/>
          <w:lang w:val="en-US" w:eastAsia="zh-CN"/>
          <w14:textFill>
            <w14:solidFill>
              <w14:schemeClr w14:val="tx1"/>
            </w14:solidFill>
          </w14:textFill>
        </w:rPr>
        <w:t>设施</w:t>
      </w:r>
      <w:r>
        <w:rPr>
          <w:rFonts w:hint="eastAsia" w:ascii="仿宋" w:hAnsi="仿宋" w:eastAsia="仿宋" w:cs="仿宋"/>
          <w:color w:val="000000" w:themeColor="text1"/>
          <w:sz w:val="24"/>
          <w14:textFill>
            <w14:solidFill>
              <w14:schemeClr w14:val="tx1"/>
            </w14:solidFill>
          </w14:textFill>
        </w:rPr>
        <w:t>产品质量评价体系，提升充电</w:t>
      </w:r>
      <w:r>
        <w:rPr>
          <w:rFonts w:hint="eastAsia" w:ascii="仿宋" w:hAnsi="仿宋" w:eastAsia="仿宋" w:cs="仿宋"/>
          <w:color w:val="000000" w:themeColor="text1"/>
          <w:sz w:val="24"/>
          <w:lang w:val="en-US" w:eastAsia="zh-CN"/>
          <w14:textFill>
            <w14:solidFill>
              <w14:schemeClr w14:val="tx1"/>
            </w14:solidFill>
          </w14:textFill>
        </w:rPr>
        <w:t>设施</w:t>
      </w:r>
      <w:r>
        <w:rPr>
          <w:rFonts w:hint="eastAsia" w:ascii="仿宋" w:hAnsi="仿宋" w:eastAsia="仿宋" w:cs="仿宋"/>
          <w:color w:val="000000" w:themeColor="text1"/>
          <w:sz w:val="24"/>
          <w14:textFill>
            <w14:solidFill>
              <w14:schemeClr w14:val="tx1"/>
            </w14:solidFill>
          </w14:textFill>
        </w:rPr>
        <w:t>的产品质量与安全水平，助力新能源汽车产业的健康有序发展，亟需加强充电基础设施的质量管控</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建立充电桩质量评价体系，促进充电设施的质量提升。</w:t>
      </w:r>
    </w:p>
    <w:p w14:paraId="2ADC43D9">
      <w:pPr>
        <w:ind w:left="360" w:firstLine="416" w:firstLineChars="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制定一套全面、系统的电动汽车充电设施</w:t>
      </w:r>
      <w:r>
        <w:rPr>
          <w:rFonts w:hint="eastAsia" w:ascii="仿宋" w:hAnsi="仿宋" w:eastAsia="仿宋" w:cs="仿宋"/>
          <w:color w:val="000000" w:themeColor="text1"/>
          <w:sz w:val="24"/>
          <w:lang w:val="en-US" w:eastAsia="zh-CN"/>
          <w14:textFill>
            <w14:solidFill>
              <w14:schemeClr w14:val="tx1"/>
            </w14:solidFill>
          </w14:textFill>
        </w:rPr>
        <w:t>质量分级与评价方法</w:t>
      </w:r>
      <w:r>
        <w:rPr>
          <w:rFonts w:hint="eastAsia" w:ascii="仿宋" w:hAnsi="仿宋" w:eastAsia="仿宋" w:cs="仿宋"/>
          <w:color w:val="000000" w:themeColor="text1"/>
          <w:sz w:val="24"/>
          <w14:textFill>
            <w14:solidFill>
              <w14:schemeClr w14:val="tx1"/>
            </w14:solidFill>
          </w14:textFill>
        </w:rPr>
        <w:t>的标准，具有深远的意义。首先，</w:t>
      </w:r>
      <w:r>
        <w:rPr>
          <w:rFonts w:hint="eastAsia" w:ascii="仿宋" w:hAnsi="仿宋" w:eastAsia="仿宋" w:cs="仿宋"/>
          <w:color w:val="000000" w:themeColor="text1"/>
          <w:sz w:val="24"/>
          <w:lang w:val="en-US" w:eastAsia="zh-CN"/>
          <w14:textFill>
            <w14:solidFill>
              <w14:schemeClr w14:val="tx1"/>
            </w14:solidFill>
          </w14:textFill>
        </w:rPr>
        <w:t>通过</w:t>
      </w:r>
      <w:r>
        <w:rPr>
          <w:rFonts w:hint="eastAsia" w:ascii="仿宋" w:hAnsi="仿宋" w:eastAsia="仿宋" w:cs="仿宋"/>
          <w:color w:val="000000" w:themeColor="text1"/>
          <w:sz w:val="24"/>
          <w14:textFill>
            <w14:solidFill>
              <w14:schemeClr w14:val="tx1"/>
            </w14:solidFill>
          </w14:textFill>
        </w:rPr>
        <w:t>标准</w:t>
      </w:r>
      <w:r>
        <w:rPr>
          <w:rFonts w:hint="eastAsia" w:ascii="仿宋" w:hAnsi="仿宋" w:eastAsia="仿宋" w:cs="仿宋"/>
          <w:color w:val="000000" w:themeColor="text1"/>
          <w:sz w:val="24"/>
          <w:lang w:val="en-US" w:eastAsia="zh-CN"/>
          <w14:textFill>
            <w14:solidFill>
              <w14:schemeClr w14:val="tx1"/>
            </w14:solidFill>
          </w14:textFill>
        </w:rPr>
        <w:t>对充电设施进行质量分级，促进</w:t>
      </w:r>
      <w:r>
        <w:rPr>
          <w:rFonts w:hint="eastAsia" w:ascii="仿宋" w:hAnsi="仿宋" w:eastAsia="仿宋" w:cs="仿宋"/>
          <w:color w:val="000000" w:themeColor="text1"/>
          <w:sz w:val="24"/>
          <w14:textFill>
            <w14:solidFill>
              <w14:schemeClr w14:val="tx1"/>
            </w14:solidFill>
          </w14:textFill>
        </w:rPr>
        <w:t>充电设施的</w:t>
      </w:r>
      <w:r>
        <w:rPr>
          <w:rFonts w:hint="eastAsia" w:ascii="仿宋" w:hAnsi="仿宋" w:eastAsia="仿宋" w:cs="仿宋"/>
          <w:color w:val="000000" w:themeColor="text1"/>
          <w:sz w:val="24"/>
          <w:lang w:val="en-US" w:eastAsia="zh-CN"/>
          <w14:textFill>
            <w14:solidFill>
              <w14:schemeClr w14:val="tx1"/>
            </w14:solidFill>
          </w14:textFill>
        </w:rPr>
        <w:t>质量提升</w:t>
      </w:r>
      <w:r>
        <w:rPr>
          <w:rFonts w:hint="eastAsia" w:ascii="仿宋" w:hAnsi="仿宋" w:eastAsia="仿宋" w:cs="仿宋"/>
          <w:color w:val="000000" w:themeColor="text1"/>
          <w:sz w:val="24"/>
          <w14:textFill>
            <w14:solidFill>
              <w14:schemeClr w14:val="tx1"/>
            </w14:solidFill>
          </w14:textFill>
        </w:rPr>
        <w:t>。其次，降低充电设施</w:t>
      </w:r>
      <w:r>
        <w:rPr>
          <w:rFonts w:hint="eastAsia" w:ascii="仿宋" w:hAnsi="仿宋" w:eastAsia="仿宋" w:cs="仿宋"/>
          <w:color w:val="000000" w:themeColor="text1"/>
          <w:sz w:val="24"/>
          <w:lang w:val="en-US" w:eastAsia="zh-CN"/>
          <w14:textFill>
            <w14:solidFill>
              <w14:schemeClr w14:val="tx1"/>
            </w14:solidFill>
          </w14:textFill>
        </w:rPr>
        <w:t>企业恶意竞争，</w:t>
      </w:r>
      <w:r>
        <w:rPr>
          <w:rFonts w:hint="eastAsia" w:ascii="仿宋" w:hAnsi="仿宋" w:eastAsia="仿宋" w:cs="仿宋"/>
          <w:color w:val="000000" w:themeColor="text1"/>
          <w:sz w:val="24"/>
          <w14:textFill>
            <w14:solidFill>
              <w14:schemeClr w14:val="tx1"/>
            </w14:solidFill>
          </w14:textFill>
        </w:rPr>
        <w:t>鼓励企业追求技术创新与服务提升，进而推动电动汽车行业的持续发展。通过统一的标准</w:t>
      </w:r>
      <w:r>
        <w:rPr>
          <w:rFonts w:hint="eastAsia" w:ascii="仿宋" w:hAnsi="仿宋" w:eastAsia="仿宋" w:cs="仿宋"/>
          <w:color w:val="000000" w:themeColor="text1"/>
          <w:sz w:val="24"/>
          <w:lang w:val="en-US" w:eastAsia="zh-CN"/>
          <w14:textFill>
            <w14:solidFill>
              <w14:schemeClr w14:val="tx1"/>
            </w14:solidFill>
          </w14:textFill>
        </w:rPr>
        <w:t>要求</w:t>
      </w:r>
      <w:r>
        <w:rPr>
          <w:rFonts w:hint="eastAsia" w:ascii="仿宋" w:hAnsi="仿宋" w:eastAsia="仿宋" w:cs="仿宋"/>
          <w:color w:val="000000" w:themeColor="text1"/>
          <w:sz w:val="24"/>
          <w14:textFill>
            <w14:solidFill>
              <w14:schemeClr w14:val="tx1"/>
            </w14:solidFill>
          </w14:textFill>
        </w:rPr>
        <w:t>，促进行业内各企业之间的合作与交流，形成良性的市场竞争环境，共同推动充电设施技术的进步和创新。为国家的新能源战略提供了坚实的保障，有助于构建更加完善的充电基础设施体系。</w:t>
      </w:r>
    </w:p>
    <w:p w14:paraId="50DA85B3">
      <w:pPr>
        <w:ind w:left="360"/>
        <w:rPr>
          <w:rFonts w:hint="eastAsia" w:ascii="仿宋" w:hAnsi="仿宋" w:eastAsia="仿宋" w:cs="仿宋"/>
          <w:color w:val="000000" w:themeColor="text1"/>
          <w:sz w:val="24"/>
          <w14:textFill>
            <w14:solidFill>
              <w14:schemeClr w14:val="tx1"/>
            </w14:solidFill>
          </w14:textFill>
        </w:rPr>
      </w:pPr>
    </w:p>
    <w:p w14:paraId="3B38F91B">
      <w:pPr>
        <w:numPr>
          <w:ilvl w:val="0"/>
          <w:numId w:val="2"/>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主要起草单位及任务分工</w:t>
      </w:r>
    </w:p>
    <w:p w14:paraId="64831C2A">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本标准主要起草单位：国家市场监督管理总局发展研究中心、中国电力科学研究院有限公</w:t>
      </w:r>
      <w:r>
        <w:rPr>
          <w:rFonts w:hint="eastAsia" w:ascii="仿宋" w:hAnsi="仿宋" w:eastAsia="仿宋" w:cs="仿宋"/>
          <w:color w:val="000000" w:themeColor="text1"/>
          <w:sz w:val="24"/>
          <w:highlight w:val="none"/>
          <w:lang w:val="en-US" w:eastAsia="zh-CN"/>
          <w14:textFill>
            <w14:solidFill>
              <w14:schemeClr w14:val="tx1"/>
            </w14:solidFill>
          </w14:textFill>
        </w:rPr>
        <w:t>司、万帮数字能源股份有限公司、特来电新能源股份有限公司、深圳市科华恒盛科技有限公司、阳光电源股份有限公司、公牛集团股份有限公司、开迈斯新能源科技有限公司、山东积成智通新能源有限公司、中汽研汽车检验中心(天检)有限公司、中汽研汽</w:t>
      </w:r>
      <w:r>
        <w:rPr>
          <w:rFonts w:hint="eastAsia" w:ascii="仿宋" w:hAnsi="仿宋" w:eastAsia="仿宋" w:cs="仿宋"/>
          <w:color w:val="000000" w:themeColor="text1"/>
          <w:sz w:val="24"/>
          <w:lang w:val="en-US" w:eastAsia="zh-CN"/>
          <w14:textFill>
            <w14:solidFill>
              <w14:schemeClr w14:val="tx1"/>
            </w14:solidFill>
          </w14:textFill>
        </w:rPr>
        <w:t>车检验中心(广州)有限公司、武汉合智数字能源技术有限公司、广汽能源科技有限公司、广州万城万充新能源科技有限公司、深圳ABB电动交通科技有线公司、中国汽车工程研究院股份有限公司、北京华商三优新能源科技部有限公司、中国铁塔股份有限公司、浙江万马股份有限公司、绿能慧充数字技术有限公司、深圳市车电网络有限公司、中石油昆仑网联电能科技有限公司、领充新能源科技有限公司、中国石油化工股份有限公司、中海石油炼化有限责任公司。</w:t>
      </w:r>
    </w:p>
    <w:p w14:paraId="29BC079E">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中国电力科学研究院有限公司负责牵头标准初稿编制，负责组织参与单位专家开展标准研讨，负责开展第1版修订工作并形成修订文件，负责开展验证并形成验证意见汇总，负责</w:t>
      </w:r>
      <w:r>
        <w:rPr>
          <w:rFonts w:hint="eastAsia" w:ascii="仿宋" w:hAnsi="仿宋" w:eastAsia="仿宋" w:cs="仿宋"/>
          <w:color w:val="000000" w:themeColor="text1"/>
          <w:sz w:val="24"/>
          <w:highlight w:val="none"/>
          <w:lang w:val="en-US" w:eastAsia="zh-CN"/>
          <w14:textFill>
            <w14:solidFill>
              <w14:schemeClr w14:val="tx1"/>
            </w14:solidFill>
          </w14:textFill>
        </w:rPr>
        <w:t>开展第2版修订工作并形成修订文件汇总和发布。北京华商三优新能源科技部有限公司、</w:t>
      </w:r>
      <w:r>
        <w:rPr>
          <w:rFonts w:hint="eastAsia" w:ascii="仿宋" w:hAnsi="仿宋" w:eastAsia="仿宋" w:cs="仿宋"/>
          <w:color w:val="000000" w:themeColor="text1"/>
          <w:sz w:val="24"/>
          <w:highlight w:val="none"/>
          <w:lang w:val="en-US" w:eastAsia="zh-CN"/>
          <w14:textFill>
            <w14:solidFill>
              <w14:schemeClr w14:val="tx1"/>
            </w14:solidFill>
          </w14:textFill>
        </w:rPr>
        <w:t>中汽研汽车检验中心(广州)有限公司、</w:t>
      </w:r>
      <w:r>
        <w:rPr>
          <w:rFonts w:hint="eastAsia" w:ascii="仿宋" w:hAnsi="仿宋" w:eastAsia="仿宋" w:cs="仿宋"/>
          <w:color w:val="000000" w:themeColor="text1"/>
          <w:sz w:val="24"/>
          <w:highlight w:val="none"/>
          <w:lang w:val="en-US" w:eastAsia="zh-CN"/>
          <w14:textFill>
            <w14:solidFill>
              <w14:schemeClr w14:val="tx1"/>
            </w14:solidFill>
          </w14:textFill>
        </w:rPr>
        <w:t>深圳市科华恒盛科技有限公司、</w:t>
      </w:r>
      <w:r>
        <w:rPr>
          <w:rFonts w:hint="eastAsia" w:ascii="仿宋" w:hAnsi="仿宋" w:eastAsia="仿宋" w:cs="仿宋"/>
          <w:color w:val="000000" w:themeColor="text1"/>
          <w:sz w:val="24"/>
          <w:lang w:val="en-US" w:eastAsia="zh-CN"/>
          <w14:textFill>
            <w14:solidFill>
              <w14:schemeClr w14:val="tx1"/>
            </w14:solidFill>
          </w14:textFill>
        </w:rPr>
        <w:t>中国铁塔股份有限公司、威凯检测技术有限公司、</w:t>
      </w:r>
      <w:r>
        <w:rPr>
          <w:rFonts w:hint="eastAsia" w:ascii="仿宋" w:hAnsi="仿宋" w:eastAsia="仿宋" w:cs="仿宋"/>
          <w:color w:val="000000" w:themeColor="text1"/>
          <w:sz w:val="24"/>
          <w:highlight w:val="none"/>
          <w:lang w:val="en-US" w:eastAsia="zh-CN"/>
          <w14:textFill>
            <w14:solidFill>
              <w14:schemeClr w14:val="tx1"/>
            </w14:solidFill>
          </w14:textFill>
        </w:rPr>
        <w:t>浙江万马股份有限公司、深圳市车电网络有限公司、</w:t>
      </w:r>
      <w:r>
        <w:rPr>
          <w:rFonts w:hint="eastAsia" w:ascii="仿宋" w:hAnsi="仿宋" w:eastAsia="仿宋" w:cs="仿宋"/>
          <w:color w:val="000000" w:themeColor="text1"/>
          <w:sz w:val="24"/>
          <w:highlight w:val="none"/>
          <w:lang w:val="en-US" w:eastAsia="zh-CN"/>
          <w14:textFill>
            <w14:solidFill>
              <w14:schemeClr w14:val="tx1"/>
            </w14:solidFill>
          </w14:textFill>
        </w:rPr>
        <w:t>万帮数字能源股份有限公司负责</w:t>
      </w:r>
      <w:r>
        <w:rPr>
          <w:rFonts w:hint="eastAsia" w:ascii="仿宋" w:hAnsi="仿宋" w:eastAsia="仿宋" w:cs="仿宋"/>
          <w:color w:val="000000" w:themeColor="text1"/>
          <w:sz w:val="24"/>
          <w:lang w:val="en-US" w:eastAsia="zh-CN"/>
          <w14:textFill>
            <w14:solidFill>
              <w14:schemeClr w14:val="tx1"/>
            </w14:solidFill>
          </w14:textFill>
        </w:rPr>
        <w:t>组织对应章节的初稿研讨，提出修改建议和意见，协助完成标准文件的修订、验证及发布工作。</w:t>
      </w:r>
    </w:p>
    <w:p w14:paraId="29208F42">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1）2024年8月13日，中国电动汽车充电基础设施促进联盟（简称“中国充电联盟”）联合中国消费品质量安全促进会（简称“中消会”）在市场监督管理总局马甸办公区组织召开“充电桩产品质量提升工作座谈会”，确定充电设备的质量分级团体标准的编制。</w:t>
      </w:r>
    </w:p>
    <w:p w14:paraId="3A067F09">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2）2024年8月16日，充电联盟进行内部梳理和外部交流，研究了行业痛点，明确了产业链上下游需求，邀请中国电力科学研究院有限公司负责电动汽车供电设备质量分级和评价方法的前期标准说明等评审工作。</w:t>
      </w:r>
    </w:p>
    <w:p w14:paraId="7E5DC9A9">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3）2024年8月30日，中国汽车工业协会（充电联盟）通过现场评审形式组织召开《电动汽车供电设备质量分级和评价方法》团体标准立项评审会议，行业专家、标准起草单位及其他参编企业代表等参加了会议，大会一致同意标准立项并公示。</w:t>
      </w:r>
    </w:p>
    <w:p w14:paraId="14386161">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4）2024年9月1日，中国电科院和参编单位共同编制标准讨论稿，并于10月30日完成标准讨论稿。</w:t>
      </w:r>
    </w:p>
    <w:p w14:paraId="3B55BFC9">
      <w:pPr>
        <w:ind w:left="360" w:firstLine="416"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5）2024年11月1日，中国电科院组织召开线下讨论会进行标准内容研讨，并对标准进行迭代修改。</w:t>
      </w:r>
    </w:p>
    <w:p w14:paraId="0C8359CA">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6）2025年1月8日，中国电科院牵头组织标准文件初稿完成，3月18日充电联盟组织参编单位进行现场评审讨论会议。</w:t>
      </w:r>
    </w:p>
    <w:p w14:paraId="61314648">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7）2025年4月3日，中国电科院对标准文档与各参编单位完成数次沟通后，完成两轮迭代，形成初稿并提报充电联盟。</w:t>
      </w:r>
    </w:p>
    <w:p w14:paraId="6666DAB5">
      <w:pPr>
        <w:numPr>
          <w:ilvl w:val="0"/>
          <w:numId w:val="2"/>
        </w:numPr>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标准研讨情况</w:t>
      </w:r>
    </w:p>
    <w:p w14:paraId="54D4125D">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本标准研讨情况主要包括以下几个方面：</w:t>
      </w:r>
    </w:p>
    <w:p w14:paraId="3DC9971E">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a）确定标准框架和内容：在研讨初期，需要确定标准的总体框架和主要内容，明确标准的目标和定位。这包括标准的命名、标准范围和总体要求。</w:t>
      </w:r>
    </w:p>
    <w:p w14:paraId="5D2D44C4">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b）收集和分析国内相关标准：在制定标准的过程中，需要收集和分析国内相关的电动汽车充电</w:t>
      </w:r>
      <w:r>
        <w:rPr>
          <w:rFonts w:hint="eastAsia" w:ascii="仿宋" w:hAnsi="仿宋" w:eastAsia="仿宋" w:cs="仿宋"/>
          <w:color w:val="000000" w:themeColor="text1"/>
          <w:sz w:val="24"/>
          <w:lang w:val="en-US" w:eastAsia="zh-CN"/>
          <w14:textFill>
            <w14:solidFill>
              <w14:schemeClr w14:val="tx1"/>
            </w14:solidFill>
          </w14:textFill>
        </w:rPr>
        <w:t>桩质量分级标准，了解其优点和不足。通过对比分析，可以为制定更加科学、合理、可行的</w:t>
      </w:r>
      <w:r>
        <w:rPr>
          <w:rFonts w:hint="eastAsia" w:ascii="仿宋" w:hAnsi="仿宋" w:eastAsia="仿宋" w:cs="仿宋"/>
          <w:color w:val="000000" w:themeColor="text1"/>
          <w:sz w:val="24"/>
          <w:lang w:val="en-US" w:eastAsia="zh-CN"/>
          <w14:textFill>
            <w14:solidFill>
              <w14:schemeClr w14:val="tx1"/>
            </w14:solidFill>
          </w14:textFill>
        </w:rPr>
        <w:t>质量分级和评价提供参考。</w:t>
      </w:r>
    </w:p>
    <w:p w14:paraId="4B8CEDD8">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c）汇总意见和建议：在研讨过程中，组织桩企及运营商讨论，将各方面的意见和建议进行汇总，形成完整的研讨成果。对于一些有争议的问题，需要进行深入的讨论和协商，以求达成共识。</w:t>
      </w:r>
    </w:p>
    <w:p w14:paraId="5C8008BB">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d）形成标准草案：根据研讨成果，形成标准草案。标准草案应该明确、具体，具有可执行性。在形成标准草案的过程中，需要注重文字表达的准确性和条理性，确保标准的内容能够被准确理解和执行。</w:t>
      </w:r>
    </w:p>
    <w:p w14:paraId="7A153B00">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p>
    <w:p w14:paraId="3E5D4CA4">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二、标准编制原则和主要内容</w:t>
      </w:r>
    </w:p>
    <w:p w14:paraId="63D87BEE">
      <w:pPr>
        <w:ind w:firstLine="482" w:firstLineChars="200"/>
        <w:rPr>
          <w:rFonts w:hint="default" w:ascii="仿宋" w:hAnsi="仿宋" w:eastAsia="仿宋"/>
          <w:b/>
          <w:bCs/>
          <w:sz w:val="24"/>
          <w:lang w:val="en-US" w:eastAsia="zh-CN"/>
        </w:rPr>
      </w:pPr>
      <w:r>
        <w:rPr>
          <w:rFonts w:hint="eastAsia" w:ascii="仿宋" w:hAnsi="仿宋" w:eastAsia="仿宋"/>
          <w:b/>
          <w:bCs/>
          <w:sz w:val="24"/>
          <w:lang w:val="en-US" w:eastAsia="zh-CN"/>
        </w:rPr>
        <w:t>编制原则</w:t>
      </w:r>
    </w:p>
    <w:p w14:paraId="37605942">
      <w:pPr>
        <w:ind w:firstLine="480" w:firstLineChars="200"/>
        <w:rPr>
          <w:rFonts w:hint="eastAsia" w:ascii="仿宋" w:hAnsi="仿宋" w:eastAsia="仿宋"/>
          <w:sz w:val="24"/>
        </w:rPr>
      </w:pPr>
      <w:r>
        <w:rPr>
          <w:rFonts w:hint="eastAsia" w:ascii="仿宋" w:hAnsi="仿宋" w:eastAsia="仿宋"/>
          <w:sz w:val="24"/>
        </w:rPr>
        <w:t>a）规范性原则：本标准按照GB/T1.1―2020《标准化工作导则第1部分：标准化文件的结构和起草规则》给出的规则起草。</w:t>
      </w:r>
    </w:p>
    <w:p w14:paraId="58FE50A0">
      <w:pPr>
        <w:ind w:firstLine="480" w:firstLineChars="200"/>
        <w:rPr>
          <w:rFonts w:hint="default" w:ascii="仿宋" w:hAnsi="仿宋" w:eastAsia="仿宋"/>
          <w:sz w:val="24"/>
          <w:lang w:val="en-US" w:eastAsia="zh-CN"/>
        </w:rPr>
      </w:pPr>
      <w:r>
        <w:rPr>
          <w:rFonts w:hint="eastAsia" w:ascii="仿宋" w:hAnsi="仿宋" w:eastAsia="仿宋"/>
          <w:sz w:val="24"/>
        </w:rPr>
        <w:t>b）按</w:t>
      </w:r>
      <w:r>
        <w:rPr>
          <w:rFonts w:hint="eastAsia" w:ascii="仿宋" w:hAnsi="仿宋" w:eastAsia="仿宋"/>
          <w:sz w:val="24"/>
          <w:lang w:val="en-US" w:eastAsia="zh-CN"/>
        </w:rPr>
        <w:t>类型</w:t>
      </w:r>
      <w:r>
        <w:rPr>
          <w:rFonts w:hint="eastAsia" w:ascii="仿宋" w:hAnsi="仿宋" w:eastAsia="仿宋"/>
          <w:sz w:val="24"/>
        </w:rPr>
        <w:t>制定原则：因为不同</w:t>
      </w:r>
      <w:r>
        <w:rPr>
          <w:rFonts w:hint="eastAsia" w:ascii="仿宋" w:hAnsi="仿宋" w:eastAsia="仿宋"/>
          <w:sz w:val="24"/>
          <w:lang w:val="en-US" w:eastAsia="zh-CN"/>
        </w:rPr>
        <w:t>类型</w:t>
      </w:r>
      <w:r>
        <w:rPr>
          <w:rFonts w:hint="eastAsia" w:ascii="仿宋" w:hAnsi="仿宋" w:eastAsia="仿宋"/>
          <w:sz w:val="24"/>
        </w:rPr>
        <w:t>充电设施</w:t>
      </w:r>
      <w:r>
        <w:rPr>
          <w:rFonts w:hint="eastAsia" w:ascii="仿宋" w:hAnsi="仿宋" w:eastAsia="仿宋"/>
          <w:sz w:val="24"/>
          <w:lang w:val="en-US" w:eastAsia="zh-CN"/>
        </w:rPr>
        <w:t>质量分级</w:t>
      </w:r>
      <w:r>
        <w:rPr>
          <w:rFonts w:hint="eastAsia" w:ascii="仿宋" w:hAnsi="仿宋" w:eastAsia="仿宋"/>
          <w:sz w:val="24"/>
        </w:rPr>
        <w:t>有不同的要求和考虑，所以本标准按</w:t>
      </w:r>
      <w:r>
        <w:rPr>
          <w:rFonts w:hint="eastAsia" w:ascii="仿宋" w:hAnsi="仿宋" w:eastAsia="仿宋"/>
          <w:sz w:val="24"/>
          <w:lang w:val="en-US" w:eastAsia="zh-CN"/>
        </w:rPr>
        <w:t>不同类型的</w:t>
      </w:r>
      <w:r>
        <w:rPr>
          <w:rFonts w:hint="eastAsia" w:ascii="仿宋" w:hAnsi="仿宋" w:eastAsia="仿宋"/>
          <w:sz w:val="24"/>
        </w:rPr>
        <w:t>充电设施</w:t>
      </w:r>
      <w:r>
        <w:rPr>
          <w:rFonts w:hint="eastAsia" w:ascii="仿宋" w:hAnsi="仿宋" w:eastAsia="仿宋"/>
          <w:sz w:val="24"/>
          <w:lang w:val="en-US" w:eastAsia="zh-CN"/>
        </w:rPr>
        <w:t>制定了不同的评价项目。</w:t>
      </w:r>
    </w:p>
    <w:p w14:paraId="0356A3AC">
      <w:pPr>
        <w:ind w:firstLine="480" w:firstLineChars="200"/>
        <w:rPr>
          <w:rFonts w:hint="eastAsia" w:ascii="仿宋" w:hAnsi="仿宋" w:eastAsia="仿宋"/>
          <w:sz w:val="24"/>
        </w:rPr>
      </w:pPr>
      <w:r>
        <w:rPr>
          <w:rFonts w:hint="eastAsia" w:ascii="仿宋" w:hAnsi="仿宋" w:eastAsia="仿宋"/>
          <w:sz w:val="24"/>
        </w:rPr>
        <w:t>c）广泛征求意见原则：工作组内企业对修订内容进行多次征求意见，并在会上充分讨论。</w:t>
      </w:r>
    </w:p>
    <w:p w14:paraId="693BF73E">
      <w:pPr>
        <w:ind w:firstLine="482" w:firstLineChars="200"/>
        <w:rPr>
          <w:rFonts w:hint="eastAsia" w:ascii="仿宋" w:hAnsi="仿宋" w:eastAsia="仿宋"/>
          <w:sz w:val="24"/>
        </w:rPr>
      </w:pPr>
      <w:r>
        <w:rPr>
          <w:rFonts w:hint="eastAsia" w:ascii="仿宋" w:hAnsi="仿宋" w:eastAsia="仿宋"/>
          <w:b/>
          <w:bCs/>
          <w:sz w:val="24"/>
          <w:lang w:val="en-US" w:eastAsia="zh-CN"/>
        </w:rPr>
        <w:t>主要内容</w:t>
      </w:r>
    </w:p>
    <w:p w14:paraId="345E3D92">
      <w:pPr>
        <w:ind w:firstLine="480" w:firstLineChars="200"/>
        <w:rPr>
          <w:rFonts w:hint="eastAsia" w:ascii="仿宋" w:hAnsi="仿宋" w:eastAsia="仿宋"/>
          <w:sz w:val="24"/>
          <w:lang w:eastAsia="zh-CN"/>
        </w:rPr>
      </w:pPr>
      <w:r>
        <w:rPr>
          <w:rFonts w:hint="eastAsia" w:ascii="仿宋" w:hAnsi="仿宋" w:eastAsia="仿宋"/>
          <w:sz w:val="24"/>
        </w:rPr>
        <w:t>本标准规定了电动汽车</w:t>
      </w:r>
      <w:r>
        <w:rPr>
          <w:rFonts w:hint="eastAsia" w:ascii="仿宋" w:hAnsi="仿宋" w:eastAsia="仿宋"/>
          <w:sz w:val="24"/>
          <w:lang w:val="en-US" w:eastAsia="zh-CN"/>
        </w:rPr>
        <w:t>供电设备</w:t>
      </w:r>
      <w:r>
        <w:rPr>
          <w:rFonts w:hint="eastAsia" w:ascii="仿宋" w:hAnsi="仿宋" w:eastAsia="仿宋"/>
          <w:sz w:val="24"/>
        </w:rPr>
        <w:t>的质量</w:t>
      </w:r>
      <w:r>
        <w:rPr>
          <w:rFonts w:hint="eastAsia" w:ascii="仿宋" w:hAnsi="仿宋" w:eastAsia="仿宋"/>
          <w:sz w:val="24"/>
          <w:lang w:val="en-US" w:eastAsia="zh-CN"/>
        </w:rPr>
        <w:t>分级和</w:t>
      </w:r>
      <w:r>
        <w:rPr>
          <w:rFonts w:hint="eastAsia" w:ascii="仿宋" w:hAnsi="仿宋" w:eastAsia="仿宋"/>
          <w:sz w:val="24"/>
        </w:rPr>
        <w:t>评价方法，</w:t>
      </w:r>
      <w:r>
        <w:rPr>
          <w:rFonts w:hint="eastAsia" w:ascii="仿宋" w:hAnsi="仿宋" w:eastAsia="仿宋"/>
          <w:sz w:val="24"/>
          <w:lang w:val="en-US" w:eastAsia="zh-CN"/>
        </w:rPr>
        <w:t>主要内容</w:t>
      </w:r>
      <w:r>
        <w:rPr>
          <w:rFonts w:hint="eastAsia" w:ascii="仿宋" w:hAnsi="仿宋" w:eastAsia="仿宋"/>
          <w:sz w:val="24"/>
        </w:rPr>
        <w:t>包括</w:t>
      </w:r>
      <w:r>
        <w:rPr>
          <w:rFonts w:hint="eastAsia" w:ascii="仿宋" w:hAnsi="仿宋" w:eastAsia="仿宋"/>
          <w:sz w:val="24"/>
          <w:lang w:eastAsia="zh-CN"/>
        </w:rPr>
        <w:t>：</w:t>
      </w:r>
    </w:p>
    <w:p w14:paraId="7D0EB8A7">
      <w:pPr>
        <w:ind w:firstLine="480" w:firstLineChars="200"/>
        <w:rPr>
          <w:rFonts w:hint="eastAsia" w:ascii="仿宋" w:hAnsi="仿宋" w:eastAsia="仿宋"/>
          <w:sz w:val="24"/>
          <w:lang w:val="en-US" w:eastAsia="zh-CN"/>
        </w:rPr>
      </w:pPr>
      <w:r>
        <w:rPr>
          <w:rFonts w:hint="eastAsia" w:ascii="仿宋" w:hAnsi="仿宋" w:eastAsia="仿宋"/>
          <w:sz w:val="24"/>
          <w:lang w:val="en-US" w:eastAsia="zh-CN"/>
        </w:rPr>
        <w:t>1范围；</w:t>
      </w:r>
    </w:p>
    <w:p w14:paraId="12BEEA8E">
      <w:pPr>
        <w:ind w:firstLine="480" w:firstLineChars="200"/>
        <w:rPr>
          <w:rFonts w:hint="eastAsia" w:ascii="仿宋" w:hAnsi="仿宋" w:eastAsia="仿宋"/>
          <w:sz w:val="24"/>
          <w:lang w:val="en-US" w:eastAsia="zh-CN"/>
        </w:rPr>
      </w:pPr>
      <w:r>
        <w:rPr>
          <w:rFonts w:hint="eastAsia" w:ascii="仿宋" w:hAnsi="仿宋" w:eastAsia="仿宋"/>
          <w:sz w:val="24"/>
          <w:lang w:val="en-US" w:eastAsia="zh-CN"/>
        </w:rPr>
        <w:t>2规范性引用文件；</w:t>
      </w:r>
    </w:p>
    <w:p w14:paraId="0D3563A5">
      <w:pPr>
        <w:ind w:firstLine="480" w:firstLineChars="200"/>
        <w:rPr>
          <w:rFonts w:hint="eastAsia" w:ascii="仿宋" w:hAnsi="仿宋" w:eastAsia="仿宋"/>
          <w:sz w:val="24"/>
          <w:lang w:val="en-US" w:eastAsia="zh-CN"/>
        </w:rPr>
      </w:pPr>
      <w:r>
        <w:rPr>
          <w:rFonts w:hint="eastAsia" w:ascii="仿宋" w:hAnsi="仿宋" w:eastAsia="仿宋"/>
          <w:sz w:val="24"/>
          <w:lang w:val="en-US" w:eastAsia="zh-CN"/>
        </w:rPr>
        <w:t>3术语和定义；</w:t>
      </w:r>
    </w:p>
    <w:p w14:paraId="2DE639E6">
      <w:pPr>
        <w:ind w:firstLine="480" w:firstLineChars="200"/>
        <w:rPr>
          <w:rFonts w:hint="eastAsia" w:ascii="仿宋" w:hAnsi="仿宋" w:eastAsia="仿宋"/>
          <w:sz w:val="24"/>
          <w:lang w:val="en-US" w:eastAsia="zh-CN"/>
        </w:rPr>
      </w:pPr>
      <w:r>
        <w:rPr>
          <w:rFonts w:hint="eastAsia" w:ascii="仿宋" w:hAnsi="仿宋" w:eastAsia="仿宋"/>
          <w:sz w:val="24"/>
          <w:lang w:val="en-US" w:eastAsia="zh-CN"/>
        </w:rPr>
        <w:t>4基本要求；</w:t>
      </w:r>
    </w:p>
    <w:p w14:paraId="2246B659">
      <w:pPr>
        <w:ind w:firstLine="480" w:firstLineChars="200"/>
        <w:rPr>
          <w:rFonts w:hint="eastAsia" w:ascii="仿宋" w:hAnsi="仿宋" w:eastAsia="仿宋"/>
          <w:sz w:val="24"/>
          <w:lang w:val="en-US" w:eastAsia="zh-CN"/>
        </w:rPr>
      </w:pPr>
      <w:r>
        <w:rPr>
          <w:rFonts w:hint="eastAsia" w:ascii="仿宋" w:hAnsi="仿宋" w:eastAsia="仿宋"/>
          <w:sz w:val="24"/>
          <w:lang w:val="en-US" w:eastAsia="zh-CN"/>
        </w:rPr>
        <w:t>5分级指标体系；</w:t>
      </w:r>
    </w:p>
    <w:p w14:paraId="7E3A9DAB">
      <w:pPr>
        <w:ind w:firstLine="480" w:firstLineChars="200"/>
        <w:rPr>
          <w:rFonts w:hint="eastAsia" w:ascii="仿宋" w:hAnsi="仿宋" w:eastAsia="仿宋"/>
          <w:sz w:val="24"/>
        </w:rPr>
      </w:pPr>
      <w:r>
        <w:rPr>
          <w:rFonts w:hint="eastAsia" w:ascii="仿宋" w:hAnsi="仿宋" w:eastAsia="仿宋"/>
          <w:sz w:val="24"/>
          <w:lang w:val="en-US" w:eastAsia="zh-CN"/>
        </w:rPr>
        <w:t>6评价方法</w:t>
      </w:r>
      <w:r>
        <w:rPr>
          <w:rFonts w:hint="eastAsia" w:ascii="仿宋" w:hAnsi="仿宋" w:eastAsia="仿宋"/>
          <w:sz w:val="24"/>
        </w:rPr>
        <w:t>。</w:t>
      </w:r>
    </w:p>
    <w:p w14:paraId="5BC8BEB8">
      <w:pPr>
        <w:ind w:firstLine="480" w:firstLineChars="200"/>
        <w:rPr>
          <w:rFonts w:hint="default" w:ascii="仿宋" w:hAnsi="仿宋" w:eastAsia="仿宋"/>
          <w:sz w:val="24"/>
          <w:lang w:val="en-US" w:eastAsia="zh-CN"/>
        </w:rPr>
      </w:pPr>
      <w:r>
        <w:rPr>
          <w:rFonts w:hint="eastAsia" w:ascii="仿宋" w:hAnsi="仿宋" w:eastAsia="仿宋"/>
          <w:sz w:val="24"/>
          <w:lang w:val="en-US" w:eastAsia="zh-CN"/>
        </w:rPr>
        <w:t>附录A</w:t>
      </w:r>
    </w:p>
    <w:p w14:paraId="456FF87C">
      <w:pPr>
        <w:ind w:firstLine="482" w:firstLineChars="200"/>
        <w:rPr>
          <w:rFonts w:hint="default" w:ascii="仿宋" w:hAnsi="仿宋" w:eastAsia="仿宋"/>
          <w:b/>
          <w:bCs/>
          <w:sz w:val="24"/>
          <w:lang w:val="en-US" w:eastAsia="zh-CN"/>
        </w:rPr>
      </w:pPr>
    </w:p>
    <w:p w14:paraId="7C949515">
      <w:pPr>
        <w:ind w:firstLine="480" w:firstLineChars="200"/>
        <w:rPr>
          <w:rFonts w:ascii="黑体" w:hAnsi="黑体" w:eastAsia="黑体" w:cs="黑体"/>
          <w:color w:val="000000" w:themeColor="text1"/>
          <w:sz w:val="30"/>
          <w:szCs w:val="30"/>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 xml:space="preserve">三、采用国际标准和国外先进标准情况  </w:t>
      </w:r>
      <w:r>
        <w:rPr>
          <w:rFonts w:hint="eastAsia" w:ascii="黑体" w:hAnsi="黑体" w:eastAsia="黑体" w:cs="黑体"/>
          <w:color w:val="000000" w:themeColor="text1"/>
          <w:sz w:val="30"/>
          <w:szCs w:val="30"/>
          <w14:textFill>
            <w14:solidFill>
              <w14:schemeClr w14:val="tx1"/>
            </w14:solidFill>
          </w14:textFill>
        </w:rPr>
        <w:t xml:space="preserve"> </w:t>
      </w:r>
    </w:p>
    <w:p w14:paraId="4E195EAD">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国外尚未发布此类标准，在国际上无对比对象。</w:t>
      </w:r>
    </w:p>
    <w:p w14:paraId="292CDDE1">
      <w:pPr>
        <w:ind w:firstLine="420" w:firstLineChars="200"/>
        <w:rPr>
          <w:rFonts w:ascii="仿宋" w:hAnsi="仿宋" w:eastAsia="仿宋" w:cs="仿宋"/>
          <w:color w:val="000000" w:themeColor="text1"/>
          <w:szCs w:val="21"/>
          <w14:textFill>
            <w14:solidFill>
              <w14:schemeClr w14:val="tx1"/>
            </w14:solidFill>
          </w14:textFill>
        </w:rPr>
      </w:pPr>
    </w:p>
    <w:p w14:paraId="50DE7D56">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四、主要</w:t>
      </w:r>
      <w:r>
        <w:rPr>
          <w:rFonts w:hint="eastAsia" w:ascii="黑体" w:hAnsi="黑体" w:eastAsia="黑体" w:cs="黑体"/>
          <w:color w:val="000000" w:themeColor="text1"/>
          <w:sz w:val="24"/>
          <w:lang w:val="en-US" w:eastAsia="zh-CN"/>
          <w14:textFill>
            <w14:solidFill>
              <w14:schemeClr w14:val="tx1"/>
            </w14:solidFill>
          </w14:textFill>
        </w:rPr>
        <w:t>关键指标及</w:t>
      </w:r>
      <w:r>
        <w:rPr>
          <w:rFonts w:hint="eastAsia" w:ascii="黑体" w:hAnsi="黑体" w:eastAsia="黑体" w:cs="黑体"/>
          <w:color w:val="000000" w:themeColor="text1"/>
          <w:sz w:val="24"/>
          <w14:textFill>
            <w14:solidFill>
              <w14:schemeClr w14:val="tx1"/>
            </w14:solidFill>
          </w14:textFill>
        </w:rPr>
        <w:t>试验验证情况</w:t>
      </w:r>
    </w:p>
    <w:p w14:paraId="5F2663CB">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本技术概要通过明确适用范围、细化分级指标内容、合理的评价方法，为新能源电动汽车充电设施的质量提升提供了有力支撑。同时，也促进了新能源电动汽车充电设施行业的高质量发展。</w:t>
      </w:r>
    </w:p>
    <w:p w14:paraId="7268951F">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五、与现行法律、法规和政策及相关标准的协调性</w:t>
      </w:r>
    </w:p>
    <w:p w14:paraId="1C94C062">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与现行相关法律、法规、规章及标准没有冲突。</w:t>
      </w:r>
    </w:p>
    <w:p w14:paraId="2FB4E2F6">
      <w:pPr>
        <w:ind w:firstLine="420" w:firstLineChars="200"/>
        <w:rPr>
          <w:rFonts w:ascii="仿宋" w:hAnsi="仿宋" w:eastAsia="仿宋" w:cs="仿宋"/>
          <w:color w:val="000000" w:themeColor="text1"/>
          <w:szCs w:val="21"/>
          <w14:textFill>
            <w14:solidFill>
              <w14:schemeClr w14:val="tx1"/>
            </w14:solidFill>
          </w14:textFill>
        </w:rPr>
      </w:pPr>
    </w:p>
    <w:p w14:paraId="0F7D8924">
      <w:p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六、贯彻标准的要求和措施建议</w:t>
      </w:r>
    </w:p>
    <w:p w14:paraId="4CC2F4A7">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根据本标准提出的电动汽车供电设备质量分级技术指标，指导企业对充电设施高质量发</w:t>
      </w:r>
      <w:bookmarkStart w:id="0" w:name="_GoBack"/>
      <w:bookmarkEnd w:id="0"/>
      <w:r>
        <w:rPr>
          <w:rFonts w:hint="eastAsia" w:ascii="仿宋" w:hAnsi="仿宋" w:eastAsia="仿宋" w:cs="仿宋"/>
          <w:color w:val="000000" w:themeColor="text1"/>
          <w:sz w:val="24"/>
          <w:lang w:val="en-US" w:eastAsia="zh-CN"/>
          <w14:textFill>
            <w14:solidFill>
              <w14:schemeClr w14:val="tx1"/>
            </w14:solidFill>
          </w14:textFill>
        </w:rPr>
        <w:t>展，以满足国家新能源战略的要求。在贯彻措施方面，首先应在实施前保证本标准的宣传，使每个相关企业都能及时获知本标准并能获取，这是保证新标准贯彻实施的基础。其次，对于标准适用过程中容易出现的疑问，起草单位有义务进行必要的解释。最后可以针对标准适用的不同对象，有侧重点地进行标准的培训和宣贯，以保证标准的贯彻实施。</w:t>
      </w:r>
    </w:p>
    <w:p w14:paraId="3DD60F1A">
      <w:pPr>
        <w:ind w:left="360" w:firstLine="416" w:firstLineChars="0"/>
        <w:rPr>
          <w:rFonts w:hint="eastAsia" w:ascii="仿宋" w:hAnsi="仿宋" w:eastAsia="仿宋" w:cs="仿宋"/>
          <w:color w:val="000000" w:themeColor="text1"/>
          <w:sz w:val="24"/>
          <w:lang w:val="en-US" w:eastAsia="zh-CN"/>
          <w14:textFill>
            <w14:solidFill>
              <w14:schemeClr w14:val="tx1"/>
            </w14:solidFill>
          </w14:textFill>
        </w:rPr>
      </w:pPr>
    </w:p>
    <w:p w14:paraId="688E8A89">
      <w:pPr>
        <w:numPr>
          <w:ilvl w:val="0"/>
          <w:numId w:val="3"/>
        </w:numPr>
        <w:ind w:firstLine="480" w:firstLineChars="200"/>
        <w:rPr>
          <w:rFonts w:ascii="黑体" w:hAnsi="黑体" w:eastAsia="黑体" w:cs="黑体"/>
          <w:color w:val="000000" w:themeColor="text1"/>
          <w:sz w:val="24"/>
          <w14:textFill>
            <w14:solidFill>
              <w14:schemeClr w14:val="tx1"/>
            </w14:solidFill>
          </w14:textFill>
        </w:rPr>
      </w:pPr>
      <w:r>
        <w:rPr>
          <w:rFonts w:hint="eastAsia" w:ascii="黑体" w:hAnsi="黑体" w:eastAsia="黑体" w:cs="黑体"/>
          <w:color w:val="000000" w:themeColor="text1"/>
          <w:sz w:val="24"/>
          <w14:textFill>
            <w14:solidFill>
              <w14:schemeClr w14:val="tx1"/>
            </w14:solidFill>
          </w14:textFill>
        </w:rPr>
        <w:t>其他需要说明的事项</w:t>
      </w:r>
    </w:p>
    <w:p w14:paraId="5C044D52">
      <w:pPr>
        <w:ind w:left="360" w:firstLine="416" w:firstLineChars="0"/>
        <w:rPr>
          <w:rFonts w:hint="default" w:ascii="仿宋" w:hAnsi="仿宋" w:eastAsia="仿宋" w:cs="仿宋"/>
          <w:color w:val="000000" w:themeColor="text1"/>
          <w:sz w:val="24"/>
          <w:lang w:val="en-US" w:eastAsia="zh-CN"/>
          <w14:textFill>
            <w14:solidFill>
              <w14:schemeClr w14:val="tx1"/>
            </w14:solidFill>
          </w14:textFill>
        </w:rPr>
      </w:pPr>
      <w:r>
        <w:rPr>
          <w:rFonts w:hint="eastAsia" w:ascii="仿宋" w:hAnsi="仿宋" w:eastAsia="仿宋" w:cs="仿宋"/>
          <w:color w:val="000000" w:themeColor="text1"/>
          <w:sz w:val="24"/>
          <w:lang w:val="en-US" w:eastAsia="zh-CN"/>
          <w14:textFill>
            <w14:solidFill>
              <w14:schemeClr w14:val="tx1"/>
            </w14:solidFill>
          </w14:textFill>
        </w:rPr>
        <w:t>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60A38F"/>
    <w:multiLevelType w:val="singleLevel"/>
    <w:tmpl w:val="C760A38F"/>
    <w:lvl w:ilvl="0" w:tentative="0">
      <w:start w:val="1"/>
      <w:numFmt w:val="chineseCounting"/>
      <w:suff w:val="nothing"/>
      <w:lvlText w:val="%1、"/>
      <w:lvlJc w:val="left"/>
      <w:rPr>
        <w:rFonts w:hint="eastAsia"/>
      </w:rPr>
    </w:lvl>
  </w:abstractNum>
  <w:abstractNum w:abstractNumId="1">
    <w:nsid w:val="E319F839"/>
    <w:multiLevelType w:val="singleLevel"/>
    <w:tmpl w:val="E319F839"/>
    <w:lvl w:ilvl="0" w:tentative="0">
      <w:start w:val="1"/>
      <w:numFmt w:val="chineseCounting"/>
      <w:suff w:val="nothing"/>
      <w:lvlText w:val="（%1）"/>
      <w:lvlJc w:val="left"/>
      <w:pPr>
        <w:ind w:left="360" w:firstLine="0"/>
      </w:pPr>
      <w:rPr>
        <w:rFonts w:hint="eastAsia"/>
      </w:rPr>
    </w:lvl>
  </w:abstractNum>
  <w:abstractNum w:abstractNumId="2">
    <w:nsid w:val="E3C56D80"/>
    <w:multiLevelType w:val="singleLevel"/>
    <w:tmpl w:val="E3C56D80"/>
    <w:lvl w:ilvl="0" w:tentative="0">
      <w:start w:val="7"/>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F61E9"/>
    <w:rsid w:val="17FE211F"/>
    <w:rsid w:val="72EF6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479</Words>
  <Characters>483</Characters>
  <Lines>0</Lines>
  <Paragraphs>0</Paragraphs>
  <TotalTime>41</TotalTime>
  <ScaleCrop>false</ScaleCrop>
  <LinksUpToDate>false</LinksUpToDate>
  <CharactersWithSpaces>491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2022-04-24T14:35:00Z</dcterms:created>
  <dc:creator>ZHQ</dc:creator>
  <cp:lastModifiedBy>万景飞</cp:lastModifiedBy>
  <dcterms:modified xsi:type="dcterms:W3CDTF">2025-04-09T12:48:25Z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eyJoZGlkIjoiOTNmMTU2N2FhZTBiY2EzZmY0NzU5MTBlOTg4M2ZjMDEiLCJ1c2VySWQiOiIzNDAyMDg5NjMifQ==</vt:lpwstr>
  </property>
  <property fmtid="{D5CDD505-2E9C-101B-9397-08002B2CF9AE}" pid="4" name="ICV">
    <vt:lpwstr>47268906F8F3404DA56A209BD6C7560A_12</vt:lpwstr>
  </property>
</Properties>
</file>