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62"/>
        <w:framePr w:vAnchor="page" w:y="553"/>
        <w:rPr>
          <w:rFonts w:ascii="Times New Roman"/>
        </w:rPr>
      </w:pPr>
      <w:r>
        <w:rPr>
          <w:rFonts w:ascii="Times New Roman"/>
          <w:b/>
          <w:bCs/>
        </w:rPr>
        <w:t>ICS</w:t>
      </w:r>
      <w:r>
        <w:rPr>
          <w:rFonts w:hint="eastAsia" w:ascii="Times New Roman"/>
          <w:b/>
          <w:bCs/>
        </w:rPr>
        <w:t xml:space="preserve"> </w:t>
      </w:r>
      <w:r>
        <w:rPr>
          <w:rFonts w:hint="eastAsia" w:ascii="Times New Roman"/>
        </w:rPr>
        <w:t xml:space="preserve">43.060.01 </w:t>
      </w:r>
    </w:p>
    <w:p>
      <w:pPr>
        <w:pStyle w:val="62"/>
        <w:framePr w:vAnchor="page" w:y="553"/>
        <w:rPr>
          <w:rFonts w:ascii="Times New Roman"/>
        </w:rPr>
      </w:pPr>
      <w:r>
        <w:rPr>
          <w:rFonts w:hint="eastAsia" w:ascii="Times New Roman"/>
          <w:b/>
          <w:bCs/>
        </w:rPr>
        <w:t>CC</w:t>
      </w:r>
      <w:r>
        <w:rPr>
          <w:rFonts w:ascii="Times New Roman"/>
          <w:b/>
          <w:bCs/>
        </w:rPr>
        <w:t>S</w:t>
      </w:r>
      <w:r>
        <w:rPr>
          <w:rFonts w:hint="eastAsia" w:ascii="Times New Roman"/>
        </w:rPr>
        <w:t xml:space="preserve"> T 10</w:t>
      </w:r>
    </w:p>
    <w:tbl>
      <w:tblPr>
        <w:tblStyle w:val="4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0" w:type="dxa"/>
            <w:tcBorders>
              <w:top w:val="nil"/>
              <w:left w:val="nil"/>
              <w:bottom w:val="nil"/>
              <w:right w:val="nil"/>
            </w:tcBorders>
          </w:tcPr>
          <w:p>
            <w:pPr>
              <w:pStyle w:val="62"/>
              <w:framePr w:vAnchor="page" w:y="553"/>
              <w:rPr>
                <w:rFonts w:ascii="Times New Roman"/>
              </w:rPr>
            </w:pPr>
          </w:p>
        </w:tc>
      </w:tr>
    </w:tbl>
    <w:p>
      <w:pPr>
        <w:pStyle w:val="123"/>
        <w:framePr w:x="1312" w:y="1971"/>
        <w:rPr>
          <w:rFonts w:ascii="Times New Roman" w:hAnsi="Times New Roman"/>
          <w:sz w:val="84"/>
          <w:szCs w:val="84"/>
        </w:rPr>
      </w:pPr>
      <w:r>
        <w:rPr>
          <w:rFonts w:ascii="Times New Roman" w:hAnsi="Times New Roman"/>
          <w:sz w:val="84"/>
          <w:szCs w:val="84"/>
        </w:rPr>
        <w:t>团体标准</w:t>
      </w:r>
    </w:p>
    <w:p>
      <w:pPr>
        <w:pStyle w:val="52"/>
        <w:framePr/>
        <w:rPr>
          <w:rFonts w:ascii="Times New Roman"/>
        </w:rPr>
      </w:pPr>
      <w:bookmarkStart w:id="0" w:name="StdName"/>
      <w:r>
        <w:rPr>
          <w:rFonts w:hint="eastAsia" w:ascii="Times New Roman"/>
        </w:rPr>
        <w:t>重型商用车天然气发动机高寒道路</w:t>
      </w:r>
    </w:p>
    <w:p>
      <w:pPr>
        <w:pStyle w:val="52"/>
        <w:framePr/>
        <w:rPr>
          <w:rFonts w:ascii="Times New Roman"/>
        </w:rPr>
      </w:pPr>
      <w:r>
        <w:rPr>
          <w:rFonts w:hint="eastAsia" w:ascii="Times New Roman"/>
        </w:rPr>
        <w:t>试验方法</w:t>
      </w:r>
    </w:p>
    <w:bookmarkEnd w:id="0"/>
    <w:p>
      <w:pPr>
        <w:pStyle w:val="52"/>
        <w:framePr/>
        <w:rPr>
          <w:rFonts w:ascii="Times New Roman"/>
        </w:rPr>
      </w:pPr>
    </w:p>
    <w:p>
      <w:pPr>
        <w:pStyle w:val="51"/>
        <w:framePr/>
        <w:rPr>
          <w:bCs/>
        </w:rPr>
      </w:pPr>
      <w:r>
        <w:rPr>
          <w:rFonts w:hint="eastAsia"/>
          <w:bCs/>
        </w:rPr>
        <w:t xml:space="preserve">Road Test Method </w:t>
      </w:r>
      <w:r>
        <w:rPr>
          <w:bCs/>
        </w:rPr>
        <w:t>of</w:t>
      </w:r>
      <w:r>
        <w:rPr>
          <w:rFonts w:hint="eastAsia"/>
          <w:bCs/>
        </w:rPr>
        <w:t xml:space="preserve"> </w:t>
      </w:r>
      <w:r>
        <w:rPr>
          <w:bCs/>
        </w:rPr>
        <w:t>N</w:t>
      </w:r>
      <w:r>
        <w:rPr>
          <w:rFonts w:hint="eastAsia"/>
          <w:bCs/>
        </w:rPr>
        <w:t>a</w:t>
      </w:r>
      <w:r>
        <w:rPr>
          <w:bCs/>
        </w:rPr>
        <w:t xml:space="preserve">tural </w:t>
      </w:r>
      <w:r>
        <w:rPr>
          <w:rFonts w:hint="eastAsia"/>
          <w:bCs/>
        </w:rPr>
        <w:t>Gas Engine for Heavy-duty Commercial Veh</w:t>
      </w:r>
      <w:r>
        <w:rPr>
          <w:bCs/>
        </w:rPr>
        <w:t>icles B</w:t>
      </w:r>
      <w:r>
        <w:rPr>
          <w:rFonts w:hint="eastAsia"/>
          <w:bCs/>
        </w:rPr>
        <w:t>ased</w:t>
      </w:r>
      <w:r>
        <w:rPr>
          <w:bCs/>
        </w:rPr>
        <w:t xml:space="preserve"> on </w:t>
      </w:r>
      <w:r>
        <w:rPr>
          <w:rFonts w:hint="eastAsia"/>
          <w:bCs/>
        </w:rPr>
        <w:t>High Cold Area</w:t>
      </w:r>
    </w:p>
    <w:tbl>
      <w:tblPr>
        <w:tblStyle w:val="4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79"/>
              <w:framePr/>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81"/>
              <w:framePr/>
              <w:rPr>
                <w:rFonts w:ascii="Times New Roman"/>
              </w:rPr>
            </w:pPr>
          </w:p>
        </w:tc>
      </w:tr>
    </w:tbl>
    <w:p>
      <w:pPr>
        <w:pStyle w:val="134"/>
        <w:framePr w:hAnchor="page" w:x="1606" w:y="14037"/>
      </w:pPr>
      <w:bookmarkStart w:id="1" w:name="OLE_LINK1"/>
      <w:r>
        <w:rPr>
          <w:rFonts w:hint="eastAsia"/>
        </w:rPr>
        <w:t>202</w:t>
      </w:r>
      <w:r>
        <w:t>4</w:t>
      </w:r>
      <w:r>
        <w:rPr>
          <w:rFonts w:hint="eastAsia"/>
        </w:rPr>
        <w:t>-XX-XX发布</w:t>
      </w:r>
      <w:bookmarkEnd w:id="1"/>
    </w:p>
    <w:p>
      <w:pPr>
        <w:pStyle w:val="134"/>
        <w:framePr w:w="2857" w:hAnchor="page" w:x="8366" w:y="14037"/>
      </w:pPr>
      <w:bookmarkStart w:id="2" w:name="OLE_LINK2"/>
      <w:r>
        <w:rPr>
          <w:rFonts w:hint="eastAsia"/>
        </w:rPr>
        <w:t>202</w:t>
      </w:r>
      <w:r>
        <w:t>4</w:t>
      </w:r>
      <w:r>
        <w:rPr>
          <w:rFonts w:hint="eastAsia"/>
        </w:rPr>
        <w:t>-XX-XX实施</w:t>
      </w:r>
    </w:p>
    <w:bookmarkEnd w:id="2"/>
    <w:p>
      <w:pPr>
        <w:pStyle w:val="137"/>
        <w:framePr/>
        <w:ind w:firstLine="630"/>
        <w:rPr>
          <w:rFonts w:ascii="Times New Roman"/>
        </w:rPr>
      </w:pPr>
      <w:r>
        <w:rPr>
          <w:rFonts w:hint="eastAsia" w:ascii="Times New Roman"/>
        </w:rPr>
        <w:t>中国汽车工业协会</w:t>
      </w:r>
      <w:r>
        <w:rPr>
          <w:rFonts w:ascii="Times New Roman"/>
        </w:rPr>
        <w:t>  </w:t>
      </w:r>
      <w:r>
        <w:rPr>
          <w:rStyle w:val="144"/>
          <w:rFonts w:ascii="Times New Roman"/>
        </w:rPr>
        <w:t>发布</w:t>
      </w:r>
    </w:p>
    <w:p>
      <w:pPr>
        <w:pStyle w:val="132"/>
        <w:framePr/>
        <w:rPr>
          <w:rFonts w:ascii="Times New Roman" w:cs="黑体"/>
        </w:rPr>
      </w:pPr>
      <w:r>
        <w:rPr>
          <w:rFonts w:hint="eastAsia" w:ascii="Times New Roman" w:cs="黑体"/>
        </w:rPr>
        <w:t>T</w:t>
      </w:r>
      <w:r>
        <w:rPr>
          <w:rFonts w:ascii="Times New Roman"/>
        </w:rPr>
        <w:t>/</w:t>
      </w:r>
      <w:r>
        <w:rPr>
          <w:rFonts w:hint="eastAsia" w:ascii="Times New Roman" w:cs="黑体"/>
        </w:rPr>
        <w:fldChar w:fldCharType="begin">
          <w:ffData>
            <w:name w:val="StdNo0"/>
            <w:enabled/>
            <w:calcOnExit w:val="0"/>
            <w:textInput>
              <w:default w:val="CAAMTB"/>
            </w:textInput>
          </w:ffData>
        </w:fldChar>
      </w:r>
      <w:r>
        <w:rPr>
          <w:rFonts w:hint="eastAsia" w:ascii="Times New Roman" w:cs="黑体"/>
        </w:rPr>
        <w:instrText xml:space="preserve">FORMTEXT</w:instrText>
      </w:r>
      <w:r>
        <w:rPr>
          <w:rFonts w:hint="eastAsia" w:ascii="Times New Roman" w:cs="黑体"/>
        </w:rPr>
        <w:fldChar w:fldCharType="separate"/>
      </w:r>
      <w:r>
        <w:rPr>
          <w:rFonts w:hint="eastAsia" w:ascii="Times New Roman" w:cs="黑体"/>
        </w:rPr>
        <w:t>CAAMTB</w:t>
      </w:r>
      <w:r>
        <w:rPr>
          <w:rFonts w:hint="eastAsia" w:ascii="Times New Roman" w:cs="黑体"/>
        </w:rPr>
        <w:fldChar w:fldCharType="end"/>
      </w:r>
      <w:r>
        <w:rPr>
          <w:rFonts w:hint="eastAsia" w:ascii="Times New Roman" w:cs="黑体"/>
        </w:rPr>
        <w:t xml:space="preserve"> </w:t>
      </w:r>
      <w:bookmarkStart w:id="3" w:name="StdNo1"/>
      <w:r>
        <w:rPr>
          <w:rFonts w:hint="eastAsia" w:ascii="Times New Roman" w:cs="黑体"/>
        </w:rPr>
        <w:fldChar w:fldCharType="begin">
          <w:ffData>
            <w:name w:val="StdNo1"/>
            <w:enabled/>
            <w:calcOnExit w:val="0"/>
            <w:textInput>
              <w:default w:val="32"/>
            </w:textInput>
          </w:ffData>
        </w:fldChar>
      </w:r>
      <w:r>
        <w:rPr>
          <w:rFonts w:hint="eastAsia" w:ascii="Times New Roman" w:cs="黑体"/>
        </w:rPr>
        <w:instrText xml:space="preserve">FORMTEXT</w:instrText>
      </w:r>
      <w:r>
        <w:rPr>
          <w:rFonts w:hint="eastAsia" w:ascii="Times New Roman" w:cs="黑体"/>
        </w:rPr>
        <w:fldChar w:fldCharType="separate"/>
      </w:r>
      <w:r>
        <w:rPr>
          <w:rFonts w:hint="eastAsia" w:ascii="Times New Roman" w:cs="黑体"/>
        </w:rPr>
        <w:t>XX</w:t>
      </w:r>
      <w:r>
        <w:rPr>
          <w:rFonts w:hint="eastAsia" w:ascii="Times New Roman" w:cs="黑体"/>
        </w:rPr>
        <w:fldChar w:fldCharType="end"/>
      </w:r>
      <w:bookmarkEnd w:id="3"/>
      <w:r>
        <w:rPr>
          <w:rFonts w:hint="eastAsia" w:ascii="Times New Roman" w:cs="黑体"/>
        </w:rPr>
        <w:t>—</w:t>
      </w:r>
      <w:r>
        <w:rPr>
          <w:rFonts w:ascii="Times New Roman" w:cs="黑体"/>
        </w:rPr>
        <w:t>2024</w:t>
      </w:r>
    </w:p>
    <w:tbl>
      <w:tblPr>
        <w:tblStyle w:val="4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19"/>
              <w:framePr/>
              <w:rPr>
                <w:rFonts w:ascii="Times New Roman" w:cs="黑体"/>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vert="horz" wrap="square" anchor="t" upright="1"/>
                          </wps:wsp>
                        </a:graphicData>
                      </a:graphic>
                    </wp:anchor>
                  </w:drawing>
                </mc:Choice>
                <mc:Fallback>
                  <w:pict>
                    <v:rect id="DT" o:spid="_x0000_s1026" o:spt="1" style="position:absolute;left:0pt;margin-left:372.85pt;margin-top:2.7pt;height:18pt;width:90pt;z-index:-251655168;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SNbeLWAAAACAEAAA8AAAAAAAAAAQAg&#10;AAAAIgAAAGRycy9kb3ducmV2LnhtbFBLAQIUABQAAAAIAIdO4kBQArAVngEAADADAAAOAAAAAAAA&#10;AAEAIAAAACUBAABkcnMvZTJvRG9jLnhtbFBLBQYAAAAABgAGAFkBAAA1BQAAAAA=&#10;">
                      <v:fill on="t" focussize="0,0"/>
                      <v:stroke on="f"/>
                      <v:imagedata o:title=""/>
                      <o:lock v:ext="edit" aspectratio="f"/>
                    </v:rect>
                  </w:pict>
                </mc:Fallback>
              </mc:AlternateContent>
            </w:r>
          </w:p>
        </w:tc>
      </w:tr>
    </w:tbl>
    <w:p>
      <w:pPr>
        <w:pStyle w:val="27"/>
        <w:ind w:firstLine="7000" w:firstLineChars="2500"/>
        <w:rPr>
          <w:rFonts w:ascii="Times New Roman" w:eastAsia="黑体"/>
          <w:sz w:val="28"/>
          <w:szCs w:val="28"/>
        </w:rPr>
        <w:sectPr>
          <w:headerReference r:id="rId3" w:type="even"/>
          <w:footerReference r:id="rId4" w:type="even"/>
          <w:pgSz w:w="11906" w:h="16838"/>
          <w:pgMar w:top="567" w:right="1134" w:bottom="1134" w:left="1418" w:header="0" w:footer="0" w:gutter="0"/>
          <w:pgNumType w:start="1"/>
          <w:cols w:space="720" w:num="1"/>
          <w:docGrid w:type="lines" w:linePitch="312" w:charSpace="0"/>
        </w:sectPr>
      </w:pPr>
      <w:r>
        <w:rPr>
          <w:rFonts w:ascii="Times New Roman"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2249805</wp:posOffset>
                </wp:positionV>
                <wp:extent cx="6121400" cy="635"/>
                <wp:effectExtent l="0" t="0" r="31750" b="37465"/>
                <wp:wrapNone/>
                <wp:docPr id="5"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7.85pt;margin-top:177.15pt;height:0.05pt;width:482pt;z-index:251659264;mso-width-relative:page;mso-height-relative:page;" filled="f" stroked="t" coordsize="21600,21600" o:gfxdata="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NrFJjZAAAACwEAAA8AAAAAAAAAAQAgAAAAIgAAAGRycy9kb3du&#10;cmV2LnhtbFBLAQIUABQAAAAIAIdO4kBM/lv6xQEAAIQDAAAOAAAAAAAAAAEAIAAAACgBAABkcnMv&#10;ZTJvRG9jLnhtbFBLBQYAAAAABgAGAFkBAABfBQAAAAA=&#10;">
                <v:fill on="f" focussize="0,0"/>
                <v:stroke color="#000000" joinstyle="round"/>
                <v:imagedata o:title=""/>
                <o:lock v:ext="edit" aspectratio="f"/>
              </v:line>
            </w:pict>
          </mc:Fallback>
        </mc:AlternateContent>
      </w:r>
      <w:r>
        <w:rPr>
          <w:rFonts w:ascii="Times New Roman"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9028430</wp:posOffset>
                </wp:positionV>
                <wp:extent cx="6121400" cy="635"/>
                <wp:effectExtent l="0" t="0" r="0" b="0"/>
                <wp:wrapNone/>
                <wp:docPr id="6"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15pt;margin-top:710.9pt;height:0.05pt;width:482pt;z-index:251660288;mso-width-relative:page;mso-height-relative:page;" filled="f" stroked="t" coordsize="21600,21600" o:gfxdata="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0yba2QAAAA0BAAAPAAAAAAAAAAEAIAAAACIAAABkcnMvZG93&#10;bnJldi54bWxQSwECFAAUAAAACACHTuJAUpdoYMYBAACEAwAADgAAAAAAAAABACAAAAAoAQAAZHJz&#10;L2Uyb0RvYy54bWxQSwUGAAAAAAYABgBZAQAAYAUAAAAA&#10;">
                <v:fill on="f" focussize="0,0"/>
                <v:stroke color="#000000" joinstyle="round"/>
                <v:imagedata o:title=""/>
                <o:lock v:ext="edit" aspectratio="f"/>
              </v:line>
            </w:pict>
          </mc:Fallback>
        </mc:AlternateContent>
      </w:r>
    </w:p>
    <w:p>
      <w:pPr>
        <w:pStyle w:val="133"/>
        <w:rPr>
          <w:rFonts w:ascii="Times New Roman"/>
        </w:rPr>
      </w:pPr>
      <w:bookmarkStart w:id="4" w:name="_Toc28669"/>
      <w:bookmarkStart w:id="5" w:name="_Toc14177"/>
      <w:bookmarkStart w:id="6" w:name="_Toc23466"/>
      <w:bookmarkStart w:id="7" w:name="_Toc27687"/>
      <w:bookmarkStart w:id="8" w:name="_Toc12962"/>
      <w:r>
        <w:rPr>
          <w:rFonts w:hint="eastAsia" w:ascii="Times New Roman"/>
        </w:rPr>
        <w:t>目</w:t>
      </w:r>
      <w:bookmarkStart w:id="9" w:name="BKML"/>
      <w:r>
        <w:rPr>
          <w:rFonts w:hint="eastAsia" w:ascii="Times New Roman"/>
        </w:rPr>
        <w:t>  </w:t>
      </w:r>
      <w:r>
        <w:rPr>
          <w:rFonts w:hint="eastAsia" w:ascii="Times New Roman" w:cs="黑体"/>
        </w:rPr>
        <w:t>次</w:t>
      </w:r>
      <w:bookmarkEnd w:id="9"/>
    </w:p>
    <w:p>
      <w:pPr>
        <w:pStyle w:val="23"/>
        <w:tabs>
          <w:tab w:val="right" w:leader="dot" w:pos="9354"/>
          <w:tab w:val="clear" w:pos="9242"/>
        </w:tabs>
        <w:spacing w:before="78" w:after="78"/>
        <w:rPr>
          <w:rFonts w:ascii="Times New Roman" w:cs="宋体"/>
        </w:rPr>
      </w:pPr>
      <w:r>
        <w:rPr>
          <w:rFonts w:hint="eastAsia" w:ascii="Times New Roman" w:cs="宋体"/>
        </w:rPr>
        <w:fldChar w:fldCharType="begin" w:fldLock="1"/>
      </w:r>
      <w:r>
        <w:rPr>
          <w:rFonts w:hint="eastAsia" w:ascii="Times New Roman" w:cs="宋体"/>
        </w:rPr>
        <w:instrText xml:space="preserve"> TOC \h \z \t"前言、引言标题,1,参考文献、索引标题,1,章标题,1,参考文献,1,附录标识,1" \* MERGEFORMAT </w:instrText>
      </w:r>
      <w:r>
        <w:rPr>
          <w:rFonts w:hint="eastAsia" w:ascii="Times New Roman" w:cs="宋体"/>
        </w:rPr>
        <w:fldChar w:fldCharType="separate"/>
      </w:r>
      <w:r>
        <w:fldChar w:fldCharType="begin"/>
      </w:r>
      <w:r>
        <w:instrText xml:space="preserve"> HYPERLINK \l "_Toc23365" </w:instrText>
      </w:r>
      <w:r>
        <w:fldChar w:fldCharType="separate"/>
      </w:r>
      <w:r>
        <w:rPr>
          <w:rFonts w:hint="eastAsia" w:ascii="Times New Roman" w:cs="宋体"/>
        </w:rPr>
        <w:t>前言</w:t>
      </w:r>
      <w:r>
        <w:rPr>
          <w:rFonts w:hint="eastAsia" w:ascii="Times New Roman" w:cs="宋体"/>
        </w:rPr>
        <w:tab/>
      </w:r>
      <w:r>
        <w:rPr>
          <w:rFonts w:hint="eastAsia" w:ascii="Times New Roman" w:cs="宋体"/>
        </w:rPr>
        <w:fldChar w:fldCharType="begin"/>
      </w:r>
      <w:r>
        <w:rPr>
          <w:rFonts w:hint="eastAsia" w:ascii="Times New Roman" w:cs="宋体"/>
        </w:rPr>
        <w:instrText xml:space="preserve"> PAGEREF _Toc23365 </w:instrText>
      </w:r>
      <w:r>
        <w:rPr>
          <w:rFonts w:hint="eastAsia" w:ascii="Times New Roman" w:cs="宋体"/>
        </w:rPr>
        <w:fldChar w:fldCharType="separate"/>
      </w:r>
      <w:r>
        <w:rPr>
          <w:rFonts w:ascii="Times New Roman" w:cs="宋体"/>
        </w:rPr>
        <w:t>II</w:t>
      </w:r>
      <w:r>
        <w:rPr>
          <w:rFonts w:hint="eastAsia" w:ascii="Times New Roman" w:cs="宋体"/>
        </w:rPr>
        <w:fldChar w:fldCharType="end"/>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"_Toc10369" </w:instrText>
      </w:r>
      <w:r>
        <w:fldChar w:fldCharType="separate"/>
      </w:r>
      <w:r>
        <w:rPr>
          <w:rFonts w:hint="eastAsia" w:ascii="Times New Roman" w:cs="宋体"/>
        </w:rPr>
        <w:t>1 范围</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"_Toc25895" </w:instrText>
      </w:r>
      <w:r>
        <w:fldChar w:fldCharType="separate"/>
      </w:r>
      <w:r>
        <w:rPr>
          <w:rFonts w:hint="eastAsia" w:ascii="Times New Roman" w:cs="宋体"/>
        </w:rPr>
        <w:t>2 规范性引用文件</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"_Toc12820" </w:instrText>
      </w:r>
      <w:r>
        <w:fldChar w:fldCharType="separate"/>
      </w:r>
      <w:r>
        <w:rPr>
          <w:rFonts w:hint="eastAsia" w:ascii="Times New Roman" w:cs="宋体"/>
        </w:rPr>
        <w:t>3 术语和定义</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"_Toc13025" </w:instrText>
      </w:r>
      <w:r>
        <w:fldChar w:fldCharType="separate"/>
      </w:r>
      <w:r>
        <w:rPr>
          <w:rFonts w:hint="eastAsia" w:ascii="Times New Roman" w:cs="宋体"/>
        </w:rPr>
        <w:t>4 试验条件</w:t>
      </w:r>
      <w:r>
        <w:rPr>
          <w:rFonts w:hint="eastAsia" w:ascii="Times New Roman" w:cs="宋体"/>
        </w:rPr>
        <w:tab/>
      </w:r>
      <w:r>
        <w:rPr>
          <w:rFonts w:hint="eastAsia" w:ascii="Times New Roman" w:cs="宋体"/>
        </w:rPr>
        <w:t>1</w:t>
      </w:r>
      <w:r>
        <w:rPr>
          <w:rFonts w:hint="eastAsia" w:ascii="Times New Roman" w:cs="宋体"/>
        </w:rPr>
        <w:fldChar w:fldCharType="end"/>
      </w:r>
    </w:p>
    <w:p>
      <w:pPr>
        <w:pStyle w:val="23"/>
        <w:tabs>
          <w:tab w:val="right" w:leader="dot" w:pos="9354"/>
          <w:tab w:val="clear" w:pos="9242"/>
        </w:tabs>
        <w:spacing w:before="78" w:after="78"/>
        <w:rPr>
          <w:rFonts w:ascii="Times New Roman" w:cs="宋体"/>
        </w:rPr>
      </w:pPr>
      <w:r>
        <w:fldChar w:fldCharType="begin"/>
      </w:r>
      <w:r>
        <w:instrText xml:space="preserve"> HYPERLINK \l "_Toc3565" </w:instrText>
      </w:r>
      <w:r>
        <w:fldChar w:fldCharType="separate"/>
      </w:r>
      <w:r>
        <w:rPr>
          <w:rFonts w:hint="eastAsia" w:ascii="Times New Roman"/>
        </w:rPr>
        <w:t>5</w:t>
      </w:r>
      <w:r>
        <w:rPr>
          <w:rFonts w:hint="eastAsia" w:ascii="Times New Roman" w:cs="宋体"/>
        </w:rPr>
        <w:t xml:space="preserve"> 高寒道路试验方法</w:t>
      </w:r>
      <w:r>
        <w:rPr>
          <w:rFonts w:hint="eastAsia" w:ascii="Times New Roman" w:cs="宋体"/>
        </w:rPr>
        <w:tab/>
      </w:r>
      <w:r>
        <w:rPr>
          <w:rFonts w:hint="eastAsia" w:ascii="Times New Roman" w:cs="宋体"/>
        </w:rPr>
        <w:t>2</w:t>
      </w:r>
      <w:r>
        <w:rPr>
          <w:rFonts w:hint="eastAsia" w:ascii="Times New Roman" w:cs="宋体"/>
        </w:rPr>
        <w:fldChar w:fldCharType="end"/>
      </w:r>
    </w:p>
    <w:p>
      <w:pPr>
        <w:pStyle w:val="23"/>
        <w:tabs>
          <w:tab w:val="right" w:leader="dot" w:pos="9354"/>
          <w:tab w:val="clear" w:pos="9242"/>
        </w:tabs>
        <w:spacing w:before="78" w:after="78"/>
        <w:rPr>
          <w:rFonts w:ascii="Times New Roman"/>
        </w:rPr>
      </w:pPr>
    </w:p>
    <w:p/>
    <w:p>
      <w:pPr>
        <w:pStyle w:val="23"/>
        <w:tabs>
          <w:tab w:val="right" w:leader="dot" w:pos="9354"/>
          <w:tab w:val="clear" w:pos="9242"/>
        </w:tabs>
        <w:spacing w:before="78" w:after="78"/>
        <w:rPr>
          <w:rFonts w:ascii="Times New Roman" w:cs="宋体"/>
        </w:rPr>
      </w:pPr>
    </w:p>
    <w:p/>
    <w:p>
      <w:pPr>
        <w:pStyle w:val="27"/>
        <w:ind w:firstLine="0" w:firstLineChars="0"/>
        <w:rPr>
          <w:rFonts w:ascii="Times New Roman"/>
        </w:rPr>
      </w:pPr>
      <w:r>
        <w:rPr>
          <w:rFonts w:hint="eastAsia" w:ascii="Times New Roman" w:cs="宋体"/>
        </w:rPr>
        <w:fldChar w:fldCharType="end"/>
      </w:r>
    </w:p>
    <w:p>
      <w:pPr>
        <w:pStyle w:val="76"/>
        <w:rPr>
          <w:rFonts w:ascii="Times New Roman"/>
        </w:rPr>
      </w:pPr>
      <w:bookmarkStart w:id="10" w:name="_Toc23365"/>
      <w:r>
        <w:rPr>
          <w:rFonts w:hint="eastAsia" w:ascii="Times New Roman"/>
        </w:rPr>
        <w:t>前</w:t>
      </w:r>
      <w:bookmarkStart w:id="11" w:name="BKQY"/>
      <w:r>
        <w:rPr>
          <w:rFonts w:hint="eastAsia" w:ascii="Times New Roman"/>
        </w:rPr>
        <w:t>  </w:t>
      </w:r>
      <w:r>
        <w:rPr>
          <w:rFonts w:hint="eastAsia" w:ascii="Times New Roman" w:cs="黑体"/>
        </w:rPr>
        <w:t>言</w:t>
      </w:r>
      <w:bookmarkEnd w:id="4"/>
      <w:bookmarkEnd w:id="5"/>
      <w:bookmarkEnd w:id="6"/>
      <w:bookmarkEnd w:id="7"/>
      <w:bookmarkEnd w:id="8"/>
      <w:bookmarkEnd w:id="10"/>
      <w:bookmarkEnd w:id="11"/>
    </w:p>
    <w:p>
      <w:pPr>
        <w:pStyle w:val="27"/>
        <w:rPr>
          <w:rFonts w:ascii="Times New Roman"/>
          <w:szCs w:val="21"/>
        </w:rPr>
      </w:pPr>
      <w:r>
        <w:rPr>
          <w:rFonts w:ascii="Times New Roman"/>
          <w:szCs w:val="21"/>
        </w:rPr>
        <w:t>本文件按照GB/T</w:t>
      </w:r>
      <w:r>
        <w:rPr>
          <w:rFonts w:hint="eastAsia" w:ascii="Times New Roman"/>
          <w:szCs w:val="21"/>
        </w:rPr>
        <w:t xml:space="preserve"> </w:t>
      </w:r>
      <w:r>
        <w:rPr>
          <w:rFonts w:ascii="Times New Roman"/>
          <w:szCs w:val="21"/>
        </w:rPr>
        <w:t>1.1</w:t>
      </w:r>
      <w:r>
        <w:rPr>
          <w:rFonts w:hint="eastAsia" w:ascii="Times New Roman"/>
          <w:szCs w:val="21"/>
        </w:rPr>
        <w:t>—</w:t>
      </w:r>
      <w:r>
        <w:rPr>
          <w:rFonts w:ascii="Times New Roman"/>
          <w:szCs w:val="21"/>
        </w:rPr>
        <w:t>2020《标准化工作导则</w:t>
      </w:r>
      <w:r>
        <w:rPr>
          <w:rFonts w:hint="eastAsia" w:ascii="Times New Roman"/>
          <w:szCs w:val="21"/>
        </w:rPr>
        <w:t>　</w:t>
      </w:r>
      <w:r>
        <w:rPr>
          <w:rFonts w:ascii="Times New Roman"/>
          <w:szCs w:val="21"/>
        </w:rPr>
        <w:t>第1部分：标准化文件的结构和起草规则》的规定起草。</w:t>
      </w:r>
    </w:p>
    <w:p>
      <w:pPr>
        <w:pStyle w:val="27"/>
        <w:rPr>
          <w:rFonts w:ascii="Times New Roman"/>
          <w:szCs w:val="21"/>
        </w:rPr>
      </w:pPr>
      <w:r>
        <w:rPr>
          <w:rFonts w:hint="eastAsia" w:ascii="Times New Roman"/>
          <w:szCs w:val="21"/>
        </w:rPr>
        <w:t>请注意本文件的某些内容可能涉及专利。本文件的发布机构不承担识别专利的责任。</w:t>
      </w:r>
    </w:p>
    <w:p>
      <w:pPr>
        <w:pStyle w:val="27"/>
        <w:rPr>
          <w:rFonts w:ascii="Times New Roman"/>
        </w:rPr>
      </w:pPr>
      <w:r>
        <w:rPr>
          <w:rFonts w:ascii="Times New Roman"/>
        </w:rPr>
        <w:t>本文件由中国汽车工业</w:t>
      </w:r>
      <w:r>
        <w:rPr>
          <w:rFonts w:hint="eastAsia" w:ascii="Times New Roman"/>
        </w:rPr>
        <w:t>协会</w:t>
      </w:r>
      <w:r>
        <w:rPr>
          <w:rFonts w:hint="eastAsia" w:ascii="Times New Roman"/>
          <w:lang w:val="en-US" w:eastAsia="zh-CN"/>
        </w:rPr>
        <w:t>低碳燃料汽车专委会</w:t>
      </w:r>
      <w:r>
        <w:rPr>
          <w:rFonts w:hint="eastAsia" w:ascii="Times New Roman"/>
        </w:rPr>
        <w:t>提出</w:t>
      </w:r>
      <w:r>
        <w:rPr>
          <w:rFonts w:ascii="Times New Roman"/>
        </w:rPr>
        <w:t>。</w:t>
      </w:r>
    </w:p>
    <w:p>
      <w:pPr>
        <w:pStyle w:val="27"/>
        <w:rPr>
          <w:rFonts w:ascii="Times New Roman"/>
        </w:rPr>
      </w:pPr>
      <w:r>
        <w:rPr>
          <w:rFonts w:ascii="Times New Roman"/>
        </w:rPr>
        <w:t>本文件由中国汽车工业协会</w:t>
      </w:r>
      <w:r>
        <w:rPr>
          <w:rFonts w:hint="eastAsia" w:ascii="Times New Roman"/>
        </w:rPr>
        <w:t>归口</w:t>
      </w:r>
      <w:r>
        <w:rPr>
          <w:rFonts w:ascii="Times New Roman"/>
        </w:rPr>
        <w:t>。</w:t>
      </w:r>
    </w:p>
    <w:p>
      <w:pPr>
        <w:pStyle w:val="27"/>
        <w:rPr>
          <w:rFonts w:ascii="Times New Roman"/>
          <w:szCs w:val="22"/>
        </w:rPr>
      </w:pPr>
      <w:r>
        <w:rPr>
          <w:rFonts w:ascii="Times New Roman"/>
          <w:szCs w:val="22"/>
        </w:rPr>
        <w:t>本文件起草单位：</w:t>
      </w:r>
      <w:r>
        <w:rPr>
          <w:rFonts w:hint="eastAsia" w:ascii="Times New Roman"/>
          <w:szCs w:val="22"/>
        </w:rPr>
        <w:t>。</w:t>
      </w:r>
      <w:bookmarkStart w:id="31" w:name="_GoBack"/>
      <w:bookmarkEnd w:id="31"/>
    </w:p>
    <w:p>
      <w:pPr>
        <w:pStyle w:val="27"/>
        <w:rPr>
          <w:rFonts w:ascii="Times New Roman"/>
          <w:szCs w:val="21"/>
        </w:rPr>
      </w:pPr>
      <w:r>
        <w:rPr>
          <w:rFonts w:ascii="Times New Roman"/>
        </w:rPr>
        <w:t>本文件主要起草人：</w:t>
      </w:r>
      <w:r>
        <w:rPr>
          <w:rStyle w:val="43"/>
          <w:rFonts w:hint="eastAsia" w:ascii="Times New Roman" w:eastAsiaTheme="minorEastAsia" w:cstheme="minorBidi"/>
        </w:rPr>
        <w:t>。</w:t>
      </w:r>
    </w:p>
    <w:p>
      <w:pPr>
        <w:widowControl/>
        <w:ind w:firstLine="420" w:firstLineChars="200"/>
        <w:jc w:val="left"/>
        <w:rPr>
          <w:rFonts w:cs="宋体"/>
          <w:kern w:val="0"/>
          <w:szCs w:val="21"/>
          <w:lang w:bidi="ar"/>
        </w:rPr>
      </w:pPr>
    </w:p>
    <w:p>
      <w:pPr>
        <w:pStyle w:val="27"/>
        <w:ind w:firstLine="0" w:firstLineChars="0"/>
        <w:rPr>
          <w:rFonts w:ascii="Times New Roman"/>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27"/>
        <w:spacing w:line="360" w:lineRule="auto"/>
        <w:ind w:firstLine="640"/>
        <w:jc w:val="center"/>
        <w:rPr>
          <w:rFonts w:ascii="Times New Roman" w:eastAsia="黑体"/>
          <w:sz w:val="32"/>
          <w:szCs w:val="32"/>
        </w:rPr>
      </w:pPr>
      <w:r>
        <w:rPr>
          <w:rFonts w:hint="eastAsia" w:ascii="Times New Roman" w:eastAsia="黑体"/>
          <w:sz w:val="32"/>
          <w:szCs w:val="32"/>
        </w:rPr>
        <w:t>重型商用车天然气发动机高寒道路</w:t>
      </w:r>
      <w:r>
        <w:rPr>
          <w:rFonts w:ascii="Times New Roman" w:eastAsia="黑体"/>
          <w:sz w:val="32"/>
          <w:szCs w:val="32"/>
        </w:rPr>
        <w:t>试验</w:t>
      </w:r>
      <w:r>
        <w:rPr>
          <w:rFonts w:hint="eastAsia" w:ascii="Times New Roman" w:eastAsia="黑体"/>
          <w:sz w:val="32"/>
          <w:szCs w:val="32"/>
        </w:rPr>
        <w:t>方法</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bookmarkStart w:id="12" w:name="_Toc14294"/>
      <w:bookmarkStart w:id="13" w:name="_Toc10369"/>
      <w:bookmarkStart w:id="14" w:name="_Toc23800"/>
      <w:bookmarkStart w:id="15" w:name="_Toc5124"/>
      <w:bookmarkStart w:id="16" w:name="_Toc25761"/>
      <w:bookmarkStart w:id="17" w:name="_Toc72"/>
      <w:r>
        <w:rPr>
          <w:rFonts w:ascii="Times New Roman" w:hAnsi="Times New Roman" w:eastAsia="黑体"/>
          <w:b w:val="0"/>
          <w:kern w:val="2"/>
          <w:sz w:val="21"/>
          <w:szCs w:val="21"/>
        </w:rPr>
        <w:t>范</w:t>
      </w:r>
      <w:bookmarkEnd w:id="12"/>
      <w:bookmarkEnd w:id="13"/>
      <w:bookmarkEnd w:id="14"/>
      <w:bookmarkEnd w:id="15"/>
      <w:bookmarkEnd w:id="16"/>
      <w:bookmarkEnd w:id="17"/>
      <w:r>
        <w:rPr>
          <w:rFonts w:ascii="Times New Roman" w:hAnsi="Times New Roman" w:eastAsia="黑体"/>
          <w:b w:val="0"/>
          <w:kern w:val="2"/>
          <w:sz w:val="21"/>
          <w:szCs w:val="21"/>
        </w:rPr>
        <w:t>围</w:t>
      </w:r>
    </w:p>
    <w:p>
      <w:pPr>
        <w:pStyle w:val="27"/>
        <w:rPr>
          <w:rFonts w:ascii="Times New Roman"/>
        </w:rPr>
      </w:pPr>
      <w:r>
        <w:rPr>
          <w:rFonts w:ascii="Times New Roman"/>
        </w:rPr>
        <w:t>本文件规定</w:t>
      </w:r>
      <w:r>
        <w:rPr>
          <w:rFonts w:hint="eastAsia" w:ascii="Times New Roman"/>
        </w:rPr>
        <w:t>了重型商用车天然气发动机高寒道路试验条件和试验方法</w:t>
      </w:r>
      <w:r>
        <w:rPr>
          <w:rFonts w:ascii="Times New Roman"/>
        </w:rPr>
        <w:t>。</w:t>
      </w:r>
    </w:p>
    <w:p>
      <w:pPr>
        <w:pStyle w:val="27"/>
        <w:rPr>
          <w:rFonts w:ascii="Times New Roman"/>
        </w:rPr>
      </w:pPr>
      <w:r>
        <w:rPr>
          <w:rFonts w:ascii="Times New Roman"/>
        </w:rPr>
        <w:t>本文件适用</w:t>
      </w:r>
      <w:r>
        <w:rPr>
          <w:rFonts w:hint="eastAsia" w:ascii="Times New Roman"/>
        </w:rPr>
        <w:t>于GB 17691-2018定义的重型商用车。</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bookmarkStart w:id="18" w:name="_Toc25895"/>
      <w:bookmarkStart w:id="19" w:name="_Toc7561"/>
      <w:bookmarkStart w:id="20" w:name="_Toc9982"/>
      <w:bookmarkStart w:id="21" w:name="_Toc27354"/>
      <w:bookmarkStart w:id="22" w:name="_Toc27570"/>
      <w:bookmarkStart w:id="23" w:name="_Toc11170"/>
      <w:r>
        <w:rPr>
          <w:rFonts w:ascii="Times New Roman" w:hAnsi="Times New Roman" w:eastAsia="黑体"/>
          <w:b w:val="0"/>
          <w:kern w:val="2"/>
          <w:sz w:val="21"/>
          <w:szCs w:val="21"/>
        </w:rPr>
        <w:t>规范性引用文件</w:t>
      </w:r>
      <w:bookmarkEnd w:id="18"/>
      <w:bookmarkEnd w:id="19"/>
      <w:bookmarkEnd w:id="20"/>
      <w:bookmarkEnd w:id="21"/>
      <w:bookmarkEnd w:id="22"/>
      <w:bookmarkEnd w:id="23"/>
    </w:p>
    <w:p>
      <w:pPr>
        <w:pStyle w:val="27"/>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5"/>
        <w:rPr>
          <w:rFonts w:ascii="Times New Roman"/>
        </w:rPr>
      </w:pPr>
      <w:r>
        <w:rPr>
          <w:rFonts w:hint="eastAsia" w:ascii="Times New Roman"/>
        </w:rPr>
        <w:t>GB/T 1</w:t>
      </w:r>
      <w:r>
        <w:rPr>
          <w:rFonts w:ascii="Times New Roman"/>
        </w:rPr>
        <w:t>147</w:t>
      </w:r>
      <w:r>
        <w:rPr>
          <w:rFonts w:hint="eastAsia" w:ascii="Times New Roman"/>
        </w:rPr>
        <w:t>.</w:t>
      </w:r>
      <w:r>
        <w:rPr>
          <w:rFonts w:ascii="Times New Roman"/>
        </w:rPr>
        <w:t>2</w:t>
      </w:r>
      <w:r>
        <w:rPr>
          <w:rFonts w:hint="eastAsia" w:ascii="Times New Roman"/>
        </w:rPr>
        <w:t xml:space="preserve"> 中小功率</w:t>
      </w:r>
      <w:r>
        <w:rPr>
          <w:rFonts w:ascii="Times New Roman"/>
        </w:rPr>
        <w:t>内燃机</w:t>
      </w:r>
      <w:r>
        <w:rPr>
          <w:rFonts w:hint="eastAsia" w:ascii="Times New Roman"/>
        </w:rPr>
        <w:t xml:space="preserve"> </w:t>
      </w:r>
      <w:r>
        <w:rPr>
          <w:rFonts w:ascii="Times New Roman"/>
        </w:rPr>
        <w:t>第2部分</w:t>
      </w:r>
      <w:r>
        <w:rPr>
          <w:rFonts w:hint="eastAsia" w:ascii="Times New Roman"/>
        </w:rPr>
        <w:t>:试验方法</w:t>
      </w:r>
    </w:p>
    <w:p>
      <w:pPr>
        <w:pStyle w:val="55"/>
        <w:rPr>
          <w:rFonts w:ascii="Times New Roman"/>
        </w:rPr>
      </w:pPr>
      <w:r>
        <w:rPr>
          <w:rFonts w:hint="eastAsia" w:ascii="Times New Roman"/>
        </w:rPr>
        <w:t xml:space="preserve">GB/T 1883.1 </w:t>
      </w:r>
      <w:r>
        <w:rPr>
          <w:rFonts w:ascii="Times New Roman"/>
        </w:rPr>
        <w:t>往复式内燃机</w:t>
      </w:r>
      <w:r>
        <w:rPr>
          <w:rFonts w:hint="eastAsia" w:ascii="Times New Roman"/>
        </w:rPr>
        <w:t xml:space="preserve"> </w:t>
      </w:r>
      <w:r>
        <w:rPr>
          <w:rFonts w:ascii="Times New Roman"/>
        </w:rPr>
        <w:t>词汇 第1部分</w:t>
      </w:r>
      <w:r>
        <w:rPr>
          <w:rFonts w:hint="eastAsia" w:ascii="Times New Roman"/>
        </w:rPr>
        <w:t>:</w:t>
      </w:r>
      <w:r>
        <w:rPr>
          <w:rFonts w:ascii="Times New Roman"/>
        </w:rPr>
        <w:t>发动机设计和运行术语</w:t>
      </w:r>
    </w:p>
    <w:p>
      <w:pPr>
        <w:pStyle w:val="55"/>
        <w:rPr>
          <w:rFonts w:ascii="Times New Roman"/>
        </w:rPr>
      </w:pPr>
      <w:r>
        <w:rPr>
          <w:rFonts w:hint="eastAsia" w:ascii="Times New Roman"/>
        </w:rPr>
        <w:t>GB 17691-2018 重型柴油车污染物排放限值及测量方法（中国第六阶段）</w:t>
      </w:r>
    </w:p>
    <w:p>
      <w:pPr>
        <w:pStyle w:val="55"/>
        <w:rPr>
          <w:rFonts w:ascii="Times New Roman"/>
        </w:rPr>
      </w:pPr>
      <w:r>
        <w:rPr>
          <w:rFonts w:hint="eastAsia" w:ascii="Times New Roman"/>
        </w:rPr>
        <w:t>GB 19752-2024 混合动力电动汽车 动力性能 试验方法</w:t>
      </w:r>
    </w:p>
    <w:p>
      <w:pPr>
        <w:pStyle w:val="27"/>
        <w:rPr>
          <w:rFonts w:ascii="Times New Roman"/>
        </w:rPr>
      </w:pPr>
      <w:r>
        <w:rPr>
          <w:rFonts w:ascii="Times New Roman"/>
        </w:rPr>
        <w:t xml:space="preserve">JT/T 1411 </w:t>
      </w:r>
      <w:r>
        <w:rPr>
          <w:rFonts w:hint="eastAsia" w:ascii="Times New Roman"/>
        </w:rPr>
        <w:t>天然气营运货车燃料消耗量限值及测量方法</w:t>
      </w:r>
    </w:p>
    <w:p>
      <w:pPr>
        <w:pStyle w:val="27"/>
        <w:rPr>
          <w:rFonts w:ascii="Times New Roman"/>
        </w:rPr>
      </w:pPr>
      <w:r>
        <w:rPr>
          <w:rFonts w:hint="eastAsia" w:ascii="Times New Roman"/>
        </w:rPr>
        <w:t>T/CAAMTB 166-2023 车用天然气发动机高原台架试验设计（DOE）技术规范</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bookmarkStart w:id="24" w:name="_Toc14415"/>
      <w:bookmarkStart w:id="25" w:name="_Toc12820"/>
      <w:bookmarkStart w:id="26" w:name="_Toc19964"/>
      <w:bookmarkStart w:id="27" w:name="_Toc12400"/>
      <w:bookmarkStart w:id="28" w:name="_Toc17859"/>
      <w:bookmarkStart w:id="29" w:name="_Toc17097"/>
      <w:r>
        <w:rPr>
          <w:rFonts w:ascii="Times New Roman" w:hAnsi="Times New Roman" w:eastAsia="黑体"/>
          <w:b w:val="0"/>
          <w:kern w:val="2"/>
          <w:sz w:val="21"/>
          <w:szCs w:val="21"/>
        </w:rPr>
        <w:t>术语和定义</w:t>
      </w:r>
      <w:bookmarkEnd w:id="24"/>
      <w:bookmarkEnd w:id="25"/>
      <w:bookmarkEnd w:id="26"/>
      <w:bookmarkEnd w:id="27"/>
      <w:bookmarkEnd w:id="28"/>
      <w:bookmarkEnd w:id="29"/>
    </w:p>
    <w:p>
      <w:pPr>
        <w:pStyle w:val="55"/>
        <w:rPr>
          <w:rFonts w:ascii="Times New Roman"/>
        </w:rPr>
      </w:pPr>
      <w:r>
        <w:rPr>
          <w:rFonts w:hint="eastAsia" w:ascii="Times New Roman"/>
        </w:rPr>
        <w:t>GB/T 1883.1界定的以及下列术语和定义适用于本文件。</w:t>
      </w:r>
    </w:p>
    <w:p>
      <w:pPr>
        <w:pStyle w:val="61"/>
        <w:rPr>
          <w:rFonts w:ascii="Times New Roman"/>
        </w:rPr>
      </w:pPr>
    </w:p>
    <w:p>
      <w:pPr>
        <w:pStyle w:val="61"/>
        <w:numPr>
          <w:ilvl w:val="1"/>
          <w:numId w:val="0"/>
        </w:numPr>
        <w:ind w:firstLine="420" w:firstLineChars="200"/>
        <w:rPr>
          <w:rFonts w:ascii="Times New Roman"/>
        </w:rPr>
      </w:pPr>
      <w:r>
        <w:rPr>
          <w:rFonts w:hint="eastAsia" w:ascii="Times New Roman" w:cs="黑体"/>
        </w:rPr>
        <w:t>车载排放诊断O</w:t>
      </w:r>
      <w:r>
        <w:rPr>
          <w:rFonts w:ascii="Times New Roman" w:cs="黑体"/>
        </w:rPr>
        <w:t>BD</w:t>
      </w:r>
      <w:r>
        <w:rPr>
          <w:rFonts w:hint="eastAsia" w:ascii="Times New Roman" w:cs="黑体"/>
        </w:rPr>
        <w:t>系统（</w:t>
      </w:r>
      <w:r>
        <w:rPr>
          <w:rFonts w:ascii="Times New Roman"/>
          <w:b/>
          <w:bCs/>
          <w:color w:val="000000" w:themeColor="text1"/>
          <w14:textFill>
            <w14:solidFill>
              <w14:schemeClr w14:val="tx1"/>
            </w14:solidFill>
          </w14:textFill>
        </w:rPr>
        <w:t xml:space="preserve">OBD </w:t>
      </w:r>
      <w:r>
        <w:rPr>
          <w:rFonts w:hint="eastAsia" w:ascii="Times New Roman"/>
          <w:b/>
          <w:bCs/>
          <w:color w:val="000000" w:themeColor="text1"/>
          <w14:textFill>
            <w14:solidFill>
              <w14:schemeClr w14:val="tx1"/>
            </w14:solidFill>
          </w14:textFill>
        </w:rPr>
        <w:t>system</w:t>
      </w:r>
      <w:r>
        <w:rPr>
          <w:rFonts w:hint="eastAsia" w:ascii="Times New Roman" w:cs="黑体"/>
        </w:rPr>
        <w:t xml:space="preserve">） </w:t>
      </w:r>
      <w:r>
        <w:rPr>
          <w:rFonts w:ascii="Times New Roman"/>
          <w:b/>
          <w:bCs/>
          <w:color w:val="000000" w:themeColor="text1"/>
          <w14:textFill>
            <w14:solidFill>
              <w14:schemeClr w14:val="tx1"/>
            </w14:solidFill>
          </w14:textFill>
        </w:rPr>
        <w:t>on-board diagnostic system</w:t>
      </w:r>
    </w:p>
    <w:p>
      <w:pPr>
        <w:pStyle w:val="27"/>
        <w:rPr>
          <w:rFonts w:ascii="Times New Roman"/>
        </w:rPr>
      </w:pPr>
      <w:r>
        <w:rPr>
          <w:rFonts w:hint="eastAsia" w:ascii="Times New Roman"/>
        </w:rPr>
        <w:t>指安装在汽车和发动机上的计算机信息系统，属于污染控制装置，应具备下列功能：</w:t>
      </w:r>
    </w:p>
    <w:p>
      <w:pPr>
        <w:pStyle w:val="27"/>
        <w:numPr>
          <w:ilvl w:val="0"/>
          <w:numId w:val="22"/>
        </w:numPr>
        <w:rPr>
          <w:rFonts w:ascii="Times New Roman"/>
        </w:rPr>
      </w:pPr>
      <w:r>
        <w:rPr>
          <w:rFonts w:hint="eastAsia" w:ascii="Times New Roman"/>
        </w:rPr>
        <w:t>诊断影响发动机排放性能的故障；</w:t>
      </w:r>
    </w:p>
    <w:p>
      <w:pPr>
        <w:pStyle w:val="27"/>
        <w:numPr>
          <w:ilvl w:val="0"/>
          <w:numId w:val="22"/>
        </w:numPr>
        <w:rPr>
          <w:rFonts w:ascii="Times New Roman"/>
        </w:rPr>
      </w:pPr>
      <w:r>
        <w:rPr>
          <w:rFonts w:hint="eastAsia" w:ascii="Times New Roman"/>
        </w:rPr>
        <w:t>在故障发生时通过报警系统显示；</w:t>
      </w:r>
    </w:p>
    <w:p>
      <w:pPr>
        <w:pStyle w:val="27"/>
        <w:numPr>
          <w:ilvl w:val="0"/>
          <w:numId w:val="22"/>
        </w:numPr>
        <w:rPr>
          <w:rFonts w:ascii="Times New Roman"/>
        </w:rPr>
      </w:pPr>
      <w:r>
        <w:rPr>
          <w:rFonts w:hint="eastAsia" w:ascii="Times New Roman"/>
        </w:rPr>
        <w:t>通过存储在电控单元存储器中的信息确定可能的故障区域并提供信息离线通讯。</w:t>
      </w:r>
    </w:p>
    <w:p>
      <w:pPr>
        <w:pStyle w:val="27"/>
        <w:rPr>
          <w:rFonts w:ascii="Times New Roman"/>
        </w:rPr>
      </w:pPr>
      <w:r>
        <w:rPr>
          <w:rFonts w:hint="eastAsia" w:ascii="Times New Roman"/>
        </w:rPr>
        <w:t>[来源：GB17691-2018，3.3.34]</w:t>
      </w:r>
    </w:p>
    <w:p>
      <w:pPr>
        <w:pStyle w:val="61"/>
        <w:rPr>
          <w:rFonts w:ascii="Times New Roman" w:cs="黑体"/>
        </w:rPr>
      </w:pPr>
    </w:p>
    <w:p>
      <w:pPr>
        <w:pStyle w:val="61"/>
        <w:numPr>
          <w:ilvl w:val="1"/>
          <w:numId w:val="0"/>
        </w:numPr>
        <w:ind w:firstLine="420" w:firstLineChars="200"/>
        <w:rPr>
          <w:rFonts w:ascii="Times New Roman"/>
          <w:b/>
          <w:bCs/>
          <w:color w:val="000000" w:themeColor="text1"/>
          <w14:textFill>
            <w14:solidFill>
              <w14:schemeClr w14:val="tx1"/>
            </w14:solidFill>
          </w14:textFill>
        </w:rPr>
      </w:pPr>
      <w:r>
        <w:rPr>
          <w:rFonts w:hint="eastAsia" w:ascii="Times New Roman" w:cs="黑体"/>
        </w:rPr>
        <w:t xml:space="preserve">混合装置 </w:t>
      </w:r>
      <w:r>
        <w:rPr>
          <w:rFonts w:hint="eastAsia" w:ascii="Times New Roman"/>
          <w:b/>
          <w:bCs/>
          <w:color w:val="000000" w:themeColor="text1"/>
          <w14:textFill>
            <w14:solidFill>
              <w14:schemeClr w14:val="tx1"/>
            </w14:solidFill>
          </w14:textFill>
        </w:rPr>
        <w:t>mixer</w:t>
      </w:r>
    </w:p>
    <w:p>
      <w:pPr>
        <w:pStyle w:val="27"/>
      </w:pPr>
      <w:r>
        <w:rPr>
          <w:rFonts w:hint="eastAsia"/>
        </w:rPr>
        <w:t>指安装在天然气发动机进气系统中，使新鲜空气、燃气和EGR废气（如有）充分混合的装置。</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bookmarkStart w:id="30" w:name="_Toc13025"/>
      <w:r>
        <w:rPr>
          <w:rFonts w:ascii="Times New Roman" w:hAnsi="Times New Roman" w:eastAsia="黑体"/>
          <w:b w:val="0"/>
          <w:kern w:val="2"/>
          <w:sz w:val="21"/>
          <w:szCs w:val="21"/>
        </w:rPr>
        <w:t>试验</w:t>
      </w:r>
      <w:bookmarkEnd w:id="30"/>
      <w:r>
        <w:rPr>
          <w:rFonts w:ascii="Times New Roman" w:hAnsi="Times New Roman" w:eastAsia="黑体"/>
          <w:b w:val="0"/>
          <w:kern w:val="2"/>
          <w:sz w:val="21"/>
          <w:szCs w:val="21"/>
        </w:rPr>
        <w:t>条件</w:t>
      </w:r>
    </w:p>
    <w:p>
      <w:pPr>
        <w:pStyle w:val="61"/>
        <w:rPr>
          <w:rFonts w:ascii="Times New Roman"/>
        </w:rPr>
      </w:pPr>
      <w:r>
        <w:rPr>
          <w:rFonts w:hint="eastAsia" w:ascii="Times New Roman"/>
        </w:rPr>
        <w:t>试验车辆要求</w:t>
      </w:r>
    </w:p>
    <w:p>
      <w:pPr>
        <w:pStyle w:val="27"/>
        <w:rPr>
          <w:rFonts w:ascii="Times New Roman"/>
        </w:rPr>
      </w:pPr>
      <w:r>
        <w:rPr>
          <w:rFonts w:hint="eastAsia" w:ascii="Times New Roman"/>
        </w:rPr>
        <w:t>试验车辆要求按照GB/T 19752-2024，4.1的规定进行</w:t>
      </w:r>
      <w:r>
        <w:rPr>
          <w:rFonts w:ascii="Times New Roman"/>
        </w:rPr>
        <w:t>。</w:t>
      </w:r>
    </w:p>
    <w:p>
      <w:pPr>
        <w:pStyle w:val="61"/>
        <w:rPr>
          <w:rFonts w:ascii="Times New Roman"/>
        </w:rPr>
      </w:pPr>
      <w:r>
        <w:rPr>
          <w:rFonts w:hint="eastAsia" w:ascii="Times New Roman"/>
        </w:rPr>
        <w:t>车辆测试条件</w:t>
      </w:r>
    </w:p>
    <w:p>
      <w:pPr>
        <w:pStyle w:val="27"/>
        <w:rPr>
          <w:rFonts w:ascii="Times New Roman"/>
        </w:rPr>
      </w:pPr>
      <w:r>
        <w:rPr>
          <w:rFonts w:hint="eastAsia" w:ascii="Times New Roman"/>
        </w:rPr>
        <w:t>试验开始前，应确认车辆测试条件。发动机端需安装涡前温度和压力传感器、涡后温度和压力传感器、增压器转速传感器，整车端需安装中冷器前温度和压力传感器、中冷器后温度和压力传感器及天燃气质量流量计。车辆测试参数确认见表1。</w:t>
      </w:r>
    </w:p>
    <w:p>
      <w:pPr>
        <w:pStyle w:val="74"/>
        <w:numPr>
          <w:ilvl w:val="0"/>
          <w:numId w:val="0"/>
        </w:numPr>
        <w:rPr>
          <w:rFonts w:ascii="Times New Roman"/>
        </w:rPr>
      </w:pPr>
      <w:r>
        <w:rPr>
          <w:rFonts w:hint="eastAsia" w:ascii="Times New Roman"/>
        </w:rPr>
        <w:t>表1  车辆测试参数确认表</w:t>
      </w:r>
    </w:p>
    <w:tbl>
      <w:tblPr>
        <w:tblStyle w:val="46"/>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测试条件参数</w:t>
            </w:r>
          </w:p>
        </w:tc>
        <w:tc>
          <w:tcPr>
            <w:tcW w:w="5103" w:type="dxa"/>
            <w:vAlign w:val="center"/>
          </w:tcPr>
          <w:p>
            <w:pPr>
              <w:pStyle w:val="27"/>
              <w:ind w:firstLine="360"/>
              <w:jc w:val="center"/>
              <w:rPr>
                <w:rFonts w:ascii="Times New Roman"/>
                <w:sz w:val="18"/>
                <w:szCs w:val="18"/>
              </w:rPr>
            </w:pPr>
            <w:r>
              <w:rPr>
                <w:rFonts w:hint="eastAsia" w:ascii="Times New Roman"/>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涡前排温</w:t>
            </w:r>
          </w:p>
        </w:tc>
        <w:tc>
          <w:tcPr>
            <w:tcW w:w="5103" w:type="dxa"/>
            <w:vAlign w:val="center"/>
          </w:tcPr>
          <w:p>
            <w:pPr>
              <w:jc w:val="center"/>
              <w:rPr>
                <w:rFonts w:ascii="宋体"/>
                <w:sz w:val="18"/>
                <w:szCs w:val="18"/>
              </w:rPr>
            </w:pP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涡后排温</w:t>
            </w:r>
          </w:p>
        </w:tc>
        <w:tc>
          <w:tcPr>
            <w:tcW w:w="5103" w:type="dxa"/>
            <w:vAlign w:val="center"/>
          </w:tcPr>
          <w:p>
            <w:pPr>
              <w:jc w:val="center"/>
              <w:rPr>
                <w:rFonts w:ascii="宋体"/>
                <w:sz w:val="18"/>
                <w:szCs w:val="18"/>
              </w:rPr>
            </w:pP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中冷前进气温度</w:t>
            </w:r>
          </w:p>
        </w:tc>
        <w:tc>
          <w:tcPr>
            <w:tcW w:w="5103" w:type="dxa"/>
            <w:vAlign w:val="center"/>
          </w:tcPr>
          <w:p>
            <w:pPr>
              <w:jc w:val="center"/>
              <w:rPr>
                <w:rFonts w:ascii="宋体"/>
                <w:sz w:val="18"/>
                <w:szCs w:val="18"/>
              </w:rPr>
            </w:pP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中冷后进气温度</w:t>
            </w:r>
          </w:p>
        </w:tc>
        <w:tc>
          <w:tcPr>
            <w:tcW w:w="5103" w:type="dxa"/>
            <w:vAlign w:val="center"/>
          </w:tcPr>
          <w:p>
            <w:pPr>
              <w:jc w:val="center"/>
              <w:rPr>
                <w:rFonts w:ascii="宋体"/>
                <w:sz w:val="18"/>
                <w:szCs w:val="18"/>
              </w:rPr>
            </w:pP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环境温度</w:t>
            </w:r>
          </w:p>
        </w:tc>
        <w:tc>
          <w:tcPr>
            <w:tcW w:w="5103" w:type="dxa"/>
            <w:vAlign w:val="center"/>
          </w:tcPr>
          <w:p>
            <w:pPr>
              <w:pStyle w:val="27"/>
              <w:ind w:firstLine="0" w:firstLineChars="0"/>
              <w:jc w:val="center"/>
              <w:rPr>
                <w:rFonts w:ascii="Times New Roman"/>
                <w:sz w:val="18"/>
                <w:szCs w:val="18"/>
              </w:rPr>
            </w:pPr>
            <w:r>
              <w:rPr>
                <w:rFonts w:hint="eastAsia"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增压器转速</w:t>
            </w:r>
          </w:p>
        </w:tc>
        <w:tc>
          <w:tcPr>
            <w:tcW w:w="5103" w:type="dxa"/>
            <w:vAlign w:val="center"/>
          </w:tcPr>
          <w:p>
            <w:pPr>
              <w:pStyle w:val="27"/>
              <w:ind w:firstLine="0" w:firstLineChars="0"/>
              <w:jc w:val="center"/>
              <w:rPr>
                <w:rFonts w:ascii="Times New Roman"/>
                <w:sz w:val="18"/>
                <w:szCs w:val="18"/>
              </w:rPr>
            </w:pPr>
            <w:r>
              <w:rPr>
                <w:rFonts w:hint="eastAsia" w:ascii="Times New Roman"/>
                <w:sz w:val="18"/>
                <w:szCs w:val="18"/>
              </w:rPr>
              <w:t>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燃气流量</w:t>
            </w:r>
          </w:p>
        </w:tc>
        <w:tc>
          <w:tcPr>
            <w:tcW w:w="5103" w:type="dxa"/>
            <w:vAlign w:val="center"/>
          </w:tcPr>
          <w:p>
            <w:pPr>
              <w:pStyle w:val="27"/>
              <w:ind w:firstLine="0" w:firstLineChars="0"/>
              <w:jc w:val="center"/>
              <w:rPr>
                <w:rFonts w:ascii="Times New Roman"/>
                <w:sz w:val="18"/>
                <w:szCs w:val="18"/>
              </w:rPr>
            </w:pPr>
            <w:r>
              <w:rPr>
                <w:rFonts w:hint="eastAsia" w:ascii="Times New Roman"/>
                <w:sz w:val="18"/>
                <w:szCs w:val="18"/>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环境压力</w:t>
            </w:r>
          </w:p>
        </w:tc>
        <w:tc>
          <w:tcPr>
            <w:tcW w:w="5103" w:type="dxa"/>
            <w:vAlign w:val="center"/>
          </w:tcPr>
          <w:p>
            <w:pPr>
              <w:jc w:val="center"/>
              <w:rPr>
                <w:rFonts w:ascii="宋体"/>
                <w:sz w:val="18"/>
                <w:szCs w:val="18"/>
              </w:rPr>
            </w:pPr>
            <w:r>
              <w:rPr>
                <w:rFonts w:hint="eastAsia" w:ascii="宋体"/>
                <w:sz w:val="18"/>
                <w:szCs w:val="18"/>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涡前排压</w:t>
            </w:r>
          </w:p>
        </w:tc>
        <w:tc>
          <w:tcPr>
            <w:tcW w:w="5103" w:type="dxa"/>
            <w:vAlign w:val="center"/>
          </w:tcPr>
          <w:p>
            <w:pPr>
              <w:jc w:val="center"/>
              <w:rPr>
                <w:rFonts w:ascii="宋体"/>
                <w:sz w:val="18"/>
                <w:szCs w:val="18"/>
              </w:rPr>
            </w:pPr>
            <w:r>
              <w:rPr>
                <w:rFonts w:hint="eastAsia" w:ascii="宋体"/>
                <w:sz w:val="18"/>
                <w:szCs w:val="18"/>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涡后排压</w:t>
            </w:r>
          </w:p>
        </w:tc>
        <w:tc>
          <w:tcPr>
            <w:tcW w:w="5103" w:type="dxa"/>
            <w:vAlign w:val="center"/>
          </w:tcPr>
          <w:p>
            <w:pPr>
              <w:jc w:val="center"/>
              <w:rPr>
                <w:rFonts w:ascii="宋体"/>
                <w:sz w:val="18"/>
                <w:szCs w:val="18"/>
              </w:rPr>
            </w:pPr>
            <w:r>
              <w:rPr>
                <w:rFonts w:hint="eastAsia" w:ascii="宋体"/>
                <w:sz w:val="18"/>
                <w:szCs w:val="18"/>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中冷前进气压力</w:t>
            </w:r>
          </w:p>
        </w:tc>
        <w:tc>
          <w:tcPr>
            <w:tcW w:w="5103" w:type="dxa"/>
            <w:vAlign w:val="center"/>
          </w:tcPr>
          <w:p>
            <w:pPr>
              <w:jc w:val="center"/>
              <w:rPr>
                <w:rFonts w:ascii="宋体"/>
                <w:sz w:val="18"/>
                <w:szCs w:val="18"/>
              </w:rPr>
            </w:pPr>
            <w:r>
              <w:rPr>
                <w:rFonts w:hint="eastAsia" w:ascii="宋体"/>
                <w:sz w:val="18"/>
                <w:szCs w:val="18"/>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2" w:type="dxa"/>
            <w:vAlign w:val="center"/>
          </w:tcPr>
          <w:p>
            <w:pPr>
              <w:pStyle w:val="27"/>
              <w:ind w:firstLine="360"/>
              <w:jc w:val="center"/>
              <w:rPr>
                <w:rFonts w:ascii="Times New Roman"/>
                <w:sz w:val="18"/>
                <w:szCs w:val="18"/>
              </w:rPr>
            </w:pPr>
            <w:r>
              <w:rPr>
                <w:rFonts w:hint="eastAsia" w:ascii="Times New Roman"/>
                <w:sz w:val="18"/>
                <w:szCs w:val="18"/>
              </w:rPr>
              <w:t>中冷后进气压力</w:t>
            </w:r>
          </w:p>
        </w:tc>
        <w:tc>
          <w:tcPr>
            <w:tcW w:w="5103" w:type="dxa"/>
            <w:vAlign w:val="center"/>
          </w:tcPr>
          <w:p>
            <w:pPr>
              <w:jc w:val="center"/>
              <w:rPr>
                <w:rFonts w:ascii="宋体"/>
                <w:sz w:val="18"/>
                <w:szCs w:val="18"/>
              </w:rPr>
            </w:pPr>
            <w:r>
              <w:rPr>
                <w:rFonts w:hint="eastAsia" w:ascii="宋体"/>
                <w:sz w:val="18"/>
                <w:szCs w:val="18"/>
              </w:rPr>
              <w:t>kPa</w:t>
            </w:r>
          </w:p>
        </w:tc>
      </w:tr>
    </w:tbl>
    <w:p>
      <w:pPr>
        <w:pStyle w:val="61"/>
        <w:rPr>
          <w:rFonts w:ascii="Times New Roman"/>
        </w:rPr>
      </w:pPr>
      <w:r>
        <w:rPr>
          <w:rFonts w:hint="eastAsia" w:ascii="Times New Roman"/>
        </w:rPr>
        <w:t>环境条件</w:t>
      </w:r>
    </w:p>
    <w:p>
      <w:pPr>
        <w:pStyle w:val="60"/>
        <w:spacing w:before="156" w:after="156"/>
        <w:rPr>
          <w:rFonts w:ascii="Times New Roman"/>
        </w:rPr>
      </w:pPr>
      <w:r>
        <w:rPr>
          <w:rFonts w:hint="eastAsia" w:ascii="Times New Roman"/>
        </w:rPr>
        <w:t>环境温度和压力</w:t>
      </w:r>
    </w:p>
    <w:p>
      <w:pPr>
        <w:pStyle w:val="27"/>
        <w:rPr>
          <w:rFonts w:ascii="Times New Roman"/>
        </w:rPr>
      </w:pPr>
      <w:r>
        <w:rPr>
          <w:rFonts w:hint="eastAsia" w:ascii="Times New Roman"/>
        </w:rPr>
        <w:t>试验环境温度应在-40℃</w:t>
      </w:r>
      <w:r>
        <w:rPr>
          <w:rFonts w:hint="eastAsia" w:ascii="Times New Roman"/>
          <w:color w:val="000000"/>
          <w:szCs w:val="24"/>
        </w:rPr>
        <w:t>～-20℃之间；</w:t>
      </w:r>
      <w:r>
        <w:rPr>
          <w:rFonts w:hint="eastAsia" w:ascii="Times New Roman"/>
        </w:rPr>
        <w:t>试验环境</w:t>
      </w:r>
      <w:r>
        <w:rPr>
          <w:rFonts w:hint="eastAsia" w:ascii="Times New Roman"/>
          <w:color w:val="000000"/>
          <w:szCs w:val="24"/>
        </w:rPr>
        <w:t>大气压力应在91kPa～104kPa之间。</w:t>
      </w:r>
    </w:p>
    <w:p>
      <w:pPr>
        <w:pStyle w:val="60"/>
        <w:spacing w:before="156" w:after="156"/>
        <w:rPr>
          <w:rFonts w:ascii="Times New Roman"/>
        </w:rPr>
      </w:pPr>
      <w:r>
        <w:rPr>
          <w:rFonts w:hint="eastAsia" w:ascii="Times New Roman"/>
        </w:rPr>
        <w:t>环境风速和相对湿度</w:t>
      </w:r>
    </w:p>
    <w:p>
      <w:pPr>
        <w:pStyle w:val="27"/>
        <w:rPr>
          <w:rFonts w:ascii="Times New Roman"/>
        </w:rPr>
      </w:pPr>
      <w:r>
        <w:rPr>
          <w:rFonts w:hint="eastAsia" w:ascii="Times New Roman"/>
        </w:rPr>
        <w:t>试验环境风速和相对湿度按照GB/T 19752-2024，4.2.2和4.2.3的规定。</w:t>
      </w:r>
    </w:p>
    <w:p>
      <w:pPr>
        <w:pStyle w:val="61"/>
        <w:rPr>
          <w:rFonts w:ascii="Times New Roman"/>
        </w:rPr>
      </w:pPr>
      <w:r>
        <w:rPr>
          <w:rFonts w:hint="eastAsia" w:ascii="Times New Roman"/>
        </w:rPr>
        <w:t>测量参数、单位及准确度</w:t>
      </w:r>
    </w:p>
    <w:p>
      <w:pPr>
        <w:pStyle w:val="27"/>
        <w:rPr>
          <w:rFonts w:ascii="Times New Roman"/>
        </w:rPr>
      </w:pPr>
      <w:r>
        <w:rPr>
          <w:rFonts w:hint="eastAsia" w:ascii="Times New Roman"/>
        </w:rPr>
        <w:t>表2规定了测量参数、单位和准确度。</w:t>
      </w:r>
    </w:p>
    <w:p>
      <w:pPr>
        <w:pStyle w:val="74"/>
        <w:numPr>
          <w:ilvl w:val="0"/>
          <w:numId w:val="0"/>
        </w:numPr>
        <w:rPr>
          <w:rFonts w:ascii="Times New Roman"/>
        </w:rPr>
      </w:pPr>
      <w:r>
        <w:rPr>
          <w:rFonts w:hint="eastAsia" w:ascii="Times New Roman"/>
        </w:rPr>
        <w:t>表2  测量参数、单位和准确度</w:t>
      </w:r>
    </w:p>
    <w:tbl>
      <w:tblPr>
        <w:tblStyle w:val="46"/>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测量参数</w:t>
            </w:r>
          </w:p>
        </w:tc>
        <w:tc>
          <w:tcPr>
            <w:tcW w:w="3402" w:type="dxa"/>
            <w:vAlign w:val="center"/>
          </w:tcPr>
          <w:p>
            <w:pPr>
              <w:pStyle w:val="27"/>
              <w:ind w:firstLine="360"/>
              <w:jc w:val="center"/>
              <w:rPr>
                <w:rFonts w:ascii="Times New Roman"/>
                <w:sz w:val="18"/>
                <w:szCs w:val="18"/>
              </w:rPr>
            </w:pPr>
            <w:r>
              <w:rPr>
                <w:rFonts w:hint="eastAsia" w:ascii="Times New Roman"/>
                <w:sz w:val="18"/>
                <w:szCs w:val="18"/>
              </w:rPr>
              <w:t>单位</w:t>
            </w:r>
          </w:p>
        </w:tc>
        <w:tc>
          <w:tcPr>
            <w:tcW w:w="3402" w:type="dxa"/>
            <w:vAlign w:val="center"/>
          </w:tcPr>
          <w:p>
            <w:pPr>
              <w:pStyle w:val="27"/>
              <w:ind w:firstLine="360"/>
              <w:jc w:val="center"/>
              <w:rPr>
                <w:rFonts w:ascii="Times New Roman"/>
                <w:sz w:val="18"/>
                <w:szCs w:val="18"/>
              </w:rPr>
            </w:pPr>
            <w:r>
              <w:rPr>
                <w:rFonts w:hint="eastAsia" w:ascii="Times New Roman"/>
                <w:sz w:val="18"/>
                <w:szCs w:val="18"/>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时间</w:t>
            </w:r>
          </w:p>
        </w:tc>
        <w:tc>
          <w:tcPr>
            <w:tcW w:w="3402" w:type="dxa"/>
            <w:vAlign w:val="center"/>
          </w:tcPr>
          <w:p>
            <w:pPr>
              <w:pStyle w:val="27"/>
              <w:ind w:firstLine="360"/>
              <w:jc w:val="center"/>
              <w:rPr>
                <w:rFonts w:ascii="Times New Roman"/>
                <w:sz w:val="18"/>
                <w:szCs w:val="18"/>
              </w:rPr>
            </w:pPr>
            <w:r>
              <w:rPr>
                <w:rFonts w:hint="eastAsia" w:ascii="Times New Roman"/>
                <w:sz w:val="18"/>
                <w:szCs w:val="18"/>
              </w:rPr>
              <w:t>s</w:t>
            </w:r>
          </w:p>
        </w:tc>
        <w:tc>
          <w:tcPr>
            <w:tcW w:w="3402" w:type="dxa"/>
            <w:vAlign w:val="center"/>
          </w:tcPr>
          <w:p>
            <w:pPr>
              <w:pStyle w:val="27"/>
              <w:ind w:firstLine="360"/>
              <w:jc w:val="center"/>
              <w:rPr>
                <w:rFonts w:ascii="Times New Roman"/>
                <w:sz w:val="18"/>
                <w:szCs w:val="18"/>
              </w:rPr>
            </w:pPr>
            <w:r>
              <w:rPr>
                <w:rFonts w:hint="eastAsia"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长度</w:t>
            </w:r>
          </w:p>
        </w:tc>
        <w:tc>
          <w:tcPr>
            <w:tcW w:w="3402" w:type="dxa"/>
            <w:vAlign w:val="center"/>
          </w:tcPr>
          <w:p>
            <w:pPr>
              <w:pStyle w:val="27"/>
              <w:ind w:firstLine="360"/>
              <w:jc w:val="center"/>
              <w:rPr>
                <w:rFonts w:ascii="Times New Roman"/>
                <w:sz w:val="18"/>
                <w:szCs w:val="18"/>
              </w:rPr>
            </w:pPr>
            <w:r>
              <w:rPr>
                <w:rFonts w:hint="eastAsia" w:ascii="Times New Roman"/>
                <w:sz w:val="18"/>
                <w:szCs w:val="18"/>
              </w:rPr>
              <w:t>m</w:t>
            </w:r>
          </w:p>
        </w:tc>
        <w:tc>
          <w:tcPr>
            <w:tcW w:w="3402" w:type="dxa"/>
            <w:vAlign w:val="center"/>
          </w:tcPr>
          <w:p>
            <w:pPr>
              <w:pStyle w:val="27"/>
              <w:ind w:firstLine="360"/>
              <w:jc w:val="center"/>
              <w:rPr>
                <w:rFonts w:ascii="Times New Roman"/>
                <w:sz w:val="18"/>
                <w:szCs w:val="18"/>
              </w:rPr>
            </w:pPr>
            <w:r>
              <w:rPr>
                <w:rFonts w:hint="eastAsia"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温度</w:t>
            </w:r>
          </w:p>
        </w:tc>
        <w:tc>
          <w:tcPr>
            <w:tcW w:w="3402" w:type="dxa"/>
            <w:vAlign w:val="center"/>
          </w:tcPr>
          <w:p>
            <w:pPr>
              <w:pStyle w:val="27"/>
              <w:ind w:firstLine="360"/>
              <w:jc w:val="center"/>
              <w:rPr>
                <w:rFonts w:ascii="Times New Roman"/>
                <w:sz w:val="18"/>
                <w:szCs w:val="18"/>
              </w:rPr>
            </w:pPr>
            <w:r>
              <w:rPr>
                <w:rFonts w:hint="eastAsia" w:ascii="Times New Roman"/>
                <w:sz w:val="18"/>
                <w:szCs w:val="18"/>
              </w:rPr>
              <w:t>℃</w:t>
            </w:r>
          </w:p>
        </w:tc>
        <w:tc>
          <w:tcPr>
            <w:tcW w:w="3402" w:type="dxa"/>
            <w:vAlign w:val="center"/>
          </w:tcPr>
          <w:p>
            <w:pPr>
              <w:pStyle w:val="27"/>
              <w:ind w:firstLine="360"/>
              <w:jc w:val="center"/>
              <w:rPr>
                <w:rFonts w:ascii="Times New Roman"/>
                <w:sz w:val="18"/>
                <w:szCs w:val="18"/>
              </w:rPr>
            </w:pPr>
            <w:r>
              <w:rPr>
                <w:rFonts w:hint="eastAsia" w:asci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风速</w:t>
            </w:r>
          </w:p>
        </w:tc>
        <w:tc>
          <w:tcPr>
            <w:tcW w:w="3402" w:type="dxa"/>
            <w:vAlign w:val="center"/>
          </w:tcPr>
          <w:p>
            <w:pPr>
              <w:pStyle w:val="27"/>
              <w:ind w:firstLine="360"/>
              <w:jc w:val="center"/>
              <w:rPr>
                <w:rFonts w:ascii="Times New Roman"/>
                <w:sz w:val="18"/>
                <w:szCs w:val="18"/>
              </w:rPr>
            </w:pPr>
            <w:r>
              <w:rPr>
                <w:rFonts w:hint="eastAsia" w:ascii="Times New Roman"/>
                <w:sz w:val="18"/>
                <w:szCs w:val="18"/>
              </w:rPr>
              <w:t>m/s</w:t>
            </w:r>
          </w:p>
        </w:tc>
        <w:tc>
          <w:tcPr>
            <w:tcW w:w="3402" w:type="dxa"/>
            <w:vAlign w:val="center"/>
          </w:tcPr>
          <w:p>
            <w:pPr>
              <w:pStyle w:val="27"/>
              <w:ind w:firstLine="360"/>
              <w:jc w:val="center"/>
              <w:rPr>
                <w:rFonts w:ascii="Times New Roman"/>
                <w:sz w:val="18"/>
                <w:szCs w:val="18"/>
              </w:rPr>
            </w:pPr>
            <w:r>
              <w:rPr>
                <w:rFonts w:hint="eastAsia"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压力</w:t>
            </w:r>
          </w:p>
        </w:tc>
        <w:tc>
          <w:tcPr>
            <w:tcW w:w="3402" w:type="dxa"/>
            <w:vAlign w:val="center"/>
          </w:tcPr>
          <w:p>
            <w:pPr>
              <w:pStyle w:val="27"/>
              <w:ind w:firstLine="360"/>
              <w:jc w:val="center"/>
              <w:rPr>
                <w:rFonts w:ascii="Times New Roman"/>
                <w:sz w:val="18"/>
                <w:szCs w:val="18"/>
              </w:rPr>
            </w:pPr>
            <w:r>
              <w:rPr>
                <w:rFonts w:hint="eastAsia" w:ascii="Times New Roman"/>
                <w:sz w:val="18"/>
                <w:szCs w:val="18"/>
              </w:rPr>
              <w:t>kPa</w:t>
            </w:r>
          </w:p>
        </w:tc>
        <w:tc>
          <w:tcPr>
            <w:tcW w:w="3402" w:type="dxa"/>
            <w:vAlign w:val="center"/>
          </w:tcPr>
          <w:p>
            <w:pPr>
              <w:pStyle w:val="27"/>
              <w:ind w:firstLine="360"/>
              <w:jc w:val="center"/>
              <w:rPr>
                <w:rFonts w:ascii="Times New Roman"/>
                <w:sz w:val="18"/>
                <w:szCs w:val="18"/>
              </w:rPr>
            </w:pPr>
            <w:r>
              <w:rPr>
                <w:rFonts w:hint="eastAsia" w:asci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车速</w:t>
            </w:r>
          </w:p>
        </w:tc>
        <w:tc>
          <w:tcPr>
            <w:tcW w:w="3402" w:type="dxa"/>
            <w:vAlign w:val="center"/>
          </w:tcPr>
          <w:p>
            <w:pPr>
              <w:pStyle w:val="27"/>
              <w:ind w:firstLine="360"/>
              <w:jc w:val="center"/>
              <w:rPr>
                <w:rFonts w:ascii="Times New Roman"/>
                <w:sz w:val="18"/>
                <w:szCs w:val="18"/>
              </w:rPr>
            </w:pPr>
            <w:r>
              <w:rPr>
                <w:rFonts w:hint="eastAsia" w:ascii="Times New Roman"/>
                <w:sz w:val="18"/>
                <w:szCs w:val="18"/>
              </w:rPr>
              <w:t>km/h</w:t>
            </w:r>
          </w:p>
        </w:tc>
        <w:tc>
          <w:tcPr>
            <w:tcW w:w="3402" w:type="dxa"/>
            <w:vAlign w:val="center"/>
          </w:tcPr>
          <w:p>
            <w:pPr>
              <w:pStyle w:val="27"/>
              <w:ind w:firstLine="360"/>
              <w:jc w:val="center"/>
              <w:rPr>
                <w:rFonts w:ascii="Times New Roman"/>
                <w:sz w:val="18"/>
                <w:szCs w:val="18"/>
              </w:rPr>
            </w:pPr>
            <w:r>
              <w:rPr>
                <w:rFonts w:hint="eastAsia"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转速</w:t>
            </w:r>
          </w:p>
        </w:tc>
        <w:tc>
          <w:tcPr>
            <w:tcW w:w="3402" w:type="dxa"/>
            <w:vAlign w:val="center"/>
          </w:tcPr>
          <w:p>
            <w:pPr>
              <w:pStyle w:val="27"/>
              <w:ind w:firstLine="360"/>
              <w:jc w:val="center"/>
              <w:rPr>
                <w:rFonts w:ascii="Times New Roman"/>
                <w:sz w:val="18"/>
                <w:szCs w:val="18"/>
              </w:rPr>
            </w:pPr>
            <w:r>
              <w:rPr>
                <w:rFonts w:hint="eastAsia" w:ascii="Times New Roman"/>
                <w:sz w:val="18"/>
                <w:szCs w:val="18"/>
              </w:rPr>
              <w:t>r/min</w:t>
            </w:r>
          </w:p>
        </w:tc>
        <w:tc>
          <w:tcPr>
            <w:tcW w:w="3402" w:type="dxa"/>
            <w:vAlign w:val="center"/>
          </w:tcPr>
          <w:p>
            <w:pPr>
              <w:pStyle w:val="27"/>
              <w:ind w:firstLine="360"/>
              <w:jc w:val="center"/>
              <w:rPr>
                <w:rFonts w:ascii="Times New Roman"/>
                <w:b/>
                <w:bCs/>
                <w:sz w:val="18"/>
                <w:szCs w:val="18"/>
              </w:rPr>
            </w:pPr>
            <w:r>
              <w:rPr>
                <w:rFonts w:hint="eastAsia"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流量</w:t>
            </w:r>
          </w:p>
        </w:tc>
        <w:tc>
          <w:tcPr>
            <w:tcW w:w="3402" w:type="dxa"/>
            <w:vAlign w:val="center"/>
          </w:tcPr>
          <w:p>
            <w:pPr>
              <w:pStyle w:val="27"/>
              <w:ind w:firstLine="360"/>
              <w:jc w:val="center"/>
              <w:rPr>
                <w:rFonts w:ascii="Times New Roman"/>
                <w:sz w:val="18"/>
                <w:szCs w:val="18"/>
              </w:rPr>
            </w:pPr>
            <w:r>
              <w:rPr>
                <w:rFonts w:hint="eastAsia" w:ascii="Times New Roman"/>
                <w:sz w:val="18"/>
                <w:szCs w:val="18"/>
              </w:rPr>
              <w:t>kg/h</w:t>
            </w:r>
          </w:p>
        </w:tc>
        <w:tc>
          <w:tcPr>
            <w:tcW w:w="3402" w:type="dxa"/>
            <w:vAlign w:val="center"/>
          </w:tcPr>
          <w:p>
            <w:pPr>
              <w:pStyle w:val="27"/>
              <w:ind w:firstLine="360"/>
              <w:jc w:val="center"/>
              <w:rPr>
                <w:rFonts w:ascii="Times New Roman"/>
                <w:sz w:val="18"/>
                <w:szCs w:val="18"/>
              </w:rPr>
            </w:pPr>
            <w:r>
              <w:rPr>
                <w:rFonts w:hint="eastAsia"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质量</w:t>
            </w:r>
          </w:p>
        </w:tc>
        <w:tc>
          <w:tcPr>
            <w:tcW w:w="3402" w:type="dxa"/>
            <w:vAlign w:val="center"/>
          </w:tcPr>
          <w:p>
            <w:pPr>
              <w:pStyle w:val="27"/>
              <w:ind w:firstLine="360"/>
              <w:jc w:val="center"/>
              <w:rPr>
                <w:rFonts w:ascii="Times New Roman"/>
                <w:sz w:val="18"/>
                <w:szCs w:val="18"/>
              </w:rPr>
            </w:pPr>
            <w:r>
              <w:rPr>
                <w:rFonts w:hint="eastAsia" w:ascii="Times New Roman"/>
                <w:sz w:val="18"/>
                <w:szCs w:val="18"/>
              </w:rPr>
              <w:t>kg</w:t>
            </w:r>
          </w:p>
        </w:tc>
        <w:tc>
          <w:tcPr>
            <w:tcW w:w="3402" w:type="dxa"/>
            <w:vAlign w:val="center"/>
          </w:tcPr>
          <w:p>
            <w:pPr>
              <w:pStyle w:val="27"/>
              <w:ind w:firstLine="360"/>
              <w:jc w:val="center"/>
              <w:rPr>
                <w:rFonts w:ascii="Times New Roman"/>
                <w:sz w:val="18"/>
                <w:szCs w:val="18"/>
              </w:rPr>
            </w:pPr>
            <w:r>
              <w:rPr>
                <w:rFonts w:hint="eastAsia"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1" w:type="dxa"/>
            <w:vAlign w:val="center"/>
          </w:tcPr>
          <w:p>
            <w:pPr>
              <w:pStyle w:val="27"/>
              <w:ind w:firstLine="360"/>
              <w:jc w:val="center"/>
              <w:rPr>
                <w:rFonts w:ascii="Times New Roman"/>
                <w:sz w:val="18"/>
                <w:szCs w:val="18"/>
              </w:rPr>
            </w:pPr>
            <w:r>
              <w:rPr>
                <w:rFonts w:hint="eastAsia" w:ascii="Times New Roman"/>
                <w:sz w:val="18"/>
                <w:szCs w:val="18"/>
              </w:rPr>
              <w:t>轮胎压力</w:t>
            </w:r>
          </w:p>
        </w:tc>
        <w:tc>
          <w:tcPr>
            <w:tcW w:w="3402" w:type="dxa"/>
            <w:vAlign w:val="center"/>
          </w:tcPr>
          <w:p>
            <w:pPr>
              <w:pStyle w:val="27"/>
              <w:ind w:firstLine="360"/>
              <w:jc w:val="center"/>
              <w:rPr>
                <w:rFonts w:ascii="Times New Roman"/>
                <w:sz w:val="18"/>
                <w:szCs w:val="18"/>
              </w:rPr>
            </w:pPr>
            <w:r>
              <w:rPr>
                <w:rFonts w:hint="eastAsia" w:ascii="Times New Roman"/>
                <w:sz w:val="18"/>
                <w:szCs w:val="18"/>
              </w:rPr>
              <w:t>kPa</w:t>
            </w:r>
          </w:p>
        </w:tc>
        <w:tc>
          <w:tcPr>
            <w:tcW w:w="3402" w:type="dxa"/>
            <w:vAlign w:val="center"/>
          </w:tcPr>
          <w:p>
            <w:pPr>
              <w:pStyle w:val="27"/>
              <w:ind w:firstLine="360"/>
              <w:jc w:val="center"/>
              <w:rPr>
                <w:rFonts w:ascii="Times New Roman"/>
                <w:sz w:val="18"/>
                <w:szCs w:val="18"/>
              </w:rPr>
            </w:pPr>
            <w:r>
              <w:rPr>
                <w:rFonts w:hint="eastAsia" w:ascii="Times New Roman"/>
                <w:sz w:val="18"/>
                <w:szCs w:val="18"/>
              </w:rPr>
              <w:t>±1%</w:t>
            </w:r>
          </w:p>
        </w:tc>
      </w:tr>
    </w:tbl>
    <w:p>
      <w:pPr>
        <w:pStyle w:val="61"/>
        <w:rPr>
          <w:rFonts w:ascii="Times New Roman"/>
        </w:rPr>
      </w:pPr>
      <w:r>
        <w:rPr>
          <w:rFonts w:hint="eastAsia" w:ascii="Times New Roman"/>
        </w:rPr>
        <w:t>道路要求</w:t>
      </w:r>
    </w:p>
    <w:p>
      <w:pPr>
        <w:pStyle w:val="27"/>
        <w:rPr>
          <w:rFonts w:ascii="Times New Roman"/>
        </w:rPr>
      </w:pPr>
      <w:r>
        <w:rPr>
          <w:rFonts w:hint="eastAsia" w:ascii="Times New Roman"/>
        </w:rPr>
        <w:t>车辆试验道路要求按照GB/T 19752-2024，4.4的规定进行</w:t>
      </w:r>
      <w:r>
        <w:rPr>
          <w:rFonts w:ascii="Times New Roman"/>
        </w:rPr>
        <w:t>。</w:t>
      </w:r>
    </w:p>
    <w:p>
      <w:pPr>
        <w:pStyle w:val="2"/>
        <w:keepNext/>
        <w:numPr>
          <w:ilvl w:val="0"/>
          <w:numId w:val="2"/>
        </w:numPr>
        <w:adjustRightInd w:val="0"/>
        <w:snapToGrid w:val="0"/>
        <w:spacing w:before="312" w:beforeLines="100" w:beforeAutospacing="0" w:after="312" w:afterLines="100" w:afterAutospacing="0"/>
        <w:ind w:left="420" w:hanging="420"/>
        <w:rPr>
          <w:rFonts w:hint="default" w:ascii="Times New Roman" w:hAnsi="Times New Roman" w:eastAsia="黑体"/>
          <w:b w:val="0"/>
          <w:kern w:val="2"/>
          <w:sz w:val="21"/>
          <w:szCs w:val="21"/>
        </w:rPr>
      </w:pPr>
      <w:r>
        <w:rPr>
          <w:rFonts w:ascii="Times New Roman" w:hAnsi="Times New Roman" w:eastAsia="黑体"/>
          <w:b w:val="0"/>
          <w:kern w:val="2"/>
          <w:sz w:val="21"/>
          <w:szCs w:val="21"/>
        </w:rPr>
        <w:t>高寒道路试验方法</w:t>
      </w:r>
    </w:p>
    <w:p>
      <w:pPr>
        <w:pStyle w:val="61"/>
        <w:rPr>
          <w:rFonts w:ascii="Times New Roman"/>
        </w:rPr>
      </w:pPr>
      <w:r>
        <w:rPr>
          <w:rFonts w:hint="eastAsia" w:ascii="Times New Roman"/>
        </w:rPr>
        <w:t>车辆及发动机状态查核</w:t>
      </w:r>
    </w:p>
    <w:p>
      <w:pPr>
        <w:ind w:firstLine="480"/>
      </w:pPr>
      <w:r>
        <w:t>在</w:t>
      </w:r>
      <w:r>
        <w:rPr>
          <w:rFonts w:hint="eastAsia"/>
        </w:rPr>
        <w:t>高寒道路试验</w:t>
      </w:r>
      <w:r>
        <w:t>开始前</w:t>
      </w:r>
      <w:r>
        <w:rPr>
          <w:rFonts w:hint="eastAsia"/>
        </w:rPr>
        <w:t>应进行车辆及发动机</w:t>
      </w:r>
      <w:r>
        <w:t>状态</w:t>
      </w:r>
      <w:r>
        <w:rPr>
          <w:rFonts w:hint="eastAsia"/>
        </w:rPr>
        <w:t>查核。车辆各零部件和系统控制需确保无故障，发动机端对应</w:t>
      </w:r>
      <w:r>
        <w:t>平原</w:t>
      </w:r>
      <w:r>
        <w:rPr>
          <w:rFonts w:hint="eastAsia"/>
        </w:rPr>
        <w:t>地区</w:t>
      </w:r>
      <w:r>
        <w:t>万有</w:t>
      </w:r>
      <w:r>
        <w:rPr>
          <w:rFonts w:hint="eastAsia"/>
        </w:rPr>
        <w:t>特性</w:t>
      </w:r>
      <w:r>
        <w:t>数据，覆盖</w:t>
      </w:r>
      <w:r>
        <w:rPr>
          <w:rFonts w:hint="eastAsia"/>
        </w:rPr>
        <w:t>发动机</w:t>
      </w:r>
      <w:r>
        <w:t>低、中、高负荷</w:t>
      </w:r>
      <w:r>
        <w:rPr>
          <w:rFonts w:hint="eastAsia"/>
        </w:rPr>
        <w:t>（增压器</w:t>
      </w:r>
      <w:r>
        <w:t>不超速区间</w:t>
      </w:r>
      <w:r>
        <w:rPr>
          <w:rFonts w:hint="eastAsia"/>
        </w:rPr>
        <w:t>），选择制造厂</w:t>
      </w:r>
      <w:r>
        <w:t>要求的工况点运行</w:t>
      </w:r>
      <w:r>
        <w:rPr>
          <w:rFonts w:hint="eastAsia"/>
        </w:rPr>
        <w:t>并记录关键性能</w:t>
      </w:r>
      <w:r>
        <w:t>参数</w:t>
      </w:r>
      <w:r>
        <w:rPr>
          <w:rFonts w:hint="eastAsia"/>
        </w:rPr>
        <w:t>，</w:t>
      </w:r>
      <w:r>
        <w:t>经确认</w:t>
      </w:r>
      <w:r>
        <w:rPr>
          <w:rFonts w:hint="eastAsia"/>
        </w:rPr>
        <w:t>车辆及发动机</w:t>
      </w:r>
      <w:r>
        <w:t>状态无问题后进行试验。</w:t>
      </w:r>
      <w:r>
        <w:rPr>
          <w:rFonts w:hint="eastAsia"/>
        </w:rPr>
        <w:t>发动机状态关键</w:t>
      </w:r>
      <w:r>
        <w:t>性能</w:t>
      </w:r>
      <w:r>
        <w:rPr>
          <w:rFonts w:hint="eastAsia"/>
        </w:rPr>
        <w:t>参数记录</w:t>
      </w:r>
      <w:r>
        <w:t>见表</w:t>
      </w:r>
      <w:r>
        <w:rPr>
          <w:rFonts w:hint="eastAsia"/>
        </w:rPr>
        <w:t>3。</w:t>
      </w:r>
    </w:p>
    <w:p>
      <w:pPr>
        <w:pStyle w:val="74"/>
        <w:numPr>
          <w:ilvl w:val="0"/>
          <w:numId w:val="0"/>
        </w:numPr>
        <w:rPr>
          <w:rFonts w:ascii="Times New Roman"/>
        </w:rPr>
      </w:pPr>
      <w:r>
        <w:rPr>
          <w:rFonts w:hint="eastAsia" w:ascii="Times New Roman"/>
          <w:szCs w:val="21"/>
        </w:rPr>
        <w:t>表3  发动机</w:t>
      </w:r>
      <w:r>
        <w:rPr>
          <w:rFonts w:ascii="Times New Roman"/>
          <w:szCs w:val="21"/>
        </w:rPr>
        <w:t>关键</w:t>
      </w:r>
      <w:r>
        <w:rPr>
          <w:rFonts w:hint="eastAsia" w:ascii="Times New Roman"/>
          <w:szCs w:val="21"/>
        </w:rPr>
        <w:t>性能参数记录表</w:t>
      </w:r>
    </w:p>
    <w:tbl>
      <w:tblPr>
        <w:tblStyle w:val="45"/>
        <w:tblW w:w="1099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6"/>
        <w:gridCol w:w="593"/>
        <w:gridCol w:w="538"/>
        <w:gridCol w:w="555"/>
        <w:gridCol w:w="487"/>
        <w:gridCol w:w="579"/>
        <w:gridCol w:w="699"/>
        <w:gridCol w:w="576"/>
        <w:gridCol w:w="629"/>
        <w:gridCol w:w="637"/>
        <w:gridCol w:w="576"/>
        <w:gridCol w:w="657"/>
        <w:gridCol w:w="666"/>
        <w:gridCol w:w="528"/>
        <w:gridCol w:w="668"/>
        <w:gridCol w:w="631"/>
        <w:gridCol w:w="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67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593"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油门踏板开度</w:t>
            </w:r>
          </w:p>
          <w:p>
            <w:pPr>
              <w:jc w:val="center"/>
              <w:rPr>
                <w:color w:val="000000"/>
                <w:kern w:val="0"/>
                <w:sz w:val="18"/>
                <w:szCs w:val="18"/>
              </w:rPr>
            </w:pPr>
            <w:r>
              <w:rPr>
                <w:color w:val="000000"/>
                <w:kern w:val="0"/>
                <w:sz w:val="18"/>
                <w:szCs w:val="18"/>
              </w:rPr>
              <w:t>%</w:t>
            </w:r>
          </w:p>
        </w:tc>
        <w:tc>
          <w:tcPr>
            <w:tcW w:w="53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555"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燃气流量</w:t>
            </w:r>
          </w:p>
          <w:p>
            <w:pPr>
              <w:jc w:val="center"/>
              <w:rPr>
                <w:color w:val="000000"/>
                <w:kern w:val="0"/>
                <w:sz w:val="18"/>
                <w:szCs w:val="18"/>
              </w:rPr>
            </w:pPr>
            <w:r>
              <w:rPr>
                <w:color w:val="000000"/>
                <w:kern w:val="0"/>
                <w:sz w:val="18"/>
                <w:szCs w:val="18"/>
              </w:rPr>
              <w:t>kg/h</w:t>
            </w:r>
          </w:p>
        </w:tc>
        <w:tc>
          <w:tcPr>
            <w:tcW w:w="487"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环境压力</w:t>
            </w:r>
          </w:p>
          <w:p>
            <w:pPr>
              <w:jc w:val="center"/>
              <w:rPr>
                <w:color w:val="000000"/>
                <w:kern w:val="0"/>
                <w:sz w:val="18"/>
                <w:szCs w:val="18"/>
              </w:rPr>
            </w:pPr>
            <w:r>
              <w:rPr>
                <w:rFonts w:hint="eastAsia"/>
                <w:color w:val="000000"/>
                <w:kern w:val="0"/>
                <w:sz w:val="18"/>
                <w:szCs w:val="18"/>
              </w:rPr>
              <w:t>kPa</w:t>
            </w:r>
          </w:p>
        </w:tc>
        <w:tc>
          <w:tcPr>
            <w:tcW w:w="579"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节气门前</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699"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57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冷后压力</w:t>
            </w:r>
          </w:p>
          <w:p>
            <w:pPr>
              <w:jc w:val="center"/>
              <w:rPr>
                <w:color w:val="000000"/>
                <w:kern w:val="0"/>
                <w:sz w:val="18"/>
                <w:szCs w:val="18"/>
              </w:rPr>
            </w:pPr>
            <w:r>
              <w:rPr>
                <w:rFonts w:hint="eastAsia"/>
                <w:color w:val="000000"/>
                <w:kern w:val="0"/>
                <w:sz w:val="18"/>
                <w:szCs w:val="18"/>
              </w:rPr>
              <w:t>kPa</w:t>
            </w:r>
          </w:p>
        </w:tc>
        <w:tc>
          <w:tcPr>
            <w:tcW w:w="629"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增压器电控阀开度</w:t>
            </w:r>
          </w:p>
          <w:p>
            <w:pPr>
              <w:jc w:val="center"/>
              <w:rPr>
                <w:color w:val="000000"/>
                <w:kern w:val="0"/>
                <w:sz w:val="18"/>
                <w:szCs w:val="18"/>
              </w:rPr>
            </w:pPr>
            <w:r>
              <w:rPr>
                <w:color w:val="000000"/>
                <w:kern w:val="0"/>
                <w:sz w:val="18"/>
                <w:szCs w:val="18"/>
              </w:rPr>
              <w:t>%</w:t>
            </w:r>
          </w:p>
        </w:tc>
        <w:tc>
          <w:tcPr>
            <w:tcW w:w="637"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57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率</w:t>
            </w:r>
          </w:p>
          <w:p>
            <w:pPr>
              <w:jc w:val="center"/>
              <w:rPr>
                <w:color w:val="000000"/>
                <w:kern w:val="0"/>
                <w:sz w:val="18"/>
                <w:szCs w:val="18"/>
              </w:rPr>
            </w:pPr>
            <w:r>
              <w:rPr>
                <w:rFonts w:hint="eastAsia"/>
                <w:color w:val="000000"/>
                <w:kern w:val="0"/>
                <w:sz w:val="18"/>
                <w:szCs w:val="18"/>
              </w:rPr>
              <w:t>%</w:t>
            </w:r>
          </w:p>
        </w:tc>
        <w:tc>
          <w:tcPr>
            <w:tcW w:w="657"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66"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528"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6"/>
                <w:szCs w:val="16"/>
              </w:rPr>
            </w:pPr>
            <w:r>
              <w:rPr>
                <w:rFonts w:hint="eastAsia"/>
                <w:color w:val="000000"/>
                <w:kern w:val="0"/>
                <w:sz w:val="18"/>
                <w:szCs w:val="18"/>
              </w:rPr>
              <w:t>℃</w:t>
            </w:r>
          </w:p>
        </w:tc>
        <w:tc>
          <w:tcPr>
            <w:tcW w:w="668"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c>
          <w:tcPr>
            <w:tcW w:w="63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点火提前角</w:t>
            </w:r>
          </w:p>
          <w:p>
            <w:pPr>
              <w:jc w:val="center"/>
              <w:rPr>
                <w:color w:val="000000"/>
                <w:kern w:val="0"/>
                <w:sz w:val="18"/>
                <w:szCs w:val="18"/>
              </w:rPr>
            </w:pPr>
            <w:r>
              <w:rPr>
                <w:color w:val="000000"/>
                <w:kern w:val="0"/>
                <w:sz w:val="18"/>
                <w:szCs w:val="18"/>
              </w:rPr>
              <w:t>d</w:t>
            </w:r>
            <w:r>
              <w:rPr>
                <w:rFonts w:hint="eastAsia"/>
                <w:color w:val="000000"/>
                <w:kern w:val="0"/>
                <w:sz w:val="18"/>
                <w:szCs w:val="18"/>
              </w:rPr>
              <w:t>eg</w:t>
            </w:r>
          </w:p>
        </w:tc>
        <w:tc>
          <w:tcPr>
            <w:tcW w:w="690"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爆震强度系数</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6" w:type="dxa"/>
            <w:tcBorders>
              <w:top w:val="single" w:color="auto" w:sz="8" w:space="0"/>
            </w:tcBorders>
            <w:shd w:val="clear" w:color="auto" w:fill="auto"/>
            <w:vAlign w:val="center"/>
          </w:tcPr>
          <w:p>
            <w:pPr>
              <w:jc w:val="center"/>
              <w:rPr>
                <w:color w:val="000000"/>
                <w:kern w:val="0"/>
                <w:sz w:val="18"/>
                <w:szCs w:val="18"/>
              </w:rPr>
            </w:pPr>
          </w:p>
        </w:tc>
        <w:tc>
          <w:tcPr>
            <w:tcW w:w="676" w:type="dxa"/>
            <w:tcBorders>
              <w:top w:val="single" w:color="auto" w:sz="8" w:space="0"/>
            </w:tcBorders>
            <w:shd w:val="clear" w:color="auto" w:fill="auto"/>
            <w:vAlign w:val="center"/>
          </w:tcPr>
          <w:p>
            <w:pPr>
              <w:jc w:val="center"/>
              <w:rPr>
                <w:color w:val="000000"/>
                <w:kern w:val="0"/>
                <w:sz w:val="18"/>
                <w:szCs w:val="18"/>
              </w:rPr>
            </w:pPr>
          </w:p>
        </w:tc>
        <w:tc>
          <w:tcPr>
            <w:tcW w:w="593" w:type="dxa"/>
            <w:tcBorders>
              <w:top w:val="single" w:color="auto" w:sz="8" w:space="0"/>
            </w:tcBorders>
            <w:vAlign w:val="center"/>
          </w:tcPr>
          <w:p>
            <w:pPr>
              <w:jc w:val="center"/>
              <w:rPr>
                <w:color w:val="000000"/>
                <w:kern w:val="0"/>
                <w:sz w:val="18"/>
                <w:szCs w:val="18"/>
              </w:rPr>
            </w:pPr>
          </w:p>
        </w:tc>
        <w:tc>
          <w:tcPr>
            <w:tcW w:w="538" w:type="dxa"/>
            <w:tcBorders>
              <w:top w:val="single" w:color="auto" w:sz="8" w:space="0"/>
            </w:tcBorders>
            <w:shd w:val="clear" w:color="auto" w:fill="auto"/>
            <w:vAlign w:val="center"/>
          </w:tcPr>
          <w:p>
            <w:pPr>
              <w:jc w:val="center"/>
              <w:rPr>
                <w:color w:val="000000"/>
                <w:kern w:val="0"/>
                <w:sz w:val="18"/>
                <w:szCs w:val="18"/>
              </w:rPr>
            </w:pPr>
          </w:p>
        </w:tc>
        <w:tc>
          <w:tcPr>
            <w:tcW w:w="555" w:type="dxa"/>
            <w:tcBorders>
              <w:top w:val="single" w:color="auto" w:sz="8" w:space="0"/>
            </w:tcBorders>
            <w:shd w:val="clear" w:color="auto" w:fill="auto"/>
            <w:vAlign w:val="center"/>
          </w:tcPr>
          <w:p>
            <w:pPr>
              <w:jc w:val="center"/>
              <w:rPr>
                <w:color w:val="000000"/>
                <w:kern w:val="0"/>
                <w:sz w:val="18"/>
                <w:szCs w:val="18"/>
              </w:rPr>
            </w:pPr>
          </w:p>
        </w:tc>
        <w:tc>
          <w:tcPr>
            <w:tcW w:w="487" w:type="dxa"/>
            <w:tcBorders>
              <w:top w:val="single" w:color="auto" w:sz="8" w:space="0"/>
            </w:tcBorders>
            <w:shd w:val="clear" w:color="auto" w:fill="auto"/>
            <w:vAlign w:val="center"/>
          </w:tcPr>
          <w:p>
            <w:pPr>
              <w:jc w:val="center"/>
              <w:rPr>
                <w:color w:val="000000"/>
                <w:kern w:val="0"/>
                <w:sz w:val="18"/>
                <w:szCs w:val="18"/>
              </w:rPr>
            </w:pPr>
          </w:p>
        </w:tc>
        <w:tc>
          <w:tcPr>
            <w:tcW w:w="579" w:type="dxa"/>
            <w:tcBorders>
              <w:top w:val="single" w:color="auto" w:sz="8" w:space="0"/>
            </w:tcBorders>
            <w:vAlign w:val="center"/>
          </w:tcPr>
          <w:p>
            <w:pPr>
              <w:jc w:val="center"/>
              <w:rPr>
                <w:color w:val="000000"/>
                <w:kern w:val="0"/>
                <w:sz w:val="18"/>
                <w:szCs w:val="18"/>
              </w:rPr>
            </w:pPr>
          </w:p>
        </w:tc>
        <w:tc>
          <w:tcPr>
            <w:tcW w:w="699" w:type="dxa"/>
            <w:tcBorders>
              <w:top w:val="single" w:color="auto" w:sz="8" w:space="0"/>
            </w:tcBorders>
            <w:vAlign w:val="center"/>
          </w:tcPr>
          <w:p>
            <w:pPr>
              <w:jc w:val="center"/>
              <w:rPr>
                <w:color w:val="000000"/>
                <w:kern w:val="0"/>
                <w:sz w:val="18"/>
                <w:szCs w:val="18"/>
              </w:rPr>
            </w:pPr>
          </w:p>
        </w:tc>
        <w:tc>
          <w:tcPr>
            <w:tcW w:w="576" w:type="dxa"/>
            <w:tcBorders>
              <w:top w:val="single" w:color="auto" w:sz="8" w:space="0"/>
            </w:tcBorders>
            <w:vAlign w:val="center"/>
          </w:tcPr>
          <w:p>
            <w:pPr>
              <w:jc w:val="center"/>
              <w:rPr>
                <w:color w:val="000000"/>
                <w:kern w:val="0"/>
                <w:sz w:val="18"/>
                <w:szCs w:val="18"/>
              </w:rPr>
            </w:pPr>
          </w:p>
        </w:tc>
        <w:tc>
          <w:tcPr>
            <w:tcW w:w="629" w:type="dxa"/>
            <w:tcBorders>
              <w:top w:val="single" w:color="auto" w:sz="8" w:space="0"/>
            </w:tcBorders>
            <w:shd w:val="clear" w:color="auto" w:fill="auto"/>
            <w:vAlign w:val="center"/>
          </w:tcPr>
          <w:p>
            <w:pPr>
              <w:jc w:val="center"/>
              <w:rPr>
                <w:color w:val="000000"/>
                <w:kern w:val="0"/>
                <w:sz w:val="18"/>
                <w:szCs w:val="18"/>
              </w:rPr>
            </w:pPr>
          </w:p>
        </w:tc>
        <w:tc>
          <w:tcPr>
            <w:tcW w:w="637" w:type="dxa"/>
            <w:tcBorders>
              <w:top w:val="single" w:color="auto" w:sz="8" w:space="0"/>
            </w:tcBorders>
            <w:shd w:val="clear" w:color="auto" w:fill="auto"/>
            <w:vAlign w:val="center"/>
          </w:tcPr>
          <w:p>
            <w:pPr>
              <w:jc w:val="center"/>
              <w:rPr>
                <w:color w:val="000000"/>
                <w:kern w:val="0"/>
                <w:sz w:val="18"/>
                <w:szCs w:val="18"/>
              </w:rPr>
            </w:pPr>
          </w:p>
        </w:tc>
        <w:tc>
          <w:tcPr>
            <w:tcW w:w="576" w:type="dxa"/>
            <w:tcBorders>
              <w:top w:val="single" w:color="auto" w:sz="8" w:space="0"/>
            </w:tcBorders>
            <w:vAlign w:val="center"/>
          </w:tcPr>
          <w:p>
            <w:pPr>
              <w:jc w:val="center"/>
              <w:rPr>
                <w:color w:val="000000"/>
                <w:kern w:val="0"/>
                <w:sz w:val="18"/>
                <w:szCs w:val="18"/>
              </w:rPr>
            </w:pPr>
          </w:p>
        </w:tc>
        <w:tc>
          <w:tcPr>
            <w:tcW w:w="657" w:type="dxa"/>
            <w:tcBorders>
              <w:top w:val="single" w:color="auto" w:sz="8" w:space="0"/>
            </w:tcBorders>
            <w:vAlign w:val="center"/>
          </w:tcPr>
          <w:p>
            <w:pPr>
              <w:jc w:val="center"/>
              <w:rPr>
                <w:color w:val="000000"/>
                <w:kern w:val="0"/>
                <w:sz w:val="18"/>
                <w:szCs w:val="18"/>
              </w:rPr>
            </w:pPr>
          </w:p>
        </w:tc>
        <w:tc>
          <w:tcPr>
            <w:tcW w:w="666" w:type="dxa"/>
            <w:tcBorders>
              <w:top w:val="single" w:color="auto" w:sz="8" w:space="0"/>
            </w:tcBorders>
            <w:vAlign w:val="center"/>
          </w:tcPr>
          <w:p>
            <w:pPr>
              <w:jc w:val="center"/>
              <w:rPr>
                <w:color w:val="000000"/>
                <w:kern w:val="0"/>
                <w:sz w:val="18"/>
                <w:szCs w:val="18"/>
              </w:rPr>
            </w:pPr>
          </w:p>
        </w:tc>
        <w:tc>
          <w:tcPr>
            <w:tcW w:w="528" w:type="dxa"/>
            <w:tcBorders>
              <w:top w:val="single" w:color="auto" w:sz="8" w:space="0"/>
            </w:tcBorders>
            <w:vAlign w:val="center"/>
          </w:tcPr>
          <w:p>
            <w:pPr>
              <w:jc w:val="center"/>
              <w:rPr>
                <w:color w:val="000000"/>
                <w:kern w:val="0"/>
                <w:sz w:val="18"/>
                <w:szCs w:val="18"/>
              </w:rPr>
            </w:pPr>
          </w:p>
        </w:tc>
        <w:tc>
          <w:tcPr>
            <w:tcW w:w="668" w:type="dxa"/>
            <w:tcBorders>
              <w:top w:val="single" w:color="auto" w:sz="8" w:space="0"/>
            </w:tcBorders>
            <w:vAlign w:val="center"/>
          </w:tcPr>
          <w:p>
            <w:pPr>
              <w:jc w:val="center"/>
              <w:rPr>
                <w:color w:val="000000"/>
                <w:kern w:val="0"/>
                <w:sz w:val="18"/>
                <w:szCs w:val="18"/>
              </w:rPr>
            </w:pPr>
          </w:p>
        </w:tc>
        <w:tc>
          <w:tcPr>
            <w:tcW w:w="631" w:type="dxa"/>
            <w:tcBorders>
              <w:top w:val="single" w:color="auto" w:sz="8" w:space="0"/>
            </w:tcBorders>
            <w:vAlign w:val="center"/>
          </w:tcPr>
          <w:p>
            <w:pPr>
              <w:jc w:val="center"/>
              <w:rPr>
                <w:color w:val="000000"/>
                <w:kern w:val="0"/>
                <w:sz w:val="18"/>
                <w:szCs w:val="18"/>
              </w:rPr>
            </w:pPr>
          </w:p>
        </w:tc>
        <w:tc>
          <w:tcPr>
            <w:tcW w:w="690" w:type="dxa"/>
            <w:tcBorders>
              <w:top w:val="single" w:color="auto" w:sz="8" w:space="0"/>
            </w:tcBorders>
            <w:vAlign w:val="center"/>
          </w:tcPr>
          <w:p>
            <w:pPr>
              <w:jc w:val="center"/>
              <w:rPr>
                <w:color w:val="000000"/>
                <w:kern w:val="0"/>
                <w:sz w:val="18"/>
                <w:szCs w:val="18"/>
              </w:rPr>
            </w:pPr>
          </w:p>
        </w:tc>
      </w:tr>
    </w:tbl>
    <w:p/>
    <w:p>
      <w:pPr>
        <w:pStyle w:val="61"/>
        <w:rPr>
          <w:rFonts w:ascii="Times New Roman"/>
        </w:rPr>
      </w:pPr>
      <w:r>
        <w:rPr>
          <w:rFonts w:hint="eastAsia" w:ascii="Times New Roman"/>
        </w:rPr>
        <w:t>低温起动性能试验</w:t>
      </w:r>
    </w:p>
    <w:p>
      <w:pPr>
        <w:pStyle w:val="60"/>
        <w:spacing w:before="156" w:after="156"/>
      </w:pPr>
      <w:r>
        <w:rPr>
          <w:rFonts w:hint="eastAsia" w:ascii="Times New Roman"/>
        </w:rPr>
        <w:t>试验条件和准备</w:t>
      </w:r>
    </w:p>
    <w:p>
      <w:r>
        <w:rPr>
          <w:rFonts w:hint="eastAsia"/>
        </w:rPr>
        <w:t>5.2.2.1  在自然环境下进行起动试验时，试验发动机应放置于不受太阳照射的自然环境中浸车，浸车时间12h以上，以确保润滑油、冷却液温度接近环境温度，温度相差≤1℃。</w:t>
      </w:r>
    </w:p>
    <w:p>
      <w:r>
        <w:rPr>
          <w:rFonts w:hint="eastAsia"/>
        </w:rPr>
        <w:t>5.2.2.2  在自然环境中，应多次准备测试，使起动极限温度在满足制造厂要求的温度点下进行试验。在其他温度点以5℃</w:t>
      </w:r>
      <w:r>
        <w:rPr>
          <w:rFonts w:hint="eastAsia"/>
          <w:color w:val="000000"/>
        </w:rPr>
        <w:t>～10℃的温度梯度进行测试，必要时可以在同一温度下测试。</w:t>
      </w:r>
    </w:p>
    <w:p>
      <w:r>
        <w:rPr>
          <w:rFonts w:hint="eastAsia"/>
        </w:rPr>
        <w:t>5.2.2.3  其他试验条件和试验准备按照GB/T 1147.2，附录A.1、A.2的规定进行</w:t>
      </w:r>
      <w:r>
        <w:t>。</w:t>
      </w:r>
    </w:p>
    <w:p>
      <w:pPr>
        <w:pStyle w:val="60"/>
        <w:spacing w:before="156" w:after="156"/>
        <w:rPr>
          <w:rFonts w:ascii="Times New Roman"/>
        </w:rPr>
      </w:pPr>
      <w:r>
        <w:rPr>
          <w:rFonts w:hint="eastAsia" w:ascii="Times New Roman"/>
        </w:rPr>
        <w:t>试验方法</w:t>
      </w:r>
    </w:p>
    <w:p>
      <w:r>
        <w:rPr>
          <w:rFonts w:hint="eastAsia"/>
        </w:rPr>
        <w:t>5.2.3.1  天燃气发动机起动过程分为三个阶段；起动阶段、稳定阶段和暖机阶段，以上各阶段及起动操作时间参照GB/T 1147.2，A.3.1的规定进行</w:t>
      </w:r>
      <w:r>
        <w:t>。</w:t>
      </w:r>
    </w:p>
    <w:p>
      <w:r>
        <w:rPr>
          <w:rFonts w:hint="eastAsia"/>
        </w:rPr>
        <w:t>5.2.3.2  每一试验温度下进行3次起动，其中应有2次起动成功。每次起动后需运转一段时间，证明已达到稳定运转后方可评定为“起动成功”。如果前两次起动成功，可不再进行第三次起动。每一试验温度下若3次起动中有2次起动不成功，即评定为“起动失败”。在同一试验温度下，3次起动中如有1次不成功，则允许继续进行下一次起动，但其间至少应间隔2min。在测定起动极限温度时，如在某一试验温度下起动失败，在查清原因后允许重复试验，或者改变试验温度重新试验。</w:t>
      </w:r>
    </w:p>
    <w:p>
      <w:r>
        <w:rPr>
          <w:rFonts w:hint="eastAsia"/>
        </w:rPr>
        <w:t>5.2.3.3  其他起动规定按照GB/T 1147.2，A.3.6的规定进行</w:t>
      </w:r>
      <w:r>
        <w:t>。</w:t>
      </w:r>
      <w:r>
        <w:rPr>
          <w:rFonts w:hint="eastAsia"/>
        </w:rPr>
        <w:t>整个启动过程中，至少应测试和记录关键性能参数见表4。</w:t>
      </w:r>
    </w:p>
    <w:p>
      <w:pPr>
        <w:pStyle w:val="74"/>
        <w:numPr>
          <w:ilvl w:val="0"/>
          <w:numId w:val="0"/>
        </w:numPr>
        <w:rPr>
          <w:rFonts w:ascii="Times New Roman"/>
          <w:szCs w:val="21"/>
        </w:rPr>
      </w:pPr>
    </w:p>
    <w:p>
      <w:pPr>
        <w:pStyle w:val="74"/>
        <w:numPr>
          <w:ilvl w:val="0"/>
          <w:numId w:val="0"/>
        </w:numPr>
        <w:rPr>
          <w:rFonts w:ascii="Times New Roman"/>
          <w:szCs w:val="21"/>
        </w:rPr>
      </w:pPr>
    </w:p>
    <w:p>
      <w:pPr>
        <w:pStyle w:val="74"/>
        <w:numPr>
          <w:ilvl w:val="0"/>
          <w:numId w:val="0"/>
        </w:numPr>
        <w:rPr>
          <w:rFonts w:ascii="Times New Roman"/>
        </w:rPr>
      </w:pPr>
      <w:r>
        <w:rPr>
          <w:rFonts w:hint="eastAsia" w:ascii="Times New Roman"/>
          <w:szCs w:val="21"/>
        </w:rPr>
        <w:t>表4  低温启动试验</w:t>
      </w:r>
      <w:r>
        <w:rPr>
          <w:rFonts w:ascii="Times New Roman"/>
          <w:szCs w:val="21"/>
        </w:rPr>
        <w:t>关键</w:t>
      </w:r>
      <w:r>
        <w:rPr>
          <w:rFonts w:hint="eastAsia" w:ascii="Times New Roman"/>
          <w:szCs w:val="21"/>
        </w:rPr>
        <w:t>性能参数记录表</w:t>
      </w:r>
    </w:p>
    <w:tbl>
      <w:tblPr>
        <w:tblStyle w:val="45"/>
        <w:tblW w:w="105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1"/>
        <w:gridCol w:w="616"/>
        <w:gridCol w:w="567"/>
        <w:gridCol w:w="426"/>
        <w:gridCol w:w="536"/>
        <w:gridCol w:w="536"/>
        <w:gridCol w:w="620"/>
        <w:gridCol w:w="489"/>
        <w:gridCol w:w="680"/>
        <w:gridCol w:w="737"/>
        <w:gridCol w:w="616"/>
        <w:gridCol w:w="387"/>
        <w:gridCol w:w="396"/>
        <w:gridCol w:w="697"/>
        <w:gridCol w:w="686"/>
        <w:gridCol w:w="474"/>
        <w:gridCol w:w="7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711"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发动机转速设定值</w:t>
            </w:r>
          </w:p>
          <w:p>
            <w:pPr>
              <w:jc w:val="center"/>
              <w:rPr>
                <w:color w:val="000000"/>
                <w:kern w:val="0"/>
                <w:sz w:val="18"/>
                <w:szCs w:val="18"/>
              </w:rPr>
            </w:pPr>
            <w:r>
              <w:rPr>
                <w:rFonts w:hint="eastAsia"/>
                <w:color w:val="000000"/>
                <w:kern w:val="0"/>
                <w:sz w:val="18"/>
                <w:szCs w:val="18"/>
              </w:rPr>
              <w:t>r/min</w:t>
            </w:r>
          </w:p>
        </w:tc>
        <w:tc>
          <w:tcPr>
            <w:tcW w:w="61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56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42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燃气流量</w:t>
            </w:r>
          </w:p>
          <w:p>
            <w:pPr>
              <w:jc w:val="center"/>
              <w:rPr>
                <w:color w:val="000000"/>
                <w:kern w:val="0"/>
                <w:sz w:val="18"/>
                <w:szCs w:val="18"/>
              </w:rPr>
            </w:pPr>
            <w:r>
              <w:rPr>
                <w:color w:val="000000"/>
                <w:kern w:val="0"/>
                <w:sz w:val="18"/>
                <w:szCs w:val="18"/>
              </w:rPr>
              <w:t>kg/h</w:t>
            </w:r>
          </w:p>
        </w:tc>
        <w:tc>
          <w:tcPr>
            <w:tcW w:w="536" w:type="dxa"/>
            <w:tcBorders>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环境压力</w:t>
            </w:r>
          </w:p>
          <w:p>
            <w:pPr>
              <w:jc w:val="center"/>
              <w:rPr>
                <w:color w:val="000000"/>
                <w:kern w:val="0"/>
                <w:sz w:val="18"/>
                <w:szCs w:val="18"/>
              </w:rPr>
            </w:pPr>
            <w:r>
              <w:rPr>
                <w:rFonts w:hint="eastAsia"/>
                <w:color w:val="000000"/>
                <w:kern w:val="0"/>
                <w:sz w:val="18"/>
                <w:szCs w:val="18"/>
              </w:rPr>
              <w:t>kPa</w:t>
            </w:r>
          </w:p>
        </w:tc>
        <w:tc>
          <w:tcPr>
            <w:tcW w:w="53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燃气压力</w:t>
            </w:r>
          </w:p>
          <w:p>
            <w:pPr>
              <w:jc w:val="center"/>
              <w:rPr>
                <w:color w:val="000000"/>
                <w:kern w:val="0"/>
                <w:sz w:val="18"/>
                <w:szCs w:val="18"/>
              </w:rPr>
            </w:pPr>
            <w:r>
              <w:rPr>
                <w:rFonts w:hint="eastAsia"/>
                <w:color w:val="000000"/>
                <w:kern w:val="0"/>
                <w:sz w:val="18"/>
                <w:szCs w:val="18"/>
              </w:rPr>
              <w:t>kPa</w:t>
            </w:r>
          </w:p>
        </w:tc>
        <w:tc>
          <w:tcPr>
            <w:tcW w:w="620"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489"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电瓶电压</w:t>
            </w:r>
          </w:p>
          <w:p>
            <w:pPr>
              <w:jc w:val="center"/>
              <w:rPr>
                <w:color w:val="000000"/>
                <w:kern w:val="0"/>
                <w:sz w:val="18"/>
                <w:szCs w:val="18"/>
              </w:rPr>
            </w:pPr>
            <w:r>
              <w:rPr>
                <w:rFonts w:hint="eastAsia"/>
                <w:color w:val="000000"/>
                <w:kern w:val="0"/>
                <w:sz w:val="18"/>
                <w:szCs w:val="18"/>
              </w:rPr>
              <w:t>V</w:t>
            </w:r>
          </w:p>
        </w:tc>
        <w:tc>
          <w:tcPr>
            <w:tcW w:w="680"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73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1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38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8"/>
                <w:szCs w:val="18"/>
              </w:rPr>
            </w:pPr>
            <w:r>
              <w:rPr>
                <w:rFonts w:hint="eastAsia"/>
                <w:color w:val="000000"/>
                <w:kern w:val="0"/>
                <w:sz w:val="18"/>
                <w:szCs w:val="18"/>
              </w:rPr>
              <w:t>℃</w:t>
            </w:r>
          </w:p>
        </w:tc>
        <w:tc>
          <w:tcPr>
            <w:tcW w:w="39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机油温度</w:t>
            </w:r>
          </w:p>
          <w:p>
            <w:pPr>
              <w:jc w:val="center"/>
              <w:rPr>
                <w:color w:val="000000"/>
                <w:kern w:val="0"/>
                <w:sz w:val="18"/>
                <w:szCs w:val="18"/>
              </w:rPr>
            </w:pPr>
            <w:r>
              <w:rPr>
                <w:rFonts w:hint="eastAsia"/>
                <w:color w:val="000000"/>
                <w:kern w:val="0"/>
                <w:sz w:val="18"/>
                <w:szCs w:val="18"/>
              </w:rPr>
              <w:t>℃</w:t>
            </w:r>
          </w:p>
        </w:tc>
        <w:tc>
          <w:tcPr>
            <w:tcW w:w="697"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c>
          <w:tcPr>
            <w:tcW w:w="686"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点火提前角</w:t>
            </w:r>
          </w:p>
          <w:p>
            <w:pPr>
              <w:jc w:val="center"/>
              <w:rPr>
                <w:color w:val="000000"/>
                <w:kern w:val="0"/>
                <w:sz w:val="18"/>
                <w:szCs w:val="18"/>
              </w:rPr>
            </w:pPr>
            <w:r>
              <w:rPr>
                <w:color w:val="000000"/>
                <w:kern w:val="0"/>
                <w:sz w:val="18"/>
                <w:szCs w:val="18"/>
              </w:rPr>
              <w:t>d</w:t>
            </w:r>
            <w:r>
              <w:rPr>
                <w:rFonts w:hint="eastAsia"/>
                <w:color w:val="000000"/>
                <w:kern w:val="0"/>
                <w:sz w:val="18"/>
                <w:szCs w:val="18"/>
              </w:rPr>
              <w:t>eg</w:t>
            </w:r>
          </w:p>
        </w:tc>
        <w:tc>
          <w:tcPr>
            <w:tcW w:w="474"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空燃比</w:t>
            </w:r>
          </w:p>
          <w:p>
            <w:pPr>
              <w:jc w:val="center"/>
              <w:rPr>
                <w:color w:val="000000"/>
                <w:kern w:val="0"/>
                <w:sz w:val="18"/>
                <w:szCs w:val="18"/>
              </w:rPr>
            </w:pPr>
            <w:r>
              <w:rPr>
                <w:rFonts w:hint="eastAsia"/>
                <w:color w:val="000000"/>
                <w:kern w:val="0"/>
                <w:sz w:val="18"/>
                <w:szCs w:val="18"/>
              </w:rPr>
              <w:t>-</w:t>
            </w:r>
          </w:p>
        </w:tc>
        <w:tc>
          <w:tcPr>
            <w:tcW w:w="703" w:type="dxa"/>
            <w:tcBorders>
              <w:bottom w:val="single" w:color="auto" w:sz="8" w:space="0"/>
            </w:tcBorders>
            <w:vAlign w:val="center"/>
          </w:tcPr>
          <w:p>
            <w:pPr>
              <w:jc w:val="center"/>
              <w:rPr>
                <w:color w:val="000000"/>
                <w:kern w:val="0"/>
                <w:sz w:val="18"/>
                <w:szCs w:val="18"/>
              </w:rPr>
            </w:pPr>
            <w:r>
              <w:rPr>
                <w:rFonts w:hint="eastAsia"/>
                <w:color w:val="000000"/>
                <w:kern w:val="0"/>
                <w:sz w:val="18"/>
                <w:szCs w:val="18"/>
              </w:rPr>
              <w:t>发动机启动状态</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711" w:type="dxa"/>
            <w:tcBorders>
              <w:top w:val="single" w:color="auto" w:sz="8" w:space="0"/>
              <w:bottom w:val="single" w:color="auto" w:sz="8" w:space="0"/>
            </w:tcBorders>
            <w:vAlign w:val="center"/>
          </w:tcPr>
          <w:p>
            <w:pPr>
              <w:jc w:val="center"/>
              <w:rPr>
                <w:color w:val="000000"/>
                <w:kern w:val="0"/>
                <w:sz w:val="18"/>
                <w:szCs w:val="18"/>
              </w:rPr>
            </w:pPr>
          </w:p>
        </w:tc>
        <w:tc>
          <w:tcPr>
            <w:tcW w:w="61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67" w:type="dxa"/>
            <w:tcBorders>
              <w:top w:val="single" w:color="auto" w:sz="8" w:space="0"/>
              <w:bottom w:val="single" w:color="auto" w:sz="8" w:space="0"/>
            </w:tcBorders>
            <w:vAlign w:val="center"/>
          </w:tcPr>
          <w:p>
            <w:pPr>
              <w:jc w:val="center"/>
              <w:rPr>
                <w:color w:val="000000"/>
                <w:kern w:val="0"/>
                <w:sz w:val="18"/>
                <w:szCs w:val="18"/>
              </w:rPr>
            </w:pPr>
          </w:p>
        </w:tc>
        <w:tc>
          <w:tcPr>
            <w:tcW w:w="42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36" w:type="dxa"/>
            <w:tcBorders>
              <w:top w:val="single" w:color="auto" w:sz="8" w:space="0"/>
              <w:bottom w:val="single" w:color="auto" w:sz="8" w:space="0"/>
            </w:tcBorders>
            <w:shd w:val="clear" w:color="auto" w:fill="auto"/>
            <w:vAlign w:val="center"/>
          </w:tcPr>
          <w:p>
            <w:pPr>
              <w:jc w:val="center"/>
              <w:rPr>
                <w:color w:val="000000"/>
                <w:kern w:val="0"/>
                <w:sz w:val="18"/>
                <w:szCs w:val="18"/>
              </w:rPr>
            </w:pPr>
          </w:p>
        </w:tc>
        <w:tc>
          <w:tcPr>
            <w:tcW w:w="536" w:type="dxa"/>
            <w:tcBorders>
              <w:top w:val="single" w:color="auto" w:sz="8" w:space="0"/>
              <w:bottom w:val="single" w:color="auto" w:sz="8" w:space="0"/>
            </w:tcBorders>
            <w:vAlign w:val="center"/>
          </w:tcPr>
          <w:p>
            <w:pPr>
              <w:jc w:val="center"/>
              <w:rPr>
                <w:color w:val="000000"/>
                <w:kern w:val="0"/>
                <w:sz w:val="18"/>
                <w:szCs w:val="18"/>
              </w:rPr>
            </w:pPr>
          </w:p>
        </w:tc>
        <w:tc>
          <w:tcPr>
            <w:tcW w:w="620" w:type="dxa"/>
            <w:tcBorders>
              <w:top w:val="single" w:color="auto" w:sz="8" w:space="0"/>
              <w:bottom w:val="single" w:color="auto" w:sz="8" w:space="0"/>
            </w:tcBorders>
            <w:vAlign w:val="center"/>
          </w:tcPr>
          <w:p>
            <w:pPr>
              <w:jc w:val="center"/>
              <w:rPr>
                <w:color w:val="000000"/>
                <w:kern w:val="0"/>
                <w:sz w:val="18"/>
                <w:szCs w:val="18"/>
              </w:rPr>
            </w:pPr>
          </w:p>
        </w:tc>
        <w:tc>
          <w:tcPr>
            <w:tcW w:w="489" w:type="dxa"/>
            <w:tcBorders>
              <w:top w:val="single" w:color="auto" w:sz="8" w:space="0"/>
              <w:bottom w:val="single" w:color="auto" w:sz="8" w:space="0"/>
            </w:tcBorders>
            <w:vAlign w:val="center"/>
          </w:tcPr>
          <w:p>
            <w:pPr>
              <w:jc w:val="center"/>
              <w:rPr>
                <w:color w:val="000000"/>
                <w:kern w:val="0"/>
                <w:sz w:val="18"/>
                <w:szCs w:val="18"/>
              </w:rPr>
            </w:pPr>
          </w:p>
        </w:tc>
        <w:tc>
          <w:tcPr>
            <w:tcW w:w="680" w:type="dxa"/>
            <w:tcBorders>
              <w:top w:val="single" w:color="auto" w:sz="8" w:space="0"/>
              <w:bottom w:val="single" w:color="auto" w:sz="8" w:space="0"/>
            </w:tcBorders>
            <w:vAlign w:val="center"/>
          </w:tcPr>
          <w:p>
            <w:pPr>
              <w:jc w:val="center"/>
              <w:rPr>
                <w:color w:val="000000"/>
                <w:kern w:val="0"/>
                <w:sz w:val="18"/>
                <w:szCs w:val="18"/>
              </w:rPr>
            </w:pPr>
          </w:p>
        </w:tc>
        <w:tc>
          <w:tcPr>
            <w:tcW w:w="737" w:type="dxa"/>
            <w:tcBorders>
              <w:top w:val="single" w:color="auto" w:sz="8" w:space="0"/>
              <w:bottom w:val="single" w:color="auto" w:sz="8" w:space="0"/>
            </w:tcBorders>
            <w:vAlign w:val="center"/>
          </w:tcPr>
          <w:p>
            <w:pPr>
              <w:jc w:val="center"/>
              <w:rPr>
                <w:color w:val="000000"/>
                <w:kern w:val="0"/>
                <w:sz w:val="18"/>
                <w:szCs w:val="18"/>
              </w:rPr>
            </w:pPr>
          </w:p>
        </w:tc>
        <w:tc>
          <w:tcPr>
            <w:tcW w:w="616" w:type="dxa"/>
            <w:tcBorders>
              <w:top w:val="single" w:color="auto" w:sz="8" w:space="0"/>
              <w:bottom w:val="single" w:color="auto" w:sz="8" w:space="0"/>
            </w:tcBorders>
            <w:vAlign w:val="center"/>
          </w:tcPr>
          <w:p>
            <w:pPr>
              <w:jc w:val="center"/>
              <w:rPr>
                <w:color w:val="000000"/>
                <w:kern w:val="0"/>
                <w:sz w:val="18"/>
                <w:szCs w:val="18"/>
              </w:rPr>
            </w:pPr>
          </w:p>
        </w:tc>
        <w:tc>
          <w:tcPr>
            <w:tcW w:w="387" w:type="dxa"/>
            <w:tcBorders>
              <w:top w:val="single" w:color="auto" w:sz="8" w:space="0"/>
              <w:bottom w:val="single" w:color="auto" w:sz="8" w:space="0"/>
            </w:tcBorders>
            <w:vAlign w:val="center"/>
          </w:tcPr>
          <w:p>
            <w:pPr>
              <w:jc w:val="center"/>
              <w:rPr>
                <w:color w:val="000000"/>
                <w:kern w:val="0"/>
                <w:sz w:val="18"/>
                <w:szCs w:val="18"/>
              </w:rPr>
            </w:pPr>
          </w:p>
        </w:tc>
        <w:tc>
          <w:tcPr>
            <w:tcW w:w="396" w:type="dxa"/>
            <w:tcBorders>
              <w:top w:val="single" w:color="auto" w:sz="8" w:space="0"/>
              <w:bottom w:val="single" w:color="auto" w:sz="8" w:space="0"/>
            </w:tcBorders>
          </w:tcPr>
          <w:p>
            <w:pPr>
              <w:jc w:val="center"/>
              <w:rPr>
                <w:color w:val="000000"/>
                <w:kern w:val="0"/>
                <w:sz w:val="18"/>
                <w:szCs w:val="18"/>
              </w:rPr>
            </w:pPr>
          </w:p>
        </w:tc>
        <w:tc>
          <w:tcPr>
            <w:tcW w:w="697" w:type="dxa"/>
            <w:tcBorders>
              <w:top w:val="single" w:color="auto" w:sz="8" w:space="0"/>
              <w:bottom w:val="single" w:color="auto" w:sz="8" w:space="0"/>
            </w:tcBorders>
            <w:vAlign w:val="center"/>
          </w:tcPr>
          <w:p>
            <w:pPr>
              <w:jc w:val="center"/>
              <w:rPr>
                <w:color w:val="000000"/>
                <w:kern w:val="0"/>
                <w:sz w:val="18"/>
                <w:szCs w:val="18"/>
              </w:rPr>
            </w:pPr>
          </w:p>
        </w:tc>
        <w:tc>
          <w:tcPr>
            <w:tcW w:w="686" w:type="dxa"/>
            <w:tcBorders>
              <w:top w:val="single" w:color="auto" w:sz="8" w:space="0"/>
              <w:bottom w:val="single" w:color="auto" w:sz="8" w:space="0"/>
            </w:tcBorders>
            <w:vAlign w:val="center"/>
          </w:tcPr>
          <w:p>
            <w:pPr>
              <w:jc w:val="center"/>
              <w:rPr>
                <w:color w:val="000000"/>
                <w:kern w:val="0"/>
                <w:sz w:val="18"/>
                <w:szCs w:val="18"/>
              </w:rPr>
            </w:pPr>
          </w:p>
        </w:tc>
        <w:tc>
          <w:tcPr>
            <w:tcW w:w="474" w:type="dxa"/>
            <w:tcBorders>
              <w:top w:val="single" w:color="auto" w:sz="8" w:space="0"/>
              <w:bottom w:val="single" w:color="auto" w:sz="8" w:space="0"/>
            </w:tcBorders>
          </w:tcPr>
          <w:p>
            <w:pPr>
              <w:jc w:val="center"/>
              <w:rPr>
                <w:color w:val="000000"/>
                <w:kern w:val="0"/>
                <w:sz w:val="18"/>
                <w:szCs w:val="18"/>
              </w:rPr>
            </w:pPr>
          </w:p>
        </w:tc>
        <w:tc>
          <w:tcPr>
            <w:tcW w:w="703" w:type="dxa"/>
            <w:tcBorders>
              <w:top w:val="single" w:color="auto" w:sz="8" w:space="0"/>
              <w:bottom w:val="single" w:color="auto" w:sz="8" w:space="0"/>
            </w:tcBorders>
            <w:vAlign w:val="center"/>
          </w:tcPr>
          <w:p>
            <w:pPr>
              <w:jc w:val="center"/>
              <w:rPr>
                <w:color w:val="000000"/>
                <w:kern w:val="0"/>
                <w:sz w:val="18"/>
                <w:szCs w:val="18"/>
              </w:rPr>
            </w:pPr>
          </w:p>
        </w:tc>
      </w:tr>
    </w:tbl>
    <w:p>
      <w:r>
        <w:rPr>
          <w:rFonts w:hint="eastAsia"/>
        </w:rPr>
        <w:t>5.2.3.4  其他注意事项按照GB/T 1147.2，A.3.6的规定进行</w:t>
      </w:r>
      <w:r>
        <w:t>。</w:t>
      </w:r>
    </w:p>
    <w:p>
      <w:pPr>
        <w:pStyle w:val="61"/>
        <w:rPr>
          <w:rFonts w:ascii="Times New Roman"/>
        </w:rPr>
      </w:pPr>
      <w:r>
        <w:rPr>
          <w:rFonts w:hint="eastAsia" w:ascii="Times New Roman"/>
        </w:rPr>
        <w:t>关键零部件结冰验证</w:t>
      </w:r>
    </w:p>
    <w:p>
      <w:pPr>
        <w:pStyle w:val="60"/>
        <w:spacing w:before="156" w:after="156"/>
      </w:pPr>
      <w:r>
        <w:rPr>
          <w:rFonts w:hint="eastAsia" w:ascii="Times New Roman"/>
        </w:rPr>
        <w:t>试验条件和准备</w:t>
      </w:r>
    </w:p>
    <w:p>
      <w:pPr>
        <w:ind w:firstLine="480"/>
      </w:pPr>
      <w:r>
        <w:rPr>
          <w:rFonts w:hint="eastAsia"/>
        </w:rPr>
        <w:t>试验条件和准备按照5.2.1进行。</w:t>
      </w:r>
    </w:p>
    <w:p>
      <w:pPr>
        <w:pStyle w:val="60"/>
        <w:spacing w:before="156" w:after="156"/>
      </w:pPr>
      <w:r>
        <w:rPr>
          <w:rFonts w:hint="eastAsia" w:ascii="Times New Roman"/>
        </w:rPr>
        <w:t>试验方法</w:t>
      </w:r>
      <w:r>
        <w:rPr>
          <w:rFonts w:hint="eastAsia" w:ascii="Times New Roman"/>
        </w:rPr>
        <w:tab/>
      </w:r>
    </w:p>
    <w:p>
      <w:pPr>
        <w:ind w:firstLine="480"/>
      </w:pPr>
      <w:r>
        <w:rPr>
          <w:rFonts w:hint="eastAsia"/>
        </w:rPr>
        <w:t>在低温下，天然气发动机道路试验需要进行关键零部件即混合装置结冰验证，以确保混合装置能够满足制造厂需求的性能指标。</w:t>
      </w:r>
    </w:p>
    <w:p>
      <w:pPr>
        <w:ind w:firstLine="420" w:firstLineChars="200"/>
      </w:pPr>
      <w:r>
        <w:rPr>
          <w:rFonts w:hint="eastAsia"/>
        </w:rPr>
        <w:t>a）在满足制造厂规定的极限温度下起动后进入低怠速控制，原地低怠速测试1h</w:t>
      </w:r>
      <w:r>
        <w:rPr>
          <w:rFonts w:hint="eastAsia"/>
          <w:color w:val="000000"/>
        </w:rPr>
        <w:t>～</w:t>
      </w:r>
      <w:r>
        <w:rPr>
          <w:rFonts w:hint="eastAsia"/>
        </w:rPr>
        <w:t>2h（可按照制造厂要求控制时长），测试完成后拆检混合装置。</w:t>
      </w:r>
    </w:p>
    <w:p>
      <w:pPr>
        <w:ind w:firstLine="420" w:firstLineChars="200"/>
      </w:pPr>
      <w:r>
        <w:rPr>
          <w:rFonts w:hint="eastAsia"/>
        </w:rPr>
        <w:t>b) 车辆空载，以平均车速30km/h、60km/h、80km/h分别运行2h，每个车速测试完成后拆检混合装置。</w:t>
      </w:r>
    </w:p>
    <w:p>
      <w:pPr>
        <w:ind w:firstLine="420" w:firstLineChars="200"/>
      </w:pPr>
      <w:r>
        <w:rPr>
          <w:rFonts w:hint="eastAsia"/>
        </w:rPr>
        <w:t>c) 车辆满载，重复b)测试步骤。</w:t>
      </w:r>
    </w:p>
    <w:p>
      <w:pPr>
        <w:ind w:firstLine="420" w:firstLineChars="200"/>
      </w:pPr>
      <w:r>
        <w:rPr>
          <w:rFonts w:hint="eastAsia"/>
        </w:rPr>
        <w:t>d）混合装置拆检时，若混合装置内部及各零部件关键部位无结冰现象，则满足性能指标；若不满足性能指标，需按照制造厂要求优化结构或控制逻辑。</w:t>
      </w:r>
    </w:p>
    <w:p>
      <w:pPr>
        <w:pStyle w:val="61"/>
        <w:rPr>
          <w:rFonts w:ascii="Times New Roman"/>
        </w:rPr>
      </w:pPr>
      <w:r>
        <w:rPr>
          <w:rFonts w:hint="eastAsia" w:ascii="Times New Roman"/>
        </w:rPr>
        <w:t>增压器保护试验</w:t>
      </w:r>
    </w:p>
    <w:p>
      <w:pPr>
        <w:ind w:firstLine="480"/>
      </w:pPr>
      <w:r>
        <w:rPr>
          <w:rFonts w:hint="eastAsia"/>
        </w:rPr>
        <w:t>增压器保护试验条件和方法按照T/CAAMTB 166-2023，6.2的规定进行。增压器保护试验需车辆在不同环境温度、不同负荷</w:t>
      </w:r>
      <w:r>
        <w:t>和</w:t>
      </w:r>
      <w:r>
        <w:rPr>
          <w:rFonts w:hint="eastAsia"/>
        </w:rPr>
        <w:t>工况下进行并充分验证，其中试验工况应包含稳态和瞬态工况，确保增压器转速和涡前排温等关键性能参数满足制造厂需求。同时，在增压器保护试验中需充分考虑各影响因素，例如环境湿度对增压压力和空燃比的影响和修正。增压器保护</w:t>
      </w:r>
      <w:r>
        <w:t>试验</w:t>
      </w:r>
      <w:r>
        <w:rPr>
          <w:rFonts w:hint="eastAsia"/>
        </w:rPr>
        <w:t>关键</w:t>
      </w:r>
      <w:r>
        <w:t>性能</w:t>
      </w:r>
      <w:r>
        <w:rPr>
          <w:rFonts w:hint="eastAsia"/>
        </w:rPr>
        <w:t>记录</w:t>
      </w:r>
      <w:r>
        <w:t>参数见表</w:t>
      </w:r>
      <w:r>
        <w:rPr>
          <w:rFonts w:hint="eastAsia"/>
        </w:rPr>
        <w:t>5。</w:t>
      </w:r>
    </w:p>
    <w:p>
      <w:pPr>
        <w:pStyle w:val="74"/>
        <w:numPr>
          <w:ilvl w:val="0"/>
          <w:numId w:val="0"/>
        </w:numPr>
        <w:rPr>
          <w:rFonts w:ascii="Times New Roman"/>
        </w:rPr>
      </w:pPr>
      <w:r>
        <w:rPr>
          <w:rFonts w:hint="eastAsia" w:ascii="Times New Roman"/>
          <w:szCs w:val="21"/>
        </w:rPr>
        <w:t>表5  增压器保护试验</w:t>
      </w:r>
      <w:r>
        <w:rPr>
          <w:rFonts w:ascii="Times New Roman"/>
          <w:szCs w:val="21"/>
        </w:rPr>
        <w:t>关键</w:t>
      </w:r>
      <w:r>
        <w:rPr>
          <w:rFonts w:hint="eastAsia" w:ascii="Times New Roman"/>
          <w:szCs w:val="21"/>
        </w:rPr>
        <w:t>性能参数记录表</w:t>
      </w:r>
    </w:p>
    <w:tbl>
      <w:tblPr>
        <w:tblStyle w:val="45"/>
        <w:tblW w:w="110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66"/>
        <w:gridCol w:w="674"/>
        <w:gridCol w:w="542"/>
        <w:gridCol w:w="624"/>
        <w:gridCol w:w="628"/>
        <w:gridCol w:w="584"/>
        <w:gridCol w:w="705"/>
        <w:gridCol w:w="582"/>
        <w:gridCol w:w="628"/>
        <w:gridCol w:w="639"/>
        <w:gridCol w:w="582"/>
        <w:gridCol w:w="500"/>
        <w:gridCol w:w="641"/>
        <w:gridCol w:w="641"/>
        <w:gridCol w:w="641"/>
        <w:gridCol w:w="524"/>
        <w:gridCol w:w="6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5"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发动机转速</w:t>
            </w:r>
          </w:p>
          <w:p>
            <w:pPr>
              <w:jc w:val="center"/>
              <w:rPr>
                <w:color w:val="000000"/>
                <w:kern w:val="0"/>
                <w:sz w:val="18"/>
                <w:szCs w:val="18"/>
              </w:rPr>
            </w:pPr>
            <w:r>
              <w:rPr>
                <w:rFonts w:hint="eastAsia"/>
                <w:color w:val="000000"/>
                <w:kern w:val="0"/>
                <w:sz w:val="18"/>
                <w:szCs w:val="18"/>
              </w:rPr>
              <w:t>r/min</w:t>
            </w:r>
          </w:p>
        </w:tc>
        <w:tc>
          <w:tcPr>
            <w:tcW w:w="666"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节气门开度</w:t>
            </w:r>
          </w:p>
          <w:p>
            <w:pPr>
              <w:jc w:val="center"/>
              <w:rPr>
                <w:color w:val="000000"/>
                <w:kern w:val="0"/>
                <w:sz w:val="18"/>
                <w:szCs w:val="18"/>
              </w:rPr>
            </w:pPr>
            <w:r>
              <w:rPr>
                <w:color w:val="000000"/>
                <w:kern w:val="0"/>
                <w:sz w:val="18"/>
                <w:szCs w:val="18"/>
              </w:rPr>
              <w:t>%</w:t>
            </w:r>
          </w:p>
        </w:tc>
        <w:tc>
          <w:tcPr>
            <w:tcW w:w="67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油门踏板开度</w:t>
            </w:r>
          </w:p>
          <w:p>
            <w:pPr>
              <w:jc w:val="center"/>
              <w:rPr>
                <w:color w:val="000000"/>
                <w:kern w:val="0"/>
                <w:sz w:val="18"/>
                <w:szCs w:val="18"/>
              </w:rPr>
            </w:pPr>
            <w:r>
              <w:rPr>
                <w:color w:val="000000"/>
                <w:kern w:val="0"/>
                <w:sz w:val="18"/>
                <w:szCs w:val="18"/>
              </w:rPr>
              <w:t>%</w:t>
            </w:r>
          </w:p>
        </w:tc>
        <w:tc>
          <w:tcPr>
            <w:tcW w:w="542"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空气</w:t>
            </w:r>
            <w:r>
              <w:rPr>
                <w:color w:val="000000"/>
                <w:kern w:val="0"/>
                <w:sz w:val="18"/>
                <w:szCs w:val="18"/>
              </w:rPr>
              <w:t>流量</w:t>
            </w:r>
          </w:p>
          <w:p>
            <w:pPr>
              <w:jc w:val="center"/>
              <w:rPr>
                <w:color w:val="000000"/>
                <w:kern w:val="0"/>
                <w:sz w:val="18"/>
                <w:szCs w:val="18"/>
              </w:rPr>
            </w:pPr>
            <w:r>
              <w:rPr>
                <w:color w:val="000000"/>
                <w:kern w:val="0"/>
                <w:sz w:val="18"/>
                <w:szCs w:val="18"/>
              </w:rPr>
              <w:t>kg/h</w:t>
            </w:r>
          </w:p>
        </w:tc>
        <w:tc>
          <w:tcPr>
            <w:tcW w:w="624"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增压器转速</w:t>
            </w:r>
          </w:p>
          <w:p>
            <w:pPr>
              <w:jc w:val="center"/>
              <w:rPr>
                <w:color w:val="000000"/>
                <w:kern w:val="0"/>
                <w:sz w:val="18"/>
                <w:szCs w:val="18"/>
              </w:rPr>
            </w:pPr>
            <w:r>
              <w:rPr>
                <w:rFonts w:hint="eastAsia"/>
                <w:color w:val="000000"/>
                <w:kern w:val="0"/>
                <w:sz w:val="18"/>
                <w:szCs w:val="18"/>
              </w:rPr>
              <w:t>r/min</w:t>
            </w:r>
          </w:p>
        </w:tc>
        <w:tc>
          <w:tcPr>
            <w:tcW w:w="62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环境压力</w:t>
            </w:r>
          </w:p>
          <w:p>
            <w:pPr>
              <w:jc w:val="center"/>
              <w:rPr>
                <w:color w:val="000000"/>
                <w:kern w:val="0"/>
                <w:sz w:val="18"/>
                <w:szCs w:val="18"/>
              </w:rPr>
            </w:pPr>
            <w:r>
              <w:rPr>
                <w:rFonts w:hint="eastAsia"/>
                <w:color w:val="000000"/>
                <w:kern w:val="0"/>
                <w:sz w:val="18"/>
                <w:szCs w:val="18"/>
              </w:rPr>
              <w:t>kPa</w:t>
            </w:r>
          </w:p>
        </w:tc>
        <w:tc>
          <w:tcPr>
            <w:tcW w:w="58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节气门前</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705"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节气门后</w:t>
            </w:r>
            <w:r>
              <w:rPr>
                <w:color w:val="000000"/>
                <w:kern w:val="0"/>
                <w:sz w:val="18"/>
                <w:szCs w:val="18"/>
              </w:rPr>
              <w:t>压力</w:t>
            </w:r>
          </w:p>
          <w:p>
            <w:pPr>
              <w:jc w:val="center"/>
              <w:rPr>
                <w:color w:val="000000"/>
                <w:kern w:val="0"/>
                <w:sz w:val="18"/>
                <w:szCs w:val="18"/>
              </w:rPr>
            </w:pPr>
            <w:r>
              <w:rPr>
                <w:rFonts w:hint="eastAsia"/>
                <w:color w:val="000000"/>
                <w:kern w:val="0"/>
                <w:sz w:val="18"/>
                <w:szCs w:val="18"/>
              </w:rPr>
              <w:t>kPa</w:t>
            </w:r>
          </w:p>
        </w:tc>
        <w:tc>
          <w:tcPr>
            <w:tcW w:w="582"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冷后压力</w:t>
            </w:r>
          </w:p>
          <w:p>
            <w:pPr>
              <w:jc w:val="center"/>
              <w:rPr>
                <w:color w:val="000000"/>
                <w:kern w:val="0"/>
                <w:sz w:val="18"/>
                <w:szCs w:val="18"/>
              </w:rPr>
            </w:pPr>
            <w:r>
              <w:rPr>
                <w:rFonts w:hint="eastAsia"/>
                <w:color w:val="000000"/>
                <w:kern w:val="0"/>
                <w:sz w:val="18"/>
                <w:szCs w:val="18"/>
              </w:rPr>
              <w:t>kPa</w:t>
            </w:r>
          </w:p>
        </w:tc>
        <w:tc>
          <w:tcPr>
            <w:tcW w:w="628"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增压器电控阀开度</w:t>
            </w:r>
          </w:p>
          <w:p>
            <w:pPr>
              <w:jc w:val="center"/>
              <w:rPr>
                <w:color w:val="000000"/>
                <w:kern w:val="0"/>
                <w:sz w:val="18"/>
                <w:szCs w:val="18"/>
              </w:rPr>
            </w:pPr>
            <w:r>
              <w:rPr>
                <w:color w:val="000000"/>
                <w:kern w:val="0"/>
                <w:sz w:val="18"/>
                <w:szCs w:val="18"/>
              </w:rPr>
              <w:t>%</w:t>
            </w:r>
          </w:p>
        </w:tc>
        <w:tc>
          <w:tcPr>
            <w:tcW w:w="639" w:type="dxa"/>
            <w:tcBorders>
              <w:top w:val="single" w:color="auto" w:sz="8" w:space="0"/>
              <w:bottom w:val="single" w:color="auto" w:sz="8" w:space="0"/>
            </w:tcBorders>
            <w:shd w:val="clear" w:color="auto" w:fill="auto"/>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阀开度</w:t>
            </w:r>
          </w:p>
          <w:p>
            <w:pPr>
              <w:jc w:val="center"/>
              <w:rPr>
                <w:color w:val="000000"/>
                <w:kern w:val="0"/>
                <w:sz w:val="18"/>
                <w:szCs w:val="18"/>
              </w:rPr>
            </w:pPr>
            <w:r>
              <w:rPr>
                <w:rFonts w:hint="eastAsia"/>
                <w:color w:val="000000"/>
                <w:kern w:val="0"/>
                <w:sz w:val="18"/>
                <w:szCs w:val="18"/>
              </w:rPr>
              <w:t>%</w:t>
            </w:r>
          </w:p>
        </w:tc>
        <w:tc>
          <w:tcPr>
            <w:tcW w:w="582"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E</w:t>
            </w:r>
            <w:r>
              <w:rPr>
                <w:color w:val="000000"/>
                <w:kern w:val="0"/>
                <w:sz w:val="18"/>
                <w:szCs w:val="18"/>
              </w:rPr>
              <w:t>GR</w:t>
            </w:r>
            <w:r>
              <w:rPr>
                <w:rFonts w:hint="eastAsia"/>
                <w:color w:val="000000"/>
                <w:kern w:val="0"/>
                <w:sz w:val="18"/>
                <w:szCs w:val="18"/>
              </w:rPr>
              <w:t>率</w:t>
            </w:r>
          </w:p>
          <w:p>
            <w:pPr>
              <w:jc w:val="center"/>
              <w:rPr>
                <w:color w:val="000000"/>
                <w:kern w:val="0"/>
                <w:sz w:val="18"/>
                <w:szCs w:val="18"/>
              </w:rPr>
            </w:pPr>
            <w:r>
              <w:rPr>
                <w:rFonts w:hint="eastAsia"/>
                <w:color w:val="000000"/>
                <w:kern w:val="0"/>
                <w:sz w:val="18"/>
                <w:szCs w:val="18"/>
              </w:rPr>
              <w:t>%</w:t>
            </w:r>
          </w:p>
        </w:tc>
        <w:tc>
          <w:tcPr>
            <w:tcW w:w="500"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涡前排温</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中冷前进气温度</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进气歧管温度</w:t>
            </w:r>
          </w:p>
          <w:p>
            <w:pPr>
              <w:jc w:val="center"/>
              <w:rPr>
                <w:color w:val="000000"/>
                <w:kern w:val="0"/>
                <w:sz w:val="18"/>
                <w:szCs w:val="18"/>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发动机出水温度</w:t>
            </w:r>
          </w:p>
          <w:p>
            <w:pPr>
              <w:jc w:val="center"/>
              <w:rPr>
                <w:color w:val="000000"/>
                <w:kern w:val="0"/>
                <w:sz w:val="18"/>
                <w:szCs w:val="18"/>
              </w:rPr>
            </w:pPr>
            <w:r>
              <w:rPr>
                <w:rFonts w:hint="eastAsia"/>
                <w:color w:val="000000"/>
                <w:kern w:val="0"/>
                <w:sz w:val="18"/>
                <w:szCs w:val="18"/>
              </w:rPr>
              <w:t>℃</w:t>
            </w:r>
          </w:p>
        </w:tc>
        <w:tc>
          <w:tcPr>
            <w:tcW w:w="524"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环境温度</w:t>
            </w:r>
          </w:p>
          <w:p>
            <w:pPr>
              <w:jc w:val="center"/>
              <w:rPr>
                <w:color w:val="000000"/>
                <w:kern w:val="0"/>
                <w:sz w:val="16"/>
                <w:szCs w:val="16"/>
              </w:rPr>
            </w:pPr>
            <w:r>
              <w:rPr>
                <w:rFonts w:hint="eastAsia"/>
                <w:color w:val="000000"/>
                <w:kern w:val="0"/>
                <w:sz w:val="18"/>
                <w:szCs w:val="18"/>
              </w:rPr>
              <w:t>℃</w:t>
            </w:r>
          </w:p>
        </w:tc>
        <w:tc>
          <w:tcPr>
            <w:tcW w:w="641" w:type="dxa"/>
            <w:tcBorders>
              <w:top w:val="single" w:color="auto" w:sz="8" w:space="0"/>
              <w:bottom w:val="single" w:color="auto" w:sz="8" w:space="0"/>
            </w:tcBorders>
            <w:vAlign w:val="center"/>
          </w:tcPr>
          <w:p>
            <w:pPr>
              <w:jc w:val="center"/>
              <w:rPr>
                <w:color w:val="000000"/>
                <w:kern w:val="0"/>
                <w:sz w:val="18"/>
                <w:szCs w:val="18"/>
              </w:rPr>
            </w:pPr>
            <w:r>
              <w:rPr>
                <w:rFonts w:hint="eastAsia"/>
                <w:color w:val="000000"/>
                <w:kern w:val="0"/>
                <w:sz w:val="18"/>
                <w:szCs w:val="18"/>
              </w:rPr>
              <w:t>环境相对湿度</w:t>
            </w:r>
          </w:p>
          <w:p>
            <w:pPr>
              <w:jc w:val="center"/>
              <w:rPr>
                <w:color w:val="000000"/>
                <w:kern w:val="0"/>
                <w:sz w:val="18"/>
                <w:szCs w:val="18"/>
              </w:rPr>
            </w:pPr>
            <w:r>
              <w:rPr>
                <w:rFonts w:hint="eastAsia"/>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15" w:type="dxa"/>
            <w:tcBorders>
              <w:top w:val="single" w:color="auto" w:sz="8" w:space="0"/>
            </w:tcBorders>
            <w:shd w:val="clear" w:color="auto" w:fill="auto"/>
            <w:vAlign w:val="center"/>
          </w:tcPr>
          <w:p>
            <w:pPr>
              <w:jc w:val="center"/>
              <w:rPr>
                <w:color w:val="000000"/>
                <w:kern w:val="0"/>
                <w:sz w:val="18"/>
                <w:szCs w:val="18"/>
              </w:rPr>
            </w:pPr>
          </w:p>
        </w:tc>
        <w:tc>
          <w:tcPr>
            <w:tcW w:w="666" w:type="dxa"/>
            <w:tcBorders>
              <w:top w:val="single" w:color="auto" w:sz="8" w:space="0"/>
            </w:tcBorders>
            <w:shd w:val="clear" w:color="auto" w:fill="auto"/>
            <w:vAlign w:val="center"/>
          </w:tcPr>
          <w:p>
            <w:pPr>
              <w:jc w:val="center"/>
              <w:rPr>
                <w:color w:val="000000"/>
                <w:kern w:val="0"/>
                <w:sz w:val="18"/>
                <w:szCs w:val="18"/>
              </w:rPr>
            </w:pPr>
          </w:p>
        </w:tc>
        <w:tc>
          <w:tcPr>
            <w:tcW w:w="674" w:type="dxa"/>
            <w:tcBorders>
              <w:top w:val="single" w:color="auto" w:sz="8" w:space="0"/>
            </w:tcBorders>
            <w:vAlign w:val="center"/>
          </w:tcPr>
          <w:p>
            <w:pPr>
              <w:jc w:val="center"/>
              <w:rPr>
                <w:color w:val="000000"/>
                <w:kern w:val="0"/>
                <w:sz w:val="18"/>
                <w:szCs w:val="18"/>
              </w:rPr>
            </w:pPr>
          </w:p>
        </w:tc>
        <w:tc>
          <w:tcPr>
            <w:tcW w:w="542" w:type="dxa"/>
            <w:tcBorders>
              <w:top w:val="single" w:color="auto" w:sz="8" w:space="0"/>
            </w:tcBorders>
            <w:shd w:val="clear" w:color="auto" w:fill="auto"/>
            <w:vAlign w:val="center"/>
          </w:tcPr>
          <w:p>
            <w:pPr>
              <w:jc w:val="center"/>
              <w:rPr>
                <w:color w:val="000000"/>
                <w:kern w:val="0"/>
                <w:sz w:val="18"/>
                <w:szCs w:val="18"/>
              </w:rPr>
            </w:pPr>
          </w:p>
        </w:tc>
        <w:tc>
          <w:tcPr>
            <w:tcW w:w="624" w:type="dxa"/>
            <w:tcBorders>
              <w:top w:val="single" w:color="auto" w:sz="8" w:space="0"/>
            </w:tcBorders>
            <w:shd w:val="clear" w:color="auto" w:fill="auto"/>
            <w:vAlign w:val="center"/>
          </w:tcPr>
          <w:p>
            <w:pPr>
              <w:jc w:val="center"/>
              <w:rPr>
                <w:color w:val="000000"/>
                <w:kern w:val="0"/>
                <w:sz w:val="18"/>
                <w:szCs w:val="18"/>
              </w:rPr>
            </w:pPr>
          </w:p>
        </w:tc>
        <w:tc>
          <w:tcPr>
            <w:tcW w:w="628" w:type="dxa"/>
            <w:tcBorders>
              <w:top w:val="single" w:color="auto" w:sz="8" w:space="0"/>
            </w:tcBorders>
            <w:shd w:val="clear" w:color="auto" w:fill="auto"/>
            <w:vAlign w:val="center"/>
          </w:tcPr>
          <w:p>
            <w:pPr>
              <w:jc w:val="center"/>
              <w:rPr>
                <w:color w:val="000000"/>
                <w:kern w:val="0"/>
                <w:sz w:val="18"/>
                <w:szCs w:val="18"/>
              </w:rPr>
            </w:pPr>
          </w:p>
        </w:tc>
        <w:tc>
          <w:tcPr>
            <w:tcW w:w="584" w:type="dxa"/>
            <w:tcBorders>
              <w:top w:val="single" w:color="auto" w:sz="8" w:space="0"/>
            </w:tcBorders>
            <w:vAlign w:val="center"/>
          </w:tcPr>
          <w:p>
            <w:pPr>
              <w:jc w:val="center"/>
              <w:rPr>
                <w:color w:val="000000"/>
                <w:kern w:val="0"/>
                <w:sz w:val="18"/>
                <w:szCs w:val="18"/>
              </w:rPr>
            </w:pPr>
          </w:p>
        </w:tc>
        <w:tc>
          <w:tcPr>
            <w:tcW w:w="705" w:type="dxa"/>
            <w:tcBorders>
              <w:top w:val="single" w:color="auto" w:sz="8" w:space="0"/>
            </w:tcBorders>
            <w:vAlign w:val="center"/>
          </w:tcPr>
          <w:p>
            <w:pPr>
              <w:jc w:val="center"/>
              <w:rPr>
                <w:color w:val="000000"/>
                <w:kern w:val="0"/>
                <w:sz w:val="18"/>
                <w:szCs w:val="18"/>
              </w:rPr>
            </w:pPr>
          </w:p>
        </w:tc>
        <w:tc>
          <w:tcPr>
            <w:tcW w:w="582" w:type="dxa"/>
            <w:tcBorders>
              <w:top w:val="single" w:color="auto" w:sz="8" w:space="0"/>
            </w:tcBorders>
            <w:vAlign w:val="center"/>
          </w:tcPr>
          <w:p>
            <w:pPr>
              <w:jc w:val="center"/>
              <w:rPr>
                <w:color w:val="000000"/>
                <w:kern w:val="0"/>
                <w:sz w:val="18"/>
                <w:szCs w:val="18"/>
              </w:rPr>
            </w:pPr>
          </w:p>
        </w:tc>
        <w:tc>
          <w:tcPr>
            <w:tcW w:w="628" w:type="dxa"/>
            <w:tcBorders>
              <w:top w:val="single" w:color="auto" w:sz="8" w:space="0"/>
            </w:tcBorders>
            <w:shd w:val="clear" w:color="auto" w:fill="auto"/>
            <w:vAlign w:val="center"/>
          </w:tcPr>
          <w:p>
            <w:pPr>
              <w:jc w:val="center"/>
              <w:rPr>
                <w:color w:val="000000"/>
                <w:kern w:val="0"/>
                <w:sz w:val="18"/>
                <w:szCs w:val="18"/>
              </w:rPr>
            </w:pPr>
          </w:p>
        </w:tc>
        <w:tc>
          <w:tcPr>
            <w:tcW w:w="639" w:type="dxa"/>
            <w:tcBorders>
              <w:top w:val="single" w:color="auto" w:sz="8" w:space="0"/>
            </w:tcBorders>
            <w:shd w:val="clear" w:color="auto" w:fill="auto"/>
            <w:vAlign w:val="center"/>
          </w:tcPr>
          <w:p>
            <w:pPr>
              <w:jc w:val="center"/>
              <w:rPr>
                <w:color w:val="000000"/>
                <w:kern w:val="0"/>
                <w:sz w:val="18"/>
                <w:szCs w:val="18"/>
              </w:rPr>
            </w:pPr>
          </w:p>
        </w:tc>
        <w:tc>
          <w:tcPr>
            <w:tcW w:w="582" w:type="dxa"/>
            <w:tcBorders>
              <w:top w:val="single" w:color="auto" w:sz="8" w:space="0"/>
            </w:tcBorders>
            <w:vAlign w:val="center"/>
          </w:tcPr>
          <w:p>
            <w:pPr>
              <w:jc w:val="center"/>
              <w:rPr>
                <w:color w:val="000000"/>
                <w:kern w:val="0"/>
                <w:sz w:val="18"/>
                <w:szCs w:val="18"/>
              </w:rPr>
            </w:pPr>
          </w:p>
        </w:tc>
        <w:tc>
          <w:tcPr>
            <w:tcW w:w="500"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c>
          <w:tcPr>
            <w:tcW w:w="524" w:type="dxa"/>
            <w:tcBorders>
              <w:top w:val="single" w:color="auto" w:sz="8" w:space="0"/>
            </w:tcBorders>
            <w:vAlign w:val="center"/>
          </w:tcPr>
          <w:p>
            <w:pPr>
              <w:jc w:val="center"/>
              <w:rPr>
                <w:color w:val="000000"/>
                <w:kern w:val="0"/>
                <w:sz w:val="18"/>
                <w:szCs w:val="18"/>
              </w:rPr>
            </w:pPr>
          </w:p>
        </w:tc>
        <w:tc>
          <w:tcPr>
            <w:tcW w:w="641" w:type="dxa"/>
            <w:tcBorders>
              <w:top w:val="single" w:color="auto" w:sz="8" w:space="0"/>
            </w:tcBorders>
            <w:vAlign w:val="center"/>
          </w:tcPr>
          <w:p>
            <w:pPr>
              <w:jc w:val="center"/>
              <w:rPr>
                <w:color w:val="000000"/>
                <w:kern w:val="0"/>
                <w:sz w:val="18"/>
                <w:szCs w:val="18"/>
              </w:rPr>
            </w:pPr>
          </w:p>
        </w:tc>
      </w:tr>
    </w:tbl>
    <w:p>
      <w:pPr>
        <w:pStyle w:val="27"/>
        <w:ind w:firstLine="0" w:firstLineChars="0"/>
        <w:rPr>
          <w:rFonts w:ascii="Times New Roman"/>
        </w:rPr>
      </w:pPr>
    </w:p>
    <w:p>
      <w:pPr>
        <w:pStyle w:val="61"/>
        <w:rPr>
          <w:rFonts w:ascii="Times New Roman"/>
        </w:rPr>
      </w:pPr>
      <w:r>
        <w:rPr>
          <w:rFonts w:hint="eastAsia" w:ascii="Times New Roman"/>
        </w:rPr>
        <w:t>整车</w:t>
      </w:r>
      <w:r>
        <w:rPr>
          <w:rFonts w:ascii="Times New Roman"/>
        </w:rPr>
        <w:t>OBD</w:t>
      </w:r>
      <w:r>
        <w:rPr>
          <w:rFonts w:hint="eastAsia" w:ascii="Times New Roman"/>
        </w:rPr>
        <w:t>验证</w:t>
      </w:r>
    </w:p>
    <w:p>
      <w:pPr>
        <w:pStyle w:val="55"/>
        <w:rPr>
          <w:rFonts w:ascii="Times New Roman"/>
        </w:rPr>
      </w:pPr>
      <w:r>
        <w:rPr>
          <w:rFonts w:hint="eastAsia" w:ascii="Times New Roman"/>
        </w:rPr>
        <w:t>整车</w:t>
      </w:r>
      <w:r>
        <w:rPr>
          <w:rFonts w:ascii="Times New Roman"/>
        </w:rPr>
        <w:t>OBD</w:t>
      </w:r>
      <w:r>
        <w:rPr>
          <w:rFonts w:hint="eastAsia" w:ascii="Times New Roman"/>
        </w:rPr>
        <w:t>验证的要求和方法按</w:t>
      </w:r>
      <w:r>
        <w:rPr>
          <w:rFonts w:ascii="Times New Roman"/>
        </w:rPr>
        <w:t>照</w:t>
      </w:r>
      <w:r>
        <w:rPr>
          <w:rFonts w:hint="eastAsia" w:ascii="Times New Roman"/>
        </w:rPr>
        <w:t>GB 17691-2018，附件FG的规定进行</w:t>
      </w:r>
      <w:r>
        <w:rPr>
          <w:rFonts w:ascii="Times New Roman"/>
        </w:rPr>
        <w:t>。</w:t>
      </w:r>
    </w:p>
    <w:p>
      <w:pPr>
        <w:pStyle w:val="61"/>
        <w:rPr>
          <w:rFonts w:ascii="Times New Roman"/>
        </w:rPr>
      </w:pPr>
      <w:r>
        <w:rPr>
          <w:rFonts w:hint="eastAsia" w:ascii="Times New Roman"/>
        </w:rPr>
        <w:t>整车动力性及经济性试验</w:t>
      </w:r>
    </w:p>
    <w:p>
      <w:pPr>
        <w:pStyle w:val="55"/>
        <w:rPr>
          <w:rFonts w:ascii="Times New Roman"/>
        </w:rPr>
      </w:pPr>
      <w:r>
        <w:rPr>
          <w:rFonts w:hint="eastAsia" w:ascii="Times New Roman"/>
        </w:rPr>
        <w:t>整车动力性试验的要求和方法按</w:t>
      </w:r>
      <w:r>
        <w:rPr>
          <w:rFonts w:ascii="Times New Roman"/>
        </w:rPr>
        <w:t>照JT/T 1411-202</w:t>
      </w:r>
      <w:r>
        <w:rPr>
          <w:rFonts w:hint="eastAsia" w:ascii="Times New Roman"/>
        </w:rPr>
        <w:t>2，5的规定进行。</w:t>
      </w:r>
    </w:p>
    <w:p>
      <w:pPr>
        <w:pStyle w:val="55"/>
        <w:rPr>
          <w:rFonts w:ascii="Times New Roman"/>
        </w:rPr>
      </w:pPr>
      <w:r>
        <w:rPr>
          <w:rFonts w:hint="eastAsia" w:ascii="Times New Roman"/>
        </w:rPr>
        <w:t>整车</w:t>
      </w:r>
      <w:r>
        <w:rPr>
          <w:rFonts w:ascii="Times New Roman"/>
        </w:rPr>
        <w:t>经济性</w:t>
      </w:r>
      <w:r>
        <w:rPr>
          <w:rFonts w:hint="eastAsia" w:ascii="Times New Roman"/>
        </w:rPr>
        <w:t>试验的要求和方法按</w:t>
      </w:r>
      <w:r>
        <w:rPr>
          <w:rFonts w:ascii="Times New Roman"/>
        </w:rPr>
        <w:t>照</w:t>
      </w:r>
      <w:r>
        <w:rPr>
          <w:rFonts w:hint="eastAsia" w:ascii="Times New Roman"/>
        </w:rPr>
        <w:t>GB/T</w:t>
      </w:r>
      <w:r>
        <w:rPr>
          <w:rFonts w:ascii="Times New Roman"/>
        </w:rPr>
        <w:t xml:space="preserve"> 1</w:t>
      </w:r>
      <w:r>
        <w:rPr>
          <w:rFonts w:hint="eastAsia" w:ascii="Times New Roman"/>
        </w:rPr>
        <w:t>9752，7.4.1、7.4.2的规定进行</w:t>
      </w:r>
      <w:r>
        <w:rPr>
          <w:rFonts w:ascii="Times New Roman"/>
        </w:rPr>
        <w:t>。</w:t>
      </w:r>
    </w:p>
    <w:p>
      <w:pPr>
        <w:pStyle w:val="61"/>
        <w:rPr>
          <w:rFonts w:ascii="Times New Roman"/>
        </w:rPr>
      </w:pPr>
      <w:r>
        <w:rPr>
          <w:rFonts w:hint="eastAsia" w:ascii="Times New Roman"/>
        </w:rPr>
        <w:t>试验结果确认</w:t>
      </w:r>
    </w:p>
    <w:p>
      <w:pPr>
        <w:pStyle w:val="55"/>
        <w:rPr>
          <w:rFonts w:ascii="Times New Roman"/>
        </w:rPr>
      </w:pPr>
      <w:r>
        <w:rPr>
          <w:rFonts w:hint="eastAsia" w:ascii="Times New Roman"/>
        </w:rPr>
        <w:t>以上各项</w:t>
      </w:r>
      <w:r>
        <w:rPr>
          <w:rFonts w:ascii="Times New Roman"/>
        </w:rPr>
        <w:t>试验</w:t>
      </w:r>
      <w:r>
        <w:rPr>
          <w:rFonts w:hint="eastAsia" w:ascii="Times New Roman"/>
        </w:rPr>
        <w:t>控制</w:t>
      </w:r>
      <w:r>
        <w:rPr>
          <w:rFonts w:ascii="Times New Roman"/>
        </w:rPr>
        <w:t>参数及</w:t>
      </w:r>
      <w:r>
        <w:rPr>
          <w:rFonts w:hint="eastAsia" w:ascii="Times New Roman"/>
        </w:rPr>
        <w:t>标定确定后需</w:t>
      </w:r>
      <w:r>
        <w:rPr>
          <w:rFonts w:ascii="Times New Roman"/>
        </w:rPr>
        <w:t>进行</w:t>
      </w:r>
      <w:r>
        <w:rPr>
          <w:rFonts w:hint="eastAsia" w:ascii="Times New Roman"/>
        </w:rPr>
        <w:t>试验</w:t>
      </w:r>
      <w:r>
        <w:rPr>
          <w:rFonts w:ascii="Times New Roman"/>
        </w:rPr>
        <w:t>结果确认，</w:t>
      </w:r>
      <w:r>
        <w:rPr>
          <w:rFonts w:hint="eastAsia" w:ascii="Times New Roman"/>
        </w:rPr>
        <w:t>包括考虑各环境温度梯度下</w:t>
      </w:r>
      <w:r>
        <w:rPr>
          <w:rFonts w:ascii="Times New Roman"/>
        </w:rPr>
        <w:t>标定</w:t>
      </w:r>
      <w:r>
        <w:rPr>
          <w:rFonts w:hint="eastAsia" w:ascii="Times New Roman"/>
        </w:rPr>
        <w:t>值间</w:t>
      </w:r>
      <w:r>
        <w:rPr>
          <w:rFonts w:ascii="Times New Roman"/>
        </w:rPr>
        <w:t>的平滑。</w:t>
      </w:r>
    </w:p>
    <w:p/>
    <w:p>
      <w:pPr>
        <w:pStyle w:val="91"/>
        <w:framePr/>
      </w:pPr>
      <w:r>
        <w:rPr>
          <w:rFonts w:hint="eastAsia"/>
        </w:rPr>
        <w:t>________________________</w:t>
      </w:r>
    </w:p>
    <w:sectPr>
      <w:footerReference r:id="rId7" w:type="default"/>
      <w:footerReference r:id="rId8"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rPr>
        <w:rFonts w:hint="eastAsia"/>
      </w:rPr>
      <w:t>T/CAAMTBxx—202</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t>T/CAAMTBxx—202</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21F1E"/>
    <w:multiLevelType w:val="multilevel"/>
    <w:tmpl w:val="81321F1E"/>
    <w:lvl w:ilvl="0" w:tentative="0">
      <w:start w:val="1"/>
      <w:numFmt w:val="lowerLetter"/>
      <w:pStyle w:val="13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6"/>
      <w:lvlText w:val="%2)"/>
      <w:lvlJc w:val="left"/>
      <w:pPr>
        <w:tabs>
          <w:tab w:val="left" w:pos="1260"/>
        </w:tabs>
        <w:ind w:left="1259" w:hanging="419"/>
      </w:pPr>
      <w:rPr>
        <w:rFonts w:hint="eastAsia"/>
      </w:rPr>
    </w:lvl>
    <w:lvl w:ilvl="2" w:tentative="0">
      <w:start w:val="1"/>
      <w:numFmt w:val="decimal"/>
      <w:pStyle w:val="13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C75806F"/>
    <w:multiLevelType w:val="singleLevel"/>
    <w:tmpl w:val="DC75806F"/>
    <w:lvl w:ilvl="0" w:tentative="0">
      <w:start w:val="1"/>
      <w:numFmt w:val="lowerLetter"/>
      <w:suff w:val="space"/>
      <w:lvlText w:val="%1)"/>
      <w:lvlJc w:val="left"/>
    </w:lvl>
  </w:abstractNum>
  <w:abstractNum w:abstractNumId="2">
    <w:nsid w:val="079102AD"/>
    <w:multiLevelType w:val="multilevel"/>
    <w:tmpl w:val="079102AD"/>
    <w:lvl w:ilvl="0" w:tentative="0">
      <w:start w:val="1"/>
      <w:numFmt w:val="decimal"/>
      <w:pStyle w:val="1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9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8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54"/>
      <w:lvlText w:val="%1)"/>
      <w:lvlJc w:val="left"/>
      <w:pPr>
        <w:tabs>
          <w:tab w:val="left" w:pos="851"/>
        </w:tabs>
        <w:ind w:left="851" w:hanging="426"/>
      </w:pPr>
      <w:rPr>
        <w:rFonts w:hint="eastAsia" w:ascii="宋体" w:hAnsi="Times New Roman" w:eastAsia="宋体"/>
        <w:sz w:val="21"/>
      </w:rPr>
    </w:lvl>
    <w:lvl w:ilvl="1" w:tentative="0">
      <w:start w:val="1"/>
      <w:numFmt w:val="decimal"/>
      <w:pStyle w:val="163"/>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8802D1C"/>
    <w:multiLevelType w:val="multilevel"/>
    <w:tmpl w:val="48802D1C"/>
    <w:lvl w:ilvl="0" w:tentative="0">
      <w:start w:val="1"/>
      <w:numFmt w:val="upperLetter"/>
      <w:pStyle w:val="170"/>
      <w:lvlText w:val="%1"/>
      <w:lvlJc w:val="left"/>
      <w:pPr>
        <w:ind w:left="420" w:hanging="420"/>
      </w:pPr>
      <w:rPr>
        <w:rFonts w:hint="eastAsia"/>
      </w:rPr>
    </w:lvl>
    <w:lvl w:ilvl="1" w:tentative="0">
      <w:start w:val="1"/>
      <w:numFmt w:val="decimal"/>
      <w:pStyle w:val="16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1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7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0B55DC2"/>
    <w:multiLevelType w:val="multilevel"/>
    <w:tmpl w:val="60B55DC2"/>
    <w:lvl w:ilvl="0" w:tentative="0">
      <w:start w:val="1"/>
      <w:numFmt w:val="upperLetter"/>
      <w:pStyle w:val="129"/>
      <w:lvlText w:val="%1"/>
      <w:lvlJc w:val="left"/>
      <w:pPr>
        <w:tabs>
          <w:tab w:val="left" w:pos="0"/>
        </w:tabs>
        <w:ind w:left="0" w:hanging="425"/>
      </w:pPr>
      <w:rPr>
        <w:rFonts w:hint="eastAsia"/>
      </w:rPr>
    </w:lvl>
    <w:lvl w:ilvl="1" w:tentative="0">
      <w:start w:val="1"/>
      <w:numFmt w:val="decimal"/>
      <w:pStyle w:val="11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74"/>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0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1"/>
      <w:suff w:val="nothing"/>
      <w:lvlText w:val="%1%2　"/>
      <w:lvlJc w:val="left"/>
      <w:pPr>
        <w:ind w:left="0" w:firstLine="0"/>
      </w:pPr>
      <w:rPr>
        <w:rFonts w:hint="eastAsia" w:ascii="黑体" w:eastAsia="黑体"/>
        <w:b w:val="0"/>
        <w:i w:val="0"/>
        <w:sz w:val="21"/>
      </w:rPr>
    </w:lvl>
    <w:lvl w:ilvl="2" w:tentative="0">
      <w:start w:val="1"/>
      <w:numFmt w:val="decimal"/>
      <w:pStyle w:val="15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56"/>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0" w:firstLine="0"/>
      </w:pPr>
      <w:rPr>
        <w:rFonts w:hint="eastAsia" w:ascii="黑体" w:eastAsia="黑体"/>
        <w:b w:val="0"/>
        <w:i w:val="0"/>
        <w:sz w:val="21"/>
      </w:rPr>
    </w:lvl>
    <w:lvl w:ilvl="5" w:tentative="0">
      <w:start w:val="1"/>
      <w:numFmt w:val="decimal"/>
      <w:pStyle w:val="16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7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18"/>
  </w:num>
  <w:num w:numId="4">
    <w:abstractNumId w:val="17"/>
  </w:num>
  <w:num w:numId="5">
    <w:abstractNumId w:val="20"/>
  </w:num>
  <w:num w:numId="6">
    <w:abstractNumId w:val="21"/>
  </w:num>
  <w:num w:numId="7">
    <w:abstractNumId w:val="9"/>
  </w:num>
  <w:num w:numId="8">
    <w:abstractNumId w:val="5"/>
  </w:num>
  <w:num w:numId="9">
    <w:abstractNumId w:val="3"/>
  </w:num>
  <w:num w:numId="10">
    <w:abstractNumId w:val="4"/>
  </w:num>
  <w:num w:numId="11">
    <w:abstractNumId w:val="16"/>
  </w:num>
  <w:num w:numId="12">
    <w:abstractNumId w:val="0"/>
  </w:num>
  <w:num w:numId="13">
    <w:abstractNumId w:val="13"/>
  </w:num>
  <w:num w:numId="14">
    <w:abstractNumId w:val="8"/>
  </w:num>
  <w:num w:numId="15">
    <w:abstractNumId w:val="6"/>
  </w:num>
  <w:num w:numId="16">
    <w:abstractNumId w:val="14"/>
  </w:num>
  <w:num w:numId="17">
    <w:abstractNumId w:val="19"/>
  </w:num>
  <w:num w:numId="18">
    <w:abstractNumId w:val="11"/>
  </w:num>
  <w:num w:numId="19">
    <w:abstractNumId w:val="2"/>
  </w:num>
  <w:num w:numId="20">
    <w:abstractNumId w:val="12"/>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2JhYmNhOGQxZjRmMDkwNjI5OTNkYTU3MTZjNzQifQ=="/>
  </w:docVars>
  <w:rsids>
    <w:rsidRoot w:val="00172A27"/>
    <w:rsid w:val="00000244"/>
    <w:rsid w:val="0000185F"/>
    <w:rsid w:val="0000586F"/>
    <w:rsid w:val="00007966"/>
    <w:rsid w:val="00013D86"/>
    <w:rsid w:val="00013E02"/>
    <w:rsid w:val="0002143C"/>
    <w:rsid w:val="00025A65"/>
    <w:rsid w:val="00026C31"/>
    <w:rsid w:val="00027280"/>
    <w:rsid w:val="000305C9"/>
    <w:rsid w:val="000320A7"/>
    <w:rsid w:val="000322B0"/>
    <w:rsid w:val="00035925"/>
    <w:rsid w:val="00043858"/>
    <w:rsid w:val="0004475D"/>
    <w:rsid w:val="00050092"/>
    <w:rsid w:val="000501CC"/>
    <w:rsid w:val="000541B2"/>
    <w:rsid w:val="00065966"/>
    <w:rsid w:val="00067CDF"/>
    <w:rsid w:val="00074FBE"/>
    <w:rsid w:val="00075318"/>
    <w:rsid w:val="00083A09"/>
    <w:rsid w:val="0009005E"/>
    <w:rsid w:val="00092664"/>
    <w:rsid w:val="00092857"/>
    <w:rsid w:val="00095072"/>
    <w:rsid w:val="00095ED9"/>
    <w:rsid w:val="00096F92"/>
    <w:rsid w:val="00097D0A"/>
    <w:rsid w:val="000A20A9"/>
    <w:rsid w:val="000A45E7"/>
    <w:rsid w:val="000A48B1"/>
    <w:rsid w:val="000A5298"/>
    <w:rsid w:val="000A70E0"/>
    <w:rsid w:val="000B2F62"/>
    <w:rsid w:val="000B3143"/>
    <w:rsid w:val="000B6CCE"/>
    <w:rsid w:val="000C0B05"/>
    <w:rsid w:val="000C41AB"/>
    <w:rsid w:val="000C53F5"/>
    <w:rsid w:val="000C6B05"/>
    <w:rsid w:val="000C6DD6"/>
    <w:rsid w:val="000C73D4"/>
    <w:rsid w:val="000D3D4C"/>
    <w:rsid w:val="000D4F51"/>
    <w:rsid w:val="000D718B"/>
    <w:rsid w:val="000E0C46"/>
    <w:rsid w:val="000E7D39"/>
    <w:rsid w:val="000F030C"/>
    <w:rsid w:val="000F0850"/>
    <w:rsid w:val="000F0D77"/>
    <w:rsid w:val="000F129C"/>
    <w:rsid w:val="000F30D2"/>
    <w:rsid w:val="000F429B"/>
    <w:rsid w:val="00101714"/>
    <w:rsid w:val="00101DBF"/>
    <w:rsid w:val="001056DE"/>
    <w:rsid w:val="00107CB2"/>
    <w:rsid w:val="00111A44"/>
    <w:rsid w:val="001124C0"/>
    <w:rsid w:val="00116D68"/>
    <w:rsid w:val="00122B27"/>
    <w:rsid w:val="001264EA"/>
    <w:rsid w:val="0013175F"/>
    <w:rsid w:val="0013370B"/>
    <w:rsid w:val="001512B4"/>
    <w:rsid w:val="001537FF"/>
    <w:rsid w:val="00154B33"/>
    <w:rsid w:val="00157AB5"/>
    <w:rsid w:val="0016000C"/>
    <w:rsid w:val="00160C9D"/>
    <w:rsid w:val="001620A5"/>
    <w:rsid w:val="00164E53"/>
    <w:rsid w:val="00166466"/>
    <w:rsid w:val="0016699D"/>
    <w:rsid w:val="00170C62"/>
    <w:rsid w:val="00172A27"/>
    <w:rsid w:val="00175159"/>
    <w:rsid w:val="00176208"/>
    <w:rsid w:val="0018211B"/>
    <w:rsid w:val="001840D3"/>
    <w:rsid w:val="00184A38"/>
    <w:rsid w:val="001900F8"/>
    <w:rsid w:val="00191258"/>
    <w:rsid w:val="00192680"/>
    <w:rsid w:val="00193037"/>
    <w:rsid w:val="00193A2C"/>
    <w:rsid w:val="001957DF"/>
    <w:rsid w:val="00195D61"/>
    <w:rsid w:val="001A0AD0"/>
    <w:rsid w:val="001A288E"/>
    <w:rsid w:val="001B56C2"/>
    <w:rsid w:val="001B6DC2"/>
    <w:rsid w:val="001C149C"/>
    <w:rsid w:val="001C21AC"/>
    <w:rsid w:val="001C3A70"/>
    <w:rsid w:val="001C47BA"/>
    <w:rsid w:val="001C59EA"/>
    <w:rsid w:val="001D406C"/>
    <w:rsid w:val="001D41EE"/>
    <w:rsid w:val="001E0380"/>
    <w:rsid w:val="001E13B1"/>
    <w:rsid w:val="001F029C"/>
    <w:rsid w:val="001F3A19"/>
    <w:rsid w:val="00202635"/>
    <w:rsid w:val="00217591"/>
    <w:rsid w:val="00217BCB"/>
    <w:rsid w:val="00222E5D"/>
    <w:rsid w:val="00234440"/>
    <w:rsid w:val="00234467"/>
    <w:rsid w:val="00237D8D"/>
    <w:rsid w:val="00241DA2"/>
    <w:rsid w:val="00241F3E"/>
    <w:rsid w:val="00244421"/>
    <w:rsid w:val="00244B5E"/>
    <w:rsid w:val="00247FEE"/>
    <w:rsid w:val="00250E7D"/>
    <w:rsid w:val="002565D5"/>
    <w:rsid w:val="002605C2"/>
    <w:rsid w:val="00260A19"/>
    <w:rsid w:val="00260BB1"/>
    <w:rsid w:val="002622C0"/>
    <w:rsid w:val="002778AE"/>
    <w:rsid w:val="0028116B"/>
    <w:rsid w:val="0028269A"/>
    <w:rsid w:val="00283590"/>
    <w:rsid w:val="00286973"/>
    <w:rsid w:val="002871BE"/>
    <w:rsid w:val="002924AB"/>
    <w:rsid w:val="00294E70"/>
    <w:rsid w:val="002976E0"/>
    <w:rsid w:val="002A0D8B"/>
    <w:rsid w:val="002A1924"/>
    <w:rsid w:val="002A1987"/>
    <w:rsid w:val="002A39B2"/>
    <w:rsid w:val="002A5271"/>
    <w:rsid w:val="002A7420"/>
    <w:rsid w:val="002B0F12"/>
    <w:rsid w:val="002B1308"/>
    <w:rsid w:val="002B1926"/>
    <w:rsid w:val="002B4554"/>
    <w:rsid w:val="002C72D8"/>
    <w:rsid w:val="002D11FA"/>
    <w:rsid w:val="002D14AB"/>
    <w:rsid w:val="002E0DDF"/>
    <w:rsid w:val="002E2906"/>
    <w:rsid w:val="002E5635"/>
    <w:rsid w:val="002E64C3"/>
    <w:rsid w:val="002E6A2C"/>
    <w:rsid w:val="002F1D8C"/>
    <w:rsid w:val="002F21DA"/>
    <w:rsid w:val="00301F39"/>
    <w:rsid w:val="00311FD2"/>
    <w:rsid w:val="0031549E"/>
    <w:rsid w:val="0031635D"/>
    <w:rsid w:val="0031658C"/>
    <w:rsid w:val="00317310"/>
    <w:rsid w:val="00325926"/>
    <w:rsid w:val="00327A8A"/>
    <w:rsid w:val="003301C6"/>
    <w:rsid w:val="00336610"/>
    <w:rsid w:val="00337028"/>
    <w:rsid w:val="00343F73"/>
    <w:rsid w:val="00345060"/>
    <w:rsid w:val="0035323B"/>
    <w:rsid w:val="00354440"/>
    <w:rsid w:val="003609D2"/>
    <w:rsid w:val="00363F22"/>
    <w:rsid w:val="003643FD"/>
    <w:rsid w:val="00371324"/>
    <w:rsid w:val="003735D7"/>
    <w:rsid w:val="00375564"/>
    <w:rsid w:val="00383191"/>
    <w:rsid w:val="00386DED"/>
    <w:rsid w:val="003878A7"/>
    <w:rsid w:val="003912E7"/>
    <w:rsid w:val="00393947"/>
    <w:rsid w:val="0039556B"/>
    <w:rsid w:val="003A2275"/>
    <w:rsid w:val="003A6A4F"/>
    <w:rsid w:val="003A7088"/>
    <w:rsid w:val="003A778B"/>
    <w:rsid w:val="003B00DF"/>
    <w:rsid w:val="003B1275"/>
    <w:rsid w:val="003B1778"/>
    <w:rsid w:val="003B1F13"/>
    <w:rsid w:val="003B2946"/>
    <w:rsid w:val="003B5E3A"/>
    <w:rsid w:val="003B6997"/>
    <w:rsid w:val="003C0CF1"/>
    <w:rsid w:val="003C11CB"/>
    <w:rsid w:val="003C3A78"/>
    <w:rsid w:val="003C75F3"/>
    <w:rsid w:val="003C78A3"/>
    <w:rsid w:val="003C7B25"/>
    <w:rsid w:val="003D0D84"/>
    <w:rsid w:val="003D4928"/>
    <w:rsid w:val="003D4AF4"/>
    <w:rsid w:val="003E1867"/>
    <w:rsid w:val="003E5729"/>
    <w:rsid w:val="003F4EE0"/>
    <w:rsid w:val="00402153"/>
    <w:rsid w:val="00402FC1"/>
    <w:rsid w:val="0042465F"/>
    <w:rsid w:val="00425082"/>
    <w:rsid w:val="00431DEB"/>
    <w:rsid w:val="004326BC"/>
    <w:rsid w:val="004327CF"/>
    <w:rsid w:val="00433AB3"/>
    <w:rsid w:val="00433F3D"/>
    <w:rsid w:val="00435C28"/>
    <w:rsid w:val="00435F0D"/>
    <w:rsid w:val="00446B29"/>
    <w:rsid w:val="00447EEC"/>
    <w:rsid w:val="00452534"/>
    <w:rsid w:val="00453F9A"/>
    <w:rsid w:val="00464C65"/>
    <w:rsid w:val="00464D28"/>
    <w:rsid w:val="00465E93"/>
    <w:rsid w:val="00471E91"/>
    <w:rsid w:val="00474675"/>
    <w:rsid w:val="0047470C"/>
    <w:rsid w:val="00474C7B"/>
    <w:rsid w:val="00485A2A"/>
    <w:rsid w:val="00487112"/>
    <w:rsid w:val="00497619"/>
    <w:rsid w:val="00497F31"/>
    <w:rsid w:val="004A1C64"/>
    <w:rsid w:val="004A1CC2"/>
    <w:rsid w:val="004A35F9"/>
    <w:rsid w:val="004B1F29"/>
    <w:rsid w:val="004B24C1"/>
    <w:rsid w:val="004B788B"/>
    <w:rsid w:val="004C292F"/>
    <w:rsid w:val="004C7291"/>
    <w:rsid w:val="004C7365"/>
    <w:rsid w:val="004D70E1"/>
    <w:rsid w:val="004E604F"/>
    <w:rsid w:val="004E7025"/>
    <w:rsid w:val="004E79A8"/>
    <w:rsid w:val="004F144C"/>
    <w:rsid w:val="00500D38"/>
    <w:rsid w:val="005031B2"/>
    <w:rsid w:val="00503FA8"/>
    <w:rsid w:val="00505B11"/>
    <w:rsid w:val="00510280"/>
    <w:rsid w:val="00513A1D"/>
    <w:rsid w:val="00513D73"/>
    <w:rsid w:val="005141B5"/>
    <w:rsid w:val="00514A43"/>
    <w:rsid w:val="00515750"/>
    <w:rsid w:val="00515BC2"/>
    <w:rsid w:val="005174E5"/>
    <w:rsid w:val="00521E7D"/>
    <w:rsid w:val="00522393"/>
    <w:rsid w:val="00522620"/>
    <w:rsid w:val="00525211"/>
    <w:rsid w:val="00525656"/>
    <w:rsid w:val="0052756B"/>
    <w:rsid w:val="00532A7D"/>
    <w:rsid w:val="00534C02"/>
    <w:rsid w:val="005370F5"/>
    <w:rsid w:val="00541284"/>
    <w:rsid w:val="0054264B"/>
    <w:rsid w:val="00543786"/>
    <w:rsid w:val="005533D7"/>
    <w:rsid w:val="005639DA"/>
    <w:rsid w:val="005703DE"/>
    <w:rsid w:val="005733A7"/>
    <w:rsid w:val="00573FBF"/>
    <w:rsid w:val="005770F0"/>
    <w:rsid w:val="00580773"/>
    <w:rsid w:val="00584520"/>
    <w:rsid w:val="0058464E"/>
    <w:rsid w:val="00587578"/>
    <w:rsid w:val="00591838"/>
    <w:rsid w:val="005A01CB"/>
    <w:rsid w:val="005A0E79"/>
    <w:rsid w:val="005A58FF"/>
    <w:rsid w:val="005A5EAF"/>
    <w:rsid w:val="005A64C0"/>
    <w:rsid w:val="005B35E5"/>
    <w:rsid w:val="005B3C11"/>
    <w:rsid w:val="005C1C28"/>
    <w:rsid w:val="005C53BC"/>
    <w:rsid w:val="005C6DB5"/>
    <w:rsid w:val="005D408B"/>
    <w:rsid w:val="005D6183"/>
    <w:rsid w:val="005E19E7"/>
    <w:rsid w:val="005E5E0C"/>
    <w:rsid w:val="005E7065"/>
    <w:rsid w:val="005F1D6B"/>
    <w:rsid w:val="00605672"/>
    <w:rsid w:val="006065C7"/>
    <w:rsid w:val="006123F9"/>
    <w:rsid w:val="0061716C"/>
    <w:rsid w:val="006207B3"/>
    <w:rsid w:val="0062357D"/>
    <w:rsid w:val="00623C2B"/>
    <w:rsid w:val="006243A1"/>
    <w:rsid w:val="00632E56"/>
    <w:rsid w:val="00634C50"/>
    <w:rsid w:val="00635CBA"/>
    <w:rsid w:val="00640550"/>
    <w:rsid w:val="006409FD"/>
    <w:rsid w:val="0064338B"/>
    <w:rsid w:val="00643D22"/>
    <w:rsid w:val="006440B6"/>
    <w:rsid w:val="00646542"/>
    <w:rsid w:val="006504F4"/>
    <w:rsid w:val="00654BC9"/>
    <w:rsid w:val="006552FD"/>
    <w:rsid w:val="00663AF3"/>
    <w:rsid w:val="00666B6C"/>
    <w:rsid w:val="00682682"/>
    <w:rsid w:val="00682702"/>
    <w:rsid w:val="00692368"/>
    <w:rsid w:val="006947F7"/>
    <w:rsid w:val="00695EC2"/>
    <w:rsid w:val="006A2EBC"/>
    <w:rsid w:val="006A3052"/>
    <w:rsid w:val="006A3F61"/>
    <w:rsid w:val="006A5EA0"/>
    <w:rsid w:val="006A783B"/>
    <w:rsid w:val="006A7B33"/>
    <w:rsid w:val="006B4E13"/>
    <w:rsid w:val="006B6E7C"/>
    <w:rsid w:val="006B75DD"/>
    <w:rsid w:val="006C290A"/>
    <w:rsid w:val="006C5129"/>
    <w:rsid w:val="006C67E0"/>
    <w:rsid w:val="006C7ABA"/>
    <w:rsid w:val="006D0D60"/>
    <w:rsid w:val="006D1122"/>
    <w:rsid w:val="006D3C00"/>
    <w:rsid w:val="006E166B"/>
    <w:rsid w:val="006E3675"/>
    <w:rsid w:val="006E4A7F"/>
    <w:rsid w:val="00704DF6"/>
    <w:rsid w:val="0070651C"/>
    <w:rsid w:val="00706C5D"/>
    <w:rsid w:val="007132A3"/>
    <w:rsid w:val="00716421"/>
    <w:rsid w:val="00724EFB"/>
    <w:rsid w:val="00733DB3"/>
    <w:rsid w:val="007419C3"/>
    <w:rsid w:val="007467A7"/>
    <w:rsid w:val="007469DD"/>
    <w:rsid w:val="0074741B"/>
    <w:rsid w:val="0074759E"/>
    <w:rsid w:val="007478EA"/>
    <w:rsid w:val="0075415C"/>
    <w:rsid w:val="00761558"/>
    <w:rsid w:val="00763502"/>
    <w:rsid w:val="00765317"/>
    <w:rsid w:val="00775949"/>
    <w:rsid w:val="00781734"/>
    <w:rsid w:val="00781D9C"/>
    <w:rsid w:val="00786982"/>
    <w:rsid w:val="007913AB"/>
    <w:rsid w:val="007914F7"/>
    <w:rsid w:val="00797B7C"/>
    <w:rsid w:val="007A3393"/>
    <w:rsid w:val="007B1625"/>
    <w:rsid w:val="007B6FAC"/>
    <w:rsid w:val="007B706E"/>
    <w:rsid w:val="007B71EB"/>
    <w:rsid w:val="007C1CE1"/>
    <w:rsid w:val="007C2670"/>
    <w:rsid w:val="007C3283"/>
    <w:rsid w:val="007C6205"/>
    <w:rsid w:val="007C656D"/>
    <w:rsid w:val="007C686A"/>
    <w:rsid w:val="007C728E"/>
    <w:rsid w:val="007C7314"/>
    <w:rsid w:val="007D2C53"/>
    <w:rsid w:val="007D3D60"/>
    <w:rsid w:val="007E1980"/>
    <w:rsid w:val="007E4B76"/>
    <w:rsid w:val="007E5EA8"/>
    <w:rsid w:val="007F0CA6"/>
    <w:rsid w:val="007F0CF1"/>
    <w:rsid w:val="007F12A5"/>
    <w:rsid w:val="007F436D"/>
    <w:rsid w:val="007F4CF1"/>
    <w:rsid w:val="007F556E"/>
    <w:rsid w:val="007F6F16"/>
    <w:rsid w:val="007F707D"/>
    <w:rsid w:val="007F758D"/>
    <w:rsid w:val="007F7D52"/>
    <w:rsid w:val="00803604"/>
    <w:rsid w:val="0080654C"/>
    <w:rsid w:val="008071C6"/>
    <w:rsid w:val="00817A00"/>
    <w:rsid w:val="008337E9"/>
    <w:rsid w:val="00835DB3"/>
    <w:rsid w:val="0083617B"/>
    <w:rsid w:val="00836480"/>
    <w:rsid w:val="008371BD"/>
    <w:rsid w:val="00837EDF"/>
    <w:rsid w:val="008477EC"/>
    <w:rsid w:val="008504A8"/>
    <w:rsid w:val="00851C1C"/>
    <w:rsid w:val="0085282E"/>
    <w:rsid w:val="008544FB"/>
    <w:rsid w:val="00855C6D"/>
    <w:rsid w:val="00856AD9"/>
    <w:rsid w:val="008650EE"/>
    <w:rsid w:val="0087198C"/>
    <w:rsid w:val="00872C1F"/>
    <w:rsid w:val="00872F23"/>
    <w:rsid w:val="00873B42"/>
    <w:rsid w:val="0087741C"/>
    <w:rsid w:val="008856D8"/>
    <w:rsid w:val="008878D1"/>
    <w:rsid w:val="00892E82"/>
    <w:rsid w:val="00895D22"/>
    <w:rsid w:val="008A22A1"/>
    <w:rsid w:val="008A2C19"/>
    <w:rsid w:val="008A465E"/>
    <w:rsid w:val="008A7E67"/>
    <w:rsid w:val="008B1139"/>
    <w:rsid w:val="008B77FA"/>
    <w:rsid w:val="008C09F7"/>
    <w:rsid w:val="008C11D2"/>
    <w:rsid w:val="008C1B58"/>
    <w:rsid w:val="008C39AE"/>
    <w:rsid w:val="008C590D"/>
    <w:rsid w:val="008C5E8D"/>
    <w:rsid w:val="008C6FAB"/>
    <w:rsid w:val="008D5101"/>
    <w:rsid w:val="008D6DB9"/>
    <w:rsid w:val="008E031B"/>
    <w:rsid w:val="008E5E47"/>
    <w:rsid w:val="008E7029"/>
    <w:rsid w:val="008E7EF6"/>
    <w:rsid w:val="008F01A3"/>
    <w:rsid w:val="008F1F98"/>
    <w:rsid w:val="008F23C9"/>
    <w:rsid w:val="008F496A"/>
    <w:rsid w:val="008F6758"/>
    <w:rsid w:val="009027C2"/>
    <w:rsid w:val="009040DD"/>
    <w:rsid w:val="00905B47"/>
    <w:rsid w:val="009122E9"/>
    <w:rsid w:val="0091331C"/>
    <w:rsid w:val="009208DE"/>
    <w:rsid w:val="00921020"/>
    <w:rsid w:val="009262CF"/>
    <w:rsid w:val="009279DE"/>
    <w:rsid w:val="00930116"/>
    <w:rsid w:val="009320A6"/>
    <w:rsid w:val="00932B81"/>
    <w:rsid w:val="00937655"/>
    <w:rsid w:val="009379FF"/>
    <w:rsid w:val="0094212C"/>
    <w:rsid w:val="00944DE3"/>
    <w:rsid w:val="0094724A"/>
    <w:rsid w:val="00954689"/>
    <w:rsid w:val="009617C9"/>
    <w:rsid w:val="00961C93"/>
    <w:rsid w:val="00963CD4"/>
    <w:rsid w:val="00965324"/>
    <w:rsid w:val="0097091E"/>
    <w:rsid w:val="00974520"/>
    <w:rsid w:val="009760D3"/>
    <w:rsid w:val="00977132"/>
    <w:rsid w:val="00981A4B"/>
    <w:rsid w:val="00982501"/>
    <w:rsid w:val="00982C52"/>
    <w:rsid w:val="009851CD"/>
    <w:rsid w:val="00985D7D"/>
    <w:rsid w:val="009877D3"/>
    <w:rsid w:val="00991EE2"/>
    <w:rsid w:val="0099249F"/>
    <w:rsid w:val="00994E8F"/>
    <w:rsid w:val="009951DC"/>
    <w:rsid w:val="009959BB"/>
    <w:rsid w:val="00997158"/>
    <w:rsid w:val="009A3A7C"/>
    <w:rsid w:val="009A43CC"/>
    <w:rsid w:val="009B2ADB"/>
    <w:rsid w:val="009B598E"/>
    <w:rsid w:val="009B5EDF"/>
    <w:rsid w:val="009B603A"/>
    <w:rsid w:val="009C1EC3"/>
    <w:rsid w:val="009C2D0E"/>
    <w:rsid w:val="009C3DAC"/>
    <w:rsid w:val="009C42E0"/>
    <w:rsid w:val="009D3A9D"/>
    <w:rsid w:val="009D3BA6"/>
    <w:rsid w:val="009D5362"/>
    <w:rsid w:val="009E0C2E"/>
    <w:rsid w:val="009E1415"/>
    <w:rsid w:val="009E2C1D"/>
    <w:rsid w:val="009E6116"/>
    <w:rsid w:val="009F2722"/>
    <w:rsid w:val="009F4FEF"/>
    <w:rsid w:val="009F652C"/>
    <w:rsid w:val="00A02E43"/>
    <w:rsid w:val="00A065F9"/>
    <w:rsid w:val="00A07F34"/>
    <w:rsid w:val="00A117C3"/>
    <w:rsid w:val="00A17A1F"/>
    <w:rsid w:val="00A20002"/>
    <w:rsid w:val="00A22154"/>
    <w:rsid w:val="00A224D5"/>
    <w:rsid w:val="00A25234"/>
    <w:rsid w:val="00A25C38"/>
    <w:rsid w:val="00A36BBE"/>
    <w:rsid w:val="00A4307A"/>
    <w:rsid w:val="00A43760"/>
    <w:rsid w:val="00A47EBB"/>
    <w:rsid w:val="00A517B0"/>
    <w:rsid w:val="00A51CDD"/>
    <w:rsid w:val="00A530D8"/>
    <w:rsid w:val="00A53CF9"/>
    <w:rsid w:val="00A6730D"/>
    <w:rsid w:val="00A71625"/>
    <w:rsid w:val="00A71B9B"/>
    <w:rsid w:val="00A751C7"/>
    <w:rsid w:val="00A75717"/>
    <w:rsid w:val="00A7784B"/>
    <w:rsid w:val="00A8571B"/>
    <w:rsid w:val="00A87844"/>
    <w:rsid w:val="00A92F2C"/>
    <w:rsid w:val="00A93DCA"/>
    <w:rsid w:val="00A9541F"/>
    <w:rsid w:val="00A9748C"/>
    <w:rsid w:val="00AA038C"/>
    <w:rsid w:val="00AA19AE"/>
    <w:rsid w:val="00AA7A09"/>
    <w:rsid w:val="00AB3B50"/>
    <w:rsid w:val="00AB587D"/>
    <w:rsid w:val="00AC05B1"/>
    <w:rsid w:val="00AC3880"/>
    <w:rsid w:val="00AC40A2"/>
    <w:rsid w:val="00AC431B"/>
    <w:rsid w:val="00AC6806"/>
    <w:rsid w:val="00AC75DA"/>
    <w:rsid w:val="00AD011C"/>
    <w:rsid w:val="00AD0F22"/>
    <w:rsid w:val="00AD1A54"/>
    <w:rsid w:val="00AD356C"/>
    <w:rsid w:val="00AD5B2A"/>
    <w:rsid w:val="00AE1BE2"/>
    <w:rsid w:val="00AE2914"/>
    <w:rsid w:val="00AE6D15"/>
    <w:rsid w:val="00AF04A7"/>
    <w:rsid w:val="00B04182"/>
    <w:rsid w:val="00B07AE3"/>
    <w:rsid w:val="00B11430"/>
    <w:rsid w:val="00B11B33"/>
    <w:rsid w:val="00B11B6D"/>
    <w:rsid w:val="00B260C5"/>
    <w:rsid w:val="00B353EB"/>
    <w:rsid w:val="00B37658"/>
    <w:rsid w:val="00B400C6"/>
    <w:rsid w:val="00B439C4"/>
    <w:rsid w:val="00B4534A"/>
    <w:rsid w:val="00B4535E"/>
    <w:rsid w:val="00B460C1"/>
    <w:rsid w:val="00B52A8C"/>
    <w:rsid w:val="00B56D4C"/>
    <w:rsid w:val="00B636A8"/>
    <w:rsid w:val="00B665C6"/>
    <w:rsid w:val="00B7350D"/>
    <w:rsid w:val="00B7549C"/>
    <w:rsid w:val="00B805AF"/>
    <w:rsid w:val="00B869EC"/>
    <w:rsid w:val="00B923DA"/>
    <w:rsid w:val="00B92840"/>
    <w:rsid w:val="00B9397A"/>
    <w:rsid w:val="00B9633D"/>
    <w:rsid w:val="00B970D8"/>
    <w:rsid w:val="00BA2EBE"/>
    <w:rsid w:val="00BB0F28"/>
    <w:rsid w:val="00BB458A"/>
    <w:rsid w:val="00BC1367"/>
    <w:rsid w:val="00BC1DC3"/>
    <w:rsid w:val="00BC38C2"/>
    <w:rsid w:val="00BD00D3"/>
    <w:rsid w:val="00BD1659"/>
    <w:rsid w:val="00BD3AA9"/>
    <w:rsid w:val="00BD40C5"/>
    <w:rsid w:val="00BD4A18"/>
    <w:rsid w:val="00BD6DB2"/>
    <w:rsid w:val="00BD7E6C"/>
    <w:rsid w:val="00BE11CF"/>
    <w:rsid w:val="00BE21AB"/>
    <w:rsid w:val="00BE395B"/>
    <w:rsid w:val="00BE55CB"/>
    <w:rsid w:val="00BE5AFA"/>
    <w:rsid w:val="00BF2FCB"/>
    <w:rsid w:val="00BF617A"/>
    <w:rsid w:val="00C0054B"/>
    <w:rsid w:val="00C0379D"/>
    <w:rsid w:val="00C0385C"/>
    <w:rsid w:val="00C03931"/>
    <w:rsid w:val="00C03ECE"/>
    <w:rsid w:val="00C05FE3"/>
    <w:rsid w:val="00C068D4"/>
    <w:rsid w:val="00C16C98"/>
    <w:rsid w:val="00C17D7B"/>
    <w:rsid w:val="00C2136D"/>
    <w:rsid w:val="00C214EE"/>
    <w:rsid w:val="00C2314B"/>
    <w:rsid w:val="00C24971"/>
    <w:rsid w:val="00C26BE5"/>
    <w:rsid w:val="00C26E4D"/>
    <w:rsid w:val="00C27909"/>
    <w:rsid w:val="00C27B03"/>
    <w:rsid w:val="00C314E1"/>
    <w:rsid w:val="00C34397"/>
    <w:rsid w:val="00C35E6E"/>
    <w:rsid w:val="00C37883"/>
    <w:rsid w:val="00C4095D"/>
    <w:rsid w:val="00C410D2"/>
    <w:rsid w:val="00C4347C"/>
    <w:rsid w:val="00C45A88"/>
    <w:rsid w:val="00C46891"/>
    <w:rsid w:val="00C601D2"/>
    <w:rsid w:val="00C616F6"/>
    <w:rsid w:val="00C635BA"/>
    <w:rsid w:val="00C657AB"/>
    <w:rsid w:val="00C65BCC"/>
    <w:rsid w:val="00C66970"/>
    <w:rsid w:val="00C73FF0"/>
    <w:rsid w:val="00C854E9"/>
    <w:rsid w:val="00C8691C"/>
    <w:rsid w:val="00CA0CD2"/>
    <w:rsid w:val="00CA168A"/>
    <w:rsid w:val="00CA1B11"/>
    <w:rsid w:val="00CA357E"/>
    <w:rsid w:val="00CA44F9"/>
    <w:rsid w:val="00CA4A69"/>
    <w:rsid w:val="00CA67D0"/>
    <w:rsid w:val="00CB0452"/>
    <w:rsid w:val="00CB4707"/>
    <w:rsid w:val="00CC12B0"/>
    <w:rsid w:val="00CC34D7"/>
    <w:rsid w:val="00CC3E0C"/>
    <w:rsid w:val="00CC4747"/>
    <w:rsid w:val="00CC58D3"/>
    <w:rsid w:val="00CC784D"/>
    <w:rsid w:val="00CD032D"/>
    <w:rsid w:val="00CD3C29"/>
    <w:rsid w:val="00CE1DE4"/>
    <w:rsid w:val="00CE3AB4"/>
    <w:rsid w:val="00CE74E9"/>
    <w:rsid w:val="00CE79C6"/>
    <w:rsid w:val="00CE7D13"/>
    <w:rsid w:val="00CF049C"/>
    <w:rsid w:val="00CF629B"/>
    <w:rsid w:val="00CF6935"/>
    <w:rsid w:val="00D0337B"/>
    <w:rsid w:val="00D033DE"/>
    <w:rsid w:val="00D04D6E"/>
    <w:rsid w:val="00D060C0"/>
    <w:rsid w:val="00D06C76"/>
    <w:rsid w:val="00D079B2"/>
    <w:rsid w:val="00D114E9"/>
    <w:rsid w:val="00D128BE"/>
    <w:rsid w:val="00D24B0F"/>
    <w:rsid w:val="00D429C6"/>
    <w:rsid w:val="00D47748"/>
    <w:rsid w:val="00D53D4D"/>
    <w:rsid w:val="00D54BFE"/>
    <w:rsid w:val="00D54CC3"/>
    <w:rsid w:val="00D6041A"/>
    <w:rsid w:val="00D60979"/>
    <w:rsid w:val="00D633EB"/>
    <w:rsid w:val="00D70546"/>
    <w:rsid w:val="00D75156"/>
    <w:rsid w:val="00D7545F"/>
    <w:rsid w:val="00D819B6"/>
    <w:rsid w:val="00D81F2F"/>
    <w:rsid w:val="00D82FF7"/>
    <w:rsid w:val="00D847FE"/>
    <w:rsid w:val="00D874BC"/>
    <w:rsid w:val="00D95A61"/>
    <w:rsid w:val="00D964EA"/>
    <w:rsid w:val="00D966D0"/>
    <w:rsid w:val="00DA0C59"/>
    <w:rsid w:val="00DA3991"/>
    <w:rsid w:val="00DA405D"/>
    <w:rsid w:val="00DB7E6C"/>
    <w:rsid w:val="00DC07EA"/>
    <w:rsid w:val="00DC2B6D"/>
    <w:rsid w:val="00DC7751"/>
    <w:rsid w:val="00DD42E0"/>
    <w:rsid w:val="00DD5A29"/>
    <w:rsid w:val="00DD5D9D"/>
    <w:rsid w:val="00DD62E8"/>
    <w:rsid w:val="00DD73CF"/>
    <w:rsid w:val="00DE35CB"/>
    <w:rsid w:val="00DE5EC7"/>
    <w:rsid w:val="00DF21E9"/>
    <w:rsid w:val="00DF6364"/>
    <w:rsid w:val="00DF6D73"/>
    <w:rsid w:val="00E00F14"/>
    <w:rsid w:val="00E021EE"/>
    <w:rsid w:val="00E022C9"/>
    <w:rsid w:val="00E03174"/>
    <w:rsid w:val="00E03734"/>
    <w:rsid w:val="00E0505B"/>
    <w:rsid w:val="00E06386"/>
    <w:rsid w:val="00E16356"/>
    <w:rsid w:val="00E22077"/>
    <w:rsid w:val="00E22C7F"/>
    <w:rsid w:val="00E24025"/>
    <w:rsid w:val="00E24EB4"/>
    <w:rsid w:val="00E320ED"/>
    <w:rsid w:val="00E33AFB"/>
    <w:rsid w:val="00E34218"/>
    <w:rsid w:val="00E442C5"/>
    <w:rsid w:val="00E454A0"/>
    <w:rsid w:val="00E46282"/>
    <w:rsid w:val="00E50EBB"/>
    <w:rsid w:val="00E5216E"/>
    <w:rsid w:val="00E55264"/>
    <w:rsid w:val="00E56605"/>
    <w:rsid w:val="00E60748"/>
    <w:rsid w:val="00E60E14"/>
    <w:rsid w:val="00E61123"/>
    <w:rsid w:val="00E700BF"/>
    <w:rsid w:val="00E82344"/>
    <w:rsid w:val="00E83A53"/>
    <w:rsid w:val="00E83A9B"/>
    <w:rsid w:val="00E84C82"/>
    <w:rsid w:val="00E84D64"/>
    <w:rsid w:val="00E87408"/>
    <w:rsid w:val="00E914C4"/>
    <w:rsid w:val="00E934F5"/>
    <w:rsid w:val="00E96961"/>
    <w:rsid w:val="00E96E02"/>
    <w:rsid w:val="00EA399D"/>
    <w:rsid w:val="00EA5F3A"/>
    <w:rsid w:val="00EA72EC"/>
    <w:rsid w:val="00EB11CB"/>
    <w:rsid w:val="00EB275A"/>
    <w:rsid w:val="00EB68FF"/>
    <w:rsid w:val="00EB786A"/>
    <w:rsid w:val="00EB7C62"/>
    <w:rsid w:val="00EC1578"/>
    <w:rsid w:val="00EC1C72"/>
    <w:rsid w:val="00EC3CC9"/>
    <w:rsid w:val="00EC680A"/>
    <w:rsid w:val="00EE2BED"/>
    <w:rsid w:val="00EE374B"/>
    <w:rsid w:val="00EF6528"/>
    <w:rsid w:val="00F04476"/>
    <w:rsid w:val="00F053C2"/>
    <w:rsid w:val="00F108BD"/>
    <w:rsid w:val="00F11BB5"/>
    <w:rsid w:val="00F136F6"/>
    <w:rsid w:val="00F13A29"/>
    <w:rsid w:val="00F1417B"/>
    <w:rsid w:val="00F167B3"/>
    <w:rsid w:val="00F34B99"/>
    <w:rsid w:val="00F372D9"/>
    <w:rsid w:val="00F43D5B"/>
    <w:rsid w:val="00F52DAB"/>
    <w:rsid w:val="00F543F0"/>
    <w:rsid w:val="00F5505C"/>
    <w:rsid w:val="00F55BD8"/>
    <w:rsid w:val="00F56B5E"/>
    <w:rsid w:val="00F608CA"/>
    <w:rsid w:val="00F675D7"/>
    <w:rsid w:val="00F809B3"/>
    <w:rsid w:val="00F81D29"/>
    <w:rsid w:val="00F91C4D"/>
    <w:rsid w:val="00F92FD9"/>
    <w:rsid w:val="00FA4584"/>
    <w:rsid w:val="00FA6129"/>
    <w:rsid w:val="00FA6684"/>
    <w:rsid w:val="00FA731E"/>
    <w:rsid w:val="00FB1D51"/>
    <w:rsid w:val="00FB2B38"/>
    <w:rsid w:val="00FC46CE"/>
    <w:rsid w:val="00FC5579"/>
    <w:rsid w:val="00FC6358"/>
    <w:rsid w:val="00FC7E3E"/>
    <w:rsid w:val="00FD320D"/>
    <w:rsid w:val="00FD4464"/>
    <w:rsid w:val="00FE23DE"/>
    <w:rsid w:val="00FE34F4"/>
    <w:rsid w:val="00FE3717"/>
    <w:rsid w:val="00FE68ED"/>
    <w:rsid w:val="00FF320F"/>
    <w:rsid w:val="01171628"/>
    <w:rsid w:val="01252E69"/>
    <w:rsid w:val="0133497D"/>
    <w:rsid w:val="0146684A"/>
    <w:rsid w:val="01945F0D"/>
    <w:rsid w:val="019819E8"/>
    <w:rsid w:val="01A514E6"/>
    <w:rsid w:val="01EF6AA0"/>
    <w:rsid w:val="02C31E14"/>
    <w:rsid w:val="030E5568"/>
    <w:rsid w:val="0362649B"/>
    <w:rsid w:val="03A84463"/>
    <w:rsid w:val="04A47A5C"/>
    <w:rsid w:val="050A0DD5"/>
    <w:rsid w:val="051C112E"/>
    <w:rsid w:val="05831998"/>
    <w:rsid w:val="05AB50DB"/>
    <w:rsid w:val="05C924D3"/>
    <w:rsid w:val="06716DE0"/>
    <w:rsid w:val="07245AA9"/>
    <w:rsid w:val="073C384C"/>
    <w:rsid w:val="082779ED"/>
    <w:rsid w:val="08FE085E"/>
    <w:rsid w:val="09012432"/>
    <w:rsid w:val="091A0EF2"/>
    <w:rsid w:val="09272BDC"/>
    <w:rsid w:val="095C1FE8"/>
    <w:rsid w:val="09BA595E"/>
    <w:rsid w:val="0A467CBC"/>
    <w:rsid w:val="0A6A44EC"/>
    <w:rsid w:val="0ADA4CCF"/>
    <w:rsid w:val="0AFA2CC5"/>
    <w:rsid w:val="0B156DBB"/>
    <w:rsid w:val="0B2350AC"/>
    <w:rsid w:val="0B99199A"/>
    <w:rsid w:val="0C195869"/>
    <w:rsid w:val="0C7E418F"/>
    <w:rsid w:val="0CF9407D"/>
    <w:rsid w:val="0D0954B0"/>
    <w:rsid w:val="0D161D84"/>
    <w:rsid w:val="0DB80F1D"/>
    <w:rsid w:val="0DD7522D"/>
    <w:rsid w:val="0E3204ED"/>
    <w:rsid w:val="0E856AE3"/>
    <w:rsid w:val="0ECF7D6A"/>
    <w:rsid w:val="0F2E0122"/>
    <w:rsid w:val="100867B4"/>
    <w:rsid w:val="10134FF0"/>
    <w:rsid w:val="101471EE"/>
    <w:rsid w:val="101707D2"/>
    <w:rsid w:val="10194EA2"/>
    <w:rsid w:val="10B91D5E"/>
    <w:rsid w:val="111151BA"/>
    <w:rsid w:val="11354408"/>
    <w:rsid w:val="11380AE4"/>
    <w:rsid w:val="1139154F"/>
    <w:rsid w:val="115B4F87"/>
    <w:rsid w:val="117513B4"/>
    <w:rsid w:val="11C25C30"/>
    <w:rsid w:val="121106A5"/>
    <w:rsid w:val="12456630"/>
    <w:rsid w:val="12F304FC"/>
    <w:rsid w:val="13780537"/>
    <w:rsid w:val="13832873"/>
    <w:rsid w:val="138812DB"/>
    <w:rsid w:val="13B17634"/>
    <w:rsid w:val="144E7F32"/>
    <w:rsid w:val="145B3FFE"/>
    <w:rsid w:val="146F7329"/>
    <w:rsid w:val="14957A1F"/>
    <w:rsid w:val="14C811F3"/>
    <w:rsid w:val="14E51FD5"/>
    <w:rsid w:val="14F41872"/>
    <w:rsid w:val="153F7197"/>
    <w:rsid w:val="155751BA"/>
    <w:rsid w:val="15870A88"/>
    <w:rsid w:val="16E16597"/>
    <w:rsid w:val="172E1365"/>
    <w:rsid w:val="17F06F14"/>
    <w:rsid w:val="18B74DA0"/>
    <w:rsid w:val="18D05DC3"/>
    <w:rsid w:val="18E11E1D"/>
    <w:rsid w:val="193C5775"/>
    <w:rsid w:val="19477D6F"/>
    <w:rsid w:val="19791A38"/>
    <w:rsid w:val="19CA7443"/>
    <w:rsid w:val="1A2C027D"/>
    <w:rsid w:val="1B036A10"/>
    <w:rsid w:val="1B94434C"/>
    <w:rsid w:val="1BF9314D"/>
    <w:rsid w:val="1C21513D"/>
    <w:rsid w:val="1C5B581E"/>
    <w:rsid w:val="1CC320E1"/>
    <w:rsid w:val="1CD772B1"/>
    <w:rsid w:val="1D7B4A20"/>
    <w:rsid w:val="1D804320"/>
    <w:rsid w:val="1DFA018D"/>
    <w:rsid w:val="1E3C798E"/>
    <w:rsid w:val="1E79088D"/>
    <w:rsid w:val="1E7F0CB3"/>
    <w:rsid w:val="1E992435"/>
    <w:rsid w:val="1F547310"/>
    <w:rsid w:val="1F856547"/>
    <w:rsid w:val="1FB60DAF"/>
    <w:rsid w:val="1FCE38D2"/>
    <w:rsid w:val="1FFF3F0C"/>
    <w:rsid w:val="20132376"/>
    <w:rsid w:val="2045771B"/>
    <w:rsid w:val="206D60B4"/>
    <w:rsid w:val="20700D48"/>
    <w:rsid w:val="20F66339"/>
    <w:rsid w:val="2141581D"/>
    <w:rsid w:val="21756F70"/>
    <w:rsid w:val="22395DB5"/>
    <w:rsid w:val="227D551A"/>
    <w:rsid w:val="22A00653"/>
    <w:rsid w:val="22F870EC"/>
    <w:rsid w:val="230F692E"/>
    <w:rsid w:val="23461079"/>
    <w:rsid w:val="235558E1"/>
    <w:rsid w:val="23F91D99"/>
    <w:rsid w:val="241E5CD3"/>
    <w:rsid w:val="24213960"/>
    <w:rsid w:val="2498417F"/>
    <w:rsid w:val="250E5F82"/>
    <w:rsid w:val="25493139"/>
    <w:rsid w:val="257318D4"/>
    <w:rsid w:val="259A596D"/>
    <w:rsid w:val="25AF0690"/>
    <w:rsid w:val="25E7388E"/>
    <w:rsid w:val="261B3491"/>
    <w:rsid w:val="266F0562"/>
    <w:rsid w:val="26E609AF"/>
    <w:rsid w:val="2826006E"/>
    <w:rsid w:val="29222C22"/>
    <w:rsid w:val="29782EFD"/>
    <w:rsid w:val="298E633C"/>
    <w:rsid w:val="2A005376"/>
    <w:rsid w:val="2A9774EE"/>
    <w:rsid w:val="2AA56566"/>
    <w:rsid w:val="2ABC4248"/>
    <w:rsid w:val="2B3B630C"/>
    <w:rsid w:val="2BE6712F"/>
    <w:rsid w:val="2C152AB1"/>
    <w:rsid w:val="2C2D2659"/>
    <w:rsid w:val="2CD22AAB"/>
    <w:rsid w:val="2CEA133E"/>
    <w:rsid w:val="2D092D6F"/>
    <w:rsid w:val="2D0B63BB"/>
    <w:rsid w:val="2D172111"/>
    <w:rsid w:val="2D9E4E37"/>
    <w:rsid w:val="2DC20BD3"/>
    <w:rsid w:val="2E181A41"/>
    <w:rsid w:val="2E291E44"/>
    <w:rsid w:val="2EA91E6C"/>
    <w:rsid w:val="2F2346E4"/>
    <w:rsid w:val="3040664C"/>
    <w:rsid w:val="304447BB"/>
    <w:rsid w:val="3091013E"/>
    <w:rsid w:val="30EA6C06"/>
    <w:rsid w:val="31013BBC"/>
    <w:rsid w:val="314174A5"/>
    <w:rsid w:val="318D3859"/>
    <w:rsid w:val="31FF0DCC"/>
    <w:rsid w:val="323863E6"/>
    <w:rsid w:val="325C262F"/>
    <w:rsid w:val="327D0BE3"/>
    <w:rsid w:val="32FC33F3"/>
    <w:rsid w:val="331740D7"/>
    <w:rsid w:val="332C0AD6"/>
    <w:rsid w:val="332C3B0E"/>
    <w:rsid w:val="33503824"/>
    <w:rsid w:val="339B62BF"/>
    <w:rsid w:val="33DD6C78"/>
    <w:rsid w:val="340F388A"/>
    <w:rsid w:val="346573F3"/>
    <w:rsid w:val="347B0E05"/>
    <w:rsid w:val="34E05899"/>
    <w:rsid w:val="34FC2804"/>
    <w:rsid w:val="351F7AFD"/>
    <w:rsid w:val="356C495C"/>
    <w:rsid w:val="359833FE"/>
    <w:rsid w:val="35BC7AF5"/>
    <w:rsid w:val="35D61BDE"/>
    <w:rsid w:val="36373B14"/>
    <w:rsid w:val="365A34BC"/>
    <w:rsid w:val="368715BB"/>
    <w:rsid w:val="3698170E"/>
    <w:rsid w:val="3699519F"/>
    <w:rsid w:val="374C16AA"/>
    <w:rsid w:val="37D71570"/>
    <w:rsid w:val="381B3B68"/>
    <w:rsid w:val="387A0F38"/>
    <w:rsid w:val="38AC450A"/>
    <w:rsid w:val="38EC1331"/>
    <w:rsid w:val="38FB5DDD"/>
    <w:rsid w:val="392016C6"/>
    <w:rsid w:val="39402788"/>
    <w:rsid w:val="3953185B"/>
    <w:rsid w:val="395B4F53"/>
    <w:rsid w:val="3991089E"/>
    <w:rsid w:val="3A005C9C"/>
    <w:rsid w:val="3A1A3170"/>
    <w:rsid w:val="3A912FD3"/>
    <w:rsid w:val="3AB94550"/>
    <w:rsid w:val="3ACB2ACC"/>
    <w:rsid w:val="3AF151AB"/>
    <w:rsid w:val="3B2B2398"/>
    <w:rsid w:val="3B365E16"/>
    <w:rsid w:val="3B3F6179"/>
    <w:rsid w:val="3B7467BD"/>
    <w:rsid w:val="3B830EB0"/>
    <w:rsid w:val="3BDC16AE"/>
    <w:rsid w:val="3C1C362D"/>
    <w:rsid w:val="3C1C6B80"/>
    <w:rsid w:val="3C345451"/>
    <w:rsid w:val="3C6507BF"/>
    <w:rsid w:val="3C830972"/>
    <w:rsid w:val="3C8C7164"/>
    <w:rsid w:val="3CDA4CE5"/>
    <w:rsid w:val="3D523315"/>
    <w:rsid w:val="3DAE3889"/>
    <w:rsid w:val="3DC73669"/>
    <w:rsid w:val="3DCE1362"/>
    <w:rsid w:val="3E802A97"/>
    <w:rsid w:val="3E993DB0"/>
    <w:rsid w:val="3F426DC2"/>
    <w:rsid w:val="3FC94C77"/>
    <w:rsid w:val="40387CC5"/>
    <w:rsid w:val="407B3CB4"/>
    <w:rsid w:val="4106437E"/>
    <w:rsid w:val="411838B9"/>
    <w:rsid w:val="416A59DD"/>
    <w:rsid w:val="42287171"/>
    <w:rsid w:val="42A24EAD"/>
    <w:rsid w:val="42D42B30"/>
    <w:rsid w:val="430F11B1"/>
    <w:rsid w:val="431A0A93"/>
    <w:rsid w:val="43913E81"/>
    <w:rsid w:val="43E6327A"/>
    <w:rsid w:val="44192FDE"/>
    <w:rsid w:val="44AC4D17"/>
    <w:rsid w:val="44B30262"/>
    <w:rsid w:val="45292F05"/>
    <w:rsid w:val="45585FD3"/>
    <w:rsid w:val="461040D9"/>
    <w:rsid w:val="46204214"/>
    <w:rsid w:val="46304B30"/>
    <w:rsid w:val="46BC1FBC"/>
    <w:rsid w:val="46D213F0"/>
    <w:rsid w:val="474E4E09"/>
    <w:rsid w:val="47AE06A6"/>
    <w:rsid w:val="47CC70B1"/>
    <w:rsid w:val="47E06146"/>
    <w:rsid w:val="47EC4787"/>
    <w:rsid w:val="47F24D5A"/>
    <w:rsid w:val="482E5328"/>
    <w:rsid w:val="491229BE"/>
    <w:rsid w:val="49290E53"/>
    <w:rsid w:val="49674BBB"/>
    <w:rsid w:val="49D31253"/>
    <w:rsid w:val="4A144698"/>
    <w:rsid w:val="4A311A66"/>
    <w:rsid w:val="4ADB5B11"/>
    <w:rsid w:val="4B066E0A"/>
    <w:rsid w:val="4BFE1740"/>
    <w:rsid w:val="4C01364E"/>
    <w:rsid w:val="4C516C0F"/>
    <w:rsid w:val="4CC36222"/>
    <w:rsid w:val="4D183489"/>
    <w:rsid w:val="4D1E7B13"/>
    <w:rsid w:val="4F2B3C82"/>
    <w:rsid w:val="4F544996"/>
    <w:rsid w:val="50016D3B"/>
    <w:rsid w:val="504B10F8"/>
    <w:rsid w:val="506A3D60"/>
    <w:rsid w:val="50A53155"/>
    <w:rsid w:val="50C17C89"/>
    <w:rsid w:val="50D053B4"/>
    <w:rsid w:val="512D4973"/>
    <w:rsid w:val="519D6372"/>
    <w:rsid w:val="51ED2BEA"/>
    <w:rsid w:val="5204425C"/>
    <w:rsid w:val="52185A99"/>
    <w:rsid w:val="524F1A19"/>
    <w:rsid w:val="52A64F62"/>
    <w:rsid w:val="52CB3561"/>
    <w:rsid w:val="52EB476D"/>
    <w:rsid w:val="53575126"/>
    <w:rsid w:val="536A2433"/>
    <w:rsid w:val="53B90D4D"/>
    <w:rsid w:val="53D9590A"/>
    <w:rsid w:val="53E779DA"/>
    <w:rsid w:val="54613A3B"/>
    <w:rsid w:val="548460D8"/>
    <w:rsid w:val="54DE7AD6"/>
    <w:rsid w:val="552C0AFC"/>
    <w:rsid w:val="554C3600"/>
    <w:rsid w:val="55685B9F"/>
    <w:rsid w:val="557B1AC5"/>
    <w:rsid w:val="55ED7575"/>
    <w:rsid w:val="56AE15FB"/>
    <w:rsid w:val="56FB7B3D"/>
    <w:rsid w:val="575A2AD2"/>
    <w:rsid w:val="57B02A9E"/>
    <w:rsid w:val="58585ED3"/>
    <w:rsid w:val="597C0AA3"/>
    <w:rsid w:val="598D29D8"/>
    <w:rsid w:val="59C32B41"/>
    <w:rsid w:val="5A1E0880"/>
    <w:rsid w:val="5A3142DE"/>
    <w:rsid w:val="5A455061"/>
    <w:rsid w:val="5A5A07C9"/>
    <w:rsid w:val="5A62075E"/>
    <w:rsid w:val="5A874791"/>
    <w:rsid w:val="5B2D07A3"/>
    <w:rsid w:val="5B937444"/>
    <w:rsid w:val="5B991157"/>
    <w:rsid w:val="5BB70B55"/>
    <w:rsid w:val="5BC75919"/>
    <w:rsid w:val="5BDD6932"/>
    <w:rsid w:val="5C311DE0"/>
    <w:rsid w:val="5C5473F8"/>
    <w:rsid w:val="5C9B41FC"/>
    <w:rsid w:val="5CAF741C"/>
    <w:rsid w:val="5CC93A47"/>
    <w:rsid w:val="5D193BCD"/>
    <w:rsid w:val="5D8074C6"/>
    <w:rsid w:val="5D995CC5"/>
    <w:rsid w:val="5DBC7D30"/>
    <w:rsid w:val="5E0F6A45"/>
    <w:rsid w:val="5E2C3A69"/>
    <w:rsid w:val="5E2D0DB8"/>
    <w:rsid w:val="5E604FA2"/>
    <w:rsid w:val="5E6202E5"/>
    <w:rsid w:val="5E6301AB"/>
    <w:rsid w:val="5E6A68E5"/>
    <w:rsid w:val="5E6F70B9"/>
    <w:rsid w:val="5EA50E19"/>
    <w:rsid w:val="5EBC4BD5"/>
    <w:rsid w:val="5FB80E5F"/>
    <w:rsid w:val="60683399"/>
    <w:rsid w:val="607B3B7C"/>
    <w:rsid w:val="608508AD"/>
    <w:rsid w:val="61227E69"/>
    <w:rsid w:val="618025B8"/>
    <w:rsid w:val="6191389F"/>
    <w:rsid w:val="61D97BEA"/>
    <w:rsid w:val="61F636C4"/>
    <w:rsid w:val="6205677B"/>
    <w:rsid w:val="635E5215"/>
    <w:rsid w:val="640C5445"/>
    <w:rsid w:val="644F5AAB"/>
    <w:rsid w:val="645962D8"/>
    <w:rsid w:val="646332D0"/>
    <w:rsid w:val="64F76B68"/>
    <w:rsid w:val="655D7702"/>
    <w:rsid w:val="658D110A"/>
    <w:rsid w:val="6591677E"/>
    <w:rsid w:val="66511A3C"/>
    <w:rsid w:val="67206C39"/>
    <w:rsid w:val="674B784B"/>
    <w:rsid w:val="6750085E"/>
    <w:rsid w:val="67D975ED"/>
    <w:rsid w:val="689E753C"/>
    <w:rsid w:val="68DF4694"/>
    <w:rsid w:val="694F48E6"/>
    <w:rsid w:val="6A640006"/>
    <w:rsid w:val="6A7214AF"/>
    <w:rsid w:val="6A7F7079"/>
    <w:rsid w:val="6B061C82"/>
    <w:rsid w:val="6BC406ED"/>
    <w:rsid w:val="6C37119B"/>
    <w:rsid w:val="6C761BBD"/>
    <w:rsid w:val="6CA407FC"/>
    <w:rsid w:val="6CDC29F2"/>
    <w:rsid w:val="6D940D66"/>
    <w:rsid w:val="6DA56285"/>
    <w:rsid w:val="6DDE4170"/>
    <w:rsid w:val="6EA625E5"/>
    <w:rsid w:val="6EB17C35"/>
    <w:rsid w:val="6EE966C1"/>
    <w:rsid w:val="6EED2C80"/>
    <w:rsid w:val="6F666DD4"/>
    <w:rsid w:val="6F6C695C"/>
    <w:rsid w:val="6F9A2CF2"/>
    <w:rsid w:val="701D6EA9"/>
    <w:rsid w:val="702E5666"/>
    <w:rsid w:val="706F1D2E"/>
    <w:rsid w:val="708B58B2"/>
    <w:rsid w:val="711C51A1"/>
    <w:rsid w:val="711F3BA7"/>
    <w:rsid w:val="71696324"/>
    <w:rsid w:val="72143E56"/>
    <w:rsid w:val="72311D80"/>
    <w:rsid w:val="724E4FA2"/>
    <w:rsid w:val="72551FBB"/>
    <w:rsid w:val="727D228C"/>
    <w:rsid w:val="73365E03"/>
    <w:rsid w:val="73A60F07"/>
    <w:rsid w:val="74633A62"/>
    <w:rsid w:val="74E31930"/>
    <w:rsid w:val="7510189E"/>
    <w:rsid w:val="753471DC"/>
    <w:rsid w:val="75581C92"/>
    <w:rsid w:val="75915EA6"/>
    <w:rsid w:val="76220D84"/>
    <w:rsid w:val="766F4C47"/>
    <w:rsid w:val="769979AD"/>
    <w:rsid w:val="76B92DCB"/>
    <w:rsid w:val="770D2D51"/>
    <w:rsid w:val="779B2217"/>
    <w:rsid w:val="77DD4EAD"/>
    <w:rsid w:val="77FF3239"/>
    <w:rsid w:val="783861EC"/>
    <w:rsid w:val="789833E9"/>
    <w:rsid w:val="79587FA4"/>
    <w:rsid w:val="796A4DEA"/>
    <w:rsid w:val="79884EF0"/>
    <w:rsid w:val="79A23476"/>
    <w:rsid w:val="7A8B773F"/>
    <w:rsid w:val="7AA30EC0"/>
    <w:rsid w:val="7B3B7A65"/>
    <w:rsid w:val="7B431921"/>
    <w:rsid w:val="7BAC7AB0"/>
    <w:rsid w:val="7BFC378F"/>
    <w:rsid w:val="7C6E2320"/>
    <w:rsid w:val="7C7D4F83"/>
    <w:rsid w:val="7CC06294"/>
    <w:rsid w:val="7E365E8E"/>
    <w:rsid w:val="7E6F2D91"/>
    <w:rsid w:val="7EAD52DC"/>
    <w:rsid w:val="7F833D8A"/>
    <w:rsid w:val="7FA5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unhideWhenUsed/>
    <w:qFormat/>
    <w:uiPriority w:val="0"/>
    <w:pPr>
      <w:jc w:val="left"/>
      <w:outlineLvl w:val="3"/>
    </w:pPr>
    <w:rPr>
      <w:rFonts w:hint="eastAsia" w:ascii="宋体" w:hAnsi="宋体"/>
      <w:kern w:val="0"/>
      <w:sz w:val="24"/>
    </w:rPr>
  </w:style>
  <w:style w:type="character" w:default="1" w:styleId="37">
    <w:name w:val="Default Paragraph Font"/>
    <w:semiHidden/>
    <w:unhideWhenUsed/>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77"/>
    <w:qFormat/>
    <w:uiPriority w:val="0"/>
    <w:rPr>
      <w:b/>
      <w:bCs/>
    </w:rPr>
  </w:style>
  <w:style w:type="paragraph" w:styleId="6">
    <w:name w:val="annotation text"/>
    <w:basedOn w:val="1"/>
    <w:link w:val="176"/>
    <w:qFormat/>
    <w:uiPriority w:val="0"/>
    <w:pPr>
      <w:jc w:val="left"/>
    </w:pPr>
  </w:style>
  <w:style w:type="paragraph" w:styleId="7">
    <w:name w:val="toc 7"/>
    <w:basedOn w:val="1"/>
    <w:next w:val="1"/>
    <w:semiHidden/>
    <w:qFormat/>
    <w:uiPriority w:val="0"/>
    <w:pPr>
      <w:tabs>
        <w:tab w:val="right" w:leader="dot" w:pos="9242"/>
      </w:tabs>
      <w:ind w:firstLine="1054"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2"/>
      </w:tabs>
      <w:ind w:firstLine="632" w:firstLineChars="300"/>
      <w:jc w:val="left"/>
    </w:pPr>
    <w:rPr>
      <w:rFonts w:ascii="宋体"/>
      <w:szCs w:val="21"/>
    </w:rPr>
  </w:style>
  <w:style w:type="paragraph" w:styleId="15">
    <w:name w:val="toc 3"/>
    <w:basedOn w:val="1"/>
    <w:next w:val="1"/>
    <w:semiHidden/>
    <w:qFormat/>
    <w:uiPriority w:val="0"/>
    <w:pPr>
      <w:tabs>
        <w:tab w:val="right" w:leader="dot" w:pos="9242"/>
      </w:tabs>
      <w:ind w:firstLine="211" w:firstLineChars="100"/>
      <w:jc w:val="left"/>
    </w:pPr>
    <w:rPr>
      <w:rFonts w:ascii="宋体"/>
      <w:szCs w:val="21"/>
    </w:rPr>
  </w:style>
  <w:style w:type="paragraph" w:styleId="16">
    <w:name w:val="toc 8"/>
    <w:basedOn w:val="1"/>
    <w:next w:val="1"/>
    <w:semiHidden/>
    <w:qFormat/>
    <w:uiPriority w:val="0"/>
    <w:pPr>
      <w:tabs>
        <w:tab w:val="right" w:leader="dot" w:pos="9242"/>
      </w:tabs>
      <w:ind w:firstLine="1265"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79"/>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75"/>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24">
    <w:name w:val="toc 4"/>
    <w:basedOn w:val="1"/>
    <w:next w:val="1"/>
    <w:semiHidden/>
    <w:qFormat/>
    <w:uiPriority w:val="0"/>
    <w:pPr>
      <w:tabs>
        <w:tab w:val="right" w:leader="dot" w:pos="9242"/>
      </w:tabs>
      <w:ind w:firstLine="422"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2"/>
      </w:tabs>
      <w:ind w:firstLine="84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0"/>
    <w:pPr>
      <w:spacing w:beforeAutospacing="1" w:afterAutospacing="1"/>
      <w:jc w:val="left"/>
    </w:pPr>
    <w:rPr>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next w:val="1"/>
    <w:qFormat/>
    <w:uiPriority w:val="0"/>
    <w:pPr>
      <w:spacing w:before="240" w:after="60"/>
      <w:jc w:val="center"/>
      <w:outlineLvl w:val="0"/>
    </w:pPr>
    <w:rPr>
      <w:rFonts w:ascii="Cambria" w:hAnsi="Cambria"/>
      <w:b/>
      <w:bCs/>
      <w:sz w:val="32"/>
      <w:szCs w:val="32"/>
    </w:rPr>
  </w:style>
  <w:style w:type="character" w:styleId="38">
    <w:name w:val="Strong"/>
    <w:basedOn w:val="37"/>
    <w:qFormat/>
    <w:uiPriority w:val="0"/>
    <w:rPr>
      <w:b/>
    </w:rPr>
  </w:style>
  <w:style w:type="character" w:styleId="39">
    <w:name w:val="endnote reference"/>
    <w:basedOn w:val="37"/>
    <w:semiHidden/>
    <w:qFormat/>
    <w:uiPriority w:val="0"/>
    <w:rPr>
      <w:vertAlign w:val="superscript"/>
    </w:rPr>
  </w:style>
  <w:style w:type="character" w:styleId="40">
    <w:name w:val="page number"/>
    <w:basedOn w:val="37"/>
    <w:qFormat/>
    <w:uiPriority w:val="0"/>
    <w:rPr>
      <w:rFonts w:ascii="Times New Roman" w:hAnsi="Times New Roman" w:eastAsia="宋体"/>
      <w:sz w:val="18"/>
    </w:rPr>
  </w:style>
  <w:style w:type="character" w:styleId="41">
    <w:name w:val="FollowedHyperlink"/>
    <w:basedOn w:val="37"/>
    <w:qFormat/>
    <w:uiPriority w:val="0"/>
    <w:rPr>
      <w:color w:val="800080"/>
      <w:u w:val="none"/>
    </w:rPr>
  </w:style>
  <w:style w:type="character" w:styleId="42">
    <w:name w:val="Hyperlink"/>
    <w:basedOn w:val="37"/>
    <w:qFormat/>
    <w:uiPriority w:val="0"/>
    <w:rPr>
      <w:color w:val="0000FF"/>
      <w:spacing w:val="0"/>
      <w:w w:val="100"/>
      <w:szCs w:val="21"/>
      <w:u w:val="single"/>
    </w:rPr>
  </w:style>
  <w:style w:type="character" w:styleId="43">
    <w:name w:val="annotation reference"/>
    <w:basedOn w:val="37"/>
    <w:qFormat/>
    <w:uiPriority w:val="99"/>
    <w:rPr>
      <w:sz w:val="21"/>
      <w:szCs w:val="21"/>
    </w:rPr>
  </w:style>
  <w:style w:type="character" w:styleId="44">
    <w:name w:val="footnote reference"/>
    <w:basedOn w:val="37"/>
    <w:semiHidden/>
    <w:qFormat/>
    <w:uiPriority w:val="0"/>
    <w:rPr>
      <w:vertAlign w:val="superscript"/>
    </w:rPr>
  </w:style>
  <w:style w:type="table" w:styleId="46">
    <w:name w:val="Table Grid"/>
    <w:basedOn w:val="4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附录标题"/>
    <w:basedOn w:val="27"/>
    <w:next w:val="27"/>
    <w:qFormat/>
    <w:uiPriority w:val="0"/>
    <w:pPr>
      <w:ind w:firstLine="0" w:firstLineChars="0"/>
      <w:jc w:val="center"/>
    </w:pPr>
    <w:rPr>
      <w:rFonts w:ascii="黑体" w:eastAsia="黑体"/>
    </w:rPr>
  </w:style>
  <w:style w:type="paragraph" w:customStyle="1" w:styleId="4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0">
    <w:name w:val="封面一致性程度标识"/>
    <w:basedOn w:val="51"/>
    <w:qFormat/>
    <w:uiPriority w:val="0"/>
    <w:pPr>
      <w:framePr/>
      <w:spacing w:before="440"/>
    </w:pPr>
    <w:rPr>
      <w:rFonts w:ascii="宋体" w:eastAsia="宋体"/>
    </w:rPr>
  </w:style>
  <w:style w:type="paragraph" w:customStyle="1" w:styleId="51">
    <w:name w:val="封面标准英文名称"/>
    <w:basedOn w:val="52"/>
    <w:qFormat/>
    <w:uiPriority w:val="0"/>
    <w:pPr>
      <w:framePr/>
      <w:spacing w:before="370" w:line="400" w:lineRule="exact"/>
    </w:pPr>
    <w:rPr>
      <w:rFonts w:ascii="Times New Roman"/>
      <w:sz w:val="28"/>
      <w:szCs w:val="28"/>
    </w:rPr>
  </w:style>
  <w:style w:type="paragraph" w:customStyle="1" w:styleId="5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其他标准标志"/>
    <w:basedOn w:val="54"/>
    <w:qFormat/>
    <w:uiPriority w:val="0"/>
    <w:pPr>
      <w:framePr w:w="6101" w:vAnchor="page" w:hAnchor="page" w:x="4673" w:y="942"/>
    </w:pPr>
    <w:rPr>
      <w:w w:val="130"/>
    </w:rPr>
  </w:style>
  <w:style w:type="paragraph" w:customStyle="1" w:styleId="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5">
    <w:name w:val="附录公式"/>
    <w:basedOn w:val="27"/>
    <w:next w:val="27"/>
    <w:link w:val="143"/>
    <w:qFormat/>
    <w:uiPriority w:val="0"/>
  </w:style>
  <w:style w:type="paragraph" w:customStyle="1" w:styleId="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四级条标题"/>
    <w:basedOn w:val="59"/>
    <w:next w:val="27"/>
    <w:qFormat/>
    <w:uiPriority w:val="0"/>
    <w:pPr>
      <w:numPr>
        <w:ilvl w:val="4"/>
      </w:numPr>
      <w:outlineLvl w:val="5"/>
    </w:pPr>
  </w:style>
  <w:style w:type="paragraph" w:customStyle="1" w:styleId="59">
    <w:name w:val="三级条标题"/>
    <w:basedOn w:val="60"/>
    <w:next w:val="27"/>
    <w:qFormat/>
    <w:uiPriority w:val="0"/>
    <w:pPr>
      <w:numPr>
        <w:ilvl w:val="3"/>
      </w:numPr>
      <w:outlineLvl w:val="4"/>
    </w:pPr>
  </w:style>
  <w:style w:type="paragraph" w:customStyle="1" w:styleId="60">
    <w:name w:val="二级条标题"/>
    <w:basedOn w:val="61"/>
    <w:next w:val="27"/>
    <w:qFormat/>
    <w:uiPriority w:val="0"/>
    <w:pPr>
      <w:numPr>
        <w:ilvl w:val="2"/>
      </w:numPr>
      <w:spacing w:before="50" w:after="50"/>
      <w:outlineLvl w:val="3"/>
    </w:pPr>
  </w:style>
  <w:style w:type="paragraph" w:customStyle="1" w:styleId="61">
    <w:name w:val="一级条标题"/>
    <w:next w:val="2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五级条标题"/>
    <w:basedOn w:val="58"/>
    <w:next w:val="27"/>
    <w:qFormat/>
    <w:uiPriority w:val="0"/>
    <w:pPr>
      <w:numPr>
        <w:ilvl w:val="5"/>
      </w:numPr>
      <w:outlineLvl w:val="6"/>
    </w:pPr>
  </w:style>
  <w:style w:type="paragraph" w:customStyle="1" w:styleId="64">
    <w:name w:val="标准书眉_偶数页"/>
    <w:basedOn w:val="65"/>
    <w:next w:val="1"/>
    <w:qFormat/>
    <w:uiPriority w:val="0"/>
    <w:pPr>
      <w:tabs>
        <w:tab w:val="center" w:pos="4154"/>
        <w:tab w:val="right" w:pos="8306"/>
      </w:tabs>
      <w:jc w:val="left"/>
    </w:p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封面标准英文名称2"/>
    <w:basedOn w:val="51"/>
    <w:qFormat/>
    <w:uiPriority w:val="0"/>
    <w:pPr>
      <w:framePr w:y="4469"/>
    </w:pPr>
  </w:style>
  <w:style w:type="paragraph" w:customStyle="1" w:styleId="67">
    <w:name w:val="附录一级条标题"/>
    <w:basedOn w:val="68"/>
    <w:next w:val="27"/>
    <w:qFormat/>
    <w:uiPriority w:val="0"/>
    <w:pPr>
      <w:numPr>
        <w:ilvl w:val="2"/>
      </w:numPr>
      <w:tabs>
        <w:tab w:val="left" w:pos="360"/>
      </w:tabs>
      <w:autoSpaceDN w:val="0"/>
      <w:spacing w:before="50" w:beforeLines="50" w:after="50" w:afterLines="50"/>
      <w:outlineLvl w:val="2"/>
    </w:pPr>
  </w:style>
  <w:style w:type="paragraph" w:customStyle="1" w:styleId="68">
    <w:name w:val="附录章标题"/>
    <w:next w:val="27"/>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五级无"/>
    <w:basedOn w:val="63"/>
    <w:qFormat/>
    <w:uiPriority w:val="0"/>
    <w:pPr>
      <w:spacing w:before="0" w:beforeLines="0" w:after="0" w:afterLines="0"/>
    </w:pPr>
    <w:rPr>
      <w:rFonts w:ascii="宋体" w:eastAsia="宋体"/>
    </w:rPr>
  </w:style>
  <w:style w:type="paragraph" w:customStyle="1" w:styleId="70">
    <w:name w:val="示例后文字"/>
    <w:basedOn w:val="27"/>
    <w:next w:val="27"/>
    <w:qFormat/>
    <w:uiPriority w:val="0"/>
    <w:pPr>
      <w:ind w:firstLine="360"/>
    </w:pPr>
    <w:rPr>
      <w:sz w:val="18"/>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
    <w:name w:val="三级无"/>
    <w:basedOn w:val="59"/>
    <w:qFormat/>
    <w:uiPriority w:val="0"/>
    <w:pPr>
      <w:spacing w:before="0" w:beforeLines="0" w:after="0" w:afterLines="0"/>
    </w:pPr>
    <w:rPr>
      <w:rFonts w:ascii="宋体" w:eastAsia="宋体"/>
    </w:rPr>
  </w:style>
  <w:style w:type="paragraph" w:customStyle="1" w:styleId="73">
    <w:name w:val="图标脚注说明"/>
    <w:basedOn w:val="27"/>
    <w:qFormat/>
    <w:uiPriority w:val="0"/>
    <w:pPr>
      <w:ind w:left="840" w:hanging="420" w:firstLineChars="0"/>
    </w:pPr>
    <w:rPr>
      <w:sz w:val="18"/>
      <w:szCs w:val="18"/>
    </w:rPr>
  </w:style>
  <w:style w:type="paragraph" w:customStyle="1" w:styleId="74">
    <w:name w:val="正文表标题"/>
    <w:next w:val="27"/>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5">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7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正文公式编号制表符"/>
    <w:basedOn w:val="27"/>
    <w:next w:val="27"/>
    <w:qFormat/>
    <w:uiPriority w:val="0"/>
    <w:pPr>
      <w:ind w:firstLine="0" w:firstLineChars="0"/>
    </w:pPr>
  </w:style>
  <w:style w:type="paragraph" w:customStyle="1" w:styleId="78">
    <w:name w:val="封面标准文稿类别2"/>
    <w:basedOn w:val="79"/>
    <w:qFormat/>
    <w:uiPriority w:val="0"/>
    <w:pPr>
      <w:framePr w:y="4469"/>
    </w:pPr>
  </w:style>
  <w:style w:type="paragraph" w:customStyle="1" w:styleId="79">
    <w:name w:val="封面标准文稿类别"/>
    <w:basedOn w:val="50"/>
    <w:qFormat/>
    <w:uiPriority w:val="0"/>
    <w:pPr>
      <w:framePr/>
      <w:spacing w:after="160" w:line="240" w:lineRule="auto"/>
    </w:pPr>
    <w:rPr>
      <w:sz w:val="24"/>
    </w:rPr>
  </w:style>
  <w:style w:type="paragraph" w:customStyle="1" w:styleId="80">
    <w:name w:val="封面标准文稿编辑信息2"/>
    <w:basedOn w:val="81"/>
    <w:qFormat/>
    <w:uiPriority w:val="0"/>
    <w:pPr>
      <w:framePr w:y="4469"/>
    </w:pPr>
  </w:style>
  <w:style w:type="paragraph" w:customStyle="1" w:styleId="81">
    <w:name w:val="封面标准文稿编辑信息"/>
    <w:basedOn w:val="79"/>
    <w:qFormat/>
    <w:uiPriority w:val="0"/>
    <w:pPr>
      <w:framePr/>
      <w:spacing w:before="180" w:line="180" w:lineRule="exact"/>
    </w:pPr>
    <w:rPr>
      <w:sz w:val="21"/>
    </w:rPr>
  </w:style>
  <w:style w:type="paragraph" w:customStyle="1" w:styleId="82">
    <w:name w:val="条文脚注"/>
    <w:basedOn w:val="28"/>
    <w:qFormat/>
    <w:uiPriority w:val="0"/>
    <w:pPr>
      <w:numPr>
        <w:numId w:val="0"/>
      </w:numPr>
      <w:jc w:val="both"/>
    </w:pPr>
  </w:style>
  <w:style w:type="paragraph" w:customStyle="1" w:styleId="83">
    <w:name w:val="注：（正文）"/>
    <w:basedOn w:val="84"/>
    <w:next w:val="27"/>
    <w:qFormat/>
    <w:uiPriority w:val="0"/>
  </w:style>
  <w:style w:type="paragraph" w:customStyle="1" w:styleId="84">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5">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6">
    <w:name w:val="一级无"/>
    <w:basedOn w:val="61"/>
    <w:qFormat/>
    <w:uiPriority w:val="0"/>
    <w:pPr>
      <w:spacing w:before="0" w:beforeLines="0" w:after="0" w:afterLines="0"/>
    </w:pPr>
    <w:rPr>
      <w:rFonts w:ascii="宋体" w:eastAsia="宋体"/>
    </w:rPr>
  </w:style>
  <w:style w:type="paragraph" w:customStyle="1" w:styleId="87">
    <w:name w:val="图表脚注说明"/>
    <w:basedOn w:val="1"/>
    <w:qFormat/>
    <w:uiPriority w:val="0"/>
    <w:pPr>
      <w:numPr>
        <w:ilvl w:val="0"/>
        <w:numId w:val="8"/>
      </w:numPr>
    </w:pPr>
    <w:rPr>
      <w:rFonts w:ascii="宋体"/>
      <w:sz w:val="18"/>
      <w:szCs w:val="18"/>
    </w:r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0">
    <w:name w:val="封面一致性程度标识2"/>
    <w:basedOn w:val="50"/>
    <w:qFormat/>
    <w:uiPriority w:val="0"/>
    <w:pPr>
      <w:framePr w:y="4469"/>
    </w:pPr>
  </w:style>
  <w:style w:type="paragraph" w:customStyle="1" w:styleId="91">
    <w:name w:val="终结线"/>
    <w:basedOn w:val="1"/>
    <w:qFormat/>
    <w:uiPriority w:val="0"/>
    <w:pPr>
      <w:framePr w:hSpace="181" w:vSpace="181" w:wrap="around" w:vAnchor="text" w:hAnchor="margin" w:xAlign="center" w:y="285"/>
    </w:pPr>
  </w:style>
  <w:style w:type="paragraph" w:customStyle="1" w:styleId="92">
    <w:name w:val="附录四级条标题"/>
    <w:basedOn w:val="93"/>
    <w:next w:val="27"/>
    <w:qFormat/>
    <w:uiPriority w:val="0"/>
    <w:pPr>
      <w:numPr>
        <w:ilvl w:val="5"/>
      </w:numPr>
      <w:tabs>
        <w:tab w:val="left" w:pos="360"/>
      </w:tabs>
      <w:outlineLvl w:val="5"/>
    </w:pPr>
  </w:style>
  <w:style w:type="paragraph" w:customStyle="1" w:styleId="93">
    <w:name w:val="附录三级条标题"/>
    <w:basedOn w:val="94"/>
    <w:next w:val="27"/>
    <w:qFormat/>
    <w:uiPriority w:val="0"/>
    <w:pPr>
      <w:numPr>
        <w:ilvl w:val="4"/>
      </w:numPr>
      <w:tabs>
        <w:tab w:val="left" w:pos="360"/>
      </w:tabs>
      <w:outlineLvl w:val="4"/>
    </w:pPr>
  </w:style>
  <w:style w:type="paragraph" w:customStyle="1" w:styleId="94">
    <w:name w:val="附录二级条标题"/>
    <w:basedOn w:val="1"/>
    <w:next w:val="27"/>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6">
    <w:name w:val="首示例"/>
    <w:next w:val="27"/>
    <w:link w:val="139"/>
    <w:qFormat/>
    <w:uiPriority w:val="0"/>
    <w:pPr>
      <w:numPr>
        <w:ilvl w:val="0"/>
        <w:numId w:val="9"/>
      </w:numPr>
      <w:tabs>
        <w:tab w:val="left" w:pos="360"/>
      </w:tabs>
      <w:ind w:firstLine="0"/>
    </w:pPr>
    <w:rPr>
      <w:rFonts w:ascii="宋体" w:hAnsi="宋体" w:eastAsia="宋体" w:cs="Times New Roman"/>
      <w:kern w:val="2"/>
      <w:sz w:val="18"/>
      <w:szCs w:val="18"/>
      <w:lang w:val="en-US" w:eastAsia="zh-CN" w:bidi="ar-SA"/>
    </w:rPr>
  </w:style>
  <w:style w:type="paragraph" w:customStyle="1" w:styleId="97">
    <w:name w:val="附录五级无"/>
    <w:basedOn w:val="98"/>
    <w:qFormat/>
    <w:uiPriority w:val="0"/>
    <w:pPr>
      <w:tabs>
        <w:tab w:val="left" w:pos="360"/>
      </w:tabs>
      <w:spacing w:before="0" w:beforeLines="0" w:after="0" w:afterLines="0"/>
    </w:pPr>
    <w:rPr>
      <w:rFonts w:ascii="宋体" w:eastAsia="宋体"/>
      <w:szCs w:val="21"/>
    </w:rPr>
  </w:style>
  <w:style w:type="paragraph" w:customStyle="1" w:styleId="98">
    <w:name w:val="附录五级条标题"/>
    <w:basedOn w:val="92"/>
    <w:next w:val="27"/>
    <w:qFormat/>
    <w:uiPriority w:val="0"/>
    <w:pPr>
      <w:numPr>
        <w:ilvl w:val="6"/>
      </w:numPr>
      <w:outlineLvl w:val="6"/>
    </w:pPr>
  </w:style>
  <w:style w:type="paragraph" w:customStyle="1" w:styleId="99">
    <w:name w:val="附录二级无"/>
    <w:basedOn w:val="94"/>
    <w:qFormat/>
    <w:uiPriority w:val="0"/>
    <w:pPr>
      <w:tabs>
        <w:tab w:val="clear" w:pos="360"/>
      </w:tabs>
      <w:spacing w:before="0" w:beforeLines="0" w:after="0" w:afterLines="0"/>
    </w:pPr>
    <w:rPr>
      <w:rFonts w:ascii="宋体" w:eastAsia="宋体"/>
      <w:szCs w:val="21"/>
    </w:rPr>
  </w:style>
  <w:style w:type="paragraph" w:customStyle="1" w:styleId="100">
    <w:name w:val="列项◆（三级）"/>
    <w:basedOn w:val="1"/>
    <w:qFormat/>
    <w:uiPriority w:val="0"/>
    <w:pPr>
      <w:numPr>
        <w:ilvl w:val="2"/>
        <w:numId w:val="7"/>
      </w:numPr>
    </w:pPr>
    <w:rPr>
      <w:rFonts w:ascii="宋体"/>
      <w:szCs w:val="21"/>
    </w:rPr>
  </w:style>
  <w:style w:type="paragraph" w:customStyle="1" w:styleId="101">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示例"/>
    <w:next w:val="88"/>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03">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104">
    <w:name w:val="二级无"/>
    <w:basedOn w:val="60"/>
    <w:qFormat/>
    <w:uiPriority w:val="0"/>
    <w:pPr>
      <w:spacing w:before="0" w:beforeLines="0" w:after="0" w:afterLines="0"/>
    </w:pPr>
    <w:rPr>
      <w:rFonts w:ascii="宋体" w:eastAsia="宋体"/>
    </w:rPr>
  </w:style>
  <w:style w:type="paragraph" w:customStyle="1" w:styleId="105">
    <w:name w:val="实施日期"/>
    <w:basedOn w:val="106"/>
    <w:qFormat/>
    <w:uiPriority w:val="0"/>
    <w:pPr>
      <w:framePr w:vAnchor="page" w:hAnchor="text"/>
      <w:jc w:val="right"/>
    </w:pPr>
  </w:style>
  <w:style w:type="paragraph" w:customStyle="1" w:styleId="10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8">
    <w:name w:val="附录标识"/>
    <w:basedOn w:val="1"/>
    <w:next w:val="27"/>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附录表标题"/>
    <w:basedOn w:val="1"/>
    <w:next w:val="27"/>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11">
    <w:name w:val="四级无"/>
    <w:basedOn w:val="58"/>
    <w:qFormat/>
    <w:uiPriority w:val="0"/>
    <w:pPr>
      <w:spacing w:before="0" w:beforeLines="0" w:after="0" w:afterLines="0"/>
    </w:pPr>
    <w:rPr>
      <w:rFonts w:ascii="宋体" w:eastAsia="宋体"/>
    </w:rPr>
  </w:style>
  <w:style w:type="paragraph" w:customStyle="1" w:styleId="11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附录四级无"/>
    <w:basedOn w:val="92"/>
    <w:qFormat/>
    <w:uiPriority w:val="0"/>
    <w:pPr>
      <w:tabs>
        <w:tab w:val="clear" w:pos="360"/>
      </w:tabs>
      <w:spacing w:before="0" w:beforeLines="0" w:after="0" w:afterLines="0"/>
    </w:pPr>
    <w:rPr>
      <w:rFonts w:ascii="宋体" w:eastAsia="宋体"/>
      <w:szCs w:val="21"/>
    </w:rPr>
  </w:style>
  <w:style w:type="paragraph" w:customStyle="1" w:styleId="114">
    <w:name w:val="附录一级无"/>
    <w:basedOn w:val="67"/>
    <w:qFormat/>
    <w:uiPriority w:val="0"/>
    <w:pPr>
      <w:tabs>
        <w:tab w:val="clear" w:pos="360"/>
      </w:tabs>
      <w:spacing w:before="0" w:beforeLines="0" w:after="0" w:afterLines="0"/>
    </w:pPr>
    <w:rPr>
      <w:rFonts w:ascii="宋体" w:eastAsia="宋体"/>
      <w:szCs w:val="21"/>
    </w:rPr>
  </w:style>
  <w:style w:type="paragraph" w:customStyle="1" w:styleId="115">
    <w:name w:val="其他实施日期"/>
    <w:basedOn w:val="105"/>
    <w:qFormat/>
    <w:uiPriority w:val="0"/>
    <w:pPr>
      <w:framePr/>
    </w:pPr>
  </w:style>
  <w:style w:type="paragraph" w:customStyle="1" w:styleId="116">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7">
    <w:name w:val="示例×："/>
    <w:basedOn w:val="118"/>
    <w:qFormat/>
    <w:uiPriority w:val="0"/>
    <w:pPr>
      <w:numPr>
        <w:numId w:val="13"/>
      </w:numPr>
      <w:spacing w:before="0" w:beforeLines="0" w:after="0" w:afterLines="0"/>
      <w:outlineLvl w:val="9"/>
    </w:pPr>
    <w:rPr>
      <w:rFonts w:ascii="宋体" w:eastAsia="宋体"/>
      <w:sz w:val="18"/>
      <w:szCs w:val="18"/>
    </w:rPr>
  </w:style>
  <w:style w:type="paragraph" w:customStyle="1" w:styleId="118">
    <w:name w:val="章标题"/>
    <w:next w:val="27"/>
    <w:link w:val="18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0">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1">
    <w:name w:val="封面标准名称2"/>
    <w:basedOn w:val="52"/>
    <w:qFormat/>
    <w:uiPriority w:val="0"/>
    <w:pPr>
      <w:framePr w:y="4469"/>
      <w:spacing w:before="630" w:beforeLines="630"/>
    </w:pPr>
  </w:style>
  <w:style w:type="paragraph" w:customStyle="1" w:styleId="122">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附录三级无"/>
    <w:basedOn w:val="93"/>
    <w:qFormat/>
    <w:uiPriority w:val="0"/>
    <w:pPr>
      <w:tabs>
        <w:tab w:val="clear" w:pos="360"/>
      </w:tabs>
      <w:spacing w:before="0" w:beforeLines="0" w:after="0" w:afterLines="0"/>
    </w:pPr>
    <w:rPr>
      <w:rFonts w:ascii="宋体" w:eastAsia="宋体"/>
      <w:szCs w:val="21"/>
    </w:rPr>
  </w:style>
  <w:style w:type="paragraph" w:customStyle="1" w:styleId="125">
    <w:name w:val="封面正文"/>
    <w:qFormat/>
    <w:uiPriority w:val="0"/>
    <w:pPr>
      <w:jc w:val="both"/>
    </w:pPr>
    <w:rPr>
      <w:rFonts w:ascii="Times New Roman" w:hAnsi="Times New Roman" w:eastAsia="宋体" w:cs="Times New Roman"/>
      <w:lang w:val="en-US" w:eastAsia="zh-CN" w:bidi="ar-SA"/>
    </w:rPr>
  </w:style>
  <w:style w:type="paragraph" w:customStyle="1" w:styleId="12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附录表标号"/>
    <w:basedOn w:val="1"/>
    <w:next w:val="27"/>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0">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1">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3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3">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其他发布日期"/>
    <w:basedOn w:val="106"/>
    <w:qFormat/>
    <w:uiPriority w:val="0"/>
    <w:pPr>
      <w:framePr w:vAnchor="page" w:hAnchor="text" w:x="1419"/>
    </w:pPr>
  </w:style>
  <w:style w:type="paragraph" w:customStyle="1" w:styleId="13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6">
    <w:name w:val="正文图标题"/>
    <w:next w:val="27"/>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其他发布部门"/>
    <w:basedOn w:val="112"/>
    <w:qFormat/>
    <w:uiPriority w:val="0"/>
    <w:pPr>
      <w:framePr w:y="15310"/>
      <w:spacing w:line="0" w:lineRule="atLeast"/>
    </w:pPr>
    <w:rPr>
      <w:rFonts w:ascii="黑体" w:eastAsia="黑体"/>
      <w:b w:val="0"/>
    </w:rPr>
  </w:style>
  <w:style w:type="paragraph" w:customStyle="1" w:styleId="138">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character" w:customStyle="1" w:styleId="139">
    <w:name w:val="首示例 Char"/>
    <w:basedOn w:val="37"/>
    <w:link w:val="96"/>
    <w:qFormat/>
    <w:uiPriority w:val="0"/>
    <w:rPr>
      <w:rFonts w:ascii="宋体" w:hAnsi="宋体"/>
      <w:kern w:val="2"/>
      <w:sz w:val="18"/>
      <w:szCs w:val="18"/>
      <w:lang w:val="en-US" w:eastAsia="zh-CN" w:bidi="ar-SA"/>
    </w:rPr>
  </w:style>
  <w:style w:type="character" w:customStyle="1" w:styleId="140">
    <w:name w:val="first-child"/>
    <w:basedOn w:val="37"/>
    <w:qFormat/>
    <w:uiPriority w:val="0"/>
  </w:style>
  <w:style w:type="character" w:customStyle="1" w:styleId="141">
    <w:name w:val="layui-layer-tabnow"/>
    <w:basedOn w:val="37"/>
    <w:qFormat/>
    <w:uiPriority w:val="0"/>
    <w:rPr>
      <w:bdr w:val="single" w:color="CCCCCC" w:sz="6" w:space="0"/>
      <w:shd w:val="clear" w:color="auto" w:fill="FFFFFF"/>
    </w:rPr>
  </w:style>
  <w:style w:type="character" w:customStyle="1" w:styleId="142">
    <w:name w:val="段 Char"/>
    <w:basedOn w:val="37"/>
    <w:link w:val="27"/>
    <w:qFormat/>
    <w:uiPriority w:val="0"/>
    <w:rPr>
      <w:rFonts w:ascii="宋体"/>
      <w:sz w:val="21"/>
      <w:lang w:val="en-US" w:eastAsia="zh-CN" w:bidi="ar-SA"/>
    </w:rPr>
  </w:style>
  <w:style w:type="character" w:customStyle="1" w:styleId="143">
    <w:name w:val="附录公式 Char"/>
    <w:basedOn w:val="142"/>
    <w:link w:val="55"/>
    <w:qFormat/>
    <w:uiPriority w:val="0"/>
    <w:rPr>
      <w:rFonts w:ascii="宋体"/>
      <w:sz w:val="21"/>
      <w:lang w:val="en-US" w:eastAsia="zh-CN" w:bidi="ar-SA"/>
    </w:rPr>
  </w:style>
  <w:style w:type="character" w:customStyle="1" w:styleId="144">
    <w:name w:val="发布"/>
    <w:basedOn w:val="37"/>
    <w:qFormat/>
    <w:uiPriority w:val="0"/>
    <w:rPr>
      <w:rFonts w:ascii="黑体" w:eastAsia="黑体"/>
      <w:spacing w:val="85"/>
      <w:w w:val="100"/>
      <w:position w:val="3"/>
      <w:sz w:val="28"/>
      <w:szCs w:val="28"/>
    </w:rPr>
  </w:style>
  <w:style w:type="paragraph" w:styleId="145">
    <w:name w:val="List Paragraph"/>
    <w:basedOn w:val="1"/>
    <w:qFormat/>
    <w:uiPriority w:val="99"/>
    <w:pPr>
      <w:ind w:firstLine="420"/>
    </w:pPr>
  </w:style>
  <w:style w:type="character" w:customStyle="1" w:styleId="146">
    <w:name w:val="so-ask-best"/>
    <w:basedOn w:val="37"/>
    <w:qFormat/>
    <w:uiPriority w:val="0"/>
  </w:style>
  <w:style w:type="paragraph" w:customStyle="1" w:styleId="14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标准文件_术语条一"/>
    <w:basedOn w:val="149"/>
    <w:next w:val="147"/>
    <w:qFormat/>
    <w:uiPriority w:val="0"/>
  </w:style>
  <w:style w:type="paragraph" w:customStyle="1" w:styleId="149">
    <w:name w:val="标准文件_一级无标题"/>
    <w:basedOn w:val="150"/>
    <w:qFormat/>
    <w:uiPriority w:val="0"/>
    <w:pPr>
      <w:spacing w:before="0" w:beforeLines="0" w:after="0" w:afterLines="0"/>
      <w:outlineLvl w:val="9"/>
    </w:pPr>
    <w:rPr>
      <w:rFonts w:ascii="宋体" w:eastAsia="宋体"/>
    </w:rPr>
  </w:style>
  <w:style w:type="paragraph" w:customStyle="1" w:styleId="150">
    <w:name w:val="标准文件_一级条标题"/>
    <w:basedOn w:val="151"/>
    <w:next w:val="147"/>
    <w:qFormat/>
    <w:uiPriority w:val="0"/>
    <w:pPr>
      <w:numPr>
        <w:ilvl w:val="2"/>
      </w:numPr>
      <w:spacing w:before="50" w:beforeLines="50" w:after="50" w:afterLines="50"/>
      <w:outlineLvl w:val="1"/>
    </w:pPr>
  </w:style>
  <w:style w:type="paragraph" w:customStyle="1" w:styleId="151">
    <w:name w:val="标准文件_章标题"/>
    <w:next w:val="147"/>
    <w:qFormat/>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2">
    <w:name w:val="标准文件_一级项"/>
    <w:qFormat/>
    <w:uiPriority w:val="0"/>
    <w:pPr>
      <w:ind w:left="833" w:hanging="408"/>
    </w:pPr>
    <w:rPr>
      <w:rFonts w:ascii="宋体" w:hAnsi="Times New Roman" w:eastAsia="宋体" w:cs="Times New Roman"/>
      <w:sz w:val="21"/>
      <w:lang w:val="en-US" w:eastAsia="zh-CN" w:bidi="ar-SA"/>
    </w:rPr>
  </w:style>
  <w:style w:type="paragraph" w:customStyle="1" w:styleId="153">
    <w:name w:val="标准文件_正文表标题"/>
    <w:next w:val="14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4">
    <w:name w:val="标准文件_字母编号列项（一级）"/>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155">
    <w:name w:val="标准文件_注："/>
    <w:next w:val="14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56">
    <w:name w:val="标准文件_二级条标题"/>
    <w:next w:val="147"/>
    <w:qFormat/>
    <w:uiPriority w:val="0"/>
    <w:pPr>
      <w:widowControl w:val="0"/>
      <w:numPr>
        <w:ilvl w:val="3"/>
        <w:numId w:val="17"/>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7">
    <w:name w:val="标准文件_二级无标题"/>
    <w:basedOn w:val="156"/>
    <w:qFormat/>
    <w:uiPriority w:val="0"/>
    <w:pPr>
      <w:spacing w:before="0" w:beforeLines="0" w:after="0" w:afterLines="0"/>
      <w:outlineLvl w:val="9"/>
    </w:pPr>
    <w:rPr>
      <w:rFonts w:ascii="宋体" w:eastAsia="宋体"/>
    </w:rPr>
  </w:style>
  <w:style w:type="paragraph" w:customStyle="1" w:styleId="158">
    <w:name w:val="标准文件_三级条标题"/>
    <w:basedOn w:val="156"/>
    <w:next w:val="147"/>
    <w:qFormat/>
    <w:uiPriority w:val="0"/>
    <w:pPr>
      <w:widowControl/>
      <w:numPr>
        <w:ilvl w:val="4"/>
      </w:numPr>
      <w:outlineLvl w:val="3"/>
    </w:pPr>
  </w:style>
  <w:style w:type="paragraph" w:customStyle="1" w:styleId="159">
    <w:name w:val="标准文件_三级无标题"/>
    <w:basedOn w:val="158"/>
    <w:qFormat/>
    <w:uiPriority w:val="0"/>
    <w:pPr>
      <w:spacing w:before="0" w:beforeLines="0" w:after="0" w:afterLines="0"/>
      <w:outlineLvl w:val="9"/>
    </w:pPr>
    <w:rPr>
      <w:rFonts w:ascii="宋体" w:eastAsia="宋体"/>
    </w:rPr>
  </w:style>
  <w:style w:type="paragraph" w:customStyle="1" w:styleId="160">
    <w:name w:val="标准文件_四级条标题"/>
    <w:next w:val="147"/>
    <w:qFormat/>
    <w:uiPriority w:val="0"/>
    <w:pPr>
      <w:widowControl w:val="0"/>
      <w:numPr>
        <w:ilvl w:val="5"/>
        <w:numId w:val="17"/>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1">
    <w:name w:val="标准文件_四级无标题"/>
    <w:basedOn w:val="160"/>
    <w:qFormat/>
    <w:uiPriority w:val="0"/>
    <w:pPr>
      <w:spacing w:before="0" w:beforeLines="0" w:after="0" w:afterLines="0"/>
      <w:outlineLvl w:val="9"/>
    </w:pPr>
    <w:rPr>
      <w:rFonts w:ascii="宋体" w:hAnsi="黑体" w:eastAsia="宋体"/>
      <w:szCs w:val="52"/>
    </w:rPr>
  </w:style>
  <w:style w:type="paragraph" w:customStyle="1" w:styleId="162">
    <w:name w:val="标准文件_注×："/>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标准文件_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164">
    <w:name w:val="标准文件_附录一级条标题"/>
    <w:next w:val="147"/>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65">
    <w:name w:val="标准文件_附录二级无标题"/>
    <w:basedOn w:val="166"/>
    <w:qFormat/>
    <w:uiPriority w:val="0"/>
    <w:pPr>
      <w:spacing w:before="0" w:beforeLines="0" w:after="0" w:afterLines="0" w:line="276" w:lineRule="auto"/>
      <w:outlineLvl w:val="9"/>
    </w:pPr>
    <w:rPr>
      <w:rFonts w:ascii="宋体" w:eastAsia="宋体"/>
    </w:rPr>
  </w:style>
  <w:style w:type="paragraph" w:customStyle="1" w:styleId="166">
    <w:name w:val="标准文件_附录二级条标题"/>
    <w:basedOn w:val="164"/>
    <w:next w:val="147"/>
    <w:qFormat/>
    <w:uiPriority w:val="0"/>
    <w:pPr>
      <w:widowControl/>
      <w:wordWrap w:val="0"/>
      <w:overflowPunct w:val="0"/>
      <w:autoSpaceDE w:val="0"/>
      <w:autoSpaceDN w:val="0"/>
      <w:textAlignment w:val="baseline"/>
      <w:outlineLvl w:val="3"/>
    </w:pPr>
  </w:style>
  <w:style w:type="paragraph" w:customStyle="1" w:styleId="167">
    <w:name w:val="标准文件_正文公式"/>
    <w:basedOn w:val="1"/>
    <w:next w:val="168"/>
    <w:qFormat/>
    <w:uiPriority w:val="0"/>
    <w:pPr>
      <w:tabs>
        <w:tab w:val="center" w:pos="4678"/>
        <w:tab w:val="right" w:leader="middleDot" w:pos="9356"/>
      </w:tabs>
    </w:pPr>
    <w:rPr>
      <w:rFonts w:ascii="宋体" w:hAnsi="宋体"/>
    </w:rPr>
  </w:style>
  <w:style w:type="paragraph" w:customStyle="1" w:styleId="168">
    <w:name w:val="标准文件_标准正文"/>
    <w:basedOn w:val="1"/>
    <w:next w:val="147"/>
    <w:qFormat/>
    <w:uiPriority w:val="0"/>
    <w:pPr>
      <w:snapToGrid w:val="0"/>
      <w:ind w:firstLine="200" w:firstLineChars="200"/>
    </w:pPr>
    <w:rPr>
      <w:kern w:val="0"/>
    </w:rPr>
  </w:style>
  <w:style w:type="paragraph" w:customStyle="1" w:styleId="169">
    <w:name w:val="标准文件_附录图标题"/>
    <w:next w:val="147"/>
    <w:qFormat/>
    <w:uiPriority w:val="0"/>
    <w:pPr>
      <w:numPr>
        <w:ilvl w:val="1"/>
        <w:numId w:val="2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70">
    <w:name w:val="标准文件_附录图标号"/>
    <w:basedOn w:val="147"/>
    <w:next w:val="147"/>
    <w:qFormat/>
    <w:uiPriority w:val="0"/>
    <w:pPr>
      <w:numPr>
        <w:ilvl w:val="0"/>
        <w:numId w:val="20"/>
      </w:numPr>
      <w:spacing w:line="14" w:lineRule="exact"/>
      <w:ind w:firstLine="0" w:firstLineChars="0"/>
      <w:jc w:val="center"/>
    </w:pPr>
    <w:rPr>
      <w:rFonts w:ascii="黑体" w:hAnsi="黑体" w:eastAsia="黑体"/>
      <w:vanish/>
      <w:sz w:val="2"/>
      <w:szCs w:val="21"/>
    </w:rPr>
  </w:style>
  <w:style w:type="paragraph" w:customStyle="1" w:styleId="171">
    <w:name w:val="标准文件_附录表标题"/>
    <w:next w:val="147"/>
    <w:qFormat/>
    <w:uiPriority w:val="0"/>
    <w:pPr>
      <w:numPr>
        <w:ilvl w:val="1"/>
        <w:numId w:val="21"/>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72">
    <w:name w:val="标准文件_附录三级无标题"/>
    <w:basedOn w:val="173"/>
    <w:qFormat/>
    <w:uiPriority w:val="0"/>
    <w:pPr>
      <w:spacing w:before="0" w:beforeLines="0" w:after="0" w:afterLines="0" w:line="276" w:lineRule="auto"/>
      <w:outlineLvl w:val="9"/>
    </w:pPr>
    <w:rPr>
      <w:rFonts w:ascii="宋体" w:eastAsia="宋体"/>
    </w:rPr>
  </w:style>
  <w:style w:type="paragraph" w:customStyle="1" w:styleId="173">
    <w:name w:val="标准文件_附录三级条标题"/>
    <w:next w:val="147"/>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74">
    <w:name w:val="标准文件_附录一级无标题"/>
    <w:basedOn w:val="164"/>
    <w:qFormat/>
    <w:uiPriority w:val="0"/>
    <w:pPr>
      <w:spacing w:before="0" w:beforeLines="0" w:after="0" w:afterLines="0" w:line="276" w:lineRule="auto"/>
      <w:outlineLvl w:val="9"/>
    </w:pPr>
    <w:rPr>
      <w:rFonts w:ascii="宋体" w:eastAsia="宋体"/>
    </w:rPr>
  </w:style>
  <w:style w:type="character" w:customStyle="1" w:styleId="175">
    <w:name w:val="批注框文本 字符"/>
    <w:basedOn w:val="37"/>
    <w:link w:val="20"/>
    <w:qFormat/>
    <w:uiPriority w:val="0"/>
    <w:rPr>
      <w:kern w:val="2"/>
      <w:sz w:val="18"/>
      <w:szCs w:val="18"/>
    </w:rPr>
  </w:style>
  <w:style w:type="character" w:customStyle="1" w:styleId="176">
    <w:name w:val="批注文字 字符"/>
    <w:basedOn w:val="37"/>
    <w:link w:val="6"/>
    <w:qFormat/>
    <w:uiPriority w:val="0"/>
    <w:rPr>
      <w:kern w:val="2"/>
      <w:sz w:val="21"/>
      <w:szCs w:val="24"/>
    </w:rPr>
  </w:style>
  <w:style w:type="character" w:customStyle="1" w:styleId="177">
    <w:name w:val="批注主题 字符"/>
    <w:basedOn w:val="176"/>
    <w:link w:val="5"/>
    <w:qFormat/>
    <w:uiPriority w:val="0"/>
    <w:rPr>
      <w:b/>
      <w:bCs/>
      <w:kern w:val="2"/>
      <w:sz w:val="21"/>
      <w:szCs w:val="24"/>
    </w:rPr>
  </w:style>
  <w:style w:type="paragraph" w:customStyle="1" w:styleId="178">
    <w:name w:val="图表脚注"/>
    <w:next w:val="27"/>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179">
    <w:name w:val="日期 字符"/>
    <w:basedOn w:val="37"/>
    <w:link w:val="18"/>
    <w:qFormat/>
    <w:uiPriority w:val="0"/>
    <w:rPr>
      <w:kern w:val="2"/>
      <w:sz w:val="21"/>
      <w:szCs w:val="24"/>
    </w:rPr>
  </w:style>
  <w:style w:type="character" w:customStyle="1" w:styleId="180">
    <w:name w:val="章标题 Char"/>
    <w:link w:val="118"/>
    <w:qFormat/>
    <w:uiPriority w:val="0"/>
    <w:rPr>
      <w:rFonts w:ascii="黑体" w:eastAsia="黑体"/>
      <w:sz w:val="21"/>
    </w:rPr>
  </w:style>
  <w:style w:type="character" w:customStyle="1" w:styleId="181">
    <w:name w:val="标题 1 字符"/>
    <w:basedOn w:val="37"/>
    <w:link w:val="2"/>
    <w:uiPriority w:val="0"/>
    <w:rPr>
      <w:rFonts w:ascii="宋体" w:hAnsi="宋体"/>
      <w:b/>
      <w:kern w:val="44"/>
      <w:sz w:val="48"/>
      <w:szCs w:val="48"/>
    </w:rPr>
  </w:style>
  <w:style w:type="paragraph" w:customStyle="1" w:styleId="18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D312B-26D9-4FF0-B1C9-09E2E6A2D666}">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650</Words>
  <Characters>3709</Characters>
  <Lines>30</Lines>
  <Paragraphs>8</Paragraphs>
  <TotalTime>21</TotalTime>
  <ScaleCrop>false</ScaleCrop>
  <LinksUpToDate>false</LinksUpToDate>
  <CharactersWithSpaces>4351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2020-07-31T02:30:00Z</dcterms:created>
  <dcterms:modified xsi:type="dcterms:W3CDTF">2025-01-02T07:12:45Z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4D763CE6396D4B72A6B2C9E4DF9593FA_13</vt:lpwstr>
  </property>
</Properties>
</file>