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06401">
      <w:pPr>
        <w:ind w:firstLine="0" w:firstLineChars="0"/>
        <w:jc w:val="center"/>
        <w:rPr>
          <w:rFonts w:hint="eastAsia" w:ascii="黑体" w:hAnsi="黑体" w:eastAsia="黑体"/>
          <w:b/>
          <w:sz w:val="32"/>
          <w:szCs w:val="32"/>
          <w:lang w:val="en-US" w:eastAsia="zh-CN"/>
        </w:rPr>
      </w:pPr>
      <w:r>
        <w:rPr>
          <w:rFonts w:ascii="黑体" w:hAnsi="黑体" w:eastAsia="黑体"/>
          <w:b/>
          <w:sz w:val="32"/>
          <w:szCs w:val="32"/>
        </w:rPr>
        <w:fldChar w:fldCharType="begin"/>
      </w:r>
      <w:r>
        <w:rPr>
          <w:rFonts w:ascii="黑体" w:hAnsi="黑体" w:eastAsia="黑体"/>
          <w:b/>
          <w:sz w:val="32"/>
          <w:szCs w:val="32"/>
        </w:rPr>
        <w:instrText xml:space="preserve"> MACROBUTTON MTEditEquationSection2 </w:instrText>
      </w:r>
      <w:r>
        <w:rPr>
          <w:rFonts w:hint="eastAsia" w:ascii="黑体" w:hAnsi="黑体" w:eastAsia="黑体"/>
          <w:b/>
          <w:vanish/>
          <w:sz w:val="32"/>
          <w:szCs w:val="32"/>
        </w:rPr>
        <w:instrText xml:space="preserve">公式章</w:instrText>
      </w:r>
      <w:r>
        <w:rPr>
          <w:rFonts w:ascii="黑体" w:hAnsi="黑体" w:eastAsia="黑体"/>
          <w:b/>
          <w:vanish/>
          <w:sz w:val="32"/>
          <w:szCs w:val="32"/>
        </w:rPr>
        <w:instrText xml:space="preserve"> 1 节 1</w:instrText>
      </w:r>
      <w:r>
        <w:rPr>
          <w:rFonts w:ascii="黑体" w:hAnsi="黑体" w:eastAsia="黑体"/>
          <w:b/>
          <w:sz w:val="32"/>
          <w:szCs w:val="32"/>
        </w:rPr>
        <w:fldChar w:fldCharType="begin"/>
      </w:r>
      <w:r>
        <w:rPr>
          <w:rFonts w:ascii="黑体" w:hAnsi="黑体" w:eastAsia="黑体"/>
          <w:b/>
          <w:sz w:val="32"/>
          <w:szCs w:val="32"/>
        </w:rPr>
        <w:instrText xml:space="preserve"> SEQ MTEqn \r \h \* MERGEFORMAT </w:instrText>
      </w:r>
      <w:r>
        <w:rPr>
          <w:rFonts w:ascii="黑体" w:hAnsi="黑体" w:eastAsia="黑体"/>
          <w:b/>
          <w:sz w:val="32"/>
          <w:szCs w:val="32"/>
        </w:rPr>
        <w:fldChar w:fldCharType="end"/>
      </w:r>
      <w:r>
        <w:rPr>
          <w:rFonts w:ascii="黑体" w:hAnsi="黑体" w:eastAsia="黑体"/>
          <w:b/>
          <w:sz w:val="32"/>
          <w:szCs w:val="32"/>
        </w:rPr>
        <w:fldChar w:fldCharType="begin"/>
      </w:r>
      <w:r>
        <w:rPr>
          <w:rFonts w:ascii="黑体" w:hAnsi="黑体" w:eastAsia="黑体"/>
          <w:b/>
          <w:sz w:val="32"/>
          <w:szCs w:val="32"/>
        </w:rPr>
        <w:instrText xml:space="preserve"> SEQ MTSec \r 1 \h \* MERGEFORMAT </w:instrText>
      </w:r>
      <w:r>
        <w:rPr>
          <w:rFonts w:ascii="黑体" w:hAnsi="黑体" w:eastAsia="黑体"/>
          <w:b/>
          <w:sz w:val="32"/>
          <w:szCs w:val="32"/>
        </w:rPr>
        <w:fldChar w:fldCharType="end"/>
      </w:r>
      <w:r>
        <w:rPr>
          <w:rFonts w:ascii="黑体" w:hAnsi="黑体" w:eastAsia="黑体"/>
          <w:b/>
          <w:sz w:val="32"/>
          <w:szCs w:val="32"/>
        </w:rPr>
        <w:fldChar w:fldCharType="begin"/>
      </w:r>
      <w:r>
        <w:rPr>
          <w:rFonts w:ascii="黑体" w:hAnsi="黑体" w:eastAsia="黑体"/>
          <w:b/>
          <w:sz w:val="32"/>
          <w:szCs w:val="32"/>
        </w:rPr>
        <w:instrText xml:space="preserve"> SEQ MTChap \r 1 \h \* MERGEFORMAT </w:instrText>
      </w:r>
      <w:r>
        <w:rPr>
          <w:rFonts w:ascii="黑体" w:hAnsi="黑体" w:eastAsia="黑体"/>
          <w:b/>
          <w:sz w:val="32"/>
          <w:szCs w:val="32"/>
        </w:rPr>
        <w:fldChar w:fldCharType="end"/>
      </w:r>
      <w:r>
        <w:rPr>
          <w:rFonts w:ascii="黑体" w:hAnsi="黑体" w:eastAsia="黑体"/>
          <w:b/>
          <w:sz w:val="32"/>
          <w:szCs w:val="32"/>
        </w:rPr>
        <w:fldChar w:fldCharType="end"/>
      </w:r>
      <w:r>
        <w:rPr>
          <w:rFonts w:hint="eastAsia" w:ascii="黑体" w:hAnsi="黑体" w:eastAsia="黑体"/>
          <w:b/>
          <w:sz w:val="32"/>
          <w:szCs w:val="32"/>
        </w:rPr>
        <w:t>《</w:t>
      </w:r>
      <w:r>
        <w:rPr>
          <w:rFonts w:hint="eastAsia" w:ascii="黑体" w:hAnsi="黑体" w:eastAsia="黑体"/>
          <w:b/>
          <w:sz w:val="32"/>
          <w:szCs w:val="32"/>
          <w:lang w:val="en-US" w:eastAsia="zh-CN"/>
        </w:rPr>
        <w:t>汽车测试场地建设要求与开放条件</w:t>
      </w:r>
      <w:r>
        <w:rPr>
          <w:rFonts w:hint="eastAsia" w:ascii="黑体" w:hAnsi="黑体" w:eastAsia="黑体"/>
          <w:b/>
          <w:sz w:val="32"/>
          <w:szCs w:val="32"/>
        </w:rPr>
        <w:t>》</w:t>
      </w:r>
      <w:r>
        <w:rPr>
          <w:rFonts w:hint="eastAsia" w:ascii="黑体" w:hAnsi="黑体" w:eastAsia="黑体"/>
          <w:b/>
          <w:sz w:val="32"/>
          <w:szCs w:val="32"/>
          <w:lang w:val="en-US" w:eastAsia="zh-CN"/>
        </w:rPr>
        <w:t>征求意见稿</w:t>
      </w:r>
    </w:p>
    <w:p w14:paraId="2AD4F597">
      <w:pPr>
        <w:ind w:firstLine="0" w:firstLineChars="0"/>
        <w:jc w:val="center"/>
        <w:rPr>
          <w:rFonts w:hint="default" w:ascii="黑体" w:hAnsi="黑体" w:eastAsia="黑体"/>
          <w:b/>
          <w:sz w:val="32"/>
          <w:szCs w:val="32"/>
          <w:lang w:val="en-US" w:eastAsia="zh-CN"/>
        </w:rPr>
      </w:pPr>
      <w:r>
        <w:rPr>
          <w:rFonts w:hint="eastAsia" w:ascii="黑体" w:hAnsi="黑体" w:eastAsia="黑体"/>
          <w:b/>
          <w:sz w:val="32"/>
          <w:szCs w:val="32"/>
          <w:lang w:val="en-US" w:eastAsia="zh-CN"/>
        </w:rPr>
        <w:t>编制说明文件</w:t>
      </w:r>
    </w:p>
    <w:p w14:paraId="1D6BE1E3">
      <w:pPr>
        <w:pStyle w:val="2"/>
        <w:numPr>
          <w:ilvl w:val="0"/>
          <w:numId w:val="0"/>
        </w:numPr>
        <w:rPr>
          <w:rFonts w:hint="eastAsia" w:eastAsia="黑体"/>
          <w:sz w:val="24"/>
          <w:szCs w:val="24"/>
          <w:lang w:val="en-US" w:eastAsia="zh-CN"/>
        </w:rPr>
      </w:pPr>
      <w:bookmarkStart w:id="0" w:name="_Toc137199042"/>
      <w:r>
        <w:rPr>
          <w:rFonts w:hint="eastAsia"/>
          <w:sz w:val="24"/>
          <w:szCs w:val="24"/>
        </w:rPr>
        <w:t>一、工作</w:t>
      </w:r>
      <w:bookmarkEnd w:id="0"/>
      <w:r>
        <w:rPr>
          <w:rFonts w:hint="eastAsia"/>
          <w:sz w:val="24"/>
          <w:szCs w:val="24"/>
          <w:lang w:val="en-US" w:eastAsia="zh-CN"/>
        </w:rPr>
        <w:t>简况</w:t>
      </w:r>
    </w:p>
    <w:p w14:paraId="77BB5A6A">
      <w:pPr>
        <w:tabs>
          <w:tab w:val="center" w:pos="4153"/>
        </w:tabs>
        <w:ind w:firstLine="0" w:firstLineChars="0"/>
        <w:rPr>
          <w:rFonts w:hint="eastAsia" w:ascii="仿宋" w:hAnsi="仿宋"/>
          <w:b/>
          <w:lang w:val="en-US" w:eastAsia="zh-CN"/>
        </w:rPr>
      </w:pPr>
      <w:r>
        <w:rPr>
          <w:rFonts w:hint="eastAsia" w:ascii="仿宋" w:hAnsi="仿宋"/>
          <w:b/>
          <w:lang w:val="en-US" w:eastAsia="zh-CN"/>
        </w:rPr>
        <w:t>1、任务来源</w:t>
      </w:r>
    </w:p>
    <w:p w14:paraId="3755163C">
      <w:pPr>
        <w:keepNext w:val="0"/>
        <w:keepLines w:val="0"/>
        <w:pageBreakBefore w:val="0"/>
        <w:widowControl w:val="0"/>
        <w:kinsoku/>
        <w:wordWrap/>
        <w:overflowPunct/>
        <w:topLinePunct w:val="0"/>
        <w:autoSpaceDE/>
        <w:autoSpaceDN/>
        <w:bidi w:val="0"/>
        <w:adjustRightInd/>
        <w:snapToGrid/>
        <w:spacing w:before="0" w:beforeLines="-2147483648" w:afterAutospacing="0" w:line="360" w:lineRule="auto"/>
        <w:ind w:firstLine="420" w:firstLineChars="20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年11月中国汽车工业协会试验场分会标准委员会全体委员以线上会议形式听取了由同济大学建筑设计研究院（集团）有限公司提报给中汽协会试验场分会的《汽车测试场地建设要求与开放条件》团体标准预研研究情况汇报，肯定了研究价值和意义，同意继续深入研究并筹备制定《汽车测试场地建设要求与开放条件》团体标准工作；中汽协会试验场分会并组织专家工作组，梳理国内外汽车测试场地分类、建设、规划、技术等相关的研究资料，旨在丰富国内汽车测试场地的建设标准和要求。中国汽车工业协会试验场分会按照《中汽协会团体标准制修订管理办法》对的规定，于2023年12月26日中国汽车工业协会行业发展部组织专家对《汽车测试场地建设要求与开放条件》团体标准进行了立项论证评审，会议表决通过立项；并进行了15天的立项公示，于2024年3月11日正式下达了立项批复函（中汽协函字【2024】106号），由同济大学建筑设计研究院（集团）有限公司作为牵头起草单位，组成标准编制工作组完成《汽车测试场地建设要求与开放条件》团体标准的研究及制定，工作项目计划号2024-10。</w:t>
      </w:r>
    </w:p>
    <w:p w14:paraId="3DEECDA6">
      <w:pPr>
        <w:tabs>
          <w:tab w:val="center" w:pos="4153"/>
        </w:tabs>
        <w:ind w:firstLine="0" w:firstLineChars="0"/>
        <w:rPr>
          <w:rFonts w:hint="eastAsia" w:ascii="仿宋" w:hAnsi="仿宋"/>
          <w:b/>
          <w:lang w:val="en-US" w:eastAsia="zh-CN"/>
        </w:rPr>
      </w:pPr>
      <w:r>
        <w:rPr>
          <w:rFonts w:hint="eastAsia" w:ascii="仿宋" w:hAnsi="仿宋"/>
          <w:b/>
          <w:lang w:val="en-US" w:eastAsia="zh-CN"/>
        </w:rPr>
        <w:t>2、编制的背景与意义</w:t>
      </w:r>
    </w:p>
    <w:p w14:paraId="1C423171">
      <w:pPr>
        <w:keepNext w:val="0"/>
        <w:keepLines w:val="0"/>
        <w:pageBreakBefore w:val="0"/>
        <w:widowControl w:val="0"/>
        <w:kinsoku/>
        <w:wordWrap/>
        <w:overflowPunct/>
        <w:topLinePunct w:val="0"/>
        <w:autoSpaceDE/>
        <w:autoSpaceDN/>
        <w:bidi w:val="0"/>
        <w:adjustRightInd/>
        <w:snapToGrid/>
        <w:spacing w:before="0" w:beforeLines="-2147483648" w:afterAutospacing="0" w:line="360" w:lineRule="auto"/>
        <w:ind w:firstLine="420" w:firstLineChars="20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汽车测试场地是进行汽车整车道路试验的场所，汽车测试场地的主要设施是集中修建的各种形式的试验道路。传统的汽车测试项目主要包括高速环道、动态广场、直线综合性能试验路段、操纵稳定性试验路段、多附着系数试验路段、噪声试验路段、可靠性与耐久性试验路段、舒适性试验路段、标准坡道以及其他试验路段等。面向新能源汽车、智能网联汽车的测试项目则主要包括交通信号识别及响应、道路交通基础设施与障碍物识别及响应、行人与非机动车识别及响应、周边车辆行驶状态识别及响应、自动紧急避险、自动泊车、动态驾驶任务干预及接管以及各类突发天气条件下的智能化驾驶等。汽车测试场地可以重现汽车行驶过程中遇到的各种道路情况和使用条件，将实际存在的各种道路类型经过整合形成典型道路，从而满足企业对汽车产品定型试验及安全性检验等方面的要求。</w:t>
      </w:r>
    </w:p>
    <w:p w14:paraId="6AEDFB0D">
      <w:pPr>
        <w:keepNext w:val="0"/>
        <w:keepLines w:val="0"/>
        <w:pageBreakBefore w:val="0"/>
        <w:widowControl w:val="0"/>
        <w:kinsoku/>
        <w:wordWrap/>
        <w:overflowPunct/>
        <w:topLinePunct w:val="0"/>
        <w:autoSpaceDE/>
        <w:autoSpaceDN/>
        <w:bidi w:val="0"/>
        <w:adjustRightInd/>
        <w:snapToGrid/>
        <w:spacing w:before="0" w:beforeLines="-2147483648" w:afterAutospacing="0" w:line="360" w:lineRule="auto"/>
        <w:ind w:firstLine="420" w:firstLineChars="20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随着我国汽车行业的高速发展，新能源汽车、智能网联汽车的研发加快推进，企业对汽车测试的需求也呈阶梯式地增加，测试项目迭代快速，汽车测试场地是否能够及时响应技术需求，并能够快速建设与开放面临新的挑战。</w:t>
      </w:r>
    </w:p>
    <w:p w14:paraId="44EDC47A">
      <w:pPr>
        <w:keepNext w:val="0"/>
        <w:keepLines w:val="0"/>
        <w:pageBreakBefore w:val="0"/>
        <w:widowControl w:val="0"/>
        <w:kinsoku/>
        <w:wordWrap/>
        <w:overflowPunct/>
        <w:topLinePunct w:val="0"/>
        <w:autoSpaceDE/>
        <w:autoSpaceDN/>
        <w:bidi w:val="0"/>
        <w:adjustRightInd/>
        <w:snapToGrid/>
        <w:spacing w:before="0" w:beforeLines="-2147483648" w:afterAutospacing="0" w:line="360" w:lineRule="auto"/>
        <w:ind w:firstLine="420" w:firstLineChars="20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标准提出旨在丰富国内汽车测试场地的建设标准和要求，通过前瞻性理论支撑、完备的虚拟现实场景以及高还原度实车测试场地制定既能符合技术研发需求，又能符合面向未来驾驶生态的汽车测试场地，使汽车测试场地的建设开放与技术开发、场地体验等有效结合，从而为新时代下汽车各项测试和开放提供可靠的场地与技术保障。</w:t>
      </w:r>
    </w:p>
    <w:p w14:paraId="302C20A8">
      <w:pPr>
        <w:tabs>
          <w:tab w:val="center" w:pos="4153"/>
        </w:tabs>
        <w:ind w:firstLine="0" w:firstLineChars="0"/>
        <w:rPr>
          <w:rFonts w:hint="default" w:ascii="仿宋" w:hAnsi="仿宋"/>
          <w:b/>
          <w:lang w:val="en-US" w:eastAsia="zh-CN"/>
        </w:rPr>
      </w:pPr>
      <w:r>
        <w:rPr>
          <w:rFonts w:hint="eastAsia" w:ascii="仿宋" w:hAnsi="仿宋"/>
          <w:b/>
          <w:lang w:val="en-US" w:eastAsia="zh-CN"/>
        </w:rPr>
        <w:t>3、主要工作过程</w:t>
      </w:r>
    </w:p>
    <w:p w14:paraId="2F772053">
      <w:pPr>
        <w:keepNext w:val="0"/>
        <w:keepLines w:val="0"/>
        <w:pageBreakBefore w:val="0"/>
        <w:widowControl w:val="0"/>
        <w:kinsoku/>
        <w:wordWrap/>
        <w:overflowPunct/>
        <w:topLinePunct w:val="0"/>
        <w:autoSpaceDE/>
        <w:autoSpaceDN/>
        <w:bidi w:val="0"/>
        <w:adjustRightInd/>
        <w:snapToGrid/>
        <w:spacing w:before="0" w:beforeLines="-2147483648" w:afterAutospacing="0" w:line="360" w:lineRule="auto"/>
        <w:ind w:left="0" w:leftChars="0" w:firstLine="420" w:firstLineChars="20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年9月-2023年11月，完成标准预研。同济大学建筑设计研究院（集团）有限公司相关技术人员，成立标准研究工作小组，就国内的具有影响力和实力的汽车测试场地进行的调研和考察走访，结合国内汽车测试场地建设的现状和未来的发展战略方向，共同编制完成了标准立项材料并提交中国汽车工业协会申请立项。</w:t>
      </w:r>
    </w:p>
    <w:p w14:paraId="5F216F3F">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年12月，完成标准立项论证评审。2023年12月26日，由中国汽车工业协会试验场分会组织7位专家和牵头单位召开线上《汽车测试场地建设要求与开放条件》团体标准立项审查会，专家组一致同意标准立项，建议中国汽车工业协会将该项目列入标准制定计划。</w:t>
      </w:r>
    </w:p>
    <w:p w14:paraId="30AE8999">
      <w:pPr>
        <w:keepNext w:val="0"/>
        <w:keepLines w:val="0"/>
        <w:pageBreakBefore w:val="0"/>
        <w:widowControl w:val="0"/>
        <w:kinsoku/>
        <w:wordWrap/>
        <w:overflowPunct/>
        <w:topLinePunct w:val="0"/>
        <w:autoSpaceDE/>
        <w:autoSpaceDN/>
        <w:bidi w:val="0"/>
        <w:adjustRightInd/>
        <w:snapToGrid/>
        <w:spacing w:before="0" w:beforeLines="-2147483648" w:afterAutospacing="0" w:line="360" w:lineRule="auto"/>
        <w:ind w:left="0" w:leftChars="0" w:firstLine="420" w:firstLineChars="20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2024年1月-3月，完成标准的立项公示及正式立项通知。2024年2月20日中国汽车工业协会经过立项公示正式，并于2024年3月11日正式发布标准立项通知函（中汽协函字【2024】106号）。</w:t>
      </w:r>
    </w:p>
    <w:p w14:paraId="611B4F8B">
      <w:pPr>
        <w:keepNext w:val="0"/>
        <w:keepLines w:val="0"/>
        <w:pageBreakBefore w:val="0"/>
        <w:widowControl w:val="0"/>
        <w:kinsoku/>
        <w:wordWrap/>
        <w:overflowPunct/>
        <w:topLinePunct w:val="0"/>
        <w:autoSpaceDE/>
        <w:autoSpaceDN/>
        <w:bidi w:val="0"/>
        <w:adjustRightInd/>
        <w:snapToGrid/>
        <w:ind w:firstLine="420"/>
        <w:textAlignment w:val="auto"/>
        <w:rPr>
          <w:rFonts w:ascii="宋体" w:hAnsi="宋体" w:eastAsia="宋体"/>
          <w:sz w:val="21"/>
          <w:szCs w:val="21"/>
        </w:rPr>
      </w:pPr>
      <w:r>
        <w:rPr>
          <w:rFonts w:hint="eastAsia" w:ascii="宋体" w:hAnsi="宋体" w:eastAsia="宋体"/>
          <w:sz w:val="21"/>
          <w:szCs w:val="21"/>
          <w:lang w:val="en-US" w:eastAsia="zh-CN"/>
        </w:rPr>
        <w:t>2024年4月-7月，完成草稿框架和初稿。牵头起草单位</w:t>
      </w:r>
      <w:r>
        <w:rPr>
          <w:rFonts w:ascii="宋体" w:hAnsi="宋体" w:eastAsia="宋体"/>
          <w:sz w:val="21"/>
          <w:szCs w:val="21"/>
        </w:rPr>
        <w:t>结合标准论证会专家意见及前期标准预研结果，工作组开始起草标准文件，并在标准文件起草的过程中继续不断征询各方专家意见，起草工作组形成标准草案及初稿框架。</w:t>
      </w:r>
    </w:p>
    <w:p w14:paraId="7027438B">
      <w:pPr>
        <w:keepNext w:val="0"/>
        <w:keepLines w:val="0"/>
        <w:pageBreakBefore w:val="0"/>
        <w:widowControl w:val="0"/>
        <w:kinsoku/>
        <w:wordWrap/>
        <w:overflowPunct/>
        <w:topLinePunct w:val="0"/>
        <w:autoSpaceDE/>
        <w:autoSpaceDN/>
        <w:bidi w:val="0"/>
        <w:adjustRightInd/>
        <w:snapToGrid/>
        <w:ind w:firstLine="420"/>
        <w:textAlignment w:val="auto"/>
        <w:rPr>
          <w:rFonts w:ascii="宋体" w:hAnsi="宋体" w:eastAsia="宋体"/>
          <w:sz w:val="21"/>
          <w:szCs w:val="21"/>
        </w:rPr>
      </w:pPr>
      <w:r>
        <w:rPr>
          <w:rFonts w:hint="eastAsia" w:ascii="宋体" w:hAnsi="宋体" w:eastAsia="宋体"/>
          <w:sz w:val="21"/>
          <w:szCs w:val="21"/>
          <w:lang w:val="en-US" w:eastAsia="zh-CN"/>
        </w:rPr>
        <w:t>2024年8月-10月，完成征求意见稿。</w:t>
      </w:r>
      <w:r>
        <w:rPr>
          <w:rFonts w:hint="eastAsia" w:ascii="宋体" w:hAnsi="宋体" w:eastAsia="宋体"/>
          <w:sz w:val="21"/>
          <w:szCs w:val="21"/>
        </w:rPr>
        <w:t>中国汽车工业协会</w:t>
      </w:r>
      <w:r>
        <w:rPr>
          <w:rFonts w:hint="eastAsia" w:ascii="宋体" w:hAnsi="宋体" w:eastAsia="宋体"/>
          <w:sz w:val="21"/>
          <w:szCs w:val="21"/>
          <w:lang w:val="en-US" w:eastAsia="zh-CN"/>
        </w:rPr>
        <w:t>试验场分会和起草单位</w:t>
      </w:r>
      <w:r>
        <w:rPr>
          <w:rFonts w:hint="eastAsia" w:ascii="宋体" w:hAnsi="宋体" w:eastAsia="宋体"/>
          <w:sz w:val="21"/>
          <w:szCs w:val="21"/>
        </w:rPr>
        <w:t>协同工作组参编技术专家，多次组织召开卓有成效的标准草案讨论会，</w:t>
      </w:r>
      <w:r>
        <w:rPr>
          <w:rFonts w:hint="eastAsia" w:ascii="宋体" w:hAnsi="宋体" w:eastAsia="宋体"/>
          <w:sz w:val="21"/>
          <w:szCs w:val="21"/>
          <w:lang w:val="en-US" w:eastAsia="zh-CN"/>
        </w:rPr>
        <w:t>并于2024年8月19日和9月5日通过线上腾讯会议广泛的征求参编单位的意见，重庆同乘工程咨询、中路慧能检测、广电计量检测、黑龙江红河谷等企业</w:t>
      </w:r>
      <w:bookmarkStart w:id="1" w:name="_GoBack"/>
      <w:bookmarkEnd w:id="1"/>
      <w:r>
        <w:rPr>
          <w:rFonts w:hint="eastAsia" w:ascii="宋体" w:hAnsi="宋体" w:eastAsia="宋体"/>
          <w:sz w:val="21"/>
          <w:szCs w:val="21"/>
          <w:lang w:val="en-US" w:eastAsia="zh-CN"/>
        </w:rPr>
        <w:t>对标准共提出30条修改建议和意见，其中20条采纳，10条不采纳。起草单位</w:t>
      </w:r>
      <w:r>
        <w:rPr>
          <w:rFonts w:hint="eastAsia" w:ascii="宋体" w:hAnsi="宋体" w:eastAsia="宋体"/>
          <w:sz w:val="21"/>
          <w:szCs w:val="21"/>
        </w:rPr>
        <w:t>根据工作组专家提出的修改意见，对标准文件进行论证修正，最终形成征求意见稿。</w:t>
      </w:r>
    </w:p>
    <w:p w14:paraId="290C35B4">
      <w:pPr>
        <w:numPr>
          <w:ilvl w:val="0"/>
          <w:numId w:val="0"/>
        </w:numPr>
        <w:tabs>
          <w:tab w:val="center" w:pos="4153"/>
        </w:tabs>
        <w:rPr>
          <w:rFonts w:hint="eastAsia" w:ascii="仿宋" w:hAnsi="仿宋"/>
          <w:b/>
          <w:lang w:val="en-US" w:eastAsia="zh-CN"/>
        </w:rPr>
      </w:pPr>
      <w:r>
        <w:rPr>
          <w:rFonts w:hint="eastAsia" w:ascii="仿宋" w:hAnsi="仿宋"/>
          <w:b/>
          <w:lang w:val="en-US" w:eastAsia="zh-CN"/>
        </w:rPr>
        <w:t>4、主要起草单位及任务分工</w:t>
      </w:r>
    </w:p>
    <w:p w14:paraId="233D3FEC">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文件由同济大学建筑设计研究院（集团）有限公司作为牵头起草单位，负责推荐标准专家，组成标准工作组，标准编制执笔工作；同济大学、杭州市路桥集团股份有限公司、黑龙江红河谷汽车测试股份有限公司、中交（上饶）汽车综合试验有限公司、重庆同乘工程咨询设计有限责任公司、广电计量检测集团股份有限公司、中路慧能检测认证科技有限公司、悦野文化传播（北京）有限公司作为共同发起参编单位，负责标准编制资料的提供、技术支持，结合相关技术和市场需求提出合理意见和建议；中国汽车工业协会试验场分会在标准起草过程中负责监管执行与协调。</w:t>
      </w:r>
    </w:p>
    <w:tbl>
      <w:tblPr>
        <w:tblStyle w:val="4"/>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4622"/>
        <w:gridCol w:w="3288"/>
      </w:tblGrid>
      <w:tr w14:paraId="4524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7AE7FFC5">
            <w:pPr>
              <w:widowControl/>
              <w:tabs>
                <w:tab w:val="center" w:pos="4201"/>
                <w:tab w:val="right" w:leader="dot" w:pos="9298"/>
              </w:tabs>
              <w:autoSpaceDE w:val="0"/>
              <w:autoSpaceDN w:val="0"/>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序号</w:t>
            </w:r>
          </w:p>
        </w:tc>
        <w:tc>
          <w:tcPr>
            <w:tcW w:w="4622" w:type="dxa"/>
          </w:tcPr>
          <w:p w14:paraId="6B444D26">
            <w:pPr>
              <w:widowControl/>
              <w:tabs>
                <w:tab w:val="center" w:pos="4201"/>
                <w:tab w:val="right" w:leader="dot" w:pos="9298"/>
              </w:tabs>
              <w:autoSpaceDE w:val="0"/>
              <w:autoSpaceDN w:val="0"/>
              <w:ind w:firstLine="0" w:firstLineChars="0"/>
              <w:rPr>
                <w:rFonts w:ascii="宋体" w:hAnsi="宋体" w:eastAsia="宋体"/>
                <w:sz w:val="21"/>
                <w:szCs w:val="21"/>
              </w:rPr>
            </w:pPr>
            <w:r>
              <w:rPr>
                <w:rFonts w:hint="eastAsia" w:ascii="宋体" w:hAnsi="宋体" w:eastAsia="宋体"/>
                <w:sz w:val="21"/>
                <w:szCs w:val="21"/>
              </w:rPr>
              <w:t>牵头发起单位</w:t>
            </w:r>
          </w:p>
        </w:tc>
        <w:tc>
          <w:tcPr>
            <w:tcW w:w="3288" w:type="dxa"/>
          </w:tcPr>
          <w:p w14:paraId="3110E831">
            <w:pPr>
              <w:widowControl/>
              <w:tabs>
                <w:tab w:val="center" w:pos="4201"/>
                <w:tab w:val="right" w:leader="dot" w:pos="9298"/>
              </w:tabs>
              <w:autoSpaceDE w:val="0"/>
              <w:autoSpaceDN w:val="0"/>
              <w:ind w:firstLine="0" w:firstLineChars="0"/>
              <w:rPr>
                <w:rFonts w:ascii="宋体" w:hAnsi="宋体" w:eastAsia="宋体"/>
                <w:sz w:val="21"/>
                <w:szCs w:val="21"/>
              </w:rPr>
            </w:pPr>
            <w:r>
              <w:rPr>
                <w:rFonts w:hint="eastAsia" w:ascii="宋体" w:hAnsi="宋体" w:eastAsia="宋体"/>
                <w:sz w:val="21"/>
                <w:szCs w:val="21"/>
              </w:rPr>
              <w:t>工作组成员</w:t>
            </w:r>
          </w:p>
        </w:tc>
      </w:tr>
      <w:tr w14:paraId="675F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3BED52C3">
            <w:pPr>
              <w:widowControl/>
              <w:tabs>
                <w:tab w:val="left" w:pos="803"/>
                <w:tab w:val="center" w:pos="1930"/>
                <w:tab w:val="center" w:pos="4201"/>
                <w:tab w:val="right" w:leader="dot" w:pos="9298"/>
              </w:tabs>
              <w:autoSpaceDE w:val="0"/>
              <w:autoSpaceDN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4622" w:type="dxa"/>
          </w:tcPr>
          <w:p w14:paraId="54207289">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同济大学建筑设计研究院（集团）有限公司</w:t>
            </w:r>
          </w:p>
        </w:tc>
        <w:tc>
          <w:tcPr>
            <w:tcW w:w="3288" w:type="dxa"/>
          </w:tcPr>
          <w:p w14:paraId="7E518E6F">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姚启明、彭浩荣、曹文冠、沈一川</w:t>
            </w:r>
          </w:p>
        </w:tc>
      </w:tr>
      <w:tr w14:paraId="642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3F1BDE01">
            <w:pPr>
              <w:widowControl/>
              <w:tabs>
                <w:tab w:val="center" w:pos="4201"/>
                <w:tab w:val="right" w:leader="dot" w:pos="9298"/>
              </w:tabs>
              <w:autoSpaceDE w:val="0"/>
              <w:autoSpaceDN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4622" w:type="dxa"/>
          </w:tcPr>
          <w:p w14:paraId="1A1E26DD">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同济大学</w:t>
            </w:r>
          </w:p>
        </w:tc>
        <w:tc>
          <w:tcPr>
            <w:tcW w:w="3288" w:type="dxa"/>
          </w:tcPr>
          <w:p w14:paraId="0E970658">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刘圣月、姚元森、郭晓雨</w:t>
            </w:r>
          </w:p>
        </w:tc>
      </w:tr>
      <w:tr w14:paraId="4DFB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2C6829C3">
            <w:pPr>
              <w:widowControl/>
              <w:tabs>
                <w:tab w:val="center" w:pos="4201"/>
                <w:tab w:val="right" w:leader="dot" w:pos="9298"/>
              </w:tabs>
              <w:autoSpaceDE w:val="0"/>
              <w:autoSpaceDN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4622" w:type="dxa"/>
          </w:tcPr>
          <w:p w14:paraId="6ABCD4AD">
            <w:pPr>
              <w:widowControl/>
              <w:tabs>
                <w:tab w:val="center" w:pos="4201"/>
                <w:tab w:val="right" w:leader="dot" w:pos="9298"/>
              </w:tabs>
              <w:autoSpaceDE w:val="0"/>
              <w:autoSpaceDN w:val="0"/>
              <w:ind w:firstLine="0" w:firstLineChars="0"/>
              <w:jc w:val="left"/>
              <w:rPr>
                <w:rFonts w:ascii="宋体" w:hAnsi="宋体" w:eastAsia="宋体"/>
                <w:sz w:val="21"/>
                <w:szCs w:val="21"/>
              </w:rPr>
            </w:pPr>
            <w:r>
              <w:rPr>
                <w:rFonts w:hint="eastAsia" w:ascii="宋体" w:hAnsi="宋体" w:eastAsia="宋体"/>
                <w:sz w:val="21"/>
                <w:szCs w:val="21"/>
                <w:lang w:val="en-US" w:eastAsia="zh-CN"/>
              </w:rPr>
              <w:t>杭州市路桥集团股份有限公司</w:t>
            </w:r>
          </w:p>
        </w:tc>
        <w:tc>
          <w:tcPr>
            <w:tcW w:w="3288" w:type="dxa"/>
          </w:tcPr>
          <w:p w14:paraId="50675E2B">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赵章华、陈雨</w:t>
            </w:r>
          </w:p>
        </w:tc>
      </w:tr>
      <w:tr w14:paraId="15A4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0C488D04">
            <w:pPr>
              <w:widowControl/>
              <w:tabs>
                <w:tab w:val="center" w:pos="4201"/>
                <w:tab w:val="right" w:leader="dot" w:pos="9298"/>
              </w:tabs>
              <w:autoSpaceDE w:val="0"/>
              <w:autoSpaceDN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4622" w:type="dxa"/>
          </w:tcPr>
          <w:p w14:paraId="642264CA">
            <w:pPr>
              <w:widowControl/>
              <w:tabs>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黑龙江红河谷汽车测试股份有限公司</w:t>
            </w:r>
          </w:p>
        </w:tc>
        <w:tc>
          <w:tcPr>
            <w:tcW w:w="3288" w:type="dxa"/>
          </w:tcPr>
          <w:p w14:paraId="32FE2635">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赵鑫宏、李皖宁</w:t>
            </w:r>
          </w:p>
        </w:tc>
      </w:tr>
      <w:tr w14:paraId="48FF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059965D7">
            <w:pPr>
              <w:widowControl/>
              <w:tabs>
                <w:tab w:val="center" w:pos="4201"/>
                <w:tab w:val="right" w:leader="dot" w:pos="9298"/>
              </w:tabs>
              <w:autoSpaceDE w:val="0"/>
              <w:autoSpaceDN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4622" w:type="dxa"/>
          </w:tcPr>
          <w:p w14:paraId="338B4B6F">
            <w:pPr>
              <w:widowControl/>
              <w:tabs>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中交（上饶）汽车综合试验有限公司</w:t>
            </w:r>
          </w:p>
        </w:tc>
        <w:tc>
          <w:tcPr>
            <w:tcW w:w="3288" w:type="dxa"/>
          </w:tcPr>
          <w:p w14:paraId="1ADDB7D9">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谷巨龙、赵亮</w:t>
            </w:r>
          </w:p>
        </w:tc>
      </w:tr>
      <w:tr w14:paraId="6D93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202D1C9D">
            <w:pPr>
              <w:widowControl/>
              <w:tabs>
                <w:tab w:val="center" w:pos="4201"/>
                <w:tab w:val="right" w:leader="dot" w:pos="9298"/>
              </w:tabs>
              <w:autoSpaceDE w:val="0"/>
              <w:autoSpaceDN w:val="0"/>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4622" w:type="dxa"/>
          </w:tcPr>
          <w:p w14:paraId="68E037A3">
            <w:pPr>
              <w:widowControl/>
              <w:tabs>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重庆同乘工程咨询设计有限责任公司</w:t>
            </w:r>
          </w:p>
        </w:tc>
        <w:tc>
          <w:tcPr>
            <w:tcW w:w="3288" w:type="dxa"/>
          </w:tcPr>
          <w:p w14:paraId="520A5E7E">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谭永祥、王渊阳、游华蓉</w:t>
            </w:r>
          </w:p>
        </w:tc>
      </w:tr>
      <w:tr w14:paraId="40A9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441214A4">
            <w:pPr>
              <w:widowControl/>
              <w:tabs>
                <w:tab w:val="center" w:pos="4201"/>
                <w:tab w:val="right" w:leader="dot" w:pos="9298"/>
              </w:tabs>
              <w:autoSpaceDE w:val="0"/>
              <w:autoSpaceDN w:val="0"/>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4622" w:type="dxa"/>
          </w:tcPr>
          <w:p w14:paraId="03E45118">
            <w:pPr>
              <w:widowControl/>
              <w:tabs>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广电计量检测集团股份有限公司</w:t>
            </w:r>
          </w:p>
        </w:tc>
        <w:tc>
          <w:tcPr>
            <w:tcW w:w="3288" w:type="dxa"/>
          </w:tcPr>
          <w:p w14:paraId="01C4F108">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明志茂、余云加</w:t>
            </w:r>
          </w:p>
        </w:tc>
      </w:tr>
      <w:tr w14:paraId="0BB1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2248B7A4">
            <w:pPr>
              <w:widowControl/>
              <w:tabs>
                <w:tab w:val="center" w:pos="4201"/>
                <w:tab w:val="right" w:leader="dot" w:pos="9298"/>
              </w:tabs>
              <w:autoSpaceDE w:val="0"/>
              <w:autoSpaceDN w:val="0"/>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4622" w:type="dxa"/>
          </w:tcPr>
          <w:p w14:paraId="3FFF0EFD">
            <w:pPr>
              <w:widowControl/>
              <w:tabs>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中路慧能检测认证科技有限公司</w:t>
            </w:r>
          </w:p>
        </w:tc>
        <w:tc>
          <w:tcPr>
            <w:tcW w:w="3288" w:type="dxa"/>
          </w:tcPr>
          <w:p w14:paraId="53A5C912">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朴志刚、王晓鹏</w:t>
            </w:r>
          </w:p>
        </w:tc>
      </w:tr>
      <w:tr w14:paraId="32FF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2484D3B1">
            <w:pPr>
              <w:widowControl/>
              <w:tabs>
                <w:tab w:val="center" w:pos="4201"/>
                <w:tab w:val="right" w:leader="dot" w:pos="9298"/>
              </w:tabs>
              <w:autoSpaceDE w:val="0"/>
              <w:autoSpaceDN w:val="0"/>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9</w:t>
            </w:r>
          </w:p>
        </w:tc>
        <w:tc>
          <w:tcPr>
            <w:tcW w:w="4622" w:type="dxa"/>
          </w:tcPr>
          <w:p w14:paraId="5742DC6E">
            <w:pPr>
              <w:widowControl/>
              <w:tabs>
                <w:tab w:val="center" w:pos="4201"/>
                <w:tab w:val="right" w:leader="dot" w:pos="9298"/>
              </w:tabs>
              <w:autoSpaceDE w:val="0"/>
              <w:autoSpaceDN w:val="0"/>
              <w:ind w:firstLine="0" w:firstLineChars="0"/>
              <w:rPr>
                <w:rFonts w:hint="default" w:ascii="宋体" w:hAnsi="宋体" w:eastAsia="宋体"/>
                <w:sz w:val="21"/>
                <w:szCs w:val="21"/>
                <w:lang w:val="en-US" w:eastAsia="zh-CN"/>
              </w:rPr>
            </w:pPr>
            <w:r>
              <w:rPr>
                <w:rFonts w:hint="eastAsia" w:ascii="宋体" w:hAnsi="宋体" w:eastAsia="宋体"/>
                <w:sz w:val="21"/>
                <w:szCs w:val="21"/>
                <w:lang w:val="en-US" w:eastAsia="zh-CN"/>
              </w:rPr>
              <w:t>悦野文化传播（北京）有限公司</w:t>
            </w:r>
          </w:p>
        </w:tc>
        <w:tc>
          <w:tcPr>
            <w:tcW w:w="3288" w:type="dxa"/>
          </w:tcPr>
          <w:p w14:paraId="21E1DB8E">
            <w:pPr>
              <w:widowControl/>
              <w:tabs>
                <w:tab w:val="left" w:pos="803"/>
                <w:tab w:val="center" w:pos="1930"/>
                <w:tab w:val="center" w:pos="4201"/>
                <w:tab w:val="right" w:leader="dot" w:pos="9298"/>
              </w:tabs>
              <w:autoSpaceDE w:val="0"/>
              <w:autoSpaceDN w:val="0"/>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孙雪梅、李锦隆</w:t>
            </w:r>
          </w:p>
        </w:tc>
      </w:tr>
    </w:tbl>
    <w:p w14:paraId="32D491B8">
      <w:pPr>
        <w:pStyle w:val="2"/>
        <w:numPr>
          <w:ilvl w:val="0"/>
          <w:numId w:val="0"/>
        </w:numPr>
        <w:rPr>
          <w:rFonts w:hint="eastAsia" w:ascii="仿宋" w:hAnsi="仿宋"/>
          <w:b/>
          <w:lang w:val="en-US" w:eastAsia="zh-CN"/>
        </w:rPr>
      </w:pPr>
      <w:r>
        <w:rPr>
          <w:sz w:val="24"/>
          <w:szCs w:val="24"/>
        </w:rPr>
        <w:t>二</w:t>
      </w:r>
      <w:r>
        <w:rPr>
          <w:rFonts w:hint="eastAsia"/>
          <w:sz w:val="24"/>
          <w:szCs w:val="24"/>
        </w:rPr>
        <w:t>、标准编制原则</w:t>
      </w:r>
      <w:r>
        <w:rPr>
          <w:rFonts w:hint="eastAsia"/>
          <w:sz w:val="24"/>
          <w:szCs w:val="24"/>
          <w:lang w:val="en-US" w:eastAsia="zh-CN"/>
        </w:rPr>
        <w:t>及</w:t>
      </w:r>
      <w:r>
        <w:rPr>
          <w:rFonts w:hint="eastAsia"/>
          <w:sz w:val="24"/>
          <w:szCs w:val="24"/>
        </w:rPr>
        <w:t>主要内容</w:t>
      </w:r>
    </w:p>
    <w:p w14:paraId="2D37EFFE">
      <w:pPr>
        <w:tabs>
          <w:tab w:val="center" w:pos="4153"/>
        </w:tabs>
        <w:ind w:firstLine="0" w:firstLineChars="0"/>
        <w:rPr>
          <w:rFonts w:hint="default" w:ascii="仿宋" w:hAnsi="仿宋"/>
          <w:b/>
          <w:lang w:val="en-US" w:eastAsia="zh-CN"/>
        </w:rPr>
      </w:pPr>
      <w:r>
        <w:rPr>
          <w:rFonts w:hint="eastAsia" w:ascii="仿宋" w:hAnsi="仿宋"/>
          <w:b/>
          <w:lang w:val="en-US" w:eastAsia="zh-CN"/>
        </w:rPr>
        <w:t>1、标准主要内容</w:t>
      </w:r>
    </w:p>
    <w:p w14:paraId="71BEC0E1">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本文件规定了汽车测试场地的分类、建设要求和开放条件。</w:t>
      </w:r>
    </w:p>
    <w:p w14:paraId="214F5C17">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本文件适用于汽车测试新建场地的设计、建设，已建场地的改扩建，以及新建、已建汽车测试场地的等级认证。</w:t>
      </w:r>
    </w:p>
    <w:p w14:paraId="6B299CAB">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（1）术语和定义：本文件定义了汽车测试场地、测试道路、测试系统、测试场景、自由驾驶、特殊环境、安全设施、场地许可证八项术语的概念性描述；</w:t>
      </w:r>
    </w:p>
    <w:p w14:paraId="01EF3853">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（2）场地分类：本文件根据汽车测试场地根据核心测试功能和测试道路的特征，可分为汽车试验场、智能网联（自动驾驶）汽车测试场、自由驾驶测试场、厂区测试场、多功能融合汽车测试场等五大类。</w:t>
      </w:r>
    </w:p>
    <w:p w14:paraId="6B28A280">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（3）场地建设要求：</w:t>
      </w:r>
    </w:p>
    <w:p w14:paraId="16ECEB72">
      <w:pPr>
        <w:keepNext w:val="0"/>
        <w:keepLines w:val="0"/>
        <w:pageBreakBefore w:val="0"/>
        <w:widowControl w:val="0"/>
        <w:kinsoku/>
        <w:wordWrap/>
        <w:overflowPunct/>
        <w:topLinePunct w:val="0"/>
        <w:autoSpaceDE/>
        <w:autoSpaceDN/>
        <w:bidi w:val="0"/>
        <w:adjustRightInd/>
        <w:snapToGrid/>
        <w:ind w:firstLine="42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A：通用要求：</w:t>
      </w:r>
    </w:p>
    <w:p w14:paraId="375C5245">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汽车测试场地的建设内容主要包括：专用道路、专用试验室、设备设施、测试系统、环境景观及相关配套等。</w:t>
      </w:r>
    </w:p>
    <w:p w14:paraId="31D57057">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汽车测试场地的建设流程主要包括：场地选址、场地规划、场地勘察、场地设计、方案报批、场地施工、场地验收、场地认证等。</w:t>
      </w:r>
    </w:p>
    <w:p w14:paraId="71B77135">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汽车测试场地的建设单位应按照国家和地方法律、法规等相关规定完成建设项目用地手续并获得用地批准。</w:t>
      </w:r>
    </w:p>
    <w:p w14:paraId="08760376">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参与汽车测试场地建设的勘察单位、设计单位、施工单位、工程监理单位应具备相应行业、专业资质。</w:t>
      </w:r>
    </w:p>
    <w:p w14:paraId="4FFD5A2E">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B：场地要求：</w:t>
      </w:r>
    </w:p>
    <w:p w14:paraId="1A9ADE2F">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汽车试验场：汽车试验场可设置的专用道路包括：高速环道、直线性能路、制动路、动态广场、强化耐久路、噪声路、操控路、坡道、通过性路等。</w:t>
      </w:r>
    </w:p>
    <w:p w14:paraId="73A67818">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智能网联（自动驾驶）汽车测试场、自由驾驶测试场、厂区测试场、多功能融合汽车测试场、实验室要求和配套设施要求。</w:t>
      </w:r>
    </w:p>
    <w:p w14:paraId="655A83F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（4）建设要求：包括场地规划、场地勘察、场地设计、方案报批、场地施工、场地验收、场地认证的要求细则。</w:t>
      </w:r>
    </w:p>
    <w:p w14:paraId="68C0AE1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（5）场地开放条件：通用要求、资质要求、运营要求、服务要求、安全要求（场地安全、人员安全、安全保险、应急管理、安全公告、消防安全、救援保障、卫生要求）。</w:t>
      </w:r>
    </w:p>
    <w:p w14:paraId="5C3A2714">
      <w:pPr>
        <w:tabs>
          <w:tab w:val="center" w:pos="4153"/>
        </w:tabs>
        <w:ind w:firstLine="0" w:firstLineChars="0"/>
        <w:rPr>
          <w:rFonts w:hint="default" w:ascii="仿宋" w:hAnsi="仿宋"/>
          <w:b/>
          <w:lang w:val="en-US" w:eastAsia="zh-CN"/>
        </w:rPr>
      </w:pPr>
      <w:r>
        <w:rPr>
          <w:rFonts w:hint="eastAsia" w:ascii="仿宋" w:hAnsi="仿宋"/>
          <w:b/>
          <w:lang w:val="en-US" w:eastAsia="zh-CN"/>
        </w:rPr>
        <w:t>2、关键评价项目设定</w:t>
      </w:r>
    </w:p>
    <w:p w14:paraId="4991AE31">
      <w:pPr>
        <w:keepNext w:val="0"/>
        <w:keepLines w:val="0"/>
        <w:pageBreakBefore w:val="0"/>
        <w:widowControl w:val="0"/>
        <w:kinsoku/>
        <w:wordWrap/>
        <w:overflowPunct/>
        <w:topLinePunct w:val="0"/>
        <w:autoSpaceDE/>
        <w:autoSpaceDN/>
        <w:bidi w:val="0"/>
        <w:adjustRightInd/>
        <w:snapToGrid/>
        <w:ind w:firstLine="420"/>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汽车测试场地资质认定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5403"/>
      </w:tblGrid>
      <w:tr w14:paraId="063E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Align w:val="center"/>
          </w:tcPr>
          <w:p w14:paraId="41451B39">
            <w:pPr>
              <w:pStyle w:val="6"/>
              <w:ind w:firstLine="0" w:firstLineChars="0"/>
              <w:jc w:val="center"/>
              <w:rPr>
                <w:b/>
                <w:bCs/>
              </w:rPr>
            </w:pPr>
            <w:r>
              <w:rPr>
                <w:rFonts w:hint="eastAsia"/>
                <w:b/>
                <w:bCs/>
              </w:rPr>
              <w:t>场地类型</w:t>
            </w:r>
          </w:p>
        </w:tc>
        <w:tc>
          <w:tcPr>
            <w:tcW w:w="5931" w:type="dxa"/>
            <w:vAlign w:val="center"/>
          </w:tcPr>
          <w:p w14:paraId="1332283C">
            <w:pPr>
              <w:pStyle w:val="6"/>
              <w:ind w:firstLine="0" w:firstLineChars="0"/>
              <w:jc w:val="center"/>
              <w:rPr>
                <w:b/>
                <w:bCs/>
              </w:rPr>
            </w:pPr>
            <w:r>
              <w:rPr>
                <w:rFonts w:hint="eastAsia"/>
                <w:b/>
                <w:bCs/>
              </w:rPr>
              <w:t>资质</w:t>
            </w:r>
          </w:p>
        </w:tc>
      </w:tr>
      <w:tr w14:paraId="6DAE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restart"/>
            <w:vAlign w:val="center"/>
          </w:tcPr>
          <w:p w14:paraId="1E38EC4F">
            <w:pPr>
              <w:pStyle w:val="6"/>
              <w:ind w:firstLine="0" w:firstLineChars="0"/>
              <w:jc w:val="center"/>
            </w:pPr>
            <w:r>
              <w:rPr>
                <w:rFonts w:hint="eastAsia"/>
              </w:rPr>
              <w:t>汽车试验场</w:t>
            </w:r>
          </w:p>
        </w:tc>
        <w:tc>
          <w:tcPr>
            <w:tcW w:w="5931" w:type="dxa"/>
            <w:vAlign w:val="center"/>
          </w:tcPr>
          <w:p w14:paraId="08CE4EB8">
            <w:pPr>
              <w:pStyle w:val="6"/>
              <w:ind w:firstLine="0" w:firstLineChars="0"/>
              <w:jc w:val="center"/>
            </w:pPr>
            <w:r>
              <w:rPr>
                <w:rFonts w:hint="eastAsia"/>
              </w:rPr>
              <w:t>CMA检验检测机构</w:t>
            </w:r>
          </w:p>
        </w:tc>
      </w:tr>
      <w:tr w14:paraId="56B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618706BD">
            <w:pPr>
              <w:pStyle w:val="6"/>
              <w:ind w:firstLine="0" w:firstLineChars="0"/>
              <w:jc w:val="center"/>
            </w:pPr>
          </w:p>
        </w:tc>
        <w:tc>
          <w:tcPr>
            <w:tcW w:w="5931" w:type="dxa"/>
            <w:vAlign w:val="center"/>
          </w:tcPr>
          <w:p w14:paraId="141A79AC">
            <w:pPr>
              <w:pStyle w:val="6"/>
              <w:ind w:firstLine="0" w:firstLineChars="0"/>
              <w:jc w:val="center"/>
            </w:pPr>
            <w:r>
              <w:t>CNAS</w:t>
            </w:r>
            <w:r>
              <w:rPr>
                <w:rFonts w:hint="eastAsia"/>
              </w:rPr>
              <w:t>检验机构</w:t>
            </w:r>
          </w:p>
        </w:tc>
      </w:tr>
      <w:tr w14:paraId="799F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4B422DE4">
            <w:pPr>
              <w:pStyle w:val="6"/>
              <w:ind w:firstLine="0" w:firstLineChars="0"/>
              <w:jc w:val="center"/>
            </w:pPr>
          </w:p>
        </w:tc>
        <w:tc>
          <w:tcPr>
            <w:tcW w:w="5931" w:type="dxa"/>
            <w:vAlign w:val="center"/>
          </w:tcPr>
          <w:p w14:paraId="44E75473">
            <w:pPr>
              <w:pStyle w:val="6"/>
              <w:ind w:firstLine="0" w:firstLineChars="0"/>
              <w:jc w:val="center"/>
            </w:pPr>
            <w:r>
              <w:rPr>
                <w:rFonts w:hint="eastAsia"/>
              </w:rPr>
              <w:t>汽车强制性产品认证（CCC）机构</w:t>
            </w:r>
          </w:p>
        </w:tc>
      </w:tr>
      <w:tr w14:paraId="5B85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7D647695">
            <w:pPr>
              <w:pStyle w:val="6"/>
              <w:ind w:firstLine="0" w:firstLineChars="0"/>
              <w:jc w:val="center"/>
            </w:pPr>
          </w:p>
        </w:tc>
        <w:tc>
          <w:tcPr>
            <w:tcW w:w="5931" w:type="dxa"/>
            <w:vAlign w:val="center"/>
          </w:tcPr>
          <w:p w14:paraId="12261F27">
            <w:pPr>
              <w:pStyle w:val="6"/>
              <w:ind w:firstLine="0" w:firstLineChars="0"/>
              <w:jc w:val="center"/>
            </w:pPr>
            <w:r>
              <w:rPr>
                <w:rFonts w:hint="eastAsia"/>
              </w:rPr>
              <w:t>道路运输车辆燃料消耗量检测机构和达标车型检测机构</w:t>
            </w:r>
          </w:p>
        </w:tc>
      </w:tr>
      <w:tr w14:paraId="1F58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38FECE79">
            <w:pPr>
              <w:pStyle w:val="6"/>
              <w:ind w:firstLine="0" w:firstLineChars="0"/>
              <w:jc w:val="center"/>
            </w:pPr>
          </w:p>
        </w:tc>
        <w:tc>
          <w:tcPr>
            <w:tcW w:w="5931" w:type="dxa"/>
            <w:vAlign w:val="center"/>
          </w:tcPr>
          <w:p w14:paraId="2243D53F">
            <w:pPr>
              <w:pStyle w:val="6"/>
              <w:ind w:firstLine="0" w:firstLineChars="0"/>
              <w:jc w:val="center"/>
            </w:pPr>
            <w:r>
              <w:rPr>
                <w:rFonts w:hint="eastAsia"/>
              </w:rPr>
              <w:t>道路机动车辆产品准入许可检测机构</w:t>
            </w:r>
          </w:p>
        </w:tc>
      </w:tr>
      <w:tr w14:paraId="5382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restart"/>
            <w:vAlign w:val="center"/>
          </w:tcPr>
          <w:p w14:paraId="22D2E905">
            <w:pPr>
              <w:pStyle w:val="6"/>
              <w:ind w:firstLine="0" w:firstLineChars="0"/>
              <w:jc w:val="center"/>
            </w:pPr>
            <w:r>
              <w:rPr>
                <w:rFonts w:hint="eastAsia"/>
              </w:rPr>
              <w:t>智能网联（自动驾驶）汽车测试场</w:t>
            </w:r>
          </w:p>
        </w:tc>
        <w:tc>
          <w:tcPr>
            <w:tcW w:w="5931" w:type="dxa"/>
            <w:vAlign w:val="center"/>
          </w:tcPr>
          <w:p w14:paraId="10421DEA">
            <w:pPr>
              <w:pStyle w:val="6"/>
              <w:ind w:firstLine="0" w:firstLineChars="0"/>
              <w:jc w:val="center"/>
            </w:pPr>
            <w:r>
              <w:rPr>
                <w:rFonts w:hint="eastAsia"/>
              </w:rPr>
              <w:t>CMA检验检测机构</w:t>
            </w:r>
          </w:p>
        </w:tc>
      </w:tr>
      <w:tr w14:paraId="260F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4B3F048F">
            <w:pPr>
              <w:pStyle w:val="6"/>
              <w:ind w:firstLine="0" w:firstLineChars="0"/>
              <w:jc w:val="center"/>
            </w:pPr>
          </w:p>
        </w:tc>
        <w:tc>
          <w:tcPr>
            <w:tcW w:w="5931" w:type="dxa"/>
            <w:vAlign w:val="center"/>
          </w:tcPr>
          <w:p w14:paraId="4B9ECC46">
            <w:pPr>
              <w:pStyle w:val="6"/>
              <w:ind w:firstLine="0" w:firstLineChars="0"/>
              <w:jc w:val="center"/>
            </w:pPr>
            <w:r>
              <w:t>CNAS</w:t>
            </w:r>
            <w:r>
              <w:rPr>
                <w:rFonts w:hint="eastAsia"/>
              </w:rPr>
              <w:t>检验机构</w:t>
            </w:r>
          </w:p>
        </w:tc>
      </w:tr>
      <w:tr w14:paraId="3AF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3853206C">
            <w:pPr>
              <w:pStyle w:val="6"/>
              <w:ind w:firstLine="0" w:firstLineChars="0"/>
              <w:jc w:val="center"/>
            </w:pPr>
          </w:p>
        </w:tc>
        <w:tc>
          <w:tcPr>
            <w:tcW w:w="5931" w:type="dxa"/>
            <w:vAlign w:val="center"/>
          </w:tcPr>
          <w:p w14:paraId="680FA327">
            <w:pPr>
              <w:pStyle w:val="6"/>
              <w:ind w:firstLine="0" w:firstLineChars="0"/>
              <w:jc w:val="center"/>
            </w:pPr>
            <w:r>
              <w:rPr>
                <w:rFonts w:hint="eastAsia"/>
              </w:rPr>
              <w:t>国家智能网联汽车封闭测试基地</w:t>
            </w:r>
          </w:p>
        </w:tc>
      </w:tr>
      <w:tr w14:paraId="4A61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1665A66F">
            <w:pPr>
              <w:pStyle w:val="6"/>
              <w:ind w:firstLine="0" w:firstLineChars="0"/>
              <w:jc w:val="center"/>
            </w:pPr>
          </w:p>
        </w:tc>
        <w:tc>
          <w:tcPr>
            <w:tcW w:w="5931" w:type="dxa"/>
            <w:vAlign w:val="center"/>
          </w:tcPr>
          <w:p w14:paraId="54AEA0F4">
            <w:pPr>
              <w:pStyle w:val="6"/>
              <w:ind w:firstLine="0" w:firstLineChars="0"/>
              <w:jc w:val="center"/>
            </w:pPr>
            <w:r>
              <w:rPr>
                <w:rFonts w:hint="eastAsia"/>
              </w:rPr>
              <w:t>自动驾驶封闭场地测试基地</w:t>
            </w:r>
          </w:p>
        </w:tc>
      </w:tr>
      <w:tr w14:paraId="230F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1A60C9FD">
            <w:pPr>
              <w:pStyle w:val="6"/>
              <w:ind w:firstLine="0" w:firstLineChars="0"/>
              <w:jc w:val="center"/>
            </w:pPr>
          </w:p>
        </w:tc>
        <w:tc>
          <w:tcPr>
            <w:tcW w:w="5931" w:type="dxa"/>
            <w:vAlign w:val="center"/>
          </w:tcPr>
          <w:p w14:paraId="0E31AEE7">
            <w:pPr>
              <w:pStyle w:val="6"/>
              <w:ind w:firstLine="0" w:firstLineChars="0"/>
              <w:jc w:val="center"/>
            </w:pPr>
            <w:r>
              <w:rPr>
                <w:rFonts w:hint="eastAsia"/>
              </w:rPr>
              <w:t>智能网联汽车自动驾驶封闭场地测试基地</w:t>
            </w:r>
          </w:p>
        </w:tc>
      </w:tr>
      <w:tr w14:paraId="47FC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restart"/>
            <w:vAlign w:val="center"/>
          </w:tcPr>
          <w:p w14:paraId="267C3759">
            <w:pPr>
              <w:pStyle w:val="6"/>
              <w:ind w:firstLine="0" w:firstLineChars="0"/>
              <w:jc w:val="center"/>
            </w:pPr>
            <w:r>
              <w:rPr>
                <w:rFonts w:hint="eastAsia"/>
              </w:rPr>
              <w:t>自由驾驶测试场</w:t>
            </w:r>
          </w:p>
        </w:tc>
        <w:tc>
          <w:tcPr>
            <w:tcW w:w="5931" w:type="dxa"/>
            <w:vAlign w:val="center"/>
          </w:tcPr>
          <w:p w14:paraId="06641166">
            <w:pPr>
              <w:pStyle w:val="6"/>
              <w:ind w:firstLine="0" w:firstLineChars="0"/>
              <w:jc w:val="center"/>
            </w:pPr>
            <w:r>
              <w:rPr>
                <w:rFonts w:hint="eastAsia"/>
              </w:rPr>
              <w:t>一至四级国际赛道</w:t>
            </w:r>
          </w:p>
        </w:tc>
      </w:tr>
      <w:tr w14:paraId="58D8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Merge w:val="continue"/>
            <w:vAlign w:val="center"/>
          </w:tcPr>
          <w:p w14:paraId="318FA409">
            <w:pPr>
              <w:pStyle w:val="6"/>
              <w:ind w:firstLine="0" w:firstLineChars="0"/>
              <w:jc w:val="center"/>
            </w:pPr>
          </w:p>
        </w:tc>
        <w:tc>
          <w:tcPr>
            <w:tcW w:w="5931" w:type="dxa"/>
            <w:vAlign w:val="center"/>
          </w:tcPr>
          <w:p w14:paraId="6E94ADB5">
            <w:pPr>
              <w:pStyle w:val="6"/>
              <w:ind w:firstLine="0" w:firstLineChars="0"/>
              <w:jc w:val="center"/>
            </w:pPr>
            <w:r>
              <w:rPr>
                <w:rFonts w:hint="eastAsia"/>
              </w:rPr>
              <w:t>五至六级赛道</w:t>
            </w:r>
          </w:p>
        </w:tc>
      </w:tr>
      <w:tr w14:paraId="7CB0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Align w:val="center"/>
          </w:tcPr>
          <w:p w14:paraId="124A5500">
            <w:pPr>
              <w:pStyle w:val="6"/>
              <w:ind w:firstLine="0" w:firstLineChars="0"/>
              <w:jc w:val="center"/>
            </w:pPr>
            <w:r>
              <w:rPr>
                <w:rFonts w:hint="eastAsia"/>
              </w:rPr>
              <w:t>厂区汽车测试场</w:t>
            </w:r>
          </w:p>
        </w:tc>
        <w:tc>
          <w:tcPr>
            <w:tcW w:w="5931" w:type="dxa"/>
            <w:vAlign w:val="center"/>
          </w:tcPr>
          <w:p w14:paraId="48ABAA48">
            <w:pPr>
              <w:pStyle w:val="6"/>
              <w:ind w:firstLine="0" w:firstLineChars="0"/>
              <w:jc w:val="center"/>
            </w:pPr>
            <w:r>
              <w:rPr>
                <w:rFonts w:hint="eastAsia"/>
              </w:rPr>
              <w:t>CNAS检验机构</w:t>
            </w:r>
          </w:p>
        </w:tc>
      </w:tr>
      <w:tr w14:paraId="423A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vAlign w:val="center"/>
          </w:tcPr>
          <w:p w14:paraId="143A90D9">
            <w:pPr>
              <w:pStyle w:val="6"/>
              <w:ind w:firstLine="0" w:firstLineChars="0"/>
              <w:jc w:val="center"/>
            </w:pPr>
            <w:r>
              <w:rPr>
                <w:rFonts w:hint="eastAsia"/>
              </w:rPr>
              <w:t>多功能融合汽车测试场</w:t>
            </w:r>
          </w:p>
        </w:tc>
        <w:tc>
          <w:tcPr>
            <w:tcW w:w="5931" w:type="dxa"/>
            <w:vAlign w:val="center"/>
          </w:tcPr>
          <w:p w14:paraId="25D39CFD">
            <w:pPr>
              <w:pStyle w:val="6"/>
              <w:ind w:firstLine="0" w:firstLineChars="0"/>
              <w:jc w:val="center"/>
            </w:pPr>
            <w:r>
              <w:rPr>
                <w:rFonts w:hint="eastAsia"/>
              </w:rPr>
              <w:t>场地内相当完整、独立的部分可以按照上述四类场地中的一类或几类申请相应资质</w:t>
            </w:r>
          </w:p>
        </w:tc>
      </w:tr>
    </w:tbl>
    <w:p w14:paraId="151BC7C3">
      <w:pPr>
        <w:pStyle w:val="2"/>
        <w:numPr>
          <w:ilvl w:val="0"/>
          <w:numId w:val="0"/>
        </w:numPr>
        <w:rPr>
          <w:rFonts w:hint="eastAsia"/>
          <w:sz w:val="24"/>
          <w:szCs w:val="24"/>
        </w:rPr>
      </w:pPr>
      <w:r>
        <w:rPr>
          <w:rFonts w:hint="eastAsia"/>
          <w:sz w:val="24"/>
          <w:szCs w:val="24"/>
        </w:rPr>
        <w:t>三、采用国际标准和国外先进标准情况</w:t>
      </w:r>
    </w:p>
    <w:p w14:paraId="47D6FE05">
      <w:pPr>
        <w:tabs>
          <w:tab w:val="center" w:pos="4153"/>
        </w:tabs>
        <w:ind w:firstLine="0" w:firstLineChars="0"/>
        <w:rPr>
          <w:rFonts w:hint="eastAsia" w:ascii="仿宋" w:hAnsi="仿宋"/>
          <w:b/>
          <w:lang w:val="en-US" w:eastAsia="zh-CN"/>
        </w:rPr>
      </w:pPr>
      <w:r>
        <w:rPr>
          <w:rFonts w:hint="eastAsia" w:ascii="仿宋" w:hAnsi="仿宋"/>
          <w:b/>
          <w:lang w:val="en-US" w:eastAsia="zh-CN"/>
        </w:rPr>
        <w:t>1、关于汽车测试场地等的相关标准：</w:t>
      </w:r>
    </w:p>
    <w:p w14:paraId="0ACDF47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T/CECS G: T10-2018_汽车试验场特种道路设计与施工技术规程</w:t>
      </w:r>
    </w:p>
    <w:p w14:paraId="70C9637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T/CECS G：T18-2022_汽车试验场特种道路工程概算预算计价办法及工程量清单与计量规则</w:t>
      </w:r>
    </w:p>
    <w:p w14:paraId="36CAB0F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T/CECS G: V21-01-2020_自动驾驶汽车试验道路技术标准</w:t>
      </w:r>
    </w:p>
    <w:p w14:paraId="62BDFB4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GB/T 41798-2022_智能网联汽车 自动驾驶功能场地试验方法及要求</w:t>
      </w:r>
    </w:p>
    <w:p w14:paraId="2A901B0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GB/T 41600-2022_汽车直线行驶稳定性试验方法</w:t>
      </w:r>
    </w:p>
    <w:p w14:paraId="05BD809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GB/T 12535-2021_汽车起动性能试验方法</w:t>
      </w:r>
    </w:p>
    <w:p w14:paraId="31E767C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G3042011摩托车道路试验实施规范</w:t>
      </w:r>
    </w:p>
    <w:p w14:paraId="01D9F50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 16169_摩托车和轻便摩托车 加速行驶噪声限值及测量方法</w:t>
      </w:r>
    </w:p>
    <w:p w14:paraId="6301DE3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GB_20073-2006_摩托车和轻便摩托车 制动性能要求及试验方法</w:t>
      </w:r>
    </w:p>
    <w:p w14:paraId="14642F7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GB_T_5378_2008_摩托车和轻便摩托车道路试验方法</w:t>
      </w:r>
    </w:p>
    <w:p w14:paraId="738C995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GB4569-2005_摩托车和轻便摩托车定量噪声排放限值及测量方法</w:t>
      </w:r>
    </w:p>
    <w:p w14:paraId="36336D1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GBT 4570-2008_摩托车和轻便摩托车耐久性试验方法</w:t>
      </w:r>
    </w:p>
    <w:p w14:paraId="69A247F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QCT 1042-2016_摩托车和轻便摩托车振动舒适性试验方法</w:t>
      </w:r>
    </w:p>
    <w:p w14:paraId="2C41F8F5">
      <w:pPr>
        <w:tabs>
          <w:tab w:val="center" w:pos="4153"/>
        </w:tabs>
        <w:ind w:firstLine="0" w:firstLineChars="0"/>
        <w:rPr>
          <w:rFonts w:hint="eastAsia" w:ascii="仿宋" w:hAnsi="仿宋"/>
          <w:b/>
          <w:lang w:val="en-US" w:eastAsia="zh-CN"/>
        </w:rPr>
      </w:pPr>
      <w:r>
        <w:rPr>
          <w:rFonts w:hint="eastAsia" w:ascii="仿宋" w:hAnsi="仿宋"/>
          <w:b/>
          <w:lang w:val="en-US" w:eastAsia="zh-CN"/>
        </w:rPr>
        <w:t>2、关于建设要求的相关标准：</w:t>
      </w:r>
    </w:p>
    <w:p w14:paraId="0697A9B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T/CAMF KD001—2021 卡丁车场地技术规范</w:t>
      </w:r>
    </w:p>
    <w:p w14:paraId="0E63BD1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DB52T 1401.41-2022 山地旅游 第41部分：特色旅游小镇建设要求</w:t>
      </w:r>
    </w:p>
    <w:p w14:paraId="5B56ADA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DB5134T 15.1-2021 康养中心建设与管理规范  第1部分：建设要求</w:t>
      </w:r>
    </w:p>
    <w:p w14:paraId="59E811D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DB12T 1031-2021 应急避难场所建设要求</w:t>
      </w:r>
    </w:p>
    <w:p w14:paraId="20C01A7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DB21T 3522-2021 ETC智慧停车场　关键设备建设要求</w:t>
      </w:r>
    </w:p>
    <w:p w14:paraId="5B3B59B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JTT 200-2020 汽车客运站级别划分和建设要求</w:t>
      </w:r>
    </w:p>
    <w:p w14:paraId="55A3CF8A">
      <w:pPr>
        <w:tabs>
          <w:tab w:val="center" w:pos="4153"/>
        </w:tabs>
        <w:ind w:firstLine="0" w:firstLineChars="0"/>
        <w:rPr>
          <w:rFonts w:hint="eastAsia" w:ascii="仿宋" w:hAnsi="仿宋"/>
          <w:b/>
          <w:lang w:val="en-US" w:eastAsia="zh-CN"/>
        </w:rPr>
      </w:pPr>
      <w:r>
        <w:rPr>
          <w:rFonts w:hint="eastAsia" w:ascii="仿宋" w:hAnsi="仿宋"/>
          <w:b/>
          <w:lang w:val="en-US" w:eastAsia="zh-CN"/>
        </w:rPr>
        <w:t>3、关于开放条件的相关标准：</w:t>
      </w:r>
    </w:p>
    <w:p w14:paraId="3278048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DB23T 3355-2022 冰盘场馆技术要求与开放条件</w:t>
      </w:r>
    </w:p>
    <w:p w14:paraId="7C9D56A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DB42T 1931-2022 体育健身俱乐部的开放条件与技术要求</w:t>
      </w:r>
    </w:p>
    <w:p w14:paraId="5D97B77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 19079.4-2014 体育场所开放条件与技术要求  第4部分：攀岩场所</w:t>
      </w:r>
    </w:p>
    <w:p w14:paraId="14DCD6F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 19079.9-2013 体育场所开放条件与技术要求  第9部分：射箭场所</w:t>
      </w:r>
    </w:p>
    <w:p w14:paraId="0A856C5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 19079.19-2010 体育场所开放条件与技术要求  第19部分：拓展场所</w:t>
      </w:r>
    </w:p>
    <w:p w14:paraId="1B9194A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 19079.30-2013 体育场所开放条件与技术要求  第30部分：山地户外场所</w:t>
      </w:r>
    </w:p>
    <w:p w14:paraId="525366F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 19079.31-2013 体育场所开放条件与技术要求  第31部分：高山探险场所</w:t>
      </w:r>
    </w:p>
    <w:p w14:paraId="1ED09596">
      <w:pPr>
        <w:pStyle w:val="2"/>
        <w:numPr>
          <w:ilvl w:val="0"/>
          <w:numId w:val="0"/>
        </w:numPr>
        <w:ind w:leftChars="0"/>
        <w:rPr>
          <w:rFonts w:hint="eastAsia"/>
          <w:sz w:val="24"/>
          <w:szCs w:val="24"/>
          <w:lang w:val="en-US" w:eastAsia="zh-CN"/>
        </w:rPr>
      </w:pPr>
      <w:r>
        <w:rPr>
          <w:rFonts w:hint="eastAsia"/>
          <w:sz w:val="24"/>
          <w:szCs w:val="24"/>
          <w:lang w:val="en-US" w:eastAsia="zh-CN"/>
        </w:rPr>
        <w:t>四、与现行相关法律、法规、规章及相关标准，特别是强制性标准的协调性</w:t>
      </w:r>
    </w:p>
    <w:p w14:paraId="49BCEBC0">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本文件的制定，贯彻了国家标准化法、产品质量法、强制性安全认证等法律法规和相关标准要求；与现行法律、法规和相关标准无抵触不矛盾。</w:t>
      </w:r>
    </w:p>
    <w:p w14:paraId="5A93E304">
      <w:pPr>
        <w:pStyle w:val="2"/>
        <w:numPr>
          <w:ilvl w:val="0"/>
          <w:numId w:val="0"/>
        </w:numPr>
        <w:ind w:leftChars="0"/>
        <w:rPr>
          <w:rFonts w:hint="eastAsia"/>
          <w:sz w:val="24"/>
          <w:szCs w:val="24"/>
          <w:lang w:val="en-US" w:eastAsia="zh-CN"/>
        </w:rPr>
      </w:pPr>
      <w:r>
        <w:rPr>
          <w:rFonts w:hint="eastAsia"/>
          <w:sz w:val="24"/>
          <w:szCs w:val="24"/>
          <w:lang w:val="en-US" w:eastAsia="zh-CN"/>
        </w:rPr>
        <w:t>五、重大分歧意见的处理经过和依据</w:t>
      </w:r>
    </w:p>
    <w:p w14:paraId="3DA0A2C4">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本文件编制过程中出现的分歧已组织组内沟通征集意见并完善，对于研讨无法解决的问题，将意见征集范围扩大到相关的企业、科研院校等相关方，共同研讨解决。</w:t>
      </w:r>
    </w:p>
    <w:p w14:paraId="35C7F803">
      <w:pPr>
        <w:pStyle w:val="2"/>
        <w:numPr>
          <w:ilvl w:val="0"/>
          <w:numId w:val="0"/>
        </w:numPr>
        <w:ind w:leftChars="0"/>
        <w:rPr>
          <w:rFonts w:hint="eastAsia"/>
          <w:sz w:val="24"/>
          <w:szCs w:val="24"/>
          <w:lang w:val="en-US" w:eastAsia="zh-CN"/>
        </w:rPr>
      </w:pPr>
      <w:r>
        <w:rPr>
          <w:rFonts w:hint="eastAsia"/>
          <w:sz w:val="24"/>
          <w:szCs w:val="24"/>
          <w:lang w:val="en-US" w:eastAsia="zh-CN"/>
        </w:rPr>
        <w:t>六、标准性质的建议说明</w:t>
      </w:r>
    </w:p>
    <w:p w14:paraId="1E50DD10">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建议在行业内作为推荐性标准进行推广。</w:t>
      </w:r>
    </w:p>
    <w:p w14:paraId="2DE09766">
      <w:pPr>
        <w:pStyle w:val="2"/>
        <w:numPr>
          <w:ilvl w:val="0"/>
          <w:numId w:val="0"/>
        </w:numPr>
        <w:ind w:leftChars="0"/>
        <w:rPr>
          <w:rFonts w:hint="eastAsia"/>
          <w:sz w:val="24"/>
          <w:szCs w:val="24"/>
          <w:lang w:val="en-US" w:eastAsia="zh-CN"/>
        </w:rPr>
      </w:pPr>
      <w:r>
        <w:rPr>
          <w:rFonts w:hint="eastAsia"/>
          <w:sz w:val="24"/>
          <w:szCs w:val="24"/>
          <w:lang w:val="en-US" w:eastAsia="zh-CN"/>
        </w:rPr>
        <w:t>七、贯彻标准的要求和措施建议</w:t>
      </w:r>
    </w:p>
    <w:p w14:paraId="3E3E3100">
      <w:pPr>
        <w:tabs>
          <w:tab w:val="center" w:pos="4153"/>
        </w:tabs>
        <w:ind w:firstLine="0" w:firstLineChars="0"/>
        <w:rPr>
          <w:rFonts w:hint="eastAsia" w:ascii="仿宋" w:hAnsi="仿宋"/>
          <w:b/>
          <w:lang w:val="en-US" w:eastAsia="zh-CN"/>
        </w:rPr>
      </w:pPr>
      <w:r>
        <w:rPr>
          <w:rFonts w:hint="eastAsia" w:ascii="仿宋" w:hAnsi="仿宋"/>
          <w:b/>
          <w:lang w:val="en-US" w:eastAsia="zh-CN"/>
        </w:rPr>
        <w:t>1、宣传推广</w:t>
      </w:r>
    </w:p>
    <w:p w14:paraId="6608BFD3">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在行业协会指导下，充分结合起草单位同济大学建筑设计研究院（集团）有限公司汽车运动与安全研究中心、上海智慧交通安全驾驶工程技术研究中心的行业地位以及其他起草单位的优势资源，通过媒体、展览、论坛等渠道广泛宣传标准的作用、意义和内容，增强社会各界对标准的认识和使用。</w:t>
      </w:r>
    </w:p>
    <w:p w14:paraId="1FAD7637">
      <w:pPr>
        <w:tabs>
          <w:tab w:val="center" w:pos="4153"/>
        </w:tabs>
        <w:ind w:firstLine="0" w:firstLineChars="0"/>
        <w:rPr>
          <w:rFonts w:hint="eastAsia" w:ascii="仿宋" w:hAnsi="仿宋"/>
          <w:b/>
          <w:lang w:val="en-US" w:eastAsia="zh-CN"/>
        </w:rPr>
      </w:pPr>
      <w:r>
        <w:rPr>
          <w:rFonts w:hint="eastAsia" w:ascii="仿宋" w:hAnsi="仿宋"/>
          <w:b/>
          <w:lang w:val="en-US" w:eastAsia="zh-CN"/>
        </w:rPr>
        <w:t>2、培训交流</w:t>
      </w:r>
    </w:p>
    <w:p w14:paraId="069F7D28">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针对行业实际需要，组织专门的培训和交流活动，邀请行业专家和标准起草单位代表，向相关人员解读标准的知识和运用方法，提高标准化思维和实际使用水平。</w:t>
      </w:r>
    </w:p>
    <w:p w14:paraId="7E04AB1B">
      <w:pPr>
        <w:tabs>
          <w:tab w:val="center" w:pos="4153"/>
        </w:tabs>
        <w:ind w:firstLine="0" w:firstLineChars="0"/>
        <w:rPr>
          <w:rFonts w:hint="eastAsia" w:ascii="仿宋" w:hAnsi="仿宋"/>
          <w:b/>
          <w:lang w:val="en-US" w:eastAsia="zh-CN"/>
        </w:rPr>
      </w:pPr>
      <w:r>
        <w:rPr>
          <w:rFonts w:hint="eastAsia" w:ascii="仿宋" w:hAnsi="仿宋"/>
          <w:b/>
          <w:lang w:val="en-US" w:eastAsia="zh-CN"/>
        </w:rPr>
        <w:t>3、应用计划</w:t>
      </w:r>
    </w:p>
    <w:p w14:paraId="2499A19E">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在文件起草单位同济大学建筑设计研究院（集团）有限公司汽车运动与安全研究中心承接的各类汽车测试场地项目中率先开展标准的应用推广工作，遴选并建设示范性项目。</w:t>
      </w:r>
    </w:p>
    <w:p w14:paraId="2390FFCF">
      <w:pPr>
        <w:pStyle w:val="2"/>
        <w:numPr>
          <w:ilvl w:val="0"/>
          <w:numId w:val="0"/>
        </w:numPr>
        <w:ind w:leftChars="0"/>
        <w:rPr>
          <w:rFonts w:hint="eastAsia"/>
          <w:sz w:val="24"/>
          <w:szCs w:val="24"/>
          <w:lang w:val="en-US" w:eastAsia="zh-CN"/>
        </w:rPr>
      </w:pPr>
      <w:r>
        <w:rPr>
          <w:rFonts w:hint="eastAsia"/>
          <w:sz w:val="24"/>
          <w:szCs w:val="24"/>
          <w:lang w:val="en-US" w:eastAsia="zh-CN"/>
        </w:rPr>
        <w:t>八、标准中涉及的专利</w:t>
      </w:r>
    </w:p>
    <w:p w14:paraId="4ED6285D">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本文件无涉及专利</w:t>
      </w:r>
    </w:p>
    <w:p w14:paraId="12114BDA">
      <w:pPr>
        <w:pStyle w:val="2"/>
        <w:numPr>
          <w:ilvl w:val="0"/>
          <w:numId w:val="0"/>
        </w:numPr>
        <w:ind w:leftChars="0"/>
        <w:rPr>
          <w:rFonts w:hint="eastAsia"/>
          <w:sz w:val="24"/>
          <w:szCs w:val="24"/>
          <w:lang w:val="en-US" w:eastAsia="zh-CN"/>
        </w:rPr>
      </w:pPr>
      <w:r>
        <w:rPr>
          <w:rFonts w:hint="eastAsia"/>
          <w:sz w:val="24"/>
          <w:szCs w:val="24"/>
          <w:lang w:val="en-US" w:eastAsia="zh-CN"/>
        </w:rPr>
        <w:t>九、无废止现行相关标准的建议</w:t>
      </w:r>
    </w:p>
    <w:p w14:paraId="3E065BE5">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暂无</w:t>
      </w:r>
    </w:p>
    <w:p w14:paraId="030A6E08">
      <w:pPr>
        <w:pStyle w:val="2"/>
        <w:numPr>
          <w:ilvl w:val="0"/>
          <w:numId w:val="0"/>
        </w:numPr>
        <w:ind w:leftChars="0"/>
        <w:rPr>
          <w:rFonts w:hint="eastAsia"/>
          <w:sz w:val="24"/>
          <w:szCs w:val="24"/>
          <w:lang w:val="en-US" w:eastAsia="zh-CN"/>
        </w:rPr>
      </w:pPr>
      <w:r>
        <w:rPr>
          <w:rFonts w:hint="eastAsia"/>
          <w:sz w:val="24"/>
          <w:szCs w:val="24"/>
          <w:lang w:val="en-US" w:eastAsia="zh-CN"/>
        </w:rPr>
        <w:t>十、其它应予说明的事项</w:t>
      </w:r>
    </w:p>
    <w:p w14:paraId="4C2CBC19">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暂无</w:t>
      </w:r>
    </w:p>
    <w:p w14:paraId="3CEFC06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sz w:val="21"/>
          <w:szCs w:val="21"/>
          <w:lang w:val="en-US" w:eastAsia="zh-CN"/>
        </w:rPr>
      </w:pPr>
    </w:p>
    <w:p w14:paraId="38A8DA9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001C4"/>
    <w:multiLevelType w:val="multilevel"/>
    <w:tmpl w:val="350001C4"/>
    <w:lvl w:ilvl="0" w:tentative="0">
      <w:start w:val="1"/>
      <w:numFmt w:val="decimal"/>
      <w:pStyle w:val="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
      <w:suff w:val="nothing"/>
      <w:lvlText w:val="%1%2.%3.%4　"/>
      <w:lvlJc w:val="left"/>
      <w:pPr>
        <w:ind w:left="0" w:firstLine="0"/>
      </w:pPr>
      <w:rPr>
        <w:rFonts w:hint="eastAsia" w:ascii="黑体" w:eastAsia="黑体"/>
        <w:b w:val="0"/>
        <w:i w:val="0"/>
        <w:sz w:val="21"/>
      </w:rPr>
    </w:lvl>
    <w:lvl w:ilvl="4" w:tentative="0">
      <w:start w:val="1"/>
      <w:numFmt w:val="decimal"/>
      <w:pStyle w:val="1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2268" w:firstLine="0"/>
      </w:pPr>
      <w:rPr>
        <w:rFonts w:hint="eastAsia" w:ascii="黑体" w:eastAsia="黑体"/>
        <w:b w:val="0"/>
        <w:i w:val="0"/>
        <w:sz w:val="21"/>
      </w:rPr>
    </w:lvl>
    <w:lvl w:ilvl="6" w:tentative="0">
      <w:start w:val="1"/>
      <w:numFmt w:val="decimal"/>
      <w:suff w:val="nothing"/>
      <w:lvlText w:val="%1%2.%3.%4.%5.%6.%7　"/>
      <w:lvlJc w:val="left"/>
      <w:pPr>
        <w:ind w:left="1135"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YjU4M2EzNTgxY2FhMGZjZTFmNTE4NDNiZDdjNDQifQ=="/>
  </w:docVars>
  <w:rsids>
    <w:rsidRoot w:val="00000000"/>
    <w:rsid w:val="07361A47"/>
    <w:rsid w:val="0D4E48F3"/>
    <w:rsid w:val="2E076B58"/>
    <w:rsid w:val="46603AD2"/>
    <w:rsid w:val="657607C4"/>
    <w:rsid w:val="6D1E3C1B"/>
    <w:rsid w:val="70FC24C5"/>
    <w:rsid w:val="7D1A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rFonts w:eastAsia="黑体"/>
      <w:b/>
      <w:bCs/>
      <w:kern w:val="44"/>
      <w:sz w:val="32"/>
      <w:szCs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标准文件_二级无标题"/>
    <w:basedOn w:val="8"/>
    <w:qFormat/>
    <w:uiPriority w:val="0"/>
    <w:pPr>
      <w:spacing w:before="0" w:beforeLines="0" w:after="0" w:afterLines="0"/>
      <w:outlineLvl w:val="9"/>
    </w:pPr>
    <w:rPr>
      <w:rFonts w:ascii="宋体" w:eastAsia="宋体"/>
    </w:rPr>
  </w:style>
  <w:style w:type="paragraph" w:customStyle="1" w:styleId="8">
    <w:name w:val="标准文件_二级条标题"/>
    <w:next w:val="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
    <w:name w:val="标准文件_三级无标题"/>
    <w:basedOn w:val="10"/>
    <w:qFormat/>
    <w:uiPriority w:val="0"/>
    <w:pPr>
      <w:spacing w:before="0" w:beforeLines="0" w:after="0" w:afterLines="0"/>
      <w:outlineLvl w:val="9"/>
    </w:pPr>
    <w:rPr>
      <w:rFonts w:ascii="宋体" w:eastAsia="宋体"/>
    </w:rPr>
  </w:style>
  <w:style w:type="paragraph" w:customStyle="1" w:styleId="10">
    <w:name w:val="标准文件_三级条标题"/>
    <w:basedOn w:val="8"/>
    <w:next w:val="6"/>
    <w:qFormat/>
    <w:uiPriority w:val="0"/>
    <w:pPr>
      <w:widowControl/>
      <w:numPr>
        <w:ilvl w:val="4"/>
      </w:numPr>
      <w:outlineLvl w:val="3"/>
    </w:pPr>
  </w:style>
  <w:style w:type="paragraph" w:customStyle="1" w:styleId="11">
    <w:name w:val="Body text|1"/>
    <w:basedOn w:val="1"/>
    <w:autoRedefine/>
    <w:qFormat/>
    <w:uiPriority w:val="0"/>
    <w:pPr>
      <w:spacing w:line="449" w:lineRule="auto"/>
    </w:pPr>
    <w:rPr>
      <w:rFonts w:ascii="宋体" w:hAnsi="宋体" w:cs="宋体" w:eastAsiaTheme="minorEastAsia"/>
      <w:kern w:val="2"/>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2930</Words>
  <Characters>3005</Characters>
  <Lines>0</Lines>
  <Paragraphs>0</Paragraphs>
  <TotalTime>7</TotalTime>
  <ScaleCrop>false</ScaleCrop>
  <LinksUpToDate>false</LinksUpToDate>
  <CharactersWithSpaces>3005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2024-10-25T02:29:00Z</dcterms:created>
  <dc:creator>Administrator</dc:creator>
  <cp:lastModifiedBy>潇阳-sun</cp:lastModifiedBy>
  <dcterms:modified xsi:type="dcterms:W3CDTF">2024-10-28T00:58:35Z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6585C00E3AB94FF384A3B48EF02648E0_12</vt:lpwstr>
  </property>
</Properties>
</file>