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C6" w:rsidRPr="00BB05B5" w:rsidRDefault="00882FBD">
      <w:pPr>
        <w:rPr>
          <w:rFonts w:eastAsiaTheme="majorEastAsia"/>
          <w:sz w:val="28"/>
          <w:szCs w:val="28"/>
        </w:rPr>
      </w:pPr>
      <w:r w:rsidRPr="00BB05B5">
        <w:rPr>
          <w:rFonts w:eastAsiaTheme="majorEastAsia"/>
          <w:sz w:val="28"/>
          <w:szCs w:val="28"/>
        </w:rPr>
        <w:t>附件</w:t>
      </w:r>
      <w:r w:rsidRPr="00BB05B5">
        <w:rPr>
          <w:rFonts w:eastAsiaTheme="majorEastAsia"/>
          <w:sz w:val="28"/>
          <w:szCs w:val="28"/>
        </w:rPr>
        <w:t>4</w:t>
      </w:r>
      <w:r w:rsidRPr="00BB05B5">
        <w:rPr>
          <w:rFonts w:eastAsiaTheme="majorEastAsia"/>
          <w:sz w:val="28"/>
          <w:szCs w:val="28"/>
        </w:rPr>
        <w:t>：</w:t>
      </w:r>
    </w:p>
    <w:p w:rsidR="00F146C6" w:rsidRPr="00BB05B5" w:rsidRDefault="00882FBD">
      <w:pPr>
        <w:widowControl/>
        <w:jc w:val="center"/>
        <w:rPr>
          <w:rFonts w:eastAsia="黑体"/>
          <w:sz w:val="28"/>
          <w:szCs w:val="28"/>
        </w:rPr>
      </w:pPr>
      <w:r w:rsidRPr="00BB05B5">
        <w:rPr>
          <w:rFonts w:eastAsia="黑体"/>
          <w:sz w:val="28"/>
          <w:szCs w:val="28"/>
        </w:rPr>
        <w:t>中汽协会《</w:t>
      </w:r>
      <w:r w:rsidR="00166216" w:rsidRPr="00BB05B5">
        <w:rPr>
          <w:rFonts w:eastAsia="黑体"/>
          <w:sz w:val="28"/>
          <w:szCs w:val="28"/>
        </w:rPr>
        <w:t>锂离子电池燃烧特性分析方法</w:t>
      </w:r>
      <w:r w:rsidRPr="00BB05B5">
        <w:rPr>
          <w:rFonts w:eastAsia="黑体"/>
          <w:sz w:val="28"/>
          <w:szCs w:val="28"/>
        </w:rPr>
        <w:t>》团体标准编制说明</w:t>
      </w:r>
    </w:p>
    <w:p w:rsidR="00F146C6" w:rsidRPr="00BB05B5" w:rsidRDefault="00F146C6">
      <w:pPr>
        <w:rPr>
          <w:rFonts w:eastAsia="黑体"/>
          <w:color w:val="000000" w:themeColor="text1"/>
          <w:sz w:val="30"/>
          <w:szCs w:val="30"/>
        </w:rPr>
      </w:pPr>
    </w:p>
    <w:p w:rsidR="00F146C6" w:rsidRPr="00BB05B5" w:rsidRDefault="00882FBD">
      <w:pPr>
        <w:numPr>
          <w:ilvl w:val="0"/>
          <w:numId w:val="1"/>
        </w:numPr>
        <w:ind w:firstLineChars="200" w:firstLine="480"/>
        <w:rPr>
          <w:rFonts w:eastAsia="黑体"/>
          <w:color w:val="000000" w:themeColor="text1"/>
          <w:sz w:val="24"/>
        </w:rPr>
      </w:pPr>
      <w:r w:rsidRPr="00BB05B5">
        <w:rPr>
          <w:rFonts w:eastAsia="黑体"/>
          <w:color w:val="000000" w:themeColor="text1"/>
          <w:sz w:val="24"/>
        </w:rPr>
        <w:t>工作简要过程</w:t>
      </w:r>
    </w:p>
    <w:p w:rsidR="00F146C6" w:rsidRPr="00BB05B5" w:rsidRDefault="00882FBD">
      <w:pPr>
        <w:numPr>
          <w:ilvl w:val="0"/>
          <w:numId w:val="2"/>
        </w:numPr>
        <w:rPr>
          <w:rFonts w:eastAsia="仿宋"/>
          <w:b/>
          <w:bCs/>
          <w:color w:val="000000" w:themeColor="text1"/>
          <w:sz w:val="24"/>
        </w:rPr>
      </w:pPr>
      <w:r w:rsidRPr="00BB05B5">
        <w:rPr>
          <w:rFonts w:eastAsia="仿宋"/>
          <w:b/>
          <w:bCs/>
          <w:color w:val="000000" w:themeColor="text1"/>
          <w:sz w:val="24"/>
        </w:rPr>
        <w:t>任务来源</w:t>
      </w:r>
    </w:p>
    <w:p w:rsidR="00F146C6" w:rsidRPr="00BB05B5" w:rsidRDefault="00DE4954" w:rsidP="00DE4954">
      <w:pPr>
        <w:ind w:left="360" w:firstLineChars="204" w:firstLine="490"/>
        <w:rPr>
          <w:rFonts w:eastAsia="仿宋"/>
          <w:color w:val="000000" w:themeColor="text1"/>
          <w:sz w:val="24"/>
        </w:rPr>
      </w:pPr>
      <w:r w:rsidRPr="00BB05B5">
        <w:rPr>
          <w:rFonts w:eastAsia="仿宋"/>
          <w:color w:val="000000" w:themeColor="text1"/>
          <w:sz w:val="24"/>
        </w:rPr>
        <w:t>《锂离子电池燃烧特性分析方法》团体标准由中国汽车工业协会提出并归口。</w:t>
      </w:r>
    </w:p>
    <w:p w:rsidR="00DE4954" w:rsidRPr="00BB05B5" w:rsidRDefault="00DE4954" w:rsidP="00DE4954">
      <w:pPr>
        <w:ind w:left="360" w:firstLineChars="204" w:firstLine="490"/>
        <w:rPr>
          <w:rFonts w:eastAsia="仿宋"/>
          <w:color w:val="000000" w:themeColor="text1"/>
          <w:sz w:val="24"/>
        </w:rPr>
      </w:pPr>
      <w:r w:rsidRPr="00BB05B5">
        <w:rPr>
          <w:rFonts w:eastAsia="仿宋"/>
          <w:color w:val="000000" w:themeColor="text1"/>
          <w:sz w:val="24"/>
        </w:rPr>
        <w:t>随着锂离子动力电池的不断发展，其伴生的电池安全事故问题及环境维护问题越来越受到重视。由于锂离子动力电池用材料中的电解液、隔膜、添加剂是有机物，一旦发生安全事故，可能泄露有毒物质对人员和环境造成较大的危害，因此迫切需要对锂离子电池的安全性评估、危险级别界定、电池爆炸及泄露事故的应急与防护等做充分的研究，以未雨绸缪，避免新的安全与环境问题。针对上述锂离子电池安全事故风险以及现有评价体系不完善的问题，亟需建立一种有效的安全测试及评价标准，验证电池安全阻燃设计的效果。</w:t>
      </w:r>
    </w:p>
    <w:p w:rsidR="00F146C6" w:rsidRPr="00BB05B5" w:rsidRDefault="00882FBD">
      <w:pPr>
        <w:numPr>
          <w:ilvl w:val="0"/>
          <w:numId w:val="2"/>
        </w:numPr>
        <w:rPr>
          <w:rFonts w:eastAsia="仿宋"/>
          <w:b/>
          <w:bCs/>
          <w:color w:val="000000" w:themeColor="text1"/>
          <w:sz w:val="24"/>
        </w:rPr>
      </w:pPr>
      <w:r w:rsidRPr="00BB05B5">
        <w:rPr>
          <w:rFonts w:eastAsia="仿宋"/>
          <w:b/>
          <w:bCs/>
          <w:color w:val="000000" w:themeColor="text1"/>
          <w:sz w:val="24"/>
        </w:rPr>
        <w:t>主要起草单位及任务分工</w:t>
      </w:r>
    </w:p>
    <w:p w:rsidR="00DE4954" w:rsidRPr="00BB05B5" w:rsidRDefault="00DE4954" w:rsidP="00DE4954">
      <w:pPr>
        <w:ind w:left="360" w:firstLineChars="204" w:firstLine="490"/>
        <w:rPr>
          <w:rFonts w:eastAsia="仿宋"/>
          <w:color w:val="000000" w:themeColor="text1"/>
          <w:sz w:val="24"/>
        </w:rPr>
      </w:pPr>
      <w:r w:rsidRPr="00BB05B5">
        <w:rPr>
          <w:rFonts w:eastAsia="仿宋"/>
          <w:color w:val="000000" w:themeColor="text1"/>
          <w:sz w:val="24"/>
        </w:rPr>
        <w:t>牵头单位：国联汽车动力电池研究院有限责任公司</w:t>
      </w:r>
    </w:p>
    <w:p w:rsidR="00F146C6" w:rsidRPr="00BB05B5" w:rsidRDefault="00DE4954" w:rsidP="00676463">
      <w:pPr>
        <w:ind w:left="360" w:firstLineChars="204" w:firstLine="490"/>
        <w:rPr>
          <w:rFonts w:eastAsia="仿宋"/>
          <w:color w:val="000000" w:themeColor="text1"/>
          <w:sz w:val="24"/>
        </w:rPr>
      </w:pPr>
      <w:r w:rsidRPr="00BB05B5">
        <w:rPr>
          <w:rFonts w:eastAsia="仿宋"/>
          <w:color w:val="000000" w:themeColor="text1"/>
          <w:sz w:val="24"/>
        </w:rPr>
        <w:t>共同起草单位：中国石油天然气股份有限公司石油化工研究院</w:t>
      </w:r>
      <w:r w:rsidR="00676463" w:rsidRPr="00BB05B5">
        <w:rPr>
          <w:rFonts w:eastAsia="仿宋"/>
          <w:color w:val="000000" w:themeColor="text1"/>
          <w:sz w:val="24"/>
        </w:rPr>
        <w:t>、</w:t>
      </w:r>
      <w:r w:rsidRPr="00BB05B5">
        <w:rPr>
          <w:rFonts w:eastAsia="仿宋"/>
          <w:color w:val="000000" w:themeColor="text1"/>
          <w:sz w:val="24"/>
        </w:rPr>
        <w:t>多氟多新能源科技有限公司</w:t>
      </w:r>
      <w:r w:rsidR="00676463" w:rsidRPr="00BB05B5">
        <w:rPr>
          <w:rFonts w:eastAsia="仿宋"/>
          <w:color w:val="000000" w:themeColor="text1"/>
          <w:sz w:val="24"/>
        </w:rPr>
        <w:t>、</w:t>
      </w:r>
      <w:r w:rsidRPr="00BB05B5">
        <w:rPr>
          <w:rFonts w:eastAsia="仿宋"/>
          <w:color w:val="000000" w:themeColor="text1"/>
          <w:sz w:val="24"/>
        </w:rPr>
        <w:t>北京新能源汽车股份有限公司</w:t>
      </w:r>
      <w:r w:rsidR="00676463" w:rsidRPr="00BB05B5">
        <w:rPr>
          <w:rFonts w:eastAsia="仿宋"/>
          <w:color w:val="000000" w:themeColor="text1"/>
          <w:sz w:val="24"/>
        </w:rPr>
        <w:t>、</w:t>
      </w:r>
      <w:r w:rsidRPr="00BB05B5">
        <w:rPr>
          <w:rFonts w:eastAsia="仿宋"/>
          <w:color w:val="000000" w:themeColor="text1"/>
          <w:sz w:val="24"/>
        </w:rPr>
        <w:t>合肥国轩高科动力能源有限公司</w:t>
      </w:r>
      <w:r w:rsidR="00676463" w:rsidRPr="00BB05B5">
        <w:rPr>
          <w:rFonts w:eastAsia="仿宋"/>
          <w:color w:val="000000" w:themeColor="text1"/>
          <w:sz w:val="24"/>
        </w:rPr>
        <w:t>。</w:t>
      </w:r>
    </w:p>
    <w:p w:rsidR="00F146C6" w:rsidRPr="00BB05B5" w:rsidRDefault="00882FBD">
      <w:pPr>
        <w:numPr>
          <w:ilvl w:val="0"/>
          <w:numId w:val="2"/>
        </w:numPr>
        <w:rPr>
          <w:rFonts w:eastAsia="仿宋"/>
          <w:b/>
          <w:bCs/>
          <w:color w:val="000000" w:themeColor="text1"/>
          <w:sz w:val="24"/>
        </w:rPr>
      </w:pPr>
      <w:r w:rsidRPr="00BB05B5">
        <w:rPr>
          <w:rFonts w:eastAsia="仿宋"/>
          <w:b/>
          <w:bCs/>
          <w:color w:val="000000" w:themeColor="text1"/>
          <w:sz w:val="24"/>
        </w:rPr>
        <w:t>标准研讨情况</w:t>
      </w:r>
    </w:p>
    <w:p w:rsidR="00F146C6" w:rsidRPr="00BB05B5" w:rsidRDefault="00882FBD" w:rsidP="00DE4954">
      <w:pPr>
        <w:ind w:left="426" w:firstLineChars="200" w:firstLine="420"/>
        <w:rPr>
          <w:rFonts w:eastAsia="仿宋"/>
          <w:i/>
          <w:iCs/>
          <w:color w:val="000000" w:themeColor="text1"/>
          <w:szCs w:val="21"/>
        </w:rPr>
      </w:pPr>
      <w:r w:rsidRPr="00BB05B5">
        <w:rPr>
          <w:rFonts w:eastAsia="仿宋"/>
          <w:i/>
          <w:iCs/>
          <w:color w:val="000000" w:themeColor="text1"/>
          <w:szCs w:val="21"/>
        </w:rPr>
        <w:t>介绍标准立项、起草过程中召开的有关调研、讨论等会议情况，突出阶段性成果。</w:t>
      </w:r>
    </w:p>
    <w:p w:rsidR="000D5A53" w:rsidRPr="00BB05B5" w:rsidRDefault="00A2567A" w:rsidP="000D5A53">
      <w:pPr>
        <w:ind w:left="360" w:firstLineChars="204" w:firstLine="490"/>
        <w:rPr>
          <w:rFonts w:eastAsia="仿宋"/>
          <w:color w:val="000000" w:themeColor="text1"/>
          <w:sz w:val="24"/>
        </w:rPr>
      </w:pPr>
      <w:r w:rsidRPr="00BB05B5">
        <w:rPr>
          <w:rFonts w:eastAsia="仿宋"/>
          <w:color w:val="000000" w:themeColor="text1"/>
          <w:sz w:val="24"/>
        </w:rPr>
        <w:t>2024</w:t>
      </w:r>
      <w:r w:rsidRPr="00BB05B5">
        <w:rPr>
          <w:rFonts w:eastAsia="仿宋"/>
          <w:color w:val="000000" w:themeColor="text1"/>
          <w:sz w:val="24"/>
        </w:rPr>
        <w:t>年</w:t>
      </w:r>
      <w:r w:rsidRPr="00BB05B5">
        <w:rPr>
          <w:rFonts w:eastAsia="仿宋"/>
          <w:color w:val="000000" w:themeColor="text1"/>
          <w:sz w:val="24"/>
        </w:rPr>
        <w:t>6</w:t>
      </w:r>
      <w:r w:rsidRPr="00BB05B5">
        <w:rPr>
          <w:rFonts w:eastAsia="仿宋"/>
          <w:color w:val="000000" w:themeColor="text1"/>
          <w:sz w:val="24"/>
        </w:rPr>
        <w:t>月</w:t>
      </w:r>
      <w:r w:rsidRPr="00BB05B5">
        <w:rPr>
          <w:rFonts w:eastAsia="仿宋"/>
          <w:color w:val="000000" w:themeColor="text1"/>
          <w:sz w:val="24"/>
        </w:rPr>
        <w:t>18</w:t>
      </w:r>
      <w:r w:rsidRPr="00BB05B5">
        <w:rPr>
          <w:rFonts w:eastAsia="仿宋"/>
          <w:color w:val="000000" w:themeColor="text1"/>
          <w:sz w:val="24"/>
        </w:rPr>
        <w:t>日由中国汽车工业协会召开《</w:t>
      </w:r>
      <w:r w:rsidR="000D5A53" w:rsidRPr="00BB05B5">
        <w:rPr>
          <w:rFonts w:eastAsia="仿宋"/>
          <w:color w:val="000000" w:themeColor="text1"/>
          <w:sz w:val="24"/>
        </w:rPr>
        <w:t>锂离子电池燃烧特性分析方法</w:t>
      </w:r>
      <w:r w:rsidRPr="00BB05B5">
        <w:rPr>
          <w:rFonts w:eastAsia="仿宋"/>
          <w:color w:val="000000" w:themeColor="text1"/>
          <w:sz w:val="24"/>
        </w:rPr>
        <w:t>》标准立项评审会议</w:t>
      </w:r>
      <w:r w:rsidR="000D5A53" w:rsidRPr="00BB05B5">
        <w:rPr>
          <w:rFonts w:eastAsia="仿宋"/>
          <w:color w:val="000000" w:themeColor="text1"/>
          <w:sz w:val="24"/>
        </w:rPr>
        <w:t>，会议由中国汽车工业协会、苏州大学化学电源研究所、中国合成树脂协会高功能薄膜分会、合肥国轩高科动力能源有限公司、北京新能源汽车股份有限公司、北京市产品质量监督检验研究院、国家化学电源产品质量检验检测中心、中国汽车工程研究院股份有限公司的各位专家组成评审专家组。国联汽车动力电池研究院有限责任公司检测事业部系统及可靠安全检测中心经理崔义对《锂离子电池燃烧特性分析方法》标准进行了立项工作汇报，专家组对标准进行了咨询，并给与了具体的指导和修改意见，最后，同意《锂离子电池燃烧特性分析方法》标准通过立项申请。</w:t>
      </w:r>
    </w:p>
    <w:p w:rsidR="00F146C6" w:rsidRPr="00BB05B5" w:rsidRDefault="003A4C72" w:rsidP="003A4C72">
      <w:pPr>
        <w:ind w:left="363" w:firstLineChars="200" w:firstLine="480"/>
        <w:rPr>
          <w:rFonts w:eastAsia="仿宋"/>
          <w:color w:val="000000" w:themeColor="text1"/>
          <w:sz w:val="24"/>
        </w:rPr>
      </w:pPr>
      <w:r>
        <w:rPr>
          <w:rFonts w:ascii="仿宋" w:eastAsia="仿宋" w:hAnsi="仿宋" w:cs="仿宋" w:hint="eastAsia"/>
          <w:color w:val="000000" w:themeColor="text1"/>
          <w:sz w:val="24"/>
        </w:rPr>
        <w:lastRenderedPageBreak/>
        <w:t>2024年10月15日</w:t>
      </w:r>
      <w:r>
        <w:rPr>
          <w:rFonts w:ascii="仿宋" w:eastAsia="仿宋" w:hAnsi="仿宋" w:cs="仿宋"/>
          <w:color w:val="000000" w:themeColor="text1"/>
          <w:sz w:val="24"/>
        </w:rPr>
        <w:t>，</w:t>
      </w:r>
      <w:bookmarkStart w:id="0" w:name="_GoBack"/>
      <w:bookmarkEnd w:id="0"/>
      <w:r>
        <w:rPr>
          <w:rFonts w:ascii="仿宋" w:eastAsia="仿宋" w:hAnsi="仿宋" w:cs="仿宋" w:hint="eastAsia"/>
          <w:color w:val="000000" w:themeColor="text1"/>
          <w:sz w:val="24"/>
        </w:rPr>
        <w:t>下达</w:t>
      </w:r>
      <w:r>
        <w:rPr>
          <w:rFonts w:ascii="仿宋" w:eastAsia="仿宋" w:hAnsi="仿宋" w:cs="仿宋"/>
          <w:color w:val="000000" w:themeColor="text1"/>
          <w:sz w:val="24"/>
        </w:rPr>
        <w:t>立项任务，</w:t>
      </w:r>
      <w:r>
        <w:rPr>
          <w:rFonts w:ascii="仿宋" w:eastAsia="仿宋" w:hAnsi="仿宋" w:cs="仿宋" w:hint="eastAsia"/>
          <w:color w:val="000000" w:themeColor="text1"/>
          <w:sz w:val="24"/>
        </w:rPr>
        <w:t>编号</w:t>
      </w:r>
      <w:r>
        <w:rPr>
          <w:rFonts w:ascii="仿宋" w:eastAsia="仿宋" w:hAnsi="仿宋" w:cs="仿宋"/>
          <w:color w:val="000000" w:themeColor="text1"/>
          <w:sz w:val="24"/>
          <w:u w:val="single"/>
        </w:rPr>
        <w:t>2024-</w:t>
      </w:r>
      <w:r>
        <w:rPr>
          <w:rFonts w:ascii="仿宋" w:eastAsia="仿宋" w:hAnsi="仿宋" w:cs="仿宋"/>
          <w:color w:val="000000" w:themeColor="text1"/>
          <w:sz w:val="24"/>
          <w:u w:val="single"/>
        </w:rPr>
        <w:t>66</w:t>
      </w:r>
      <w:r>
        <w:rPr>
          <w:rFonts w:ascii="仿宋" w:eastAsia="仿宋" w:hAnsi="仿宋" w:cs="仿宋" w:hint="eastAsia"/>
          <w:color w:val="000000" w:themeColor="text1"/>
          <w:sz w:val="24"/>
        </w:rPr>
        <w:t>。</w:t>
      </w:r>
    </w:p>
    <w:p w:rsidR="00F146C6" w:rsidRPr="00BB05B5" w:rsidRDefault="00882FBD">
      <w:pPr>
        <w:ind w:firstLineChars="200" w:firstLine="480"/>
        <w:rPr>
          <w:rFonts w:eastAsia="黑体"/>
          <w:color w:val="000000" w:themeColor="text1"/>
          <w:sz w:val="24"/>
        </w:rPr>
      </w:pPr>
      <w:r w:rsidRPr="00BB05B5">
        <w:rPr>
          <w:rFonts w:eastAsia="黑体"/>
          <w:color w:val="000000" w:themeColor="text1"/>
          <w:sz w:val="24"/>
        </w:rPr>
        <w:t>二、标准编制原则和主要内容</w:t>
      </w:r>
    </w:p>
    <w:p w:rsidR="009859E6" w:rsidRPr="00BB05B5" w:rsidRDefault="009859E6" w:rsidP="009859E6">
      <w:pPr>
        <w:ind w:firstLineChars="200" w:firstLine="480"/>
        <w:rPr>
          <w:rFonts w:eastAsia="仿宋"/>
          <w:sz w:val="24"/>
        </w:rPr>
      </w:pPr>
      <w:r w:rsidRPr="00BB05B5">
        <w:rPr>
          <w:rFonts w:eastAsia="仿宋"/>
          <w:sz w:val="24"/>
        </w:rPr>
        <w:t>2.1</w:t>
      </w:r>
      <w:r w:rsidRPr="00BB05B5">
        <w:rPr>
          <w:rFonts w:eastAsia="仿宋"/>
          <w:sz w:val="24"/>
        </w:rPr>
        <w:tab/>
      </w:r>
      <w:r w:rsidRPr="00BB05B5">
        <w:rPr>
          <w:rFonts w:eastAsia="仿宋"/>
          <w:sz w:val="24"/>
        </w:rPr>
        <w:t>标准制定原则</w:t>
      </w:r>
    </w:p>
    <w:p w:rsidR="009859E6" w:rsidRPr="00BB05B5" w:rsidRDefault="009859E6" w:rsidP="009859E6">
      <w:pPr>
        <w:ind w:left="360" w:firstLineChars="204" w:firstLine="490"/>
        <w:rPr>
          <w:rFonts w:eastAsia="仿宋"/>
          <w:color w:val="000000" w:themeColor="text1"/>
          <w:sz w:val="24"/>
        </w:rPr>
      </w:pPr>
      <w:r w:rsidRPr="00BB05B5">
        <w:rPr>
          <w:rFonts w:eastAsia="仿宋"/>
          <w:color w:val="000000" w:themeColor="text1"/>
          <w:sz w:val="24"/>
        </w:rPr>
        <w:t>本文件适用于电池燃烧特性分析及风险指数分析，规定了燃烧热释放速率、质量损失率和火焰传播指数的测试方法，并依据上述三个特征参数验证电池安全阻燃设计的效果，从而建立电池模组及电池系统层级的燃烧传播过程测试及分析方法。</w:t>
      </w:r>
    </w:p>
    <w:p w:rsidR="009859E6" w:rsidRPr="00BB05B5" w:rsidRDefault="009859E6" w:rsidP="009859E6">
      <w:pPr>
        <w:ind w:left="360" w:firstLineChars="204" w:firstLine="492"/>
        <w:rPr>
          <w:rFonts w:eastAsia="仿宋"/>
          <w:color w:val="000000" w:themeColor="text1"/>
          <w:sz w:val="24"/>
        </w:rPr>
      </w:pPr>
      <w:r w:rsidRPr="00BB05B5">
        <w:rPr>
          <w:rFonts w:eastAsia="仿宋"/>
          <w:b/>
          <w:bCs/>
          <w:color w:val="000000" w:themeColor="text1"/>
          <w:sz w:val="24"/>
        </w:rPr>
        <w:t>1</w:t>
      </w:r>
      <w:r w:rsidRPr="00BB05B5">
        <w:rPr>
          <w:rFonts w:eastAsia="仿宋"/>
          <w:b/>
          <w:bCs/>
          <w:color w:val="000000" w:themeColor="text1"/>
          <w:sz w:val="24"/>
        </w:rPr>
        <w:t>、以电池燃烧过程分析作为安全阻燃特性评价的基准。</w:t>
      </w:r>
      <w:r w:rsidRPr="00BB05B5">
        <w:rPr>
          <w:rFonts w:eastAsia="仿宋"/>
          <w:color w:val="000000" w:themeColor="text1"/>
          <w:sz w:val="24"/>
        </w:rPr>
        <w:t>电池燃烧热释放速率是评价火灾危险性的重要参数，是计算燃烧增长指数、产烟量的基础数据，质量损失率和火焰传播指数是衡量电池在一定着火强度下的燃烧速率和传播行为，上述电池燃烧特性可作为一个参数衡量电池安全性能的重要指标，因此，研究及规范电池燃烧特性及传播指数测试方法有着非常重大的意义。</w:t>
      </w:r>
    </w:p>
    <w:p w:rsidR="009859E6" w:rsidRPr="00BB05B5" w:rsidRDefault="009859E6" w:rsidP="009859E6">
      <w:pPr>
        <w:ind w:left="360" w:firstLineChars="204" w:firstLine="492"/>
        <w:rPr>
          <w:rFonts w:eastAsia="仿宋"/>
          <w:color w:val="000000" w:themeColor="text1"/>
          <w:sz w:val="24"/>
        </w:rPr>
      </w:pPr>
      <w:r w:rsidRPr="00BB05B5">
        <w:rPr>
          <w:rFonts w:eastAsia="仿宋"/>
          <w:b/>
          <w:bCs/>
          <w:color w:val="000000" w:themeColor="text1"/>
          <w:sz w:val="24"/>
        </w:rPr>
        <w:t>2</w:t>
      </w:r>
      <w:r w:rsidRPr="00BB05B5">
        <w:rPr>
          <w:rFonts w:eastAsia="仿宋"/>
          <w:b/>
          <w:bCs/>
          <w:color w:val="000000" w:themeColor="text1"/>
          <w:sz w:val="24"/>
        </w:rPr>
        <w:t>、将安全阻燃评价体系作为企业产品研发和选型的依据。</w:t>
      </w:r>
      <w:r w:rsidRPr="00BB05B5">
        <w:rPr>
          <w:rFonts w:eastAsia="仿宋"/>
          <w:color w:val="000000" w:themeColor="text1"/>
          <w:sz w:val="24"/>
        </w:rPr>
        <w:t>目前并没有标准化的电池燃烧特性分析及风险指数评价的方法，预计本标准的提出后，将会推动一大批推动电池企业、整车企业以及测试机构对锂离子动力电池所用阻燃材料的效果进行定量化安全风险评估研究，提升其产品的安全性。</w:t>
      </w:r>
    </w:p>
    <w:p w:rsidR="009859E6" w:rsidRPr="00BB05B5" w:rsidRDefault="009859E6" w:rsidP="009859E6">
      <w:pPr>
        <w:ind w:firstLineChars="200" w:firstLine="480"/>
        <w:rPr>
          <w:rFonts w:eastAsia="仿宋"/>
          <w:sz w:val="24"/>
        </w:rPr>
      </w:pPr>
      <w:r w:rsidRPr="00BB05B5">
        <w:rPr>
          <w:rFonts w:eastAsia="仿宋"/>
          <w:sz w:val="24"/>
        </w:rPr>
        <w:t>2.2</w:t>
      </w:r>
      <w:r w:rsidRPr="00BB05B5">
        <w:rPr>
          <w:rFonts w:eastAsia="仿宋"/>
          <w:sz w:val="24"/>
        </w:rPr>
        <w:tab/>
      </w:r>
      <w:r w:rsidRPr="00BB05B5">
        <w:rPr>
          <w:rFonts w:eastAsia="仿宋"/>
          <w:sz w:val="24"/>
        </w:rPr>
        <w:t>标准主要内容</w:t>
      </w:r>
    </w:p>
    <w:p w:rsidR="00F146C6" w:rsidRPr="00BB05B5" w:rsidRDefault="009859E6" w:rsidP="009859E6">
      <w:pPr>
        <w:ind w:left="360" w:firstLineChars="204" w:firstLine="490"/>
        <w:rPr>
          <w:rFonts w:eastAsia="仿宋"/>
          <w:color w:val="000000" w:themeColor="text1"/>
          <w:sz w:val="24"/>
        </w:rPr>
      </w:pPr>
      <w:r w:rsidRPr="00BB05B5">
        <w:rPr>
          <w:rFonts w:eastAsia="仿宋"/>
          <w:color w:val="000000" w:themeColor="text1"/>
          <w:sz w:val="24"/>
        </w:rPr>
        <w:t>本文件规定了燃烧热释放速率、质量损失率和火焰传播指数的测试方法。</w:t>
      </w:r>
    </w:p>
    <w:p w:rsidR="004560B6" w:rsidRPr="004560B6" w:rsidRDefault="004560B6" w:rsidP="004560B6">
      <w:pPr>
        <w:ind w:left="360" w:firstLineChars="204" w:firstLine="490"/>
        <w:rPr>
          <w:rFonts w:eastAsia="仿宋"/>
          <w:color w:val="000000" w:themeColor="text1"/>
          <w:sz w:val="24"/>
        </w:rPr>
      </w:pPr>
      <w:r w:rsidRPr="004560B6">
        <w:rPr>
          <w:rFonts w:eastAsia="仿宋"/>
          <w:color w:val="000000" w:themeColor="text1"/>
          <w:sz w:val="24"/>
        </w:rPr>
        <w:t>电池一般监控样品的电压，表面中心、正极、负极、底面中心、侧面中心和泄压口的温度。圆柱电池一般监控样品的正极、负极和侧面中心的温度。电池样品表面热电偶布置示意图如图</w:t>
      </w:r>
      <w:r w:rsidRPr="004560B6">
        <w:rPr>
          <w:rFonts w:eastAsia="仿宋"/>
          <w:color w:val="000000" w:themeColor="text1"/>
          <w:sz w:val="24"/>
        </w:rPr>
        <w:t>1</w:t>
      </w:r>
      <w:r w:rsidRPr="004560B6">
        <w:rPr>
          <w:rFonts w:eastAsia="仿宋"/>
          <w:color w:val="000000" w:themeColor="text1"/>
          <w:sz w:val="24"/>
        </w:rPr>
        <w:t>、图</w:t>
      </w:r>
      <w:r w:rsidRPr="004560B6">
        <w:rPr>
          <w:rFonts w:eastAsia="仿宋"/>
          <w:color w:val="000000" w:themeColor="text1"/>
          <w:sz w:val="24"/>
        </w:rPr>
        <w:t>2</w:t>
      </w:r>
      <w:r w:rsidRPr="004560B6">
        <w:rPr>
          <w:rFonts w:eastAsia="仿宋"/>
          <w:color w:val="000000" w:themeColor="text1"/>
          <w:sz w:val="24"/>
        </w:rPr>
        <w:t>和图</w:t>
      </w:r>
      <w:r w:rsidRPr="004560B6">
        <w:rPr>
          <w:rFonts w:eastAsia="仿宋"/>
          <w:color w:val="000000" w:themeColor="text1"/>
          <w:sz w:val="24"/>
        </w:rPr>
        <w:t>3</w:t>
      </w:r>
      <w:r w:rsidRPr="004560B6">
        <w:rPr>
          <w:rFonts w:eastAsia="仿宋"/>
          <w:color w:val="000000" w:themeColor="text1"/>
          <w:sz w:val="24"/>
        </w:rPr>
        <w:t>所示。环境热电偶布置位置示意图如图</w:t>
      </w:r>
      <w:r w:rsidRPr="004560B6">
        <w:rPr>
          <w:rFonts w:eastAsia="仿宋"/>
          <w:color w:val="000000" w:themeColor="text1"/>
          <w:sz w:val="24"/>
        </w:rPr>
        <w:t>4</w:t>
      </w:r>
      <w:r w:rsidRPr="004560B6">
        <w:rPr>
          <w:rFonts w:eastAsia="仿宋"/>
          <w:color w:val="000000" w:themeColor="text1"/>
          <w:sz w:val="24"/>
        </w:rPr>
        <w:t>所示。</w:t>
      </w:r>
    </w:p>
    <w:p w:rsidR="004560B6" w:rsidRPr="004560B6" w:rsidRDefault="004560B6" w:rsidP="004560B6">
      <w:pPr>
        <w:widowControl/>
        <w:autoSpaceDE w:val="0"/>
        <w:autoSpaceDN w:val="0"/>
        <w:spacing w:after="0" w:line="240" w:lineRule="auto"/>
        <w:jc w:val="center"/>
        <w:rPr>
          <w:noProof/>
          <w:kern w:val="0"/>
          <w:szCs w:val="20"/>
        </w:rPr>
      </w:pPr>
      <w:r w:rsidRPr="004560B6">
        <w:rPr>
          <w:noProof/>
          <w:kern w:val="0"/>
          <w:szCs w:val="20"/>
        </w:rPr>
        <w:drawing>
          <wp:inline distT="0" distB="0" distL="0" distR="0" wp14:anchorId="25318DDF" wp14:editId="791C5DDA">
            <wp:extent cx="3593465" cy="2388870"/>
            <wp:effectExtent l="0" t="0" r="0" b="0"/>
            <wp:docPr id="750821889" name="图片 750821889" descr="A couple of rectangular objects with blue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0821889" name="图片 750821889" descr="A couple of rectangular objects with blue dots&#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3465" cy="2388870"/>
                    </a:xfrm>
                    <a:prstGeom prst="rect">
                      <a:avLst/>
                    </a:prstGeom>
                    <a:noFill/>
                    <a:ln>
                      <a:noFill/>
                    </a:ln>
                  </pic:spPr>
                </pic:pic>
              </a:graphicData>
            </a:graphic>
          </wp:inline>
        </w:drawing>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color w:val="000000" w:themeColor="text1"/>
          <w:sz w:val="24"/>
        </w:rPr>
        <w:lastRenderedPageBreak/>
        <w:t>图</w:t>
      </w:r>
      <w:r w:rsidRPr="004560B6">
        <w:rPr>
          <w:rFonts w:eastAsia="仿宋"/>
          <w:color w:val="000000" w:themeColor="text1"/>
          <w:sz w:val="24"/>
        </w:rPr>
        <w:t xml:space="preserve">1 </w:t>
      </w:r>
      <w:r w:rsidRPr="004560B6">
        <w:rPr>
          <w:rFonts w:eastAsia="仿宋"/>
          <w:color w:val="000000" w:themeColor="text1"/>
          <w:sz w:val="24"/>
        </w:rPr>
        <w:t>软包电池表面热电偶布置位点示意图</w:t>
      </w:r>
    </w:p>
    <w:p w:rsidR="004560B6" w:rsidRPr="004560B6" w:rsidRDefault="004560B6" w:rsidP="004560B6">
      <w:pPr>
        <w:widowControl/>
        <w:tabs>
          <w:tab w:val="center" w:pos="4201"/>
          <w:tab w:val="right" w:leader="dot" w:pos="9298"/>
        </w:tabs>
        <w:autoSpaceDE w:val="0"/>
        <w:autoSpaceDN w:val="0"/>
        <w:spacing w:after="0" w:line="240" w:lineRule="auto"/>
        <w:jc w:val="center"/>
        <w:rPr>
          <w:kern w:val="0"/>
          <w:szCs w:val="20"/>
        </w:rPr>
      </w:pPr>
      <w:r w:rsidRPr="004560B6">
        <w:rPr>
          <w:noProof/>
          <w:kern w:val="0"/>
          <w:szCs w:val="20"/>
        </w:rPr>
        <w:drawing>
          <wp:inline distT="0" distB="0" distL="0" distR="0" wp14:anchorId="50497D17" wp14:editId="2E50AFCD">
            <wp:extent cx="2872105" cy="2279650"/>
            <wp:effectExtent l="0" t="0" r="0" b="0"/>
            <wp:docPr id="1607961945" name="图片 1607961945" descr="A diagram of a rectangular structure with blue dots and a arr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7961945" name="图片 1607961945" descr="A diagram of a rectangular structure with blue dots and a arrow&#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2105" cy="2279650"/>
                    </a:xfrm>
                    <a:prstGeom prst="rect">
                      <a:avLst/>
                    </a:prstGeom>
                    <a:noFill/>
                    <a:ln>
                      <a:noFill/>
                    </a:ln>
                  </pic:spPr>
                </pic:pic>
              </a:graphicData>
            </a:graphic>
          </wp:inline>
        </w:drawing>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color w:val="000000" w:themeColor="text1"/>
          <w:sz w:val="24"/>
        </w:rPr>
        <w:t>图</w:t>
      </w:r>
      <w:r w:rsidRPr="004560B6">
        <w:rPr>
          <w:rFonts w:eastAsia="仿宋"/>
          <w:color w:val="000000" w:themeColor="text1"/>
          <w:sz w:val="24"/>
        </w:rPr>
        <w:t xml:space="preserve">2 </w:t>
      </w:r>
      <w:r w:rsidRPr="004560B6">
        <w:rPr>
          <w:rFonts w:eastAsia="仿宋"/>
          <w:color w:val="000000" w:themeColor="text1"/>
          <w:sz w:val="24"/>
        </w:rPr>
        <w:t>方形硬壳电池表面热电偶布置位点示意图</w:t>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noProof/>
          <w:color w:val="000000" w:themeColor="text1"/>
          <w:sz w:val="24"/>
        </w:rPr>
        <w:drawing>
          <wp:inline distT="0" distB="0" distL="0" distR="0" wp14:anchorId="68751A25" wp14:editId="6F78F300">
            <wp:extent cx="1635760" cy="1281430"/>
            <wp:effectExtent l="0" t="0" r="0" b="0"/>
            <wp:docPr id="88287580" name="图片 88287580" descr="A drawing of a cylin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7580" name="图片 88287580" descr="A drawing of a cylinder&#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5760" cy="1281430"/>
                    </a:xfrm>
                    <a:prstGeom prst="rect">
                      <a:avLst/>
                    </a:prstGeom>
                    <a:noFill/>
                    <a:ln>
                      <a:noFill/>
                    </a:ln>
                  </pic:spPr>
                </pic:pic>
              </a:graphicData>
            </a:graphic>
          </wp:inline>
        </w:drawing>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color w:val="000000" w:themeColor="text1"/>
          <w:sz w:val="24"/>
        </w:rPr>
        <w:t>图</w:t>
      </w:r>
      <w:r w:rsidRPr="004560B6">
        <w:rPr>
          <w:rFonts w:eastAsia="仿宋"/>
          <w:color w:val="000000" w:themeColor="text1"/>
          <w:sz w:val="24"/>
        </w:rPr>
        <w:t xml:space="preserve">3 </w:t>
      </w:r>
      <w:r w:rsidRPr="004560B6">
        <w:rPr>
          <w:rFonts w:eastAsia="仿宋"/>
          <w:color w:val="000000" w:themeColor="text1"/>
          <w:sz w:val="24"/>
        </w:rPr>
        <w:t>圆柱电池表面热电偶布置位点示意图</w:t>
      </w:r>
    </w:p>
    <w:p w:rsidR="004560B6" w:rsidRPr="004560B6" w:rsidRDefault="004560B6" w:rsidP="004560B6">
      <w:pPr>
        <w:widowControl/>
        <w:tabs>
          <w:tab w:val="center" w:pos="4201"/>
          <w:tab w:val="right" w:leader="dot" w:pos="9298"/>
        </w:tabs>
        <w:autoSpaceDE w:val="0"/>
        <w:autoSpaceDN w:val="0"/>
        <w:spacing w:after="0" w:line="240" w:lineRule="auto"/>
        <w:ind w:firstLineChars="200" w:firstLine="420"/>
        <w:jc w:val="center"/>
        <w:rPr>
          <w:kern w:val="0"/>
          <w:szCs w:val="20"/>
        </w:rPr>
      </w:pPr>
      <w:r w:rsidRPr="004560B6">
        <w:rPr>
          <w:noProof/>
          <w:kern w:val="0"/>
          <w:szCs w:val="20"/>
        </w:rPr>
        <w:drawing>
          <wp:inline distT="0" distB="0" distL="0" distR="0" wp14:anchorId="0E0F46FB" wp14:editId="7B22C7F2">
            <wp:extent cx="2987899" cy="1584497"/>
            <wp:effectExtent l="0" t="0" r="0" b="3175"/>
            <wp:docPr id="849600858" name="图片 1" descr="A blue and black b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00858" name="图片 1" descr="A blue and black block&#10;&#10;Description automatically generated with medium confidence"/>
                    <pic:cNvPicPr/>
                  </pic:nvPicPr>
                  <pic:blipFill>
                    <a:blip r:embed="rId11"/>
                    <a:stretch>
                      <a:fillRect/>
                    </a:stretch>
                  </pic:blipFill>
                  <pic:spPr>
                    <a:xfrm>
                      <a:off x="0" y="0"/>
                      <a:ext cx="3004180" cy="1593131"/>
                    </a:xfrm>
                    <a:prstGeom prst="rect">
                      <a:avLst/>
                    </a:prstGeom>
                  </pic:spPr>
                </pic:pic>
              </a:graphicData>
            </a:graphic>
          </wp:inline>
        </w:drawing>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color w:val="000000" w:themeColor="text1"/>
          <w:sz w:val="24"/>
        </w:rPr>
        <w:t>图</w:t>
      </w:r>
      <w:r w:rsidRPr="004560B6">
        <w:rPr>
          <w:rFonts w:eastAsia="仿宋"/>
          <w:color w:val="000000" w:themeColor="text1"/>
          <w:sz w:val="24"/>
        </w:rPr>
        <w:t xml:space="preserve">4 </w:t>
      </w:r>
      <w:r w:rsidRPr="004560B6">
        <w:rPr>
          <w:rFonts w:eastAsia="仿宋"/>
          <w:color w:val="000000" w:themeColor="text1"/>
          <w:sz w:val="24"/>
        </w:rPr>
        <w:t>测试仓内环境温度布置位点示意图</w:t>
      </w:r>
    </w:p>
    <w:p w:rsidR="004560B6" w:rsidRPr="004560B6" w:rsidRDefault="004560B6" w:rsidP="004560B6">
      <w:pPr>
        <w:ind w:left="360" w:firstLineChars="204" w:firstLine="490"/>
        <w:jc w:val="center"/>
        <w:rPr>
          <w:rFonts w:eastAsia="仿宋"/>
          <w:color w:val="000000" w:themeColor="text1"/>
          <w:sz w:val="24"/>
        </w:rPr>
      </w:pPr>
      <w:r w:rsidRPr="004560B6">
        <w:rPr>
          <w:rFonts w:eastAsia="仿宋"/>
          <w:color w:val="000000" w:themeColor="text1"/>
          <w:sz w:val="24"/>
        </w:rPr>
        <w:t>标引序号说明：</w:t>
      </w:r>
      <w:r w:rsidRPr="004560B6">
        <w:rPr>
          <w:rFonts w:eastAsia="仿宋"/>
          <w:color w:val="000000" w:themeColor="text1"/>
          <w:sz w:val="24"/>
        </w:rPr>
        <w:t>1.</w:t>
      </w:r>
      <w:r w:rsidRPr="004560B6">
        <w:rPr>
          <w:rFonts w:eastAsia="仿宋"/>
          <w:color w:val="000000" w:themeColor="text1"/>
          <w:sz w:val="24"/>
        </w:rPr>
        <w:t>试验样品；</w:t>
      </w:r>
      <w:r w:rsidRPr="004560B6">
        <w:rPr>
          <w:rFonts w:eastAsia="仿宋"/>
          <w:color w:val="000000" w:themeColor="text1"/>
          <w:sz w:val="24"/>
        </w:rPr>
        <w:t>2.</w:t>
      </w:r>
      <w:r w:rsidRPr="004560B6">
        <w:rPr>
          <w:rFonts w:eastAsia="仿宋"/>
          <w:color w:val="000000" w:themeColor="text1"/>
          <w:sz w:val="24"/>
        </w:rPr>
        <w:t>环境周围温度监测位点</w:t>
      </w:r>
    </w:p>
    <w:p w:rsidR="004560B6" w:rsidRPr="00BB05B5" w:rsidRDefault="004560B6" w:rsidP="004560B6">
      <w:pPr>
        <w:pStyle w:val="aa"/>
        <w:widowControl/>
        <w:numPr>
          <w:ilvl w:val="2"/>
          <w:numId w:val="6"/>
        </w:numPr>
        <w:adjustRightInd w:val="0"/>
        <w:spacing w:beforeLines="50" w:before="156" w:afterLines="50" w:after="156" w:line="240" w:lineRule="auto"/>
        <w:ind w:firstLineChars="0"/>
        <w:rPr>
          <w:rFonts w:eastAsia="仿宋"/>
          <w:kern w:val="0"/>
          <w:sz w:val="24"/>
        </w:rPr>
      </w:pPr>
      <w:r w:rsidRPr="00BB05B5">
        <w:rPr>
          <w:rFonts w:eastAsia="仿宋"/>
          <w:kern w:val="0"/>
          <w:sz w:val="24"/>
        </w:rPr>
        <w:t>加热片触发</w:t>
      </w:r>
    </w:p>
    <w:p w:rsidR="004560B6" w:rsidRPr="004560B6" w:rsidRDefault="004560B6" w:rsidP="004560B6">
      <w:pPr>
        <w:widowControl/>
        <w:autoSpaceDE w:val="0"/>
        <w:autoSpaceDN w:val="0"/>
        <w:spacing w:after="0" w:line="240" w:lineRule="auto"/>
        <w:ind w:firstLine="420"/>
        <w:rPr>
          <w:rFonts w:eastAsia="仿宋"/>
          <w:noProof/>
          <w:kern w:val="0"/>
          <w:sz w:val="24"/>
        </w:rPr>
      </w:pPr>
      <w:r w:rsidRPr="004560B6">
        <w:rPr>
          <w:rFonts w:eastAsia="仿宋"/>
          <w:noProof/>
          <w:kern w:val="0"/>
          <w:sz w:val="24"/>
        </w:rPr>
        <w:t>根据样品选择合适的加热片（如表</w:t>
      </w:r>
      <w:r w:rsidRPr="00BB05B5">
        <w:rPr>
          <w:rFonts w:eastAsia="仿宋"/>
          <w:noProof/>
          <w:kern w:val="0"/>
          <w:sz w:val="24"/>
        </w:rPr>
        <w:t>1</w:t>
      </w:r>
      <w:r w:rsidRPr="004560B6">
        <w:rPr>
          <w:rFonts w:eastAsia="仿宋"/>
          <w:noProof/>
          <w:kern w:val="0"/>
          <w:sz w:val="24"/>
        </w:rPr>
        <w:t>.1</w:t>
      </w:r>
      <w:r w:rsidRPr="004560B6">
        <w:rPr>
          <w:rFonts w:eastAsia="仿宋"/>
          <w:noProof/>
          <w:kern w:val="0"/>
          <w:sz w:val="24"/>
        </w:rPr>
        <w:t>）进行热失控激发，直至电池发生燃烧，则停止加热。</w:t>
      </w:r>
    </w:p>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表</w:t>
      </w:r>
      <w:r w:rsidRPr="00BB05B5">
        <w:rPr>
          <w:rFonts w:eastAsia="仿宋"/>
          <w:kern w:val="0"/>
          <w:sz w:val="24"/>
        </w:rPr>
        <w:t>1.</w:t>
      </w:r>
      <w:r w:rsidRPr="004560B6">
        <w:rPr>
          <w:rFonts w:eastAsia="仿宋"/>
          <w:kern w:val="0"/>
          <w:sz w:val="24"/>
        </w:rPr>
        <w:t>1</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3396"/>
        <w:gridCol w:w="3394"/>
      </w:tblGrid>
      <w:tr w:rsidR="004560B6" w:rsidRPr="004560B6" w:rsidTr="007F5B9F">
        <w:trPr>
          <w:trHeight w:val="305"/>
          <w:jc w:val="center"/>
        </w:trPr>
        <w:tc>
          <w:tcPr>
            <w:tcW w:w="967" w:type="pct"/>
            <w:vAlign w:val="center"/>
          </w:tcPr>
          <w:p w:rsidR="004560B6" w:rsidRPr="004560B6" w:rsidRDefault="004560B6" w:rsidP="004560B6">
            <w:pPr>
              <w:widowControl/>
              <w:spacing w:beforeLines="100" w:before="312" w:afterLines="100" w:after="312" w:line="276" w:lineRule="auto"/>
              <w:jc w:val="center"/>
              <w:outlineLvl w:val="1"/>
              <w:rPr>
                <w:rFonts w:eastAsia="仿宋"/>
                <w:kern w:val="0"/>
                <w:sz w:val="24"/>
              </w:rPr>
            </w:pPr>
            <w:bookmarkStart w:id="1" w:name="_Toc121986786"/>
            <w:bookmarkStart w:id="2" w:name="_Toc121988363"/>
            <w:bookmarkStart w:id="3" w:name="_Toc123713131"/>
            <w:bookmarkStart w:id="4" w:name="_Toc99016068"/>
            <w:bookmarkStart w:id="5" w:name="_Toc133584267"/>
            <w:bookmarkStart w:id="6" w:name="_Toc133584314"/>
            <w:bookmarkStart w:id="7" w:name="_Toc142663923"/>
            <w:r w:rsidRPr="004560B6">
              <w:rPr>
                <w:rFonts w:eastAsia="仿宋"/>
                <w:kern w:val="0"/>
                <w:sz w:val="24"/>
              </w:rPr>
              <w:t>序号</w:t>
            </w:r>
            <w:bookmarkEnd w:id="1"/>
            <w:bookmarkEnd w:id="2"/>
            <w:bookmarkEnd w:id="3"/>
            <w:bookmarkEnd w:id="4"/>
            <w:bookmarkEnd w:id="5"/>
            <w:bookmarkEnd w:id="6"/>
            <w:bookmarkEnd w:id="7"/>
          </w:p>
        </w:tc>
        <w:tc>
          <w:tcPr>
            <w:tcW w:w="201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触发对象电能</w:t>
            </w:r>
            <w:r w:rsidRPr="004560B6">
              <w:rPr>
                <w:rFonts w:eastAsia="仿宋"/>
                <w:i/>
                <w:iCs/>
                <w:kern w:val="0"/>
                <w:sz w:val="24"/>
              </w:rPr>
              <w:t>E</w:t>
            </w:r>
          </w:p>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Wh</w:t>
            </w:r>
          </w:p>
        </w:tc>
        <w:tc>
          <w:tcPr>
            <w:tcW w:w="2016"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加热装置最大功率</w:t>
            </w:r>
          </w:p>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W</w:t>
            </w:r>
          </w:p>
        </w:tc>
      </w:tr>
      <w:tr w:rsidR="004560B6" w:rsidRPr="004560B6" w:rsidTr="007F5B9F">
        <w:trPr>
          <w:trHeight w:val="330"/>
          <w:jc w:val="center"/>
        </w:trPr>
        <w:tc>
          <w:tcPr>
            <w:tcW w:w="96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lastRenderedPageBreak/>
              <w:t>1</w:t>
            </w:r>
          </w:p>
        </w:tc>
        <w:tc>
          <w:tcPr>
            <w:tcW w:w="201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i/>
                <w:iCs/>
                <w:kern w:val="0"/>
                <w:sz w:val="24"/>
              </w:rPr>
              <w:t>E</w:t>
            </w:r>
            <w:r w:rsidRPr="004560B6">
              <w:rPr>
                <w:rFonts w:eastAsia="仿宋"/>
                <w:kern w:val="0"/>
                <w:sz w:val="24"/>
              </w:rPr>
              <w:t>&lt;100</w:t>
            </w:r>
          </w:p>
        </w:tc>
        <w:tc>
          <w:tcPr>
            <w:tcW w:w="2016" w:type="pct"/>
            <w:vAlign w:val="center"/>
          </w:tcPr>
          <w:p w:rsidR="004560B6" w:rsidRPr="004560B6" w:rsidRDefault="004560B6" w:rsidP="004560B6">
            <w:pPr>
              <w:adjustRightInd w:val="0"/>
              <w:spacing w:after="0" w:line="276" w:lineRule="auto"/>
              <w:jc w:val="center"/>
              <w:rPr>
                <w:rFonts w:eastAsia="仿宋"/>
                <w:sz w:val="24"/>
              </w:rPr>
            </w:pPr>
            <w:r w:rsidRPr="004560B6">
              <w:rPr>
                <w:rFonts w:eastAsia="仿宋"/>
                <w:sz w:val="24"/>
              </w:rPr>
              <w:t>30~300</w:t>
            </w:r>
          </w:p>
        </w:tc>
      </w:tr>
      <w:tr w:rsidR="004560B6" w:rsidRPr="004560B6" w:rsidTr="007F5B9F">
        <w:trPr>
          <w:trHeight w:val="297"/>
          <w:jc w:val="center"/>
        </w:trPr>
        <w:tc>
          <w:tcPr>
            <w:tcW w:w="96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2</w:t>
            </w:r>
          </w:p>
        </w:tc>
        <w:tc>
          <w:tcPr>
            <w:tcW w:w="2017" w:type="pct"/>
            <w:vAlign w:val="center"/>
          </w:tcPr>
          <w:p w:rsidR="004560B6" w:rsidRPr="004560B6" w:rsidRDefault="004560B6" w:rsidP="004560B6">
            <w:pPr>
              <w:widowControl/>
              <w:spacing w:beforeLines="50" w:before="156" w:afterLines="50" w:after="156" w:line="276" w:lineRule="auto"/>
              <w:jc w:val="center"/>
              <w:outlineLvl w:val="2"/>
              <w:rPr>
                <w:rFonts w:eastAsia="仿宋"/>
                <w:kern w:val="0"/>
                <w:sz w:val="24"/>
              </w:rPr>
            </w:pPr>
            <w:bookmarkStart w:id="8" w:name="_Toc121986787"/>
            <w:bookmarkStart w:id="9" w:name="_Toc121988364"/>
            <w:bookmarkStart w:id="10" w:name="_Toc99016069"/>
            <w:bookmarkStart w:id="11" w:name="_Toc123713132"/>
            <w:bookmarkStart w:id="12" w:name="_Toc133584268"/>
            <w:bookmarkStart w:id="13" w:name="_Toc133584315"/>
            <w:bookmarkStart w:id="14" w:name="_Toc142663924"/>
            <w:r w:rsidRPr="004560B6">
              <w:rPr>
                <w:rFonts w:eastAsia="仿宋"/>
                <w:kern w:val="0"/>
                <w:sz w:val="24"/>
              </w:rPr>
              <w:t>100≤</w:t>
            </w:r>
            <w:r w:rsidRPr="004560B6">
              <w:rPr>
                <w:rFonts w:eastAsia="仿宋"/>
                <w:i/>
                <w:iCs/>
                <w:kern w:val="0"/>
                <w:sz w:val="24"/>
              </w:rPr>
              <w:t>E</w:t>
            </w:r>
            <w:r w:rsidRPr="004560B6">
              <w:rPr>
                <w:rFonts w:eastAsia="仿宋"/>
                <w:kern w:val="0"/>
                <w:sz w:val="24"/>
              </w:rPr>
              <w:t>&lt;400</w:t>
            </w:r>
            <w:bookmarkEnd w:id="8"/>
            <w:bookmarkEnd w:id="9"/>
            <w:bookmarkEnd w:id="10"/>
            <w:bookmarkEnd w:id="11"/>
            <w:bookmarkEnd w:id="12"/>
            <w:bookmarkEnd w:id="13"/>
            <w:bookmarkEnd w:id="14"/>
          </w:p>
        </w:tc>
        <w:tc>
          <w:tcPr>
            <w:tcW w:w="2016" w:type="pct"/>
            <w:vAlign w:val="center"/>
          </w:tcPr>
          <w:p w:rsidR="004560B6" w:rsidRPr="004560B6" w:rsidRDefault="004560B6" w:rsidP="004560B6">
            <w:pPr>
              <w:adjustRightInd w:val="0"/>
              <w:spacing w:after="0" w:line="276" w:lineRule="auto"/>
              <w:jc w:val="center"/>
              <w:rPr>
                <w:rFonts w:eastAsia="仿宋"/>
                <w:sz w:val="24"/>
              </w:rPr>
            </w:pPr>
            <w:r w:rsidRPr="004560B6">
              <w:rPr>
                <w:rFonts w:eastAsia="仿宋"/>
                <w:sz w:val="24"/>
              </w:rPr>
              <w:t>300~1000</w:t>
            </w:r>
          </w:p>
        </w:tc>
      </w:tr>
      <w:tr w:rsidR="004560B6" w:rsidRPr="004560B6" w:rsidTr="007F5B9F">
        <w:trPr>
          <w:trHeight w:val="297"/>
          <w:jc w:val="center"/>
        </w:trPr>
        <w:tc>
          <w:tcPr>
            <w:tcW w:w="96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3</w:t>
            </w:r>
          </w:p>
        </w:tc>
        <w:tc>
          <w:tcPr>
            <w:tcW w:w="2017" w:type="pct"/>
            <w:vAlign w:val="center"/>
          </w:tcPr>
          <w:p w:rsidR="004560B6" w:rsidRPr="004560B6" w:rsidRDefault="004560B6" w:rsidP="004560B6">
            <w:pPr>
              <w:widowControl/>
              <w:spacing w:beforeLines="50" w:before="156" w:afterLines="50" w:after="156" w:line="276" w:lineRule="auto"/>
              <w:jc w:val="center"/>
              <w:outlineLvl w:val="2"/>
              <w:rPr>
                <w:rFonts w:eastAsia="仿宋"/>
                <w:i/>
                <w:kern w:val="0"/>
                <w:sz w:val="24"/>
              </w:rPr>
            </w:pPr>
            <w:bookmarkStart w:id="15" w:name="_Toc99016070"/>
            <w:bookmarkStart w:id="16" w:name="_Toc123713133"/>
            <w:bookmarkStart w:id="17" w:name="_Toc121986788"/>
            <w:bookmarkStart w:id="18" w:name="_Toc121988365"/>
            <w:bookmarkStart w:id="19" w:name="_Toc133584269"/>
            <w:bookmarkStart w:id="20" w:name="_Toc133584316"/>
            <w:bookmarkStart w:id="21" w:name="_Toc142663925"/>
            <w:r w:rsidRPr="004560B6">
              <w:rPr>
                <w:rFonts w:eastAsia="仿宋"/>
                <w:kern w:val="0"/>
                <w:sz w:val="24"/>
              </w:rPr>
              <w:t>400≤</w:t>
            </w:r>
            <w:r w:rsidRPr="004560B6">
              <w:rPr>
                <w:rFonts w:eastAsia="仿宋"/>
                <w:i/>
                <w:iCs/>
                <w:kern w:val="0"/>
                <w:sz w:val="24"/>
              </w:rPr>
              <w:t>E</w:t>
            </w:r>
            <w:r w:rsidRPr="004560B6">
              <w:rPr>
                <w:rFonts w:eastAsia="仿宋"/>
                <w:kern w:val="0"/>
                <w:sz w:val="24"/>
              </w:rPr>
              <w:t>&lt;800</w:t>
            </w:r>
            <w:bookmarkEnd w:id="15"/>
            <w:bookmarkEnd w:id="16"/>
            <w:bookmarkEnd w:id="17"/>
            <w:bookmarkEnd w:id="18"/>
            <w:bookmarkEnd w:id="19"/>
            <w:bookmarkEnd w:id="20"/>
            <w:bookmarkEnd w:id="21"/>
          </w:p>
        </w:tc>
        <w:tc>
          <w:tcPr>
            <w:tcW w:w="2016" w:type="pct"/>
            <w:vAlign w:val="center"/>
          </w:tcPr>
          <w:p w:rsidR="004560B6" w:rsidRPr="004560B6" w:rsidRDefault="004560B6" w:rsidP="004560B6">
            <w:pPr>
              <w:adjustRightInd w:val="0"/>
              <w:spacing w:after="0" w:line="276" w:lineRule="auto"/>
              <w:jc w:val="center"/>
              <w:rPr>
                <w:rFonts w:eastAsia="仿宋"/>
                <w:sz w:val="24"/>
              </w:rPr>
            </w:pPr>
            <w:r w:rsidRPr="004560B6">
              <w:rPr>
                <w:rFonts w:eastAsia="仿宋"/>
                <w:sz w:val="24"/>
              </w:rPr>
              <w:t>300~2000</w:t>
            </w:r>
          </w:p>
        </w:tc>
      </w:tr>
      <w:tr w:rsidR="004560B6" w:rsidRPr="004560B6" w:rsidTr="007F5B9F">
        <w:trPr>
          <w:trHeight w:val="297"/>
          <w:jc w:val="center"/>
        </w:trPr>
        <w:tc>
          <w:tcPr>
            <w:tcW w:w="96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4</w:t>
            </w:r>
          </w:p>
        </w:tc>
        <w:tc>
          <w:tcPr>
            <w:tcW w:w="2017" w:type="pct"/>
            <w:vAlign w:val="center"/>
          </w:tcPr>
          <w:p w:rsidR="004560B6" w:rsidRPr="004560B6" w:rsidRDefault="004560B6" w:rsidP="004560B6">
            <w:pPr>
              <w:widowControl/>
              <w:spacing w:beforeLines="50" w:before="156" w:afterLines="50" w:after="156" w:line="276" w:lineRule="auto"/>
              <w:jc w:val="center"/>
              <w:outlineLvl w:val="2"/>
              <w:rPr>
                <w:rFonts w:eastAsia="仿宋"/>
                <w:i/>
                <w:kern w:val="0"/>
                <w:sz w:val="24"/>
              </w:rPr>
            </w:pPr>
            <w:bookmarkStart w:id="22" w:name="_Toc121988366"/>
            <w:bookmarkStart w:id="23" w:name="_Toc99016071"/>
            <w:bookmarkStart w:id="24" w:name="_Toc121986789"/>
            <w:bookmarkStart w:id="25" w:name="_Toc123713134"/>
            <w:bookmarkStart w:id="26" w:name="_Toc133584270"/>
            <w:bookmarkStart w:id="27" w:name="_Toc133584317"/>
            <w:bookmarkStart w:id="28" w:name="_Toc142663926"/>
            <w:r w:rsidRPr="004560B6">
              <w:rPr>
                <w:rFonts w:eastAsia="仿宋"/>
                <w:i/>
                <w:iCs/>
                <w:kern w:val="0"/>
                <w:sz w:val="24"/>
              </w:rPr>
              <w:t>E</w:t>
            </w:r>
            <w:r w:rsidRPr="004560B6">
              <w:rPr>
                <w:rFonts w:eastAsia="仿宋"/>
                <w:kern w:val="0"/>
                <w:sz w:val="24"/>
              </w:rPr>
              <w:t>≥800</w:t>
            </w:r>
            <w:bookmarkEnd w:id="22"/>
            <w:bookmarkEnd w:id="23"/>
            <w:bookmarkEnd w:id="24"/>
            <w:bookmarkEnd w:id="25"/>
            <w:bookmarkEnd w:id="26"/>
            <w:bookmarkEnd w:id="27"/>
            <w:bookmarkEnd w:id="28"/>
          </w:p>
        </w:tc>
        <w:tc>
          <w:tcPr>
            <w:tcW w:w="2016" w:type="pct"/>
            <w:vAlign w:val="center"/>
          </w:tcPr>
          <w:p w:rsidR="004560B6" w:rsidRPr="004560B6" w:rsidRDefault="004560B6" w:rsidP="004560B6">
            <w:pPr>
              <w:adjustRightInd w:val="0"/>
              <w:spacing w:after="0" w:line="276" w:lineRule="auto"/>
              <w:jc w:val="center"/>
              <w:rPr>
                <w:rFonts w:eastAsia="仿宋"/>
                <w:sz w:val="24"/>
              </w:rPr>
            </w:pPr>
            <w:r w:rsidRPr="004560B6">
              <w:rPr>
                <w:rFonts w:eastAsia="仿宋"/>
                <w:sz w:val="24"/>
              </w:rPr>
              <w:t>＞</w:t>
            </w:r>
            <w:r w:rsidRPr="004560B6">
              <w:rPr>
                <w:rFonts w:eastAsia="仿宋"/>
                <w:sz w:val="24"/>
              </w:rPr>
              <w:t>600</w:t>
            </w:r>
          </w:p>
        </w:tc>
      </w:tr>
      <w:tr w:rsidR="004560B6" w:rsidRPr="004560B6" w:rsidTr="007F5B9F">
        <w:trPr>
          <w:trHeight w:val="297"/>
          <w:jc w:val="center"/>
        </w:trPr>
        <w:tc>
          <w:tcPr>
            <w:tcW w:w="967" w:type="pct"/>
            <w:vAlign w:val="center"/>
          </w:tcPr>
          <w:p w:rsidR="004560B6" w:rsidRPr="004560B6" w:rsidRDefault="004560B6" w:rsidP="004560B6">
            <w:pPr>
              <w:widowControl/>
              <w:tabs>
                <w:tab w:val="center" w:pos="4201"/>
                <w:tab w:val="right" w:leader="dot" w:pos="9298"/>
              </w:tabs>
              <w:autoSpaceDE w:val="0"/>
              <w:autoSpaceDN w:val="0"/>
              <w:spacing w:after="0" w:line="276" w:lineRule="auto"/>
              <w:jc w:val="center"/>
              <w:rPr>
                <w:rFonts w:eastAsia="仿宋"/>
                <w:kern w:val="0"/>
                <w:sz w:val="24"/>
              </w:rPr>
            </w:pPr>
            <w:r w:rsidRPr="004560B6">
              <w:rPr>
                <w:rFonts w:eastAsia="仿宋"/>
                <w:kern w:val="0"/>
                <w:sz w:val="24"/>
              </w:rPr>
              <w:t>5</w:t>
            </w:r>
          </w:p>
        </w:tc>
        <w:tc>
          <w:tcPr>
            <w:tcW w:w="4033" w:type="pct"/>
            <w:gridSpan w:val="2"/>
            <w:vAlign w:val="center"/>
          </w:tcPr>
          <w:p w:rsidR="004560B6" w:rsidRPr="004560B6" w:rsidRDefault="004560B6" w:rsidP="004560B6">
            <w:pPr>
              <w:adjustRightInd w:val="0"/>
              <w:spacing w:after="0" w:line="276" w:lineRule="auto"/>
              <w:jc w:val="center"/>
              <w:rPr>
                <w:rFonts w:eastAsia="仿宋"/>
                <w:kern w:val="0"/>
                <w:sz w:val="24"/>
              </w:rPr>
            </w:pPr>
            <w:r w:rsidRPr="004560B6">
              <w:rPr>
                <w:rFonts w:eastAsia="仿宋"/>
                <w:kern w:val="0"/>
                <w:sz w:val="24"/>
              </w:rPr>
              <w:t>根据客户的要求</w:t>
            </w:r>
          </w:p>
        </w:tc>
      </w:tr>
    </w:tbl>
    <w:p w:rsidR="004560B6" w:rsidRPr="004560B6" w:rsidRDefault="004560B6" w:rsidP="004560B6">
      <w:pPr>
        <w:widowControl/>
        <w:autoSpaceDE w:val="0"/>
        <w:autoSpaceDN w:val="0"/>
        <w:spacing w:after="0" w:line="240" w:lineRule="auto"/>
        <w:rPr>
          <w:rFonts w:eastAsia="仿宋"/>
          <w:noProof/>
          <w:kern w:val="0"/>
          <w:sz w:val="24"/>
        </w:rPr>
      </w:pPr>
    </w:p>
    <w:p w:rsidR="004560B6" w:rsidRPr="004560B6" w:rsidRDefault="004560B6" w:rsidP="004560B6">
      <w:pPr>
        <w:pStyle w:val="aa"/>
        <w:widowControl/>
        <w:numPr>
          <w:ilvl w:val="2"/>
          <w:numId w:val="6"/>
        </w:numPr>
        <w:adjustRightInd w:val="0"/>
        <w:spacing w:beforeLines="50" w:before="156" w:afterLines="50" w:after="156" w:line="240" w:lineRule="auto"/>
        <w:ind w:firstLineChars="0"/>
        <w:rPr>
          <w:rFonts w:eastAsia="仿宋"/>
          <w:kern w:val="0"/>
          <w:sz w:val="24"/>
        </w:rPr>
      </w:pPr>
      <w:r w:rsidRPr="004560B6">
        <w:rPr>
          <w:rFonts w:eastAsia="仿宋"/>
          <w:kern w:val="0"/>
          <w:sz w:val="24"/>
        </w:rPr>
        <w:t>过充电触发</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根据样品选择合适的充电的倍率</w:t>
      </w:r>
      <w:r w:rsidRPr="004560B6">
        <w:rPr>
          <w:rFonts w:eastAsia="仿宋"/>
          <w:i/>
          <w:iCs/>
          <w:noProof/>
          <w:kern w:val="0"/>
          <w:sz w:val="24"/>
        </w:rPr>
        <w:t>I</w:t>
      </w:r>
      <w:r w:rsidRPr="004560B6">
        <w:rPr>
          <w:rFonts w:eastAsia="仿宋"/>
          <w:noProof/>
          <w:kern w:val="0"/>
          <w:sz w:val="24"/>
          <w:vertAlign w:val="subscript"/>
        </w:rPr>
        <w:t>test</w:t>
      </w:r>
      <w:r w:rsidRPr="004560B6">
        <w:rPr>
          <w:rFonts w:eastAsia="仿宋"/>
          <w:noProof/>
          <w:kern w:val="0"/>
          <w:sz w:val="24"/>
        </w:rPr>
        <w:t>进行热失控激发，直至电池发生燃烧，则停止充电。</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i/>
          <w:iCs/>
          <w:noProof/>
          <w:kern w:val="0"/>
          <w:sz w:val="24"/>
        </w:rPr>
        <w:t>I</w:t>
      </w:r>
      <w:r w:rsidRPr="004560B6">
        <w:rPr>
          <w:rFonts w:eastAsia="仿宋"/>
          <w:noProof/>
          <w:kern w:val="0"/>
          <w:sz w:val="24"/>
          <w:vertAlign w:val="subscript"/>
        </w:rPr>
        <w:t>test</w:t>
      </w:r>
      <w:r w:rsidRPr="004560B6">
        <w:rPr>
          <w:rFonts w:eastAsia="仿宋"/>
          <w:noProof/>
          <w:kern w:val="0"/>
          <w:sz w:val="24"/>
        </w:rPr>
        <w:t>一般为</w:t>
      </w:r>
      <w:r w:rsidRPr="004560B6">
        <w:rPr>
          <w:rFonts w:eastAsia="仿宋"/>
          <w:i/>
          <w:iCs/>
          <w:noProof/>
          <w:kern w:val="0"/>
          <w:sz w:val="24"/>
        </w:rPr>
        <w:t>I</w:t>
      </w:r>
      <w:r w:rsidRPr="004560B6">
        <w:rPr>
          <w:rFonts w:eastAsia="仿宋"/>
          <w:noProof/>
          <w:kern w:val="0"/>
          <w:sz w:val="24"/>
          <w:vertAlign w:val="subscript"/>
        </w:rPr>
        <w:t>1</w:t>
      </w:r>
      <w:r w:rsidRPr="004560B6">
        <w:rPr>
          <w:rFonts w:eastAsia="仿宋"/>
          <w:noProof/>
          <w:kern w:val="0"/>
          <w:sz w:val="24"/>
        </w:rPr>
        <w:t>、</w:t>
      </w:r>
      <w:r w:rsidRPr="004560B6">
        <w:rPr>
          <w:rFonts w:eastAsia="仿宋"/>
          <w:i/>
          <w:iCs/>
          <w:noProof/>
          <w:kern w:val="0"/>
          <w:sz w:val="24"/>
        </w:rPr>
        <w:t>I</w:t>
      </w:r>
      <w:r w:rsidRPr="004560B6">
        <w:rPr>
          <w:rFonts w:eastAsia="仿宋"/>
          <w:noProof/>
          <w:kern w:val="0"/>
          <w:sz w:val="24"/>
          <w:vertAlign w:val="subscript"/>
        </w:rPr>
        <w:t>3</w:t>
      </w:r>
      <w:r w:rsidRPr="004560B6">
        <w:rPr>
          <w:rFonts w:eastAsia="仿宋"/>
          <w:noProof/>
          <w:kern w:val="0"/>
          <w:sz w:val="24"/>
        </w:rPr>
        <w:t>或企业规定的充电倍率。</w:t>
      </w:r>
    </w:p>
    <w:p w:rsidR="004560B6" w:rsidRPr="004560B6" w:rsidRDefault="004560B6" w:rsidP="00BB05B5">
      <w:pPr>
        <w:pStyle w:val="aa"/>
        <w:widowControl/>
        <w:numPr>
          <w:ilvl w:val="2"/>
          <w:numId w:val="6"/>
        </w:numPr>
        <w:adjustRightInd w:val="0"/>
        <w:spacing w:beforeLines="50" w:before="156" w:afterLines="50" w:after="156" w:line="240" w:lineRule="auto"/>
        <w:ind w:firstLineChars="0"/>
        <w:rPr>
          <w:rFonts w:eastAsia="仿宋"/>
          <w:kern w:val="0"/>
          <w:sz w:val="24"/>
        </w:rPr>
      </w:pPr>
      <w:r w:rsidRPr="004560B6">
        <w:rPr>
          <w:rFonts w:eastAsia="仿宋"/>
          <w:kern w:val="0"/>
          <w:sz w:val="24"/>
        </w:rPr>
        <w:t>测试方法</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电池单体和电池模组的热释放速率测试方法如下：</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a</w:t>
      </w:r>
      <w:r w:rsidRPr="004560B6">
        <w:rPr>
          <w:rFonts w:eastAsia="仿宋"/>
          <w:noProof/>
          <w:kern w:val="0"/>
          <w:sz w:val="24"/>
        </w:rPr>
        <w:t>）</w:t>
      </w:r>
      <w:r w:rsidRPr="004560B6">
        <w:rPr>
          <w:rFonts w:eastAsia="仿宋"/>
          <w:noProof/>
          <w:kern w:val="0"/>
          <w:sz w:val="24"/>
        </w:rPr>
        <w:tab/>
      </w:r>
      <w:r w:rsidRPr="004560B6">
        <w:rPr>
          <w:rFonts w:eastAsia="仿宋"/>
          <w:noProof/>
          <w:kern w:val="0"/>
          <w:sz w:val="24"/>
        </w:rPr>
        <w:t>按照</w:t>
      </w:r>
      <w:r w:rsidRPr="004560B6">
        <w:rPr>
          <w:rFonts w:eastAsia="仿宋"/>
          <w:noProof/>
          <w:kern w:val="0"/>
          <w:sz w:val="24"/>
        </w:rPr>
        <w:t>4.3</w:t>
      </w:r>
      <w:r w:rsidRPr="004560B6">
        <w:rPr>
          <w:rFonts w:eastAsia="仿宋"/>
          <w:noProof/>
          <w:kern w:val="0"/>
          <w:sz w:val="24"/>
        </w:rPr>
        <w:t>规定的方法充满电，在</w:t>
      </w:r>
      <w:r w:rsidRPr="004560B6">
        <w:rPr>
          <w:rFonts w:eastAsia="仿宋"/>
          <w:noProof/>
          <w:kern w:val="0"/>
          <w:sz w:val="24"/>
        </w:rPr>
        <w:t>23 ℃±2 ℃</w:t>
      </w:r>
      <w:r w:rsidRPr="004560B6">
        <w:rPr>
          <w:rFonts w:eastAsia="仿宋"/>
          <w:noProof/>
          <w:kern w:val="0"/>
          <w:sz w:val="24"/>
        </w:rPr>
        <w:t>的环境温度下搁置</w:t>
      </w:r>
      <w:r w:rsidRPr="004560B6">
        <w:rPr>
          <w:rFonts w:eastAsia="仿宋"/>
          <w:noProof/>
          <w:kern w:val="0"/>
          <w:sz w:val="24"/>
        </w:rPr>
        <w:t>1 h;</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b</w:t>
      </w:r>
      <w:r w:rsidRPr="004560B6">
        <w:rPr>
          <w:rFonts w:eastAsia="仿宋"/>
          <w:noProof/>
          <w:kern w:val="0"/>
          <w:sz w:val="24"/>
        </w:rPr>
        <w:t>）</w:t>
      </w:r>
      <w:r w:rsidRPr="004560B6">
        <w:rPr>
          <w:rFonts w:eastAsia="仿宋"/>
          <w:noProof/>
          <w:kern w:val="0"/>
          <w:sz w:val="24"/>
        </w:rPr>
        <w:tab/>
      </w:r>
      <w:r w:rsidRPr="004560B6">
        <w:rPr>
          <w:rFonts w:eastAsia="仿宋"/>
          <w:noProof/>
          <w:kern w:val="0"/>
          <w:sz w:val="24"/>
        </w:rPr>
        <w:t>安装样品，布置点火装置、温度测点、电压采样线等；</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c</w:t>
      </w:r>
      <w:r w:rsidRPr="004560B6">
        <w:rPr>
          <w:rFonts w:eastAsia="仿宋"/>
          <w:noProof/>
          <w:kern w:val="0"/>
          <w:sz w:val="24"/>
        </w:rPr>
        <w:t>）</w:t>
      </w:r>
      <w:r w:rsidRPr="004560B6">
        <w:rPr>
          <w:rFonts w:eastAsia="仿宋"/>
          <w:noProof/>
          <w:kern w:val="0"/>
          <w:sz w:val="24"/>
        </w:rPr>
        <w:tab/>
      </w:r>
      <w:r w:rsidRPr="004560B6">
        <w:rPr>
          <w:rFonts w:eastAsia="仿宋"/>
          <w:noProof/>
          <w:kern w:val="0"/>
          <w:sz w:val="24"/>
        </w:rPr>
        <w:t>调节排气流量，设备开机预热，其中气体分析仪预热时间不少于</w:t>
      </w:r>
      <w:r w:rsidRPr="004560B6">
        <w:rPr>
          <w:rFonts w:eastAsia="仿宋"/>
          <w:noProof/>
          <w:kern w:val="0"/>
          <w:sz w:val="24"/>
        </w:rPr>
        <w:t>1h</w:t>
      </w:r>
      <w:r w:rsidRPr="004560B6">
        <w:rPr>
          <w:rFonts w:eastAsia="仿宋"/>
          <w:noProof/>
          <w:kern w:val="0"/>
          <w:sz w:val="24"/>
        </w:rPr>
        <w:t>；</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d</w:t>
      </w:r>
      <w:r w:rsidRPr="004560B6">
        <w:rPr>
          <w:rFonts w:eastAsia="仿宋"/>
          <w:noProof/>
          <w:kern w:val="0"/>
          <w:sz w:val="24"/>
        </w:rPr>
        <w:t>）</w:t>
      </w:r>
      <w:r w:rsidRPr="004560B6">
        <w:rPr>
          <w:rFonts w:eastAsia="仿宋"/>
          <w:noProof/>
          <w:kern w:val="0"/>
          <w:sz w:val="24"/>
        </w:rPr>
        <w:tab/>
      </w:r>
      <w:r w:rsidRPr="004560B6">
        <w:rPr>
          <w:rFonts w:eastAsia="仿宋"/>
          <w:noProof/>
          <w:kern w:val="0"/>
          <w:sz w:val="24"/>
        </w:rPr>
        <w:t>开启锥型量热仪或</w:t>
      </w:r>
      <w:r w:rsidRPr="004560B6">
        <w:rPr>
          <w:rFonts w:eastAsia="仿宋"/>
          <w:noProof/>
          <w:kern w:val="0"/>
          <w:sz w:val="24"/>
        </w:rPr>
        <w:t>SBI</w:t>
      </w:r>
      <w:r w:rsidRPr="004560B6">
        <w:rPr>
          <w:rFonts w:eastAsia="仿宋"/>
          <w:noProof/>
          <w:kern w:val="0"/>
          <w:sz w:val="24"/>
        </w:rPr>
        <w:t>、温度电压数据记录仪等，开始采集数据；</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e</w:t>
      </w:r>
      <w:r w:rsidRPr="004560B6">
        <w:rPr>
          <w:rFonts w:eastAsia="仿宋"/>
          <w:noProof/>
          <w:kern w:val="0"/>
          <w:sz w:val="24"/>
        </w:rPr>
        <w:t>）</w:t>
      </w:r>
      <w:r w:rsidRPr="004560B6">
        <w:rPr>
          <w:rFonts w:eastAsia="仿宋"/>
          <w:noProof/>
          <w:kern w:val="0"/>
          <w:sz w:val="24"/>
        </w:rPr>
        <w:tab/>
      </w:r>
      <w:r w:rsidRPr="004560B6">
        <w:rPr>
          <w:rFonts w:eastAsia="仿宋"/>
          <w:noProof/>
          <w:kern w:val="0"/>
          <w:sz w:val="24"/>
        </w:rPr>
        <w:t>按照约定的方法触发燃烧；</w:t>
      </w:r>
    </w:p>
    <w:p w:rsidR="004560B6" w:rsidRPr="004560B6" w:rsidRDefault="00BB05B5" w:rsidP="004560B6">
      <w:pPr>
        <w:widowControl/>
        <w:autoSpaceDE w:val="0"/>
        <w:autoSpaceDN w:val="0"/>
        <w:spacing w:after="0" w:line="240" w:lineRule="auto"/>
        <w:ind w:firstLineChars="200" w:firstLine="480"/>
        <w:rPr>
          <w:rFonts w:eastAsia="仿宋"/>
          <w:noProof/>
          <w:kern w:val="0"/>
          <w:sz w:val="24"/>
        </w:rPr>
      </w:pPr>
      <w:r>
        <w:rPr>
          <w:rFonts w:eastAsia="仿宋" w:hint="eastAsia"/>
          <w:noProof/>
          <w:kern w:val="0"/>
          <w:sz w:val="24"/>
        </w:rPr>
        <w:t>按照上述方法分别测量</w:t>
      </w:r>
      <w:r w:rsidR="004560B6" w:rsidRPr="004560B6">
        <w:rPr>
          <w:rFonts w:eastAsia="仿宋"/>
          <w:noProof/>
          <w:kern w:val="0"/>
          <w:sz w:val="24"/>
        </w:rPr>
        <w:t>样品电池热释放速率</w:t>
      </w:r>
      <w:r w:rsidR="004560B6" w:rsidRPr="004560B6">
        <w:rPr>
          <w:rFonts w:eastAsia="仿宋"/>
          <w:noProof/>
          <w:kern w:val="0"/>
          <w:sz w:val="24"/>
        </w:rPr>
        <w:t>(HRR)</w:t>
      </w:r>
      <w:r w:rsidR="004560B6" w:rsidRPr="004560B6">
        <w:rPr>
          <w:rFonts w:eastAsia="仿宋"/>
          <w:noProof/>
          <w:kern w:val="0"/>
          <w:sz w:val="24"/>
        </w:rPr>
        <w:t>、总释放热</w:t>
      </w:r>
      <w:r w:rsidR="004560B6" w:rsidRPr="004560B6">
        <w:rPr>
          <w:rFonts w:eastAsia="仿宋"/>
          <w:noProof/>
          <w:kern w:val="0"/>
          <w:sz w:val="24"/>
        </w:rPr>
        <w:t>(THR)</w:t>
      </w:r>
      <w:r w:rsidR="004560B6" w:rsidRPr="004560B6">
        <w:rPr>
          <w:rFonts w:eastAsia="仿宋"/>
          <w:noProof/>
          <w:kern w:val="0"/>
          <w:sz w:val="24"/>
        </w:rPr>
        <w:t>、产烟率</w:t>
      </w:r>
      <w:r w:rsidR="004560B6" w:rsidRPr="004560B6">
        <w:rPr>
          <w:rFonts w:eastAsia="仿宋"/>
          <w:noProof/>
          <w:kern w:val="0"/>
          <w:sz w:val="24"/>
        </w:rPr>
        <w:t>(SPR)</w:t>
      </w:r>
      <w:r w:rsidR="004560B6" w:rsidRPr="004560B6">
        <w:rPr>
          <w:rFonts w:eastAsia="仿宋"/>
          <w:noProof/>
          <w:kern w:val="0"/>
          <w:sz w:val="24"/>
        </w:rPr>
        <w:t>、总发烟量、</w:t>
      </w:r>
      <w:r w:rsidR="004560B6" w:rsidRPr="004560B6">
        <w:rPr>
          <w:rFonts w:eastAsia="仿宋"/>
          <w:noProof/>
          <w:kern w:val="0"/>
          <w:sz w:val="24"/>
        </w:rPr>
        <w:t>CO</w:t>
      </w:r>
      <w:r w:rsidR="004560B6" w:rsidRPr="004560B6">
        <w:rPr>
          <w:rFonts w:eastAsia="仿宋"/>
          <w:noProof/>
          <w:kern w:val="0"/>
          <w:sz w:val="24"/>
          <w:vertAlign w:val="subscript"/>
        </w:rPr>
        <w:t>2</w:t>
      </w:r>
      <w:r w:rsidR="004560B6" w:rsidRPr="004560B6">
        <w:rPr>
          <w:rFonts w:eastAsia="仿宋"/>
          <w:noProof/>
          <w:kern w:val="0"/>
          <w:sz w:val="24"/>
        </w:rPr>
        <w:t>生成量</w:t>
      </w:r>
      <w:r>
        <w:rPr>
          <w:rFonts w:eastAsia="仿宋" w:hint="eastAsia"/>
          <w:noProof/>
          <w:kern w:val="0"/>
          <w:sz w:val="24"/>
        </w:rPr>
        <w:t>、质量损失率和</w:t>
      </w:r>
      <w:r w:rsidRPr="00BB05B5">
        <w:rPr>
          <w:rFonts w:eastAsia="仿宋" w:hint="eastAsia"/>
          <w:noProof/>
          <w:kern w:val="0"/>
          <w:sz w:val="24"/>
        </w:rPr>
        <w:t>火焰传播速度</w:t>
      </w:r>
      <w:r>
        <w:rPr>
          <w:rFonts w:eastAsia="仿宋" w:hint="eastAsia"/>
          <w:noProof/>
          <w:kern w:val="0"/>
          <w:sz w:val="24"/>
        </w:rPr>
        <w:t>。</w:t>
      </w:r>
    </w:p>
    <w:p w:rsidR="004560B6" w:rsidRPr="004560B6" w:rsidRDefault="004560B6" w:rsidP="00BB05B5">
      <w:pPr>
        <w:pStyle w:val="aa"/>
        <w:widowControl/>
        <w:numPr>
          <w:ilvl w:val="2"/>
          <w:numId w:val="6"/>
        </w:numPr>
        <w:adjustRightInd w:val="0"/>
        <w:spacing w:beforeLines="50" w:before="156" w:afterLines="50" w:after="156" w:line="240" w:lineRule="auto"/>
        <w:ind w:firstLineChars="0"/>
        <w:rPr>
          <w:rFonts w:eastAsia="仿宋"/>
          <w:kern w:val="0"/>
          <w:sz w:val="24"/>
        </w:rPr>
      </w:pPr>
      <w:bookmarkStart w:id="29" w:name="_Toc169274364"/>
      <w:r w:rsidRPr="004560B6">
        <w:rPr>
          <w:rFonts w:eastAsia="仿宋"/>
          <w:kern w:val="0"/>
          <w:sz w:val="24"/>
        </w:rPr>
        <w:t>阻燃等级划分</w:t>
      </w:r>
      <w:bookmarkEnd w:id="29"/>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电池单体或电池模组的阻燃等级根据燃烧总释放热（</w:t>
      </w:r>
      <w:r w:rsidRPr="004560B6">
        <w:rPr>
          <w:rFonts w:eastAsia="仿宋"/>
          <w:noProof/>
          <w:kern w:val="0"/>
          <w:sz w:val="24"/>
        </w:rPr>
        <w:t>THR</w:t>
      </w:r>
      <w:r w:rsidRPr="004560B6">
        <w:rPr>
          <w:rFonts w:eastAsia="仿宋"/>
          <w:noProof/>
          <w:kern w:val="0"/>
          <w:sz w:val="24"/>
        </w:rPr>
        <w:t>）、质量损失率（</w:t>
      </w:r>
      <w:r w:rsidRPr="004560B6">
        <w:rPr>
          <w:rFonts w:eastAsia="仿宋"/>
          <w:noProof/>
          <w:kern w:val="0"/>
          <w:sz w:val="24"/>
        </w:rPr>
        <w:t>q</w:t>
      </w:r>
      <w:r w:rsidRPr="004560B6">
        <w:rPr>
          <w:rFonts w:eastAsia="仿宋"/>
          <w:noProof/>
          <w:kern w:val="0"/>
          <w:sz w:val="24"/>
        </w:rPr>
        <w:t>）和火焰传播指数（</w:t>
      </w:r>
      <w:r w:rsidRPr="004560B6">
        <w:rPr>
          <w:rFonts w:eastAsia="仿宋"/>
          <w:noProof/>
          <w:kern w:val="0"/>
          <w:sz w:val="24"/>
        </w:rPr>
        <w:t>p</w:t>
      </w:r>
      <w:r w:rsidRPr="004560B6">
        <w:rPr>
          <w:rFonts w:eastAsia="仿宋"/>
          <w:noProof/>
          <w:kern w:val="0"/>
          <w:sz w:val="24"/>
        </w:rPr>
        <w:t>）综合确定。</w:t>
      </w:r>
    </w:p>
    <w:p w:rsidR="004560B6" w:rsidRPr="004560B6" w:rsidRDefault="004560B6" w:rsidP="004560B6">
      <w:pPr>
        <w:widowControl/>
        <w:autoSpaceDE w:val="0"/>
        <w:autoSpaceDN w:val="0"/>
        <w:spacing w:after="0" w:line="240" w:lineRule="auto"/>
        <w:ind w:firstLineChars="200" w:firstLine="480"/>
        <w:rPr>
          <w:rFonts w:eastAsia="仿宋"/>
          <w:noProof/>
          <w:kern w:val="0"/>
          <w:sz w:val="24"/>
        </w:rPr>
      </w:pPr>
      <w:r w:rsidRPr="004560B6">
        <w:rPr>
          <w:rFonts w:eastAsia="仿宋"/>
          <w:noProof/>
          <w:kern w:val="0"/>
          <w:sz w:val="24"/>
        </w:rPr>
        <w:t>阻燃等级</w:t>
      </w:r>
      <w:r w:rsidRPr="004560B6">
        <w:rPr>
          <w:rFonts w:eastAsia="仿宋"/>
          <w:noProof/>
          <w:kern w:val="0"/>
          <w:sz w:val="24"/>
        </w:rPr>
        <w:t>LEVEL=THR* q* p</w:t>
      </w:r>
    </w:p>
    <w:p w:rsidR="00F146C6" w:rsidRPr="00BB05B5" w:rsidRDefault="00882FBD">
      <w:pPr>
        <w:ind w:firstLineChars="200" w:firstLine="480"/>
        <w:rPr>
          <w:rFonts w:eastAsia="黑体"/>
          <w:color w:val="000000" w:themeColor="text1"/>
          <w:sz w:val="30"/>
          <w:szCs w:val="30"/>
        </w:rPr>
      </w:pPr>
      <w:r w:rsidRPr="00BB05B5">
        <w:rPr>
          <w:rFonts w:eastAsia="黑体"/>
          <w:color w:val="000000" w:themeColor="text1"/>
          <w:sz w:val="24"/>
        </w:rPr>
        <w:t>三、采用国际标准和国外先进标准情况</w:t>
      </w:r>
      <w:r w:rsidRPr="00BB05B5">
        <w:rPr>
          <w:rFonts w:eastAsia="黑体"/>
          <w:color w:val="000000" w:themeColor="text1"/>
          <w:sz w:val="24"/>
        </w:rPr>
        <w:t xml:space="preserve">  </w:t>
      </w:r>
      <w:r w:rsidRPr="00BB05B5">
        <w:rPr>
          <w:rFonts w:eastAsia="黑体"/>
          <w:color w:val="000000" w:themeColor="text1"/>
          <w:sz w:val="30"/>
          <w:szCs w:val="30"/>
        </w:rPr>
        <w:t xml:space="preserve"> </w:t>
      </w:r>
    </w:p>
    <w:p w:rsidR="00F146C6" w:rsidRPr="00BB05B5" w:rsidRDefault="004560B6" w:rsidP="00262ED6">
      <w:pPr>
        <w:ind w:left="360" w:firstLineChars="204" w:firstLine="490"/>
        <w:rPr>
          <w:rFonts w:eastAsia="仿宋"/>
          <w:color w:val="000000" w:themeColor="text1"/>
          <w:sz w:val="24"/>
        </w:rPr>
      </w:pPr>
      <w:r w:rsidRPr="00BB05B5">
        <w:rPr>
          <w:rFonts w:eastAsia="仿宋"/>
          <w:color w:val="000000" w:themeColor="text1"/>
          <w:sz w:val="24"/>
        </w:rPr>
        <w:t>无。</w:t>
      </w:r>
    </w:p>
    <w:p w:rsidR="00F146C6" w:rsidRPr="00BB05B5" w:rsidRDefault="00882FBD">
      <w:pPr>
        <w:ind w:firstLineChars="200" w:firstLine="480"/>
        <w:rPr>
          <w:rFonts w:eastAsia="黑体"/>
          <w:color w:val="000000" w:themeColor="text1"/>
          <w:sz w:val="24"/>
        </w:rPr>
      </w:pPr>
      <w:r w:rsidRPr="00BB05B5">
        <w:rPr>
          <w:rFonts w:eastAsia="黑体"/>
          <w:color w:val="000000" w:themeColor="text1"/>
          <w:sz w:val="24"/>
        </w:rPr>
        <w:t>四、主要关键指标及试验验证情况</w:t>
      </w:r>
    </w:p>
    <w:p w:rsidR="00F146C6" w:rsidRPr="00BB05B5" w:rsidRDefault="004560B6" w:rsidP="004560B6">
      <w:pPr>
        <w:ind w:left="360" w:firstLineChars="204" w:firstLine="490"/>
        <w:rPr>
          <w:rFonts w:eastAsia="仿宋"/>
          <w:color w:val="000000" w:themeColor="text1"/>
          <w:sz w:val="24"/>
        </w:rPr>
      </w:pPr>
      <w:r w:rsidRPr="00BB05B5">
        <w:rPr>
          <w:rFonts w:eastAsia="仿宋"/>
          <w:color w:val="000000" w:themeColor="text1"/>
          <w:sz w:val="24"/>
        </w:rPr>
        <w:t>本标准对于不同三元和磷酸铁锂体系，硬壳电池和软包电池进行了加热片、过充电等触发热失控的方式进行了测试验证，最终确定了标准规定的测试方法。</w:t>
      </w:r>
    </w:p>
    <w:p w:rsidR="00F146C6" w:rsidRPr="00BB05B5" w:rsidRDefault="00882FBD">
      <w:pPr>
        <w:ind w:firstLineChars="200" w:firstLine="480"/>
        <w:rPr>
          <w:rFonts w:eastAsia="黑体"/>
          <w:color w:val="000000" w:themeColor="text1"/>
          <w:sz w:val="24"/>
        </w:rPr>
      </w:pPr>
      <w:r w:rsidRPr="00BB05B5">
        <w:rPr>
          <w:rFonts w:eastAsia="黑体"/>
          <w:color w:val="000000" w:themeColor="text1"/>
          <w:sz w:val="24"/>
        </w:rPr>
        <w:t>五、与现行法律、法规和政策及相关标准的协调性</w:t>
      </w:r>
    </w:p>
    <w:p w:rsidR="00F146C6" w:rsidRPr="00BB05B5" w:rsidRDefault="004560B6" w:rsidP="004560B6">
      <w:pPr>
        <w:ind w:left="360" w:firstLineChars="204" w:firstLine="490"/>
        <w:rPr>
          <w:rFonts w:eastAsia="仿宋"/>
          <w:color w:val="000000" w:themeColor="text1"/>
          <w:sz w:val="24"/>
        </w:rPr>
      </w:pPr>
      <w:r w:rsidRPr="00BB05B5">
        <w:rPr>
          <w:rFonts w:eastAsia="仿宋"/>
          <w:color w:val="000000" w:themeColor="text1"/>
          <w:sz w:val="24"/>
        </w:rPr>
        <w:t>本标准与现行相关法律、法规及相关标准没有冲突或矛盾。</w:t>
      </w:r>
    </w:p>
    <w:p w:rsidR="00F146C6" w:rsidRPr="00BB05B5" w:rsidRDefault="00882FBD">
      <w:pPr>
        <w:ind w:firstLineChars="200" w:firstLine="480"/>
        <w:rPr>
          <w:rFonts w:eastAsia="黑体"/>
          <w:color w:val="000000" w:themeColor="text1"/>
          <w:sz w:val="24"/>
        </w:rPr>
      </w:pPr>
      <w:r w:rsidRPr="00BB05B5">
        <w:rPr>
          <w:rFonts w:eastAsia="黑体"/>
          <w:color w:val="000000" w:themeColor="text1"/>
          <w:sz w:val="24"/>
        </w:rPr>
        <w:t>六、贯彻标准的要求和措施建议</w:t>
      </w:r>
    </w:p>
    <w:p w:rsidR="00F146C6" w:rsidRPr="00BB05B5" w:rsidRDefault="004560B6" w:rsidP="00BB05B5">
      <w:pPr>
        <w:ind w:left="360" w:firstLineChars="204" w:firstLine="490"/>
        <w:rPr>
          <w:rFonts w:eastAsia="仿宋"/>
          <w:color w:val="000000" w:themeColor="text1"/>
          <w:sz w:val="24"/>
        </w:rPr>
      </w:pPr>
      <w:r w:rsidRPr="00BB05B5">
        <w:rPr>
          <w:rFonts w:eastAsia="仿宋"/>
          <w:color w:val="000000" w:themeColor="text1"/>
          <w:sz w:val="24"/>
        </w:rPr>
        <w:lastRenderedPageBreak/>
        <w:t>作为推荐性标准，建议发布实施后由中国汽车工业协会联合标准起草单位组织标准宣贯，在动力电池领域的主要企业中逐步推广应用。</w:t>
      </w:r>
    </w:p>
    <w:p w:rsidR="00F146C6" w:rsidRPr="00BB05B5" w:rsidRDefault="00882FBD">
      <w:pPr>
        <w:numPr>
          <w:ilvl w:val="0"/>
          <w:numId w:val="3"/>
        </w:numPr>
        <w:ind w:firstLineChars="200" w:firstLine="480"/>
        <w:rPr>
          <w:rFonts w:eastAsia="黑体"/>
          <w:color w:val="000000" w:themeColor="text1"/>
          <w:sz w:val="24"/>
        </w:rPr>
      </w:pPr>
      <w:r w:rsidRPr="00BB05B5">
        <w:rPr>
          <w:rFonts w:eastAsia="黑体"/>
          <w:color w:val="000000" w:themeColor="text1"/>
          <w:sz w:val="24"/>
        </w:rPr>
        <w:t>其他需要说明的事项</w:t>
      </w:r>
    </w:p>
    <w:p w:rsidR="00F146C6" w:rsidRPr="00BB05B5" w:rsidRDefault="004560B6" w:rsidP="004560B6">
      <w:pPr>
        <w:ind w:left="360" w:firstLineChars="204" w:firstLine="490"/>
        <w:rPr>
          <w:rFonts w:eastAsia="仿宋"/>
          <w:color w:val="000000" w:themeColor="text1"/>
          <w:sz w:val="24"/>
        </w:rPr>
      </w:pPr>
      <w:r w:rsidRPr="00BB05B5">
        <w:rPr>
          <w:rFonts w:eastAsia="仿宋"/>
          <w:color w:val="000000" w:themeColor="text1"/>
          <w:sz w:val="24"/>
        </w:rPr>
        <w:t>无</w:t>
      </w:r>
      <w:r w:rsidR="00262ED6" w:rsidRPr="00BB05B5">
        <w:rPr>
          <w:rFonts w:eastAsia="仿宋"/>
          <w:color w:val="000000" w:themeColor="text1"/>
          <w:sz w:val="24"/>
        </w:rPr>
        <w:t>。</w:t>
      </w:r>
    </w:p>
    <w:sectPr w:rsidR="00F146C6" w:rsidRPr="00BB0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BD" w:rsidRDefault="00882FBD" w:rsidP="003A4C72">
      <w:pPr>
        <w:spacing w:after="0" w:line="240" w:lineRule="auto"/>
      </w:pPr>
      <w:r>
        <w:separator/>
      </w:r>
    </w:p>
  </w:endnote>
  <w:endnote w:type="continuationSeparator" w:id="0">
    <w:p w:rsidR="00882FBD" w:rsidRDefault="00882FBD" w:rsidP="003A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BD" w:rsidRDefault="00882FBD" w:rsidP="003A4C72">
      <w:pPr>
        <w:spacing w:after="0" w:line="240" w:lineRule="auto"/>
      </w:pPr>
      <w:r>
        <w:separator/>
      </w:r>
    </w:p>
  </w:footnote>
  <w:footnote w:type="continuationSeparator" w:id="0">
    <w:p w:rsidR="00882FBD" w:rsidRDefault="00882FBD" w:rsidP="003A4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60A38F"/>
    <w:multiLevelType w:val="singleLevel"/>
    <w:tmpl w:val="C760A38F"/>
    <w:lvl w:ilvl="0">
      <w:start w:val="1"/>
      <w:numFmt w:val="chineseCounting"/>
      <w:suff w:val="nothing"/>
      <w:lvlText w:val="%1、"/>
      <w:lvlJc w:val="left"/>
      <w:rPr>
        <w:rFonts w:hint="eastAsia"/>
      </w:rPr>
    </w:lvl>
  </w:abstractNum>
  <w:abstractNum w:abstractNumId="1" w15:restartNumberingAfterBreak="0">
    <w:nsid w:val="E319F839"/>
    <w:multiLevelType w:val="singleLevel"/>
    <w:tmpl w:val="E319F839"/>
    <w:lvl w:ilvl="0">
      <w:start w:val="1"/>
      <w:numFmt w:val="chineseCounting"/>
      <w:suff w:val="nothing"/>
      <w:lvlText w:val="（%1）"/>
      <w:lvlJc w:val="left"/>
      <w:pPr>
        <w:ind w:left="360" w:firstLine="0"/>
      </w:pPr>
      <w:rPr>
        <w:rFonts w:hint="eastAsia"/>
      </w:rPr>
    </w:lvl>
  </w:abstractNum>
  <w:abstractNum w:abstractNumId="2" w15:restartNumberingAfterBreak="0">
    <w:nsid w:val="E3C56D80"/>
    <w:multiLevelType w:val="singleLevel"/>
    <w:tmpl w:val="E3C56D80"/>
    <w:lvl w:ilvl="0">
      <w:start w:val="7"/>
      <w:numFmt w:val="chineseCounting"/>
      <w:suff w:val="nothing"/>
      <w:lvlText w:val="%1、"/>
      <w:lvlJc w:val="left"/>
      <w:rPr>
        <w:rFonts w:hint="eastAsia"/>
      </w:rPr>
    </w:lvl>
  </w:abstractNum>
  <w:abstractNum w:abstractNumId="3" w15:restartNumberingAfterBreak="0">
    <w:nsid w:val="2A330F71"/>
    <w:multiLevelType w:val="multilevel"/>
    <w:tmpl w:val="3C0AD428"/>
    <w:lvl w:ilvl="0">
      <w:start w:val="2"/>
      <w:numFmt w:val="decimal"/>
      <w:lvlText w:val="%1"/>
      <w:lvlJc w:val="left"/>
      <w:pPr>
        <w:ind w:left="420" w:hanging="420"/>
      </w:pPr>
      <w:rPr>
        <w:rFonts w:hint="default"/>
      </w:rPr>
    </w:lvl>
    <w:lvl w:ilvl="1">
      <w:start w:val="2"/>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4" w15:restartNumberingAfterBreak="0">
    <w:nsid w:val="3AAD3C3F"/>
    <w:multiLevelType w:val="multilevel"/>
    <w:tmpl w:val="530C7B40"/>
    <w:styleLink w:val="1"/>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426"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671F4FA8"/>
    <w:multiLevelType w:val="hybridMultilevel"/>
    <w:tmpl w:val="4C1ADBD0"/>
    <w:lvl w:ilvl="0" w:tplc="FB767C2E">
      <w:start w:val="2"/>
      <w:numFmt w:val="decimal"/>
      <w:lvlText w:val="%1．"/>
      <w:lvlJc w:val="left"/>
      <w:pPr>
        <w:ind w:left="786" w:hanging="36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6" w15:restartNumberingAfterBreak="0">
    <w:nsid w:val="6CEA2025"/>
    <w:multiLevelType w:val="multilevel"/>
    <w:tmpl w:val="530C7B40"/>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2"/>
      <w:suff w:val="nothing"/>
      <w:lvlText w:val="%1%2.%3.%4　"/>
      <w:lvlJc w:val="left"/>
      <w:pPr>
        <w:ind w:left="426"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C6"/>
    <w:rsid w:val="000621C4"/>
    <w:rsid w:val="000D5A53"/>
    <w:rsid w:val="00166216"/>
    <w:rsid w:val="00262ED6"/>
    <w:rsid w:val="003A4C72"/>
    <w:rsid w:val="004560B6"/>
    <w:rsid w:val="005A2F04"/>
    <w:rsid w:val="00676463"/>
    <w:rsid w:val="00882FBD"/>
    <w:rsid w:val="009859E6"/>
    <w:rsid w:val="00A2567A"/>
    <w:rsid w:val="00BB05B5"/>
    <w:rsid w:val="00CC784B"/>
    <w:rsid w:val="00D12AB6"/>
    <w:rsid w:val="00DE4954"/>
    <w:rsid w:val="00E35F24"/>
    <w:rsid w:val="00F146C6"/>
    <w:rsid w:val="17F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94F72"/>
  <w15:docId w15:val="{C5E508D6-E53E-0947-8631-A22D5615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2">
    <w:name w:val="标准文件_二级条标题"/>
    <w:next w:val="a6"/>
    <w:rsid w:val="004560B6"/>
    <w:pPr>
      <w:widowControl w:val="0"/>
      <w:numPr>
        <w:ilvl w:val="3"/>
        <w:numId w:val="4"/>
      </w:numPr>
      <w:spacing w:beforeLines="50" w:before="50" w:afterLines="50" w:after="50" w:line="240" w:lineRule="auto"/>
      <w:jc w:val="both"/>
      <w:outlineLvl w:val="2"/>
    </w:pPr>
    <w:rPr>
      <w:rFonts w:ascii="黑体" w:eastAsia="黑体"/>
      <w:sz w:val="21"/>
    </w:rPr>
  </w:style>
  <w:style w:type="paragraph" w:customStyle="1" w:styleId="a3">
    <w:name w:val="标准文件_三级条标题"/>
    <w:basedOn w:val="a2"/>
    <w:next w:val="a6"/>
    <w:rsid w:val="004560B6"/>
    <w:pPr>
      <w:widowControl/>
      <w:numPr>
        <w:ilvl w:val="4"/>
      </w:numPr>
      <w:outlineLvl w:val="3"/>
    </w:pPr>
  </w:style>
  <w:style w:type="paragraph" w:customStyle="1" w:styleId="a4">
    <w:name w:val="标准文件_四级条标题"/>
    <w:next w:val="a6"/>
    <w:rsid w:val="004560B6"/>
    <w:pPr>
      <w:widowControl w:val="0"/>
      <w:numPr>
        <w:ilvl w:val="5"/>
        <w:numId w:val="4"/>
      </w:numPr>
      <w:spacing w:beforeLines="50" w:before="50" w:afterLines="50" w:after="50" w:line="240" w:lineRule="auto"/>
      <w:jc w:val="both"/>
      <w:outlineLvl w:val="4"/>
    </w:pPr>
    <w:rPr>
      <w:rFonts w:ascii="黑体" w:eastAsia="黑体"/>
      <w:sz w:val="21"/>
    </w:rPr>
  </w:style>
  <w:style w:type="paragraph" w:customStyle="1" w:styleId="a5">
    <w:name w:val="标准文件_五级条标题"/>
    <w:next w:val="a6"/>
    <w:rsid w:val="004560B6"/>
    <w:pPr>
      <w:widowControl w:val="0"/>
      <w:numPr>
        <w:ilvl w:val="6"/>
        <w:numId w:val="4"/>
      </w:numPr>
      <w:spacing w:beforeLines="50" w:before="50" w:afterLines="50" w:after="50" w:line="240" w:lineRule="auto"/>
      <w:jc w:val="both"/>
      <w:outlineLvl w:val="5"/>
    </w:pPr>
    <w:rPr>
      <w:rFonts w:ascii="黑体" w:eastAsia="黑体"/>
      <w:sz w:val="21"/>
    </w:rPr>
  </w:style>
  <w:style w:type="paragraph" w:customStyle="1" w:styleId="a0">
    <w:name w:val="标准文件_章标题"/>
    <w:next w:val="a6"/>
    <w:rsid w:val="004560B6"/>
    <w:pPr>
      <w:numPr>
        <w:ilvl w:val="1"/>
        <w:numId w:val="4"/>
      </w:numPr>
      <w:spacing w:beforeLines="100" w:before="100" w:afterLines="100" w:after="100" w:line="240" w:lineRule="auto"/>
      <w:jc w:val="both"/>
      <w:outlineLvl w:val="0"/>
    </w:pPr>
    <w:rPr>
      <w:rFonts w:ascii="黑体" w:eastAsia="黑体"/>
      <w:sz w:val="21"/>
    </w:rPr>
  </w:style>
  <w:style w:type="paragraph" w:customStyle="1" w:styleId="a1">
    <w:name w:val="标准文件_一级条标题"/>
    <w:basedOn w:val="a0"/>
    <w:next w:val="a6"/>
    <w:rsid w:val="004560B6"/>
    <w:pPr>
      <w:numPr>
        <w:ilvl w:val="2"/>
      </w:numPr>
      <w:spacing w:beforeLines="50" w:before="50" w:afterLines="50" w:after="50"/>
      <w:outlineLvl w:val="1"/>
    </w:pPr>
  </w:style>
  <w:style w:type="paragraph" w:customStyle="1" w:styleId="a">
    <w:name w:val="前言标题"/>
    <w:next w:val="a6"/>
    <w:rsid w:val="004560B6"/>
    <w:pPr>
      <w:numPr>
        <w:numId w:val="4"/>
      </w:numPr>
      <w:shd w:val="clear" w:color="FFFFFF" w:fill="FFFFFF"/>
      <w:spacing w:before="540" w:after="600" w:line="240" w:lineRule="auto"/>
      <w:jc w:val="center"/>
      <w:outlineLvl w:val="0"/>
    </w:pPr>
    <w:rPr>
      <w:rFonts w:ascii="黑体" w:eastAsia="黑体"/>
      <w:sz w:val="32"/>
    </w:rPr>
  </w:style>
  <w:style w:type="numbering" w:customStyle="1" w:styleId="1">
    <w:name w:val="当前列表1"/>
    <w:uiPriority w:val="99"/>
    <w:rsid w:val="004560B6"/>
    <w:pPr>
      <w:numPr>
        <w:numId w:val="5"/>
      </w:numPr>
    </w:pPr>
  </w:style>
  <w:style w:type="paragraph" w:styleId="aa">
    <w:name w:val="List Paragraph"/>
    <w:basedOn w:val="a6"/>
    <w:uiPriority w:val="99"/>
    <w:unhideWhenUsed/>
    <w:rsid w:val="004560B6"/>
    <w:pPr>
      <w:ind w:firstLineChars="200" w:firstLine="420"/>
    </w:pPr>
  </w:style>
  <w:style w:type="paragraph" w:styleId="ab">
    <w:name w:val="header"/>
    <w:basedOn w:val="a6"/>
    <w:link w:val="ac"/>
    <w:rsid w:val="003A4C72"/>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7"/>
    <w:link w:val="ab"/>
    <w:rsid w:val="003A4C72"/>
    <w:rPr>
      <w:kern w:val="2"/>
      <w:sz w:val="18"/>
      <w:szCs w:val="18"/>
    </w:rPr>
  </w:style>
  <w:style w:type="paragraph" w:styleId="ad">
    <w:name w:val="footer"/>
    <w:basedOn w:val="a6"/>
    <w:link w:val="ae"/>
    <w:rsid w:val="003A4C72"/>
    <w:pPr>
      <w:tabs>
        <w:tab w:val="center" w:pos="4153"/>
        <w:tab w:val="right" w:pos="8306"/>
      </w:tabs>
      <w:snapToGrid w:val="0"/>
      <w:spacing w:line="240" w:lineRule="auto"/>
      <w:jc w:val="left"/>
    </w:pPr>
    <w:rPr>
      <w:sz w:val="18"/>
      <w:szCs w:val="18"/>
    </w:rPr>
  </w:style>
  <w:style w:type="character" w:customStyle="1" w:styleId="ae">
    <w:name w:val="页脚 字符"/>
    <w:basedOn w:val="a7"/>
    <w:link w:val="ad"/>
    <w:rsid w:val="003A4C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31989">
      <w:bodyDiv w:val="1"/>
      <w:marLeft w:val="0"/>
      <w:marRight w:val="0"/>
      <w:marTop w:val="0"/>
      <w:marBottom w:val="0"/>
      <w:divBdr>
        <w:top w:val="none" w:sz="0" w:space="0" w:color="auto"/>
        <w:left w:val="none" w:sz="0" w:space="0" w:color="auto"/>
        <w:bottom w:val="none" w:sz="0" w:space="0" w:color="auto"/>
        <w:right w:val="none" w:sz="0" w:space="0" w:color="auto"/>
      </w:divBdr>
      <w:divsChild>
        <w:div w:id="1188131321">
          <w:marLeft w:val="0"/>
          <w:marRight w:val="0"/>
          <w:marTop w:val="0"/>
          <w:marBottom w:val="0"/>
          <w:divBdr>
            <w:top w:val="none" w:sz="0" w:space="0" w:color="auto"/>
            <w:left w:val="none" w:sz="0" w:space="0" w:color="auto"/>
            <w:bottom w:val="none" w:sz="0" w:space="0" w:color="auto"/>
            <w:right w:val="none" w:sz="0" w:space="0" w:color="auto"/>
          </w:divBdr>
          <w:divsChild>
            <w:div w:id="930048783">
              <w:marLeft w:val="0"/>
              <w:marRight w:val="0"/>
              <w:marTop w:val="0"/>
              <w:marBottom w:val="0"/>
              <w:divBdr>
                <w:top w:val="none" w:sz="0" w:space="0" w:color="auto"/>
                <w:left w:val="none" w:sz="0" w:space="0" w:color="auto"/>
                <w:bottom w:val="none" w:sz="0" w:space="0" w:color="auto"/>
                <w:right w:val="none" w:sz="0" w:space="0" w:color="auto"/>
              </w:divBdr>
              <w:divsChild>
                <w:div w:id="244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李慧</cp:lastModifiedBy>
  <cp:revision>10</cp:revision>
  <dcterms:created xsi:type="dcterms:W3CDTF">2022-04-24T14:35:00Z</dcterms:created>
  <dcterms:modified xsi:type="dcterms:W3CDTF">2024-11-01T06:19:00Z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