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9E3A8">
      <w:pPr>
        <w:rPr>
          <w:rFonts w:asciiTheme="majorEastAsia" w:hAnsiTheme="majorEastAsia" w:eastAsiaTheme="majorEastAsia"/>
          <w:color w:val="auto"/>
          <w:sz w:val="28"/>
          <w:szCs w:val="28"/>
          <w:highlight w:val="none"/>
        </w:rPr>
      </w:pPr>
      <w:r>
        <w:rPr>
          <w:rFonts w:hint="eastAsia" w:asciiTheme="majorEastAsia" w:hAnsiTheme="majorEastAsia" w:eastAsiaTheme="majorEastAsia"/>
          <w:color w:val="auto"/>
          <w:sz w:val="28"/>
          <w:szCs w:val="28"/>
          <w:highlight w:val="none"/>
        </w:rPr>
        <w:t>附件4：</w:t>
      </w:r>
    </w:p>
    <w:p w14:paraId="609ABBEF">
      <w:pPr>
        <w:widowControl/>
        <w:jc w:val="center"/>
        <w:rPr>
          <w:rFonts w:hint="eastAsia" w:eastAsia="黑体"/>
          <w:color w:val="auto"/>
          <w:sz w:val="28"/>
          <w:szCs w:val="28"/>
          <w:highlight w:val="none"/>
        </w:rPr>
      </w:pPr>
      <w:r>
        <w:rPr>
          <w:rFonts w:hint="eastAsia" w:eastAsia="黑体"/>
          <w:color w:val="auto"/>
          <w:sz w:val="28"/>
          <w:szCs w:val="28"/>
          <w:highlight w:val="none"/>
        </w:rPr>
        <w:t>中汽协会《“领跑者”评价</w:t>
      </w:r>
      <w:r>
        <w:rPr>
          <w:rFonts w:hint="eastAsia" w:eastAsia="黑体"/>
          <w:color w:val="auto"/>
          <w:sz w:val="28"/>
          <w:szCs w:val="28"/>
          <w:highlight w:val="none"/>
          <w:lang w:val="en-US" w:eastAsia="zh-CN"/>
        </w:rPr>
        <w:t>技术</w:t>
      </w:r>
      <w:r>
        <w:rPr>
          <w:rFonts w:hint="eastAsia" w:eastAsia="黑体"/>
          <w:color w:val="auto"/>
          <w:sz w:val="28"/>
          <w:szCs w:val="28"/>
          <w:highlight w:val="none"/>
        </w:rPr>
        <w:t>要求 轻型客车》</w:t>
      </w:r>
      <w:r>
        <w:rPr>
          <w:rFonts w:hint="eastAsia" w:eastAsia="黑体"/>
          <w:color w:val="auto"/>
          <w:sz w:val="28"/>
          <w:szCs w:val="28"/>
          <w:highlight w:val="none"/>
          <w:lang w:val="en-US" w:eastAsia="zh-CN"/>
        </w:rPr>
        <w:t>团体</w:t>
      </w:r>
      <w:r>
        <w:rPr>
          <w:rFonts w:hint="eastAsia" w:eastAsia="黑体"/>
          <w:color w:val="auto"/>
          <w:sz w:val="28"/>
          <w:szCs w:val="28"/>
          <w:highlight w:val="none"/>
        </w:rPr>
        <w:t>标准编制说明</w:t>
      </w:r>
    </w:p>
    <w:p w14:paraId="2914B8D5">
      <w:pPr>
        <w:widowControl/>
        <w:jc w:val="center"/>
        <w:rPr>
          <w:rFonts w:hint="eastAsia" w:eastAsia="黑体"/>
          <w:color w:val="auto"/>
          <w:sz w:val="28"/>
          <w:szCs w:val="28"/>
          <w:highlight w:val="none"/>
        </w:rPr>
      </w:pPr>
    </w:p>
    <w:p w14:paraId="0B133EE8">
      <w:pPr>
        <w:numPr>
          <w:ilvl w:val="0"/>
          <w:numId w:val="1"/>
        </w:numPr>
        <w:ind w:left="0" w:leftChars="0" w:firstLine="0" w:firstLineChars="0"/>
        <w:jc w:val="left"/>
        <w:rPr>
          <w:rFonts w:ascii="黑体" w:hAnsi="黑体" w:eastAsia="黑体" w:cs="黑体"/>
          <w:color w:val="auto"/>
          <w:sz w:val="24"/>
          <w:highlight w:val="none"/>
        </w:rPr>
      </w:pPr>
      <w:r>
        <w:rPr>
          <w:rFonts w:hint="eastAsia" w:ascii="黑体" w:hAnsi="黑体" w:eastAsia="黑体" w:cs="黑体"/>
          <w:color w:val="auto"/>
          <w:sz w:val="24"/>
          <w:highlight w:val="none"/>
        </w:rPr>
        <w:t>工作简要过程</w:t>
      </w:r>
    </w:p>
    <w:p w14:paraId="27CC4F76">
      <w:pPr>
        <w:numPr>
          <w:ilvl w:val="0"/>
          <w:numId w:val="2"/>
        </w:numPr>
        <w:ind w:left="0" w:leftChars="0" w:firstLine="0" w:firstLineChars="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rPr>
        <w:t>任务来源</w:t>
      </w:r>
    </w:p>
    <w:p w14:paraId="5021898D">
      <w:pPr>
        <w:ind w:left="360" w:firstLine="630" w:firstLineChars="300"/>
        <w:rPr>
          <w:rFonts w:ascii="仿宋" w:hAnsi="仿宋" w:eastAsia="仿宋" w:cs="仿宋"/>
          <w:b/>
          <w:bCs/>
          <w:color w:val="auto"/>
          <w:sz w:val="24"/>
          <w:highlight w:val="none"/>
        </w:rPr>
      </w:pPr>
      <w:r>
        <w:rPr>
          <w:rFonts w:hint="eastAsia" w:ascii="仿宋" w:hAnsi="仿宋" w:eastAsia="仿宋" w:cs="仿宋"/>
          <w:i/>
          <w:iCs/>
          <w:color w:val="000000" w:themeColor="text1"/>
          <w:szCs w:val="21"/>
          <w14:textFill>
            <w14:solidFill>
              <w14:schemeClr w14:val="tx1"/>
            </w14:solidFill>
          </w14:textFill>
        </w:rPr>
        <w:t>简要介绍项目立项背景、中汽协会批复及计划任务编号等。</w:t>
      </w:r>
    </w:p>
    <w:p w14:paraId="7FD005B1">
      <w:pPr>
        <w:spacing w:before="156" w:beforeLines="50" w:line="360" w:lineRule="auto"/>
        <w:ind w:left="0" w:leftChars="0" w:firstLine="480" w:firstLineChars="200"/>
        <w:jc w:val="left"/>
        <w:rPr>
          <w:rFonts w:hint="eastAsia" w:ascii="宋体" w:hAnsi="宋体"/>
          <w:color w:val="auto"/>
          <w:sz w:val="24"/>
          <w:highlight w:val="none"/>
        </w:rPr>
      </w:pPr>
      <w:r>
        <w:rPr>
          <w:rFonts w:hint="eastAsia" w:ascii="宋体" w:hAnsi="宋体"/>
          <w:color w:val="auto"/>
          <w:sz w:val="24"/>
          <w:highlight w:val="none"/>
        </w:rPr>
        <w:t>轻型客车</w:t>
      </w:r>
      <w:r>
        <w:rPr>
          <w:rFonts w:hint="eastAsia" w:ascii="宋体" w:hAnsi="宋体"/>
          <w:color w:val="auto"/>
          <w:sz w:val="24"/>
          <w:highlight w:val="none"/>
          <w:lang w:val="en-US" w:eastAsia="zh-CN"/>
        </w:rPr>
        <w:t>主要</w:t>
      </w:r>
      <w:r>
        <w:rPr>
          <w:rFonts w:hint="eastAsia" w:ascii="宋体" w:hAnsi="宋体"/>
          <w:color w:val="auto"/>
          <w:sz w:val="24"/>
          <w:highlight w:val="none"/>
        </w:rPr>
        <w:t>用于运送少量乘客，适用于城市内短途客运、旅游、团体出行等。</w:t>
      </w:r>
      <w:r>
        <w:rPr>
          <w:rFonts w:hint="eastAsia" w:ascii="宋体" w:hAnsi="宋体"/>
          <w:color w:val="auto"/>
          <w:sz w:val="24"/>
          <w:highlight w:val="none"/>
          <w:lang w:val="en-US" w:eastAsia="zh-CN"/>
        </w:rPr>
        <w:t>其</w:t>
      </w:r>
      <w:r>
        <w:rPr>
          <w:rFonts w:hint="eastAsia" w:ascii="宋体" w:hAnsi="宋体"/>
          <w:color w:val="auto"/>
          <w:sz w:val="24"/>
          <w:highlight w:val="none"/>
        </w:rPr>
        <w:t>内部空间设计灵活，座位布局可根据需要进行调整，还配备有行李舱，方便乘客携带行李。轻型客车市场近年来持续增长，随着城市化进程的加快和人民生活水平的提高，对便捷、舒适的出行方式需求不断增加。轻型客车因其灵活多变的空间布局和相对经济的价格，成为了许多家庭和中小企业出行的首选。在轻型客车市场中，各大品牌竞争激烈，不断推出新车型以满足市场需求。同时，随着新能源汽车技术的不断发展，智能化、网联化等技术的应用也为轻型客车市场带来了新的发展机遇</w:t>
      </w:r>
      <w:r>
        <w:rPr>
          <w:rFonts w:hint="eastAsia" w:ascii="宋体" w:hAnsi="宋体"/>
          <w:color w:val="auto"/>
          <w:sz w:val="24"/>
          <w:highlight w:val="none"/>
          <w:lang w:eastAsia="zh-CN"/>
        </w:rPr>
        <w:t>，</w:t>
      </w:r>
      <w:r>
        <w:rPr>
          <w:rFonts w:hint="eastAsia" w:ascii="宋体" w:hAnsi="宋体"/>
          <w:color w:val="auto"/>
          <w:sz w:val="24"/>
          <w:highlight w:val="none"/>
        </w:rPr>
        <w:t>未来将继续保持增长态势。</w:t>
      </w:r>
    </w:p>
    <w:p w14:paraId="6443CD34">
      <w:pPr>
        <w:spacing w:line="360" w:lineRule="auto"/>
        <w:ind w:firstLine="480" w:firstLineChars="200"/>
        <w:rPr>
          <w:rFonts w:ascii="仿宋" w:hAnsi="仿宋" w:eastAsia="仿宋" w:cs="仿宋"/>
          <w:color w:val="auto"/>
          <w:sz w:val="24"/>
          <w:highlight w:val="none"/>
        </w:rPr>
      </w:pPr>
      <w:r>
        <w:rPr>
          <w:rFonts w:hint="eastAsia" w:asciiTheme="minorEastAsia" w:hAnsiTheme="minorEastAsia" w:eastAsiaTheme="minorEastAsia"/>
          <w:sz w:val="24"/>
        </w:rPr>
        <w:t xml:space="preserve">为切实发挥企业标准对质量提升的引领作用，贯彻2018年八部委发布的《关于实施企业标准“领跑者”制度的意见文件，2023年3月，中国汽车工程研究院股份有限公司向中国汽车工业协会申请《质量分级及“领跑者”评价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 xml:space="preserve">》团体标准立项。2023年4月25日，中国汽车工业协会召开《质量分级及“领跑者”评价要求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 xml:space="preserve">》团体标准立项论证会。2023年7月18日，中国汽车工业协会正式下文通知《质量分级及“领跑者”评价要求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》完成团体标准立项，项目计划号为2023-5</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 xml:space="preserve">。2024年9月，依据“领跑者”最新管理要求，团标名称由《质量分级及“领跑者”评价要求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 xml:space="preserve">》变更为《“领跑者”评价技术要求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w:t>
      </w:r>
    </w:p>
    <w:p w14:paraId="38DFC0FB">
      <w:pPr>
        <w:ind w:left="360"/>
        <w:rPr>
          <w:rFonts w:ascii="仿宋" w:hAnsi="仿宋" w:eastAsia="仿宋" w:cs="仿宋"/>
          <w:color w:val="auto"/>
          <w:sz w:val="24"/>
          <w:highlight w:val="none"/>
        </w:rPr>
      </w:pPr>
    </w:p>
    <w:p w14:paraId="4F7B736F">
      <w:pPr>
        <w:numPr>
          <w:ilvl w:val="0"/>
          <w:numId w:val="2"/>
        </w:numPr>
        <w:ind w:left="-2" w:leftChars="0" w:firstLine="0" w:firstLineChars="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rPr>
        <w:t>主要起草单位及任务分工</w:t>
      </w:r>
    </w:p>
    <w:p w14:paraId="7FCD0F34">
      <w:pPr>
        <w:numPr>
          <w:ilvl w:val="0"/>
          <w:numId w:val="0"/>
        </w:numPr>
        <w:ind w:left="-2" w:leftChars="0" w:firstLine="420" w:firstLineChars="200"/>
        <w:rPr>
          <w:rFonts w:ascii="仿宋" w:hAnsi="仿宋" w:eastAsia="仿宋" w:cs="仿宋"/>
          <w:b/>
          <w:bCs/>
          <w:color w:val="auto"/>
          <w:sz w:val="24"/>
          <w:highlight w:val="none"/>
        </w:rPr>
      </w:pPr>
      <w:r>
        <w:rPr>
          <w:rFonts w:hint="eastAsia" w:ascii="仿宋" w:hAnsi="仿宋" w:eastAsia="仿宋" w:cs="仿宋"/>
          <w:i/>
          <w:iCs/>
          <w:color w:val="000000" w:themeColor="text1"/>
          <w:szCs w:val="21"/>
          <w14:textFill>
            <w14:solidFill>
              <w14:schemeClr w14:val="tx1"/>
            </w14:solidFill>
          </w14:textFill>
        </w:rPr>
        <w:t>介绍标准起草组构成，主要参与单位及标准起草工作组人员分工。</w:t>
      </w:r>
    </w:p>
    <w:p w14:paraId="0BD9375C">
      <w:pPr>
        <w:spacing w:line="360" w:lineRule="auto"/>
        <w:ind w:firstLine="480" w:firstLineChars="200"/>
        <w:rPr>
          <w:rFonts w:ascii="仿宋" w:hAnsi="仿宋" w:eastAsia="仿宋" w:cs="仿宋"/>
          <w:b/>
          <w:bCs/>
          <w:color w:val="auto"/>
          <w:sz w:val="24"/>
          <w:highlight w:val="none"/>
        </w:rPr>
      </w:pPr>
      <w:r>
        <w:rPr>
          <w:rFonts w:hint="eastAsia" w:asciiTheme="minorEastAsia" w:hAnsiTheme="minorEastAsia" w:eastAsiaTheme="minorEastAsia"/>
          <w:sz w:val="24"/>
        </w:rPr>
        <w:t>在本标准的研究制定工作过程中，与行业专家进行了多次研讨并开展了广泛的调研工作和大量的试验验证工作，得到了相关车辆生产企业的支持，取得了大量具有建设性的意见、建议和数据，保证本标准的制定质量。主要起草单位名单如下：</w:t>
      </w:r>
    </w:p>
    <w:p w14:paraId="0E256491">
      <w:pPr>
        <w:numPr>
          <w:ilvl w:val="0"/>
          <w:numId w:val="3"/>
        </w:numPr>
        <w:spacing w:before="156" w:beforeLines="50" w:line="240" w:lineRule="auto"/>
        <w:ind w:left="480" w:leftChars="0" w:firstLine="0" w:firstLineChars="0"/>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中国汽车工程研究院股份有限公司；</w:t>
      </w:r>
    </w:p>
    <w:p w14:paraId="39067D8D">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江铃汽车股份有限公司；</w:t>
      </w:r>
    </w:p>
    <w:p w14:paraId="545D1899">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中通客车股份有限公司；</w:t>
      </w:r>
    </w:p>
    <w:p w14:paraId="3B65285D">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宇通客车股份有限公司；</w:t>
      </w:r>
    </w:p>
    <w:p w14:paraId="72BFD66A">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厦门金龙联合汽车工业有限公司；</w:t>
      </w:r>
    </w:p>
    <w:p w14:paraId="7F0A23E1">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上汽大通汽车有限公司；</w:t>
      </w:r>
    </w:p>
    <w:p w14:paraId="0A410FBD">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安徽江淮汽车集团股份有限公司；</w:t>
      </w:r>
    </w:p>
    <w:p w14:paraId="5FB1C718">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中国第一汽车集团有限公司；</w:t>
      </w:r>
    </w:p>
    <w:p w14:paraId="3499BC82">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南京汽车集团有限公司；</w:t>
      </w:r>
    </w:p>
    <w:p w14:paraId="4B1F965B">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中兴智能汽车有限公司；</w:t>
      </w:r>
    </w:p>
    <w:p w14:paraId="5D0B23C7">
      <w:pPr>
        <w:numPr>
          <w:ilvl w:val="0"/>
          <w:numId w:val="3"/>
        </w:numPr>
        <w:spacing w:before="156" w:beforeLines="50" w:line="240" w:lineRule="auto"/>
        <w:ind w:left="480" w:leftChars="0" w:firstLine="0" w:firstLineChars="0"/>
        <w:jc w:val="left"/>
        <w:rPr>
          <w:rFonts w:ascii="宋体" w:hAnsi="宋体"/>
          <w:color w:val="auto"/>
          <w:sz w:val="24"/>
          <w:highlight w:val="none"/>
        </w:rPr>
      </w:pPr>
      <w:r>
        <w:rPr>
          <w:rFonts w:hint="eastAsia" w:ascii="宋体" w:hAnsi="宋体"/>
          <w:color w:val="auto"/>
          <w:sz w:val="24"/>
          <w:highlight w:val="none"/>
          <w:lang w:val="en-US" w:eastAsia="zh-CN"/>
        </w:rPr>
        <w:t>珠海广通汽车有限公司</w:t>
      </w:r>
      <w:r>
        <w:rPr>
          <w:rFonts w:hint="eastAsia" w:ascii="宋体" w:hAnsi="宋体"/>
          <w:color w:val="auto"/>
          <w:sz w:val="24"/>
          <w:highlight w:val="none"/>
        </w:rPr>
        <w:t>。</w:t>
      </w:r>
    </w:p>
    <w:p w14:paraId="19955712">
      <w:pPr>
        <w:spacing w:before="156" w:beforeLines="50"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本文件主要起草人：</w:t>
      </w:r>
      <w:r>
        <w:rPr>
          <w:rFonts w:hint="eastAsia" w:ascii="宋体" w:hAnsi="宋体"/>
          <w:color w:val="auto"/>
          <w:sz w:val="24"/>
          <w:highlight w:val="none"/>
          <w:lang w:val="en-US" w:eastAsia="zh-CN"/>
        </w:rPr>
        <w:t>褚观耀、向世林、丁李辉、</w:t>
      </w:r>
      <w:r>
        <w:rPr>
          <w:rFonts w:hint="eastAsia" w:ascii="宋体" w:hAnsi="宋体"/>
          <w:color w:val="auto"/>
          <w:sz w:val="24"/>
          <w:highlight w:val="none"/>
        </w:rPr>
        <w:t>张建周</w:t>
      </w:r>
      <w:r>
        <w:rPr>
          <w:rFonts w:hint="eastAsia" w:ascii="宋体" w:hAnsi="宋体"/>
          <w:color w:val="auto"/>
          <w:sz w:val="24"/>
          <w:highlight w:val="none"/>
          <w:lang w:eastAsia="zh-CN"/>
        </w:rPr>
        <w:t>、杨龙云、杨章玉、澎湃、李金宝、毛洪凯、龚凯杰、陶娜、迟玉华、溪继德、高宏亮、黄运进、曾进文</w:t>
      </w:r>
      <w:r>
        <w:rPr>
          <w:rFonts w:hint="eastAsia" w:ascii="宋体" w:hAnsi="宋体"/>
          <w:color w:val="auto"/>
          <w:sz w:val="24"/>
          <w:highlight w:val="none"/>
        </w:rPr>
        <w:t>。</w:t>
      </w:r>
    </w:p>
    <w:p w14:paraId="4903BF83">
      <w:pPr>
        <w:pStyle w:val="9"/>
        <w:spacing w:before="156" w:after="156"/>
        <w:rPr>
          <w:color w:val="auto"/>
          <w:highlight w:val="none"/>
        </w:rPr>
      </w:pPr>
      <w:r>
        <w:rPr>
          <w:rFonts w:hint="eastAsia"/>
          <w:color w:val="auto"/>
          <w:highlight w:val="none"/>
        </w:rPr>
        <w:t>表1  起草人任务分工</w:t>
      </w:r>
    </w:p>
    <w:tbl>
      <w:tblPr>
        <w:tblStyle w:val="3"/>
        <w:tblW w:w="8491" w:type="dxa"/>
        <w:jc w:val="center"/>
        <w:tblLayout w:type="fixed"/>
        <w:tblCellMar>
          <w:top w:w="0" w:type="dxa"/>
          <w:left w:w="108" w:type="dxa"/>
          <w:bottom w:w="0" w:type="dxa"/>
          <w:right w:w="108" w:type="dxa"/>
        </w:tblCellMar>
      </w:tblPr>
      <w:tblGrid>
        <w:gridCol w:w="674"/>
        <w:gridCol w:w="2526"/>
        <w:gridCol w:w="1825"/>
        <w:gridCol w:w="3466"/>
      </w:tblGrid>
      <w:tr w14:paraId="10DA0080">
        <w:tblPrEx>
          <w:tblCellMar>
            <w:top w:w="0" w:type="dxa"/>
            <w:left w:w="108" w:type="dxa"/>
            <w:bottom w:w="0" w:type="dxa"/>
            <w:right w:w="108" w:type="dxa"/>
          </w:tblCellMar>
        </w:tblPrEx>
        <w:trPr>
          <w:trHeight w:val="270" w:hRule="atLeast"/>
          <w:tblHeader/>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7C8D8F89">
            <w:pPr>
              <w:widowControl/>
              <w:spacing w:before="50" w:line="360" w:lineRule="auto"/>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序号</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577AAAEF">
            <w:pPr>
              <w:widowControl/>
              <w:spacing w:before="50" w:line="360" w:lineRule="auto"/>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单位名称</w:t>
            </w:r>
          </w:p>
        </w:tc>
        <w:tc>
          <w:tcPr>
            <w:tcW w:w="1825" w:type="dxa"/>
            <w:tcBorders>
              <w:top w:val="single" w:color="auto" w:sz="4" w:space="0"/>
              <w:left w:val="nil"/>
              <w:bottom w:val="single" w:color="auto" w:sz="4" w:space="0"/>
              <w:right w:val="single" w:color="auto" w:sz="4" w:space="0"/>
            </w:tcBorders>
            <w:noWrap/>
            <w:vAlign w:val="center"/>
          </w:tcPr>
          <w:p w14:paraId="75A9F20F">
            <w:pPr>
              <w:widowControl/>
              <w:spacing w:before="50" w:line="360" w:lineRule="auto"/>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起草人</w:t>
            </w:r>
          </w:p>
        </w:tc>
        <w:tc>
          <w:tcPr>
            <w:tcW w:w="3466" w:type="dxa"/>
            <w:tcBorders>
              <w:top w:val="single" w:color="auto" w:sz="4" w:space="0"/>
              <w:left w:val="nil"/>
              <w:bottom w:val="single" w:color="auto" w:sz="4" w:space="0"/>
              <w:right w:val="single" w:color="auto" w:sz="4" w:space="0"/>
            </w:tcBorders>
            <w:noWrap/>
            <w:vAlign w:val="center"/>
          </w:tcPr>
          <w:p w14:paraId="20FD3276">
            <w:pPr>
              <w:widowControl/>
              <w:spacing w:before="50" w:line="360" w:lineRule="auto"/>
              <w:jc w:val="center"/>
              <w:rPr>
                <w:rFonts w:hint="eastAsia" w:ascii="黑体" w:hAnsi="黑体" w:eastAsia="黑体" w:cs="黑体"/>
                <w:color w:val="auto"/>
                <w:kern w:val="0"/>
                <w:szCs w:val="21"/>
                <w:highlight w:val="none"/>
              </w:rPr>
            </w:pPr>
            <w:r>
              <w:rPr>
                <w:rFonts w:hint="eastAsia" w:ascii="黑体" w:hAnsi="黑体" w:eastAsia="黑体" w:cs="黑体"/>
                <w:color w:val="auto"/>
                <w:kern w:val="0"/>
                <w:szCs w:val="21"/>
                <w:highlight w:val="none"/>
              </w:rPr>
              <w:t>主要工作</w:t>
            </w:r>
          </w:p>
        </w:tc>
      </w:tr>
      <w:tr w14:paraId="7BB3AE0E">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769922CF">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26" w:type="dxa"/>
            <w:tcBorders>
              <w:top w:val="nil"/>
              <w:left w:val="single" w:color="auto" w:sz="4" w:space="0"/>
              <w:bottom w:val="single" w:color="auto" w:sz="4" w:space="0"/>
              <w:right w:val="single" w:color="auto" w:sz="4" w:space="0"/>
            </w:tcBorders>
            <w:noWrap w:val="0"/>
            <w:vAlign w:val="center"/>
          </w:tcPr>
          <w:p w14:paraId="61873E10">
            <w:pPr>
              <w:widowControl/>
              <w:spacing w:before="50"/>
              <w:jc w:val="center"/>
              <w:rPr>
                <w:rFonts w:ascii="宋体" w:hAnsi="宋体" w:cs="宋体"/>
                <w:color w:val="auto"/>
                <w:kern w:val="0"/>
                <w:szCs w:val="21"/>
                <w:highlight w:val="none"/>
              </w:rPr>
            </w:pPr>
            <w:r>
              <w:rPr>
                <w:rFonts w:hint="eastAsia" w:ascii="宋体" w:hAnsi="宋体"/>
                <w:color w:val="auto"/>
                <w:sz w:val="24"/>
                <w:highlight w:val="none"/>
                <w:lang w:val="en-US" w:eastAsia="zh-CN"/>
              </w:rPr>
              <w:t>中国汽车工程研究院股份有限公司</w:t>
            </w:r>
          </w:p>
        </w:tc>
        <w:tc>
          <w:tcPr>
            <w:tcW w:w="1825" w:type="dxa"/>
            <w:tcBorders>
              <w:top w:val="nil"/>
              <w:left w:val="nil"/>
              <w:bottom w:val="single" w:color="auto" w:sz="4" w:space="0"/>
              <w:right w:val="single" w:color="auto" w:sz="4" w:space="0"/>
            </w:tcBorders>
            <w:noWrap/>
            <w:vAlign w:val="center"/>
          </w:tcPr>
          <w:p w14:paraId="383CBED5">
            <w:pPr>
              <w:widowControl/>
              <w:spacing w:before="50"/>
              <w:jc w:val="center"/>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lang w:val="en-US" w:eastAsia="zh-CN"/>
              </w:rPr>
              <w:t>褚观耀、向世林、丁李辉</w:t>
            </w:r>
          </w:p>
        </w:tc>
        <w:tc>
          <w:tcPr>
            <w:tcW w:w="3466" w:type="dxa"/>
            <w:tcBorders>
              <w:top w:val="nil"/>
              <w:left w:val="nil"/>
              <w:bottom w:val="single" w:color="auto" w:sz="4" w:space="0"/>
              <w:right w:val="single" w:color="auto" w:sz="4" w:space="0"/>
            </w:tcBorders>
            <w:noWrap/>
            <w:vAlign w:val="center"/>
          </w:tcPr>
          <w:p w14:paraId="50206F01">
            <w:pPr>
              <w:widowControl/>
              <w:spacing w:before="50" w:line="24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负责组织与协调，负责主要标准体系框架与技术内容的编写与确定。负责对试验车辆进行试验验证，并整理试验数据，参与标准技术内容的研讨与确定。</w:t>
            </w:r>
          </w:p>
        </w:tc>
      </w:tr>
      <w:tr w14:paraId="4A16449F">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4A607120">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26" w:type="dxa"/>
            <w:tcBorders>
              <w:top w:val="nil"/>
              <w:left w:val="single" w:color="auto" w:sz="4" w:space="0"/>
              <w:bottom w:val="single" w:color="auto" w:sz="4" w:space="0"/>
              <w:right w:val="single" w:color="auto" w:sz="4" w:space="0"/>
            </w:tcBorders>
            <w:noWrap w:val="0"/>
            <w:vAlign w:val="center"/>
          </w:tcPr>
          <w:p w14:paraId="4222E019">
            <w:pPr>
              <w:widowControl/>
              <w:spacing w:before="50"/>
              <w:jc w:val="center"/>
              <w:rPr>
                <w:rFonts w:ascii="宋体" w:hAnsi="宋体" w:cs="宋体"/>
                <w:color w:val="auto"/>
                <w:kern w:val="0"/>
                <w:szCs w:val="21"/>
                <w:highlight w:val="none"/>
              </w:rPr>
            </w:pPr>
            <w:r>
              <w:rPr>
                <w:rFonts w:hint="eastAsia" w:ascii="宋体" w:hAnsi="宋体"/>
                <w:color w:val="auto"/>
                <w:sz w:val="24"/>
                <w:highlight w:val="none"/>
                <w:lang w:val="en-US" w:eastAsia="zh-CN"/>
              </w:rPr>
              <w:t>江铃汽车股份有限公司</w:t>
            </w:r>
          </w:p>
        </w:tc>
        <w:tc>
          <w:tcPr>
            <w:tcW w:w="1825" w:type="dxa"/>
            <w:tcBorders>
              <w:top w:val="nil"/>
              <w:left w:val="nil"/>
              <w:bottom w:val="single" w:color="auto" w:sz="4" w:space="0"/>
              <w:right w:val="single" w:color="auto" w:sz="4" w:space="0"/>
            </w:tcBorders>
            <w:noWrap/>
            <w:vAlign w:val="center"/>
          </w:tcPr>
          <w:p w14:paraId="0DB5B7B9">
            <w:pPr>
              <w:widowControl/>
              <w:spacing w:before="50"/>
              <w:jc w:val="center"/>
              <w:rPr>
                <w:rFonts w:ascii="宋体" w:hAnsi="宋体" w:cs="宋体"/>
                <w:color w:val="auto"/>
                <w:kern w:val="0"/>
                <w:szCs w:val="21"/>
                <w:highlight w:val="none"/>
              </w:rPr>
            </w:pPr>
            <w:r>
              <w:rPr>
                <w:rFonts w:hint="eastAsia" w:ascii="宋体" w:hAnsi="宋体"/>
                <w:color w:val="auto"/>
                <w:sz w:val="24"/>
                <w:highlight w:val="none"/>
              </w:rPr>
              <w:t>张建周</w:t>
            </w:r>
          </w:p>
        </w:tc>
        <w:tc>
          <w:tcPr>
            <w:tcW w:w="3466" w:type="dxa"/>
            <w:tcBorders>
              <w:top w:val="nil"/>
              <w:left w:val="nil"/>
              <w:bottom w:val="single" w:color="auto" w:sz="4" w:space="0"/>
              <w:right w:val="single" w:color="auto" w:sz="4" w:space="0"/>
            </w:tcBorders>
            <w:noWrap/>
            <w:vAlign w:val="center"/>
          </w:tcPr>
          <w:p w14:paraId="64153AA0">
            <w:pPr>
              <w:widowControl/>
              <w:spacing w:before="50" w:line="240" w:lineRule="auto"/>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附录A、附录B、附录C、附录D、附录E</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7F32A8FB">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7A84503A">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26" w:type="dxa"/>
            <w:tcBorders>
              <w:top w:val="nil"/>
              <w:left w:val="single" w:color="auto" w:sz="4" w:space="0"/>
              <w:bottom w:val="single" w:color="auto" w:sz="4" w:space="0"/>
              <w:right w:val="single" w:color="auto" w:sz="4" w:space="0"/>
            </w:tcBorders>
            <w:noWrap w:val="0"/>
            <w:vAlign w:val="center"/>
          </w:tcPr>
          <w:p w14:paraId="50EF383C">
            <w:pPr>
              <w:widowControl/>
              <w:spacing w:before="50"/>
              <w:jc w:val="center"/>
              <w:rPr>
                <w:rFonts w:ascii="宋体" w:hAnsi="宋体" w:cs="宋体"/>
                <w:color w:val="auto"/>
                <w:kern w:val="0"/>
                <w:szCs w:val="21"/>
                <w:highlight w:val="none"/>
              </w:rPr>
            </w:pPr>
            <w:r>
              <w:rPr>
                <w:rFonts w:hint="eastAsia" w:ascii="宋体" w:hAnsi="宋体"/>
                <w:color w:val="auto"/>
                <w:sz w:val="24"/>
                <w:highlight w:val="none"/>
                <w:lang w:val="en-US" w:eastAsia="zh-CN"/>
              </w:rPr>
              <w:t>中通客车股份有限公司</w:t>
            </w:r>
          </w:p>
        </w:tc>
        <w:tc>
          <w:tcPr>
            <w:tcW w:w="1825" w:type="dxa"/>
            <w:tcBorders>
              <w:top w:val="nil"/>
              <w:left w:val="nil"/>
              <w:bottom w:val="single" w:color="auto" w:sz="4" w:space="0"/>
              <w:right w:val="single" w:color="auto" w:sz="4" w:space="0"/>
            </w:tcBorders>
            <w:noWrap/>
            <w:vAlign w:val="center"/>
          </w:tcPr>
          <w:p w14:paraId="76A107F4">
            <w:pPr>
              <w:widowControl/>
              <w:spacing w:before="50"/>
              <w:jc w:val="center"/>
              <w:rPr>
                <w:rFonts w:ascii="宋体" w:hAnsi="宋体" w:cs="宋体"/>
                <w:color w:val="auto"/>
                <w:kern w:val="0"/>
                <w:szCs w:val="21"/>
                <w:highlight w:val="none"/>
              </w:rPr>
            </w:pPr>
            <w:r>
              <w:rPr>
                <w:rFonts w:hint="eastAsia" w:ascii="宋体" w:hAnsi="宋体"/>
                <w:color w:val="auto"/>
                <w:sz w:val="24"/>
                <w:highlight w:val="none"/>
                <w:lang w:eastAsia="zh-CN"/>
              </w:rPr>
              <w:t>杨章玉</w:t>
            </w:r>
          </w:p>
        </w:tc>
        <w:tc>
          <w:tcPr>
            <w:tcW w:w="3466" w:type="dxa"/>
            <w:tcBorders>
              <w:top w:val="nil"/>
              <w:left w:val="nil"/>
              <w:bottom w:val="single" w:color="auto" w:sz="4" w:space="0"/>
              <w:right w:val="single" w:color="auto" w:sz="4" w:space="0"/>
            </w:tcBorders>
            <w:noWrap/>
            <w:vAlign w:val="top"/>
          </w:tcPr>
          <w:p w14:paraId="2FE2ACB4">
            <w:pPr>
              <w:spacing w:before="50" w:line="240" w:lineRule="auto"/>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附录A、附录B、附录C、附录D、附录E</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036EB3B3">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15317D47">
            <w:pPr>
              <w:widowControl/>
              <w:spacing w:before="5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526" w:type="dxa"/>
            <w:tcBorders>
              <w:top w:val="nil"/>
              <w:left w:val="single" w:color="auto" w:sz="4" w:space="0"/>
              <w:bottom w:val="single" w:color="auto" w:sz="4" w:space="0"/>
              <w:right w:val="single" w:color="auto" w:sz="4" w:space="0"/>
            </w:tcBorders>
            <w:noWrap w:val="0"/>
            <w:vAlign w:val="center"/>
          </w:tcPr>
          <w:p w14:paraId="15F00CF6">
            <w:pPr>
              <w:widowControl/>
              <w:spacing w:before="50"/>
              <w:jc w:val="center"/>
              <w:rPr>
                <w:rFonts w:ascii="宋体" w:hAnsi="宋体"/>
                <w:color w:val="auto"/>
                <w:szCs w:val="21"/>
                <w:highlight w:val="none"/>
              </w:rPr>
            </w:pPr>
            <w:r>
              <w:rPr>
                <w:rFonts w:hint="eastAsia" w:ascii="宋体" w:hAnsi="宋体"/>
                <w:color w:val="auto"/>
                <w:sz w:val="24"/>
                <w:highlight w:val="none"/>
                <w:lang w:val="en-US" w:eastAsia="zh-CN"/>
              </w:rPr>
              <w:t>宇通客车股份有限公司</w:t>
            </w:r>
          </w:p>
        </w:tc>
        <w:tc>
          <w:tcPr>
            <w:tcW w:w="1825" w:type="dxa"/>
            <w:tcBorders>
              <w:top w:val="nil"/>
              <w:left w:val="nil"/>
              <w:bottom w:val="single" w:color="auto" w:sz="4" w:space="0"/>
              <w:right w:val="single" w:color="auto" w:sz="4" w:space="0"/>
            </w:tcBorders>
            <w:noWrap/>
            <w:vAlign w:val="center"/>
          </w:tcPr>
          <w:p w14:paraId="65FA8A52">
            <w:pPr>
              <w:widowControl/>
              <w:spacing w:before="50"/>
              <w:jc w:val="center"/>
              <w:rPr>
                <w:rFonts w:ascii="宋体" w:hAnsi="宋体" w:cs="宋体"/>
                <w:color w:val="auto"/>
                <w:kern w:val="0"/>
                <w:szCs w:val="21"/>
                <w:highlight w:val="none"/>
              </w:rPr>
            </w:pPr>
            <w:r>
              <w:rPr>
                <w:rFonts w:hint="eastAsia" w:ascii="宋体" w:hAnsi="宋体"/>
                <w:color w:val="auto"/>
                <w:sz w:val="24"/>
                <w:highlight w:val="none"/>
                <w:lang w:eastAsia="zh-CN"/>
              </w:rPr>
              <w:t>澎湃</w:t>
            </w:r>
          </w:p>
        </w:tc>
        <w:tc>
          <w:tcPr>
            <w:tcW w:w="3466" w:type="dxa"/>
            <w:tcBorders>
              <w:top w:val="nil"/>
              <w:left w:val="nil"/>
              <w:bottom w:val="single" w:color="auto" w:sz="4" w:space="0"/>
              <w:right w:val="single" w:color="auto" w:sz="4" w:space="0"/>
            </w:tcBorders>
            <w:noWrap/>
            <w:vAlign w:val="top"/>
          </w:tcPr>
          <w:p w14:paraId="2D24AD3A">
            <w:pPr>
              <w:spacing w:before="50" w:line="240" w:lineRule="auto"/>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附录A、附录B、附录C、附录D、附录E</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2808D676">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5FF99A9A">
            <w:pPr>
              <w:widowControl/>
              <w:spacing w:before="5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2526" w:type="dxa"/>
            <w:tcBorders>
              <w:top w:val="nil"/>
              <w:left w:val="single" w:color="auto" w:sz="4" w:space="0"/>
              <w:bottom w:val="single" w:color="auto" w:sz="4" w:space="0"/>
              <w:right w:val="single" w:color="auto" w:sz="4" w:space="0"/>
            </w:tcBorders>
            <w:noWrap w:val="0"/>
            <w:vAlign w:val="center"/>
          </w:tcPr>
          <w:p w14:paraId="5A8D97A5">
            <w:pPr>
              <w:widowControl/>
              <w:spacing w:before="50"/>
              <w:jc w:val="center"/>
              <w:rPr>
                <w:rFonts w:ascii="宋体" w:hAnsi="宋体"/>
                <w:color w:val="auto"/>
                <w:szCs w:val="21"/>
                <w:highlight w:val="none"/>
              </w:rPr>
            </w:pPr>
            <w:r>
              <w:rPr>
                <w:rFonts w:hint="eastAsia" w:ascii="宋体" w:hAnsi="宋体"/>
                <w:color w:val="auto"/>
                <w:sz w:val="24"/>
                <w:highlight w:val="none"/>
                <w:lang w:val="en-US" w:eastAsia="zh-CN"/>
              </w:rPr>
              <w:t>厦门金龙联合汽车工业有限公司</w:t>
            </w:r>
          </w:p>
        </w:tc>
        <w:tc>
          <w:tcPr>
            <w:tcW w:w="1825" w:type="dxa"/>
            <w:tcBorders>
              <w:top w:val="nil"/>
              <w:left w:val="nil"/>
              <w:bottom w:val="single" w:color="auto" w:sz="4" w:space="0"/>
              <w:right w:val="single" w:color="auto" w:sz="4" w:space="0"/>
            </w:tcBorders>
            <w:noWrap/>
            <w:vAlign w:val="center"/>
          </w:tcPr>
          <w:p w14:paraId="147DA510">
            <w:pPr>
              <w:widowControl/>
              <w:spacing w:before="50"/>
              <w:jc w:val="center"/>
              <w:rPr>
                <w:rFonts w:ascii="宋体" w:hAnsi="宋体" w:cs="宋体"/>
                <w:color w:val="auto"/>
                <w:kern w:val="0"/>
                <w:szCs w:val="21"/>
                <w:highlight w:val="none"/>
              </w:rPr>
            </w:pPr>
            <w:r>
              <w:rPr>
                <w:rFonts w:hint="eastAsia" w:ascii="宋体" w:hAnsi="宋体"/>
                <w:color w:val="auto"/>
                <w:szCs w:val="21"/>
                <w:highlight w:val="none"/>
              </w:rPr>
              <w:t>李金宝</w:t>
            </w:r>
          </w:p>
        </w:tc>
        <w:tc>
          <w:tcPr>
            <w:tcW w:w="3466" w:type="dxa"/>
            <w:tcBorders>
              <w:top w:val="nil"/>
              <w:left w:val="nil"/>
              <w:bottom w:val="single" w:color="auto" w:sz="4" w:space="0"/>
              <w:right w:val="single" w:color="auto" w:sz="4" w:space="0"/>
            </w:tcBorders>
            <w:noWrap/>
            <w:vAlign w:val="center"/>
          </w:tcPr>
          <w:p w14:paraId="56D8BC47">
            <w:pPr>
              <w:spacing w:before="50" w:line="240" w:lineRule="auto"/>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附录A、附录B、附录C、附录D、附录E</w:t>
            </w:r>
            <w:r>
              <w:rPr>
                <w:rFonts w:hint="eastAsia" w:ascii="宋体" w:hAnsi="宋体" w:cs="宋体"/>
                <w:color w:val="auto"/>
                <w:kern w:val="0"/>
                <w:szCs w:val="21"/>
                <w:highlight w:val="none"/>
              </w:rPr>
              <w:t>内容的编写。</w:t>
            </w:r>
            <w:r>
              <w:rPr>
                <w:rFonts w:hint="eastAsia" w:ascii="宋体" w:hAnsi="宋体" w:cs="宋体"/>
                <w:color w:val="auto"/>
                <w:kern w:val="0"/>
                <w:szCs w:val="21"/>
                <w:highlight w:val="none"/>
                <w:lang w:val="en-US" w:eastAsia="zh-CN"/>
              </w:rPr>
              <w:t>参与</w:t>
            </w:r>
            <w:r>
              <w:rPr>
                <w:rFonts w:hint="eastAsia" w:ascii="宋体" w:hAnsi="宋体" w:cs="宋体"/>
                <w:color w:val="auto"/>
                <w:kern w:val="0"/>
                <w:szCs w:val="21"/>
                <w:highlight w:val="none"/>
              </w:rPr>
              <w:t>试验车辆进行试验验证</w:t>
            </w:r>
            <w:r>
              <w:rPr>
                <w:rFonts w:hint="eastAsia" w:ascii="宋体" w:hAnsi="宋体" w:cs="宋体"/>
                <w:color w:val="auto"/>
                <w:kern w:val="0"/>
                <w:szCs w:val="21"/>
                <w:highlight w:val="none"/>
                <w:lang w:eastAsia="zh-CN"/>
              </w:rPr>
              <w:t>。</w:t>
            </w:r>
          </w:p>
        </w:tc>
      </w:tr>
      <w:tr w14:paraId="1578CDCE">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5399F97E">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2526" w:type="dxa"/>
            <w:tcBorders>
              <w:top w:val="nil"/>
              <w:left w:val="single" w:color="auto" w:sz="4" w:space="0"/>
              <w:bottom w:val="single" w:color="auto" w:sz="4" w:space="0"/>
              <w:right w:val="single" w:color="auto" w:sz="4" w:space="0"/>
            </w:tcBorders>
            <w:noWrap w:val="0"/>
            <w:vAlign w:val="center"/>
          </w:tcPr>
          <w:p w14:paraId="72FF21EF">
            <w:pPr>
              <w:widowControl/>
              <w:spacing w:before="50"/>
              <w:jc w:val="center"/>
              <w:rPr>
                <w:rFonts w:ascii="宋体" w:hAnsi="宋体"/>
                <w:color w:val="auto"/>
                <w:szCs w:val="21"/>
                <w:highlight w:val="none"/>
              </w:rPr>
            </w:pPr>
            <w:r>
              <w:rPr>
                <w:rFonts w:hint="eastAsia" w:ascii="宋体" w:hAnsi="宋体"/>
                <w:color w:val="auto"/>
                <w:sz w:val="24"/>
                <w:highlight w:val="none"/>
                <w:lang w:val="en-US" w:eastAsia="zh-CN"/>
              </w:rPr>
              <w:t>上汽大通汽车有限公司</w:t>
            </w:r>
          </w:p>
        </w:tc>
        <w:tc>
          <w:tcPr>
            <w:tcW w:w="1825" w:type="dxa"/>
            <w:tcBorders>
              <w:top w:val="nil"/>
              <w:left w:val="nil"/>
              <w:bottom w:val="single" w:color="auto" w:sz="4" w:space="0"/>
              <w:right w:val="single" w:color="auto" w:sz="4" w:space="0"/>
            </w:tcBorders>
            <w:noWrap/>
            <w:vAlign w:val="center"/>
          </w:tcPr>
          <w:p w14:paraId="1ECDE978">
            <w:pPr>
              <w:widowControl/>
              <w:spacing w:before="50"/>
              <w:jc w:val="center"/>
              <w:rPr>
                <w:rFonts w:hint="eastAsia" w:ascii="宋体" w:hAnsi="宋体" w:eastAsia="宋体"/>
                <w:color w:val="auto"/>
                <w:szCs w:val="21"/>
                <w:highlight w:val="none"/>
                <w:lang w:eastAsia="zh-CN"/>
              </w:rPr>
            </w:pPr>
            <w:r>
              <w:rPr>
                <w:rFonts w:hint="eastAsia" w:ascii="宋体" w:hAnsi="宋体"/>
                <w:color w:val="auto"/>
                <w:szCs w:val="21"/>
                <w:highlight w:val="none"/>
              </w:rPr>
              <w:t>毛洪凯</w:t>
            </w:r>
            <w:r>
              <w:rPr>
                <w:rFonts w:hint="eastAsia" w:ascii="宋体" w:hAnsi="宋体"/>
                <w:color w:val="auto"/>
                <w:szCs w:val="21"/>
                <w:highlight w:val="none"/>
                <w:lang w:eastAsia="zh-CN"/>
              </w:rPr>
              <w:t>、龚凯杰</w:t>
            </w:r>
          </w:p>
        </w:tc>
        <w:tc>
          <w:tcPr>
            <w:tcW w:w="3466" w:type="dxa"/>
            <w:tcBorders>
              <w:top w:val="nil"/>
              <w:left w:val="nil"/>
              <w:bottom w:val="single" w:color="auto" w:sz="4" w:space="0"/>
              <w:right w:val="single" w:color="auto" w:sz="4" w:space="0"/>
            </w:tcBorders>
            <w:noWrap/>
            <w:vAlign w:val="center"/>
          </w:tcPr>
          <w:p w14:paraId="6099DCF8">
            <w:pPr>
              <w:spacing w:before="50"/>
              <w:jc w:val="left"/>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1BFEFACB">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0878826F">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2526" w:type="dxa"/>
            <w:tcBorders>
              <w:top w:val="nil"/>
              <w:left w:val="single" w:color="auto" w:sz="4" w:space="0"/>
              <w:bottom w:val="single" w:color="auto" w:sz="4" w:space="0"/>
              <w:right w:val="single" w:color="auto" w:sz="4" w:space="0"/>
            </w:tcBorders>
            <w:noWrap w:val="0"/>
            <w:vAlign w:val="center"/>
          </w:tcPr>
          <w:p w14:paraId="35198DFF">
            <w:pPr>
              <w:widowControl/>
              <w:spacing w:before="50"/>
              <w:jc w:val="center"/>
              <w:rPr>
                <w:rFonts w:ascii="宋体" w:hAnsi="宋体"/>
                <w:color w:val="auto"/>
                <w:szCs w:val="21"/>
                <w:highlight w:val="none"/>
              </w:rPr>
            </w:pPr>
            <w:r>
              <w:rPr>
                <w:rFonts w:hint="eastAsia" w:ascii="宋体" w:hAnsi="宋体"/>
                <w:color w:val="auto"/>
                <w:sz w:val="24"/>
                <w:highlight w:val="none"/>
                <w:lang w:val="en-US" w:eastAsia="zh-CN"/>
              </w:rPr>
              <w:t>安徽江淮汽车集团股份有限公司</w:t>
            </w:r>
          </w:p>
        </w:tc>
        <w:tc>
          <w:tcPr>
            <w:tcW w:w="1825" w:type="dxa"/>
            <w:tcBorders>
              <w:top w:val="nil"/>
              <w:left w:val="nil"/>
              <w:bottom w:val="single" w:color="auto" w:sz="4" w:space="0"/>
              <w:right w:val="single" w:color="auto" w:sz="4" w:space="0"/>
            </w:tcBorders>
            <w:noWrap/>
            <w:vAlign w:val="center"/>
          </w:tcPr>
          <w:p w14:paraId="5CDA8C10">
            <w:pPr>
              <w:widowControl/>
              <w:spacing w:before="50"/>
              <w:jc w:val="center"/>
              <w:rPr>
                <w:rFonts w:ascii="宋体" w:hAnsi="宋体"/>
                <w:color w:val="auto"/>
                <w:szCs w:val="21"/>
                <w:highlight w:val="none"/>
              </w:rPr>
            </w:pPr>
            <w:r>
              <w:rPr>
                <w:rFonts w:hint="eastAsia" w:ascii="宋体" w:hAnsi="宋体"/>
                <w:color w:val="auto"/>
                <w:sz w:val="24"/>
                <w:highlight w:val="none"/>
                <w:lang w:eastAsia="zh-CN"/>
              </w:rPr>
              <w:t>陶娜、迟玉华</w:t>
            </w:r>
          </w:p>
        </w:tc>
        <w:tc>
          <w:tcPr>
            <w:tcW w:w="3466" w:type="dxa"/>
            <w:tcBorders>
              <w:top w:val="nil"/>
              <w:left w:val="nil"/>
              <w:bottom w:val="single" w:color="auto" w:sz="4" w:space="0"/>
              <w:right w:val="single" w:color="auto" w:sz="4" w:space="0"/>
            </w:tcBorders>
            <w:noWrap/>
            <w:vAlign w:val="center"/>
          </w:tcPr>
          <w:p w14:paraId="7EE3A996">
            <w:pPr>
              <w:spacing w:before="50"/>
              <w:jc w:val="center"/>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78646E48">
        <w:tblPrEx>
          <w:tblCellMar>
            <w:top w:w="0" w:type="dxa"/>
            <w:left w:w="108" w:type="dxa"/>
            <w:bottom w:w="0" w:type="dxa"/>
            <w:right w:w="108" w:type="dxa"/>
          </w:tblCellMar>
        </w:tblPrEx>
        <w:trPr>
          <w:trHeight w:val="674" w:hRule="atLeast"/>
          <w:jc w:val="center"/>
        </w:trPr>
        <w:tc>
          <w:tcPr>
            <w:tcW w:w="674" w:type="dxa"/>
            <w:tcBorders>
              <w:top w:val="nil"/>
              <w:left w:val="single" w:color="auto" w:sz="4" w:space="0"/>
              <w:bottom w:val="single" w:color="auto" w:sz="4" w:space="0"/>
              <w:right w:val="single" w:color="auto" w:sz="4" w:space="0"/>
            </w:tcBorders>
            <w:noWrap/>
            <w:vAlign w:val="center"/>
          </w:tcPr>
          <w:p w14:paraId="32F2F027">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2526" w:type="dxa"/>
            <w:tcBorders>
              <w:top w:val="nil"/>
              <w:left w:val="single" w:color="auto" w:sz="4" w:space="0"/>
              <w:bottom w:val="single" w:color="auto" w:sz="4" w:space="0"/>
              <w:right w:val="single" w:color="auto" w:sz="4" w:space="0"/>
            </w:tcBorders>
            <w:noWrap w:val="0"/>
            <w:vAlign w:val="center"/>
          </w:tcPr>
          <w:p w14:paraId="263D1E93">
            <w:pPr>
              <w:widowControl/>
              <w:spacing w:before="50"/>
              <w:jc w:val="center"/>
              <w:rPr>
                <w:rFonts w:ascii="宋体" w:hAnsi="宋体"/>
                <w:color w:val="auto"/>
                <w:szCs w:val="21"/>
                <w:highlight w:val="none"/>
              </w:rPr>
            </w:pPr>
            <w:r>
              <w:rPr>
                <w:rFonts w:hint="eastAsia" w:ascii="宋体" w:hAnsi="宋体"/>
                <w:color w:val="auto"/>
                <w:sz w:val="24"/>
                <w:highlight w:val="none"/>
                <w:lang w:val="en-US" w:eastAsia="zh-CN"/>
              </w:rPr>
              <w:t>中国第一汽车集团有限公司</w:t>
            </w:r>
          </w:p>
        </w:tc>
        <w:tc>
          <w:tcPr>
            <w:tcW w:w="1825" w:type="dxa"/>
            <w:tcBorders>
              <w:top w:val="nil"/>
              <w:left w:val="nil"/>
              <w:bottom w:val="single" w:color="auto" w:sz="4" w:space="0"/>
              <w:right w:val="single" w:color="auto" w:sz="4" w:space="0"/>
            </w:tcBorders>
            <w:noWrap/>
            <w:vAlign w:val="center"/>
          </w:tcPr>
          <w:p w14:paraId="131A5DF7">
            <w:pPr>
              <w:widowControl/>
              <w:spacing w:before="50"/>
              <w:jc w:val="center"/>
              <w:rPr>
                <w:rFonts w:ascii="宋体" w:hAnsi="宋体"/>
                <w:color w:val="auto"/>
                <w:szCs w:val="21"/>
                <w:highlight w:val="none"/>
              </w:rPr>
            </w:pPr>
            <w:r>
              <w:rPr>
                <w:rFonts w:hint="eastAsia" w:ascii="宋体" w:hAnsi="宋体"/>
                <w:color w:val="auto"/>
                <w:sz w:val="24"/>
                <w:highlight w:val="none"/>
                <w:lang w:eastAsia="zh-CN"/>
              </w:rPr>
              <w:t>溪继德</w:t>
            </w:r>
          </w:p>
        </w:tc>
        <w:tc>
          <w:tcPr>
            <w:tcW w:w="3466" w:type="dxa"/>
            <w:tcBorders>
              <w:top w:val="nil"/>
              <w:left w:val="nil"/>
              <w:bottom w:val="single" w:color="auto" w:sz="4" w:space="0"/>
              <w:right w:val="single" w:color="auto" w:sz="4" w:space="0"/>
            </w:tcBorders>
            <w:noWrap/>
            <w:vAlign w:val="center"/>
          </w:tcPr>
          <w:p w14:paraId="5763A317">
            <w:pPr>
              <w:spacing w:before="50"/>
              <w:jc w:val="center"/>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62549B15">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5CD7102">
            <w:pPr>
              <w:widowControl/>
              <w:spacing w:before="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374760FA">
            <w:pPr>
              <w:widowControl/>
              <w:spacing w:before="50"/>
              <w:jc w:val="center"/>
              <w:rPr>
                <w:rFonts w:ascii="宋体" w:hAnsi="宋体"/>
                <w:color w:val="auto"/>
                <w:szCs w:val="21"/>
                <w:highlight w:val="none"/>
              </w:rPr>
            </w:pPr>
            <w:r>
              <w:rPr>
                <w:rFonts w:hint="eastAsia" w:ascii="宋体" w:hAnsi="宋体"/>
                <w:color w:val="auto"/>
                <w:sz w:val="24"/>
                <w:highlight w:val="none"/>
                <w:lang w:val="en-US" w:eastAsia="zh-CN"/>
              </w:rPr>
              <w:t>南京汽车集团有限公司</w:t>
            </w:r>
          </w:p>
        </w:tc>
        <w:tc>
          <w:tcPr>
            <w:tcW w:w="1825" w:type="dxa"/>
            <w:tcBorders>
              <w:top w:val="single" w:color="auto" w:sz="4" w:space="0"/>
              <w:left w:val="single" w:color="auto" w:sz="4" w:space="0"/>
              <w:bottom w:val="single" w:color="auto" w:sz="4" w:space="0"/>
              <w:right w:val="single" w:color="auto" w:sz="4" w:space="0"/>
            </w:tcBorders>
            <w:noWrap/>
            <w:vAlign w:val="center"/>
          </w:tcPr>
          <w:p w14:paraId="2ACC593F">
            <w:pPr>
              <w:widowControl/>
              <w:spacing w:before="50"/>
              <w:jc w:val="center"/>
              <w:rPr>
                <w:rFonts w:ascii="宋体" w:hAnsi="宋体"/>
                <w:color w:val="auto"/>
                <w:szCs w:val="21"/>
                <w:highlight w:val="none"/>
              </w:rPr>
            </w:pPr>
            <w:r>
              <w:rPr>
                <w:rFonts w:hint="eastAsia" w:ascii="宋体" w:hAnsi="宋体"/>
                <w:color w:val="auto"/>
                <w:sz w:val="24"/>
                <w:highlight w:val="none"/>
                <w:lang w:eastAsia="zh-CN"/>
              </w:rPr>
              <w:t>高宏亮</w:t>
            </w:r>
          </w:p>
        </w:tc>
        <w:tc>
          <w:tcPr>
            <w:tcW w:w="3466" w:type="dxa"/>
            <w:tcBorders>
              <w:top w:val="single" w:color="auto" w:sz="4" w:space="0"/>
              <w:left w:val="single" w:color="auto" w:sz="4" w:space="0"/>
              <w:bottom w:val="single" w:color="auto" w:sz="4" w:space="0"/>
              <w:right w:val="single" w:color="auto" w:sz="4" w:space="0"/>
            </w:tcBorders>
            <w:noWrap/>
            <w:vAlign w:val="center"/>
          </w:tcPr>
          <w:p w14:paraId="31FCA814">
            <w:pPr>
              <w:spacing w:before="50"/>
              <w:jc w:val="center"/>
              <w:rPr>
                <w:rFonts w:ascii="宋体" w:hAnsi="宋体"/>
                <w:color w:val="auto"/>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1E0ACD45">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28B10D05">
            <w:pPr>
              <w:widowControl/>
              <w:spacing w:before="5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6851BC7A">
            <w:pPr>
              <w:widowControl/>
              <w:spacing w:before="5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中兴智能汽车有限公司</w:t>
            </w:r>
          </w:p>
        </w:tc>
        <w:tc>
          <w:tcPr>
            <w:tcW w:w="1825" w:type="dxa"/>
            <w:tcBorders>
              <w:top w:val="single" w:color="auto" w:sz="4" w:space="0"/>
              <w:left w:val="single" w:color="auto" w:sz="4" w:space="0"/>
              <w:bottom w:val="single" w:color="auto" w:sz="4" w:space="0"/>
              <w:right w:val="single" w:color="auto" w:sz="4" w:space="0"/>
            </w:tcBorders>
            <w:noWrap/>
            <w:vAlign w:val="center"/>
          </w:tcPr>
          <w:p w14:paraId="13BE9B8A">
            <w:pPr>
              <w:widowControl/>
              <w:spacing w:before="50"/>
              <w:jc w:val="center"/>
              <w:rPr>
                <w:rFonts w:hint="eastAsia" w:ascii="宋体" w:hAnsi="宋体"/>
                <w:color w:val="auto"/>
                <w:sz w:val="24"/>
                <w:highlight w:val="none"/>
                <w:lang w:eastAsia="zh-CN"/>
              </w:rPr>
            </w:pPr>
            <w:r>
              <w:rPr>
                <w:rFonts w:hint="eastAsia" w:ascii="宋体" w:hAnsi="宋体"/>
                <w:color w:val="auto"/>
                <w:sz w:val="24"/>
                <w:highlight w:val="none"/>
                <w:lang w:eastAsia="zh-CN"/>
              </w:rPr>
              <w:t>黄运进</w:t>
            </w:r>
          </w:p>
        </w:tc>
        <w:tc>
          <w:tcPr>
            <w:tcW w:w="3466" w:type="dxa"/>
            <w:tcBorders>
              <w:top w:val="single" w:color="auto" w:sz="4" w:space="0"/>
              <w:left w:val="single" w:color="auto" w:sz="4" w:space="0"/>
              <w:bottom w:val="single" w:color="auto" w:sz="4" w:space="0"/>
              <w:right w:val="single" w:color="auto" w:sz="4" w:space="0"/>
            </w:tcBorders>
            <w:noWrap/>
            <w:vAlign w:val="center"/>
          </w:tcPr>
          <w:p w14:paraId="5DC219B7">
            <w:pPr>
              <w:spacing w:before="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r w14:paraId="53B4C07E">
        <w:tblPrEx>
          <w:tblCellMar>
            <w:top w:w="0" w:type="dxa"/>
            <w:left w:w="108" w:type="dxa"/>
            <w:bottom w:w="0" w:type="dxa"/>
            <w:right w:w="108" w:type="dxa"/>
          </w:tblCellMar>
        </w:tblPrEx>
        <w:trPr>
          <w:trHeight w:val="674" w:hRule="atLeast"/>
          <w:jc w:val="center"/>
        </w:trPr>
        <w:tc>
          <w:tcPr>
            <w:tcW w:w="674" w:type="dxa"/>
            <w:tcBorders>
              <w:top w:val="single" w:color="auto" w:sz="4" w:space="0"/>
              <w:left w:val="single" w:color="auto" w:sz="4" w:space="0"/>
              <w:bottom w:val="single" w:color="auto" w:sz="4" w:space="0"/>
              <w:right w:val="single" w:color="auto" w:sz="4" w:space="0"/>
            </w:tcBorders>
            <w:noWrap/>
            <w:vAlign w:val="center"/>
          </w:tcPr>
          <w:p w14:paraId="13A24456">
            <w:pPr>
              <w:widowControl/>
              <w:spacing w:before="5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2526" w:type="dxa"/>
            <w:tcBorders>
              <w:top w:val="single" w:color="auto" w:sz="4" w:space="0"/>
              <w:left w:val="single" w:color="auto" w:sz="4" w:space="0"/>
              <w:bottom w:val="single" w:color="auto" w:sz="4" w:space="0"/>
              <w:right w:val="single" w:color="auto" w:sz="4" w:space="0"/>
            </w:tcBorders>
            <w:noWrap w:val="0"/>
            <w:vAlign w:val="center"/>
          </w:tcPr>
          <w:p w14:paraId="73E4D91F">
            <w:pPr>
              <w:widowControl/>
              <w:spacing w:before="5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珠海广通汽车有限公司</w:t>
            </w:r>
          </w:p>
        </w:tc>
        <w:tc>
          <w:tcPr>
            <w:tcW w:w="1825" w:type="dxa"/>
            <w:tcBorders>
              <w:top w:val="single" w:color="auto" w:sz="4" w:space="0"/>
              <w:left w:val="single" w:color="auto" w:sz="4" w:space="0"/>
              <w:bottom w:val="single" w:color="auto" w:sz="4" w:space="0"/>
              <w:right w:val="single" w:color="auto" w:sz="4" w:space="0"/>
            </w:tcBorders>
            <w:noWrap/>
            <w:vAlign w:val="center"/>
          </w:tcPr>
          <w:p w14:paraId="212D3CFB">
            <w:pPr>
              <w:widowControl/>
              <w:spacing w:before="50"/>
              <w:jc w:val="center"/>
              <w:rPr>
                <w:rFonts w:hint="eastAsia" w:ascii="宋体" w:hAnsi="宋体"/>
                <w:color w:val="auto"/>
                <w:sz w:val="24"/>
                <w:highlight w:val="none"/>
                <w:lang w:eastAsia="zh-CN"/>
              </w:rPr>
            </w:pPr>
            <w:r>
              <w:rPr>
                <w:rFonts w:hint="eastAsia" w:ascii="宋体" w:hAnsi="宋体"/>
                <w:color w:val="auto"/>
                <w:sz w:val="24"/>
                <w:highlight w:val="none"/>
                <w:lang w:eastAsia="zh-CN"/>
              </w:rPr>
              <w:t>曾进文</w:t>
            </w:r>
          </w:p>
        </w:tc>
        <w:tc>
          <w:tcPr>
            <w:tcW w:w="3466" w:type="dxa"/>
            <w:tcBorders>
              <w:top w:val="single" w:color="auto" w:sz="4" w:space="0"/>
              <w:left w:val="single" w:color="auto" w:sz="4" w:space="0"/>
              <w:bottom w:val="single" w:color="auto" w:sz="4" w:space="0"/>
              <w:right w:val="single" w:color="auto" w:sz="4" w:space="0"/>
            </w:tcBorders>
            <w:noWrap/>
            <w:vAlign w:val="center"/>
          </w:tcPr>
          <w:p w14:paraId="2C850294">
            <w:pPr>
              <w:spacing w:before="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附录A、附录B、附录C</w:t>
            </w:r>
            <w:r>
              <w:rPr>
                <w:rFonts w:hint="eastAsia" w:ascii="宋体" w:hAnsi="宋体" w:cs="宋体"/>
                <w:color w:val="auto"/>
                <w:kern w:val="0"/>
                <w:szCs w:val="21"/>
                <w:highlight w:val="none"/>
              </w:rPr>
              <w:t>内容的编写。</w:t>
            </w:r>
          </w:p>
        </w:tc>
      </w:tr>
    </w:tbl>
    <w:p w14:paraId="7ADF3AA8">
      <w:pPr>
        <w:ind w:left="360"/>
        <w:rPr>
          <w:rFonts w:ascii="仿宋" w:hAnsi="仿宋" w:eastAsia="仿宋" w:cs="仿宋"/>
          <w:color w:val="auto"/>
          <w:sz w:val="24"/>
          <w:highlight w:val="none"/>
        </w:rPr>
      </w:pPr>
    </w:p>
    <w:p w14:paraId="569D5BD2">
      <w:pPr>
        <w:numPr>
          <w:ilvl w:val="0"/>
          <w:numId w:val="2"/>
        </w:numPr>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rPr>
        <w:t>标准研讨情况</w:t>
      </w:r>
    </w:p>
    <w:p w14:paraId="3E05931C">
      <w:pPr>
        <w:ind w:left="360" w:firstLine="420" w:firstLineChars="200"/>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i/>
          <w:iCs/>
          <w:color w:val="000000" w:themeColor="text1"/>
          <w:szCs w:val="21"/>
          <w14:textFill>
            <w14:solidFill>
              <w14:schemeClr w14:val="tx1"/>
            </w14:solidFill>
          </w14:textFill>
        </w:rPr>
        <w:t>介绍标准立项、起草过程中召开的有关调研、讨论等会议情况，突出阶段性成果。</w:t>
      </w:r>
    </w:p>
    <w:p w14:paraId="21E87EA3">
      <w:pPr>
        <w:numPr>
          <w:ilvl w:val="0"/>
          <w:numId w:val="4"/>
        </w:numPr>
        <w:adjustRightInd w:val="0"/>
        <w:snapToGrid w:val="0"/>
        <w:spacing w:before="156" w:beforeLines="50" w:line="360" w:lineRule="auto"/>
        <w:ind w:left="0" w:leftChars="0" w:firstLine="0" w:firstLineChars="0"/>
        <w:jc w:val="left"/>
        <w:rPr>
          <w:rFonts w:hint="eastAsia" w:ascii="黑体" w:hAnsi="黑体" w:eastAsia="黑体" w:cs="黑体"/>
          <w:b w:val="0"/>
          <w:bCs/>
          <w:color w:val="auto"/>
          <w:sz w:val="24"/>
          <w:highlight w:val="none"/>
          <w:lang w:val="en-US" w:eastAsia="zh-CN"/>
        </w:rPr>
      </w:pPr>
      <w:r>
        <w:rPr>
          <w:rFonts w:hint="eastAsia" w:ascii="黑体" w:hAnsi="黑体" w:eastAsia="黑体" w:cs="黑体"/>
          <w:b w:val="0"/>
          <w:bCs/>
          <w:color w:val="auto"/>
          <w:sz w:val="24"/>
          <w:highlight w:val="none"/>
          <w:lang w:val="en-US" w:eastAsia="zh-CN"/>
        </w:rPr>
        <w:t>开展调研</w:t>
      </w:r>
    </w:p>
    <w:p w14:paraId="6733091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标准编制相关人员进行相关资料收集与调研，主要情况整理如下：</w:t>
      </w:r>
    </w:p>
    <w:p w14:paraId="417FEFBE">
      <w:pPr>
        <w:numPr>
          <w:ilvl w:val="0"/>
          <w:numId w:val="5"/>
        </w:numPr>
        <w:spacing w:line="360" w:lineRule="auto"/>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国内轻型客车政策与产业现状</w:t>
      </w:r>
    </w:p>
    <w:p w14:paraId="082AD9A2">
      <w:pPr>
        <w:numPr>
          <w:ilvl w:val="0"/>
          <w:numId w:val="0"/>
        </w:num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近年来，随着经济的发展和城市化进程的加快，轻型客车市场需求持续增长。政府为了促进汽车产业的健康发展，出台了一系列政策来规范和引导轻型客车产业的发展。这些政策包括但不限于排放标准的提升、新能源汽车的推广、以及对传统燃油车的限制等。排放标准方面，国家不断升级轻型客车的排放法规，推动企业采用更先进的发动机技术和尾气处理系统，以减少污染物排放。例如，国六排放标准的实施，要求轻型客车必须满足更为严格的排放限值。</w:t>
      </w:r>
    </w:p>
    <w:p w14:paraId="7EFDAB2F">
      <w:pPr>
        <w:numPr>
          <w:ilvl w:val="0"/>
          <w:numId w:val="0"/>
        </w:numPr>
        <w:spacing w:line="360" w:lineRule="auto"/>
        <w:ind w:firstLine="480" w:firstLineChars="200"/>
        <w:rPr>
          <w:rFonts w:hint="default"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‌轻型客车市场在2024年前8月的累计销量为252,489辆，同比增长2.60%。‌ 在2024年8月份，轻型客车的销量为30,900辆，环比增长8%</w:t>
      </w:r>
      <w:r>
        <w:rPr>
          <w:rFonts w:hint="eastAsia" w:asciiTheme="minorEastAsia" w:hAnsiTheme="minorEastAsia" w:eastAsiaTheme="minorEastAsia"/>
          <w:sz w:val="24"/>
          <w:lang w:val="en-US" w:eastAsia="zh-CN"/>
        </w:rPr>
        <w:t>。轻型客车市场的增长趋势在一定程度上受到了多种因素的影响。轻型客车在物流和客运领域的广泛应用提高了其需求量，特别是在城市配送和短途旅游方面。其次，环保意识的提升促使轻型客车</w:t>
      </w:r>
      <w:r>
        <w:rPr>
          <w:rFonts w:hint="default" w:asciiTheme="minorEastAsia" w:hAnsiTheme="minorEastAsia" w:eastAsiaTheme="minorEastAsia"/>
          <w:sz w:val="24"/>
          <w:lang w:val="en-US" w:eastAsia="zh-CN"/>
        </w:rPr>
        <w:t>正朝着更加智能化、舒适化、</w:t>
      </w:r>
      <w:r>
        <w:rPr>
          <w:rFonts w:hint="eastAsia" w:asciiTheme="minorEastAsia" w:hAnsiTheme="minorEastAsia" w:eastAsiaTheme="minorEastAsia"/>
          <w:sz w:val="24"/>
          <w:lang w:val="en-US" w:eastAsia="zh-CN"/>
        </w:rPr>
        <w:t>绿色化、新能源化发展，这也促进了市场的增长</w:t>
      </w:r>
      <w:r>
        <w:rPr>
          <w:rFonts w:hint="default" w:asciiTheme="minorEastAsia" w:hAnsiTheme="minorEastAsia" w:eastAsiaTheme="minorEastAsia"/>
          <w:sz w:val="24"/>
          <w:lang w:val="en-US" w:eastAsia="zh-CN"/>
        </w:rPr>
        <w:t>，潜力巨大。</w:t>
      </w:r>
    </w:p>
    <w:p w14:paraId="111048EE">
      <w:pPr>
        <w:numPr>
          <w:ilvl w:val="0"/>
          <w:numId w:val="5"/>
        </w:numPr>
        <w:spacing w:line="360" w:lineRule="auto"/>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国外轻型客车产业现状</w:t>
      </w:r>
    </w:p>
    <w:p w14:paraId="297404FE">
      <w:pPr>
        <w:numPr>
          <w:ilvl w:val="0"/>
          <w:numId w:val="0"/>
        </w:numPr>
        <w:spacing w:line="360" w:lineRule="auto"/>
        <w:ind w:firstLine="480" w:firstLineChars="200"/>
        <w:rPr>
          <w:rFonts w:hint="eastAsia" w:asciiTheme="minorEastAsia" w:hAnsiTheme="minorEastAsia" w:eastAsiaTheme="minorEastAsia"/>
          <w:sz w:val="24"/>
          <w:lang w:val="en-US" w:eastAsia="zh-CN"/>
        </w:rPr>
      </w:pPr>
      <w:r>
        <w:rPr>
          <w:rFonts w:hint="default" w:asciiTheme="minorEastAsia" w:hAnsiTheme="minorEastAsia" w:eastAsiaTheme="minorEastAsia"/>
          <w:sz w:val="24"/>
          <w:lang w:val="en-US" w:eastAsia="zh-CN"/>
        </w:rPr>
        <w:t>轻型客车</w:t>
      </w:r>
      <w:r>
        <w:rPr>
          <w:rFonts w:hint="eastAsia" w:asciiTheme="minorEastAsia" w:hAnsiTheme="minorEastAsia" w:eastAsiaTheme="minorEastAsia"/>
          <w:sz w:val="24"/>
          <w:lang w:val="en-US" w:eastAsia="zh-CN"/>
        </w:rPr>
        <w:t>在</w:t>
      </w:r>
      <w:r>
        <w:rPr>
          <w:rFonts w:hint="default" w:asciiTheme="minorEastAsia" w:hAnsiTheme="minorEastAsia" w:eastAsiaTheme="minorEastAsia"/>
          <w:sz w:val="24"/>
          <w:lang w:val="en-US" w:eastAsia="zh-CN"/>
        </w:rPr>
        <w:t>国外产业整体呈现出稳定发展的态势，</w:t>
      </w:r>
      <w:r>
        <w:rPr>
          <w:rFonts w:hint="eastAsia" w:asciiTheme="minorEastAsia" w:hAnsiTheme="minorEastAsia" w:eastAsiaTheme="minorEastAsia"/>
          <w:sz w:val="24"/>
          <w:lang w:val="en-US" w:eastAsia="zh-CN"/>
        </w:rPr>
        <w:t>主要分布在</w:t>
      </w:r>
      <w:r>
        <w:rPr>
          <w:rFonts w:hint="default" w:asciiTheme="minorEastAsia" w:hAnsiTheme="minorEastAsia" w:eastAsiaTheme="minorEastAsia"/>
          <w:sz w:val="24"/>
          <w:lang w:val="en-US" w:eastAsia="zh-CN"/>
        </w:rPr>
        <w:t>欧洲、北美和亚洲</w:t>
      </w:r>
      <w:r>
        <w:rPr>
          <w:rFonts w:hint="eastAsia" w:asciiTheme="minorEastAsia" w:hAnsiTheme="minorEastAsia" w:eastAsiaTheme="minorEastAsia"/>
          <w:sz w:val="24"/>
          <w:lang w:val="en-US" w:eastAsia="zh-CN"/>
        </w:rPr>
        <w:t>等重要</w:t>
      </w:r>
      <w:r>
        <w:rPr>
          <w:rFonts w:hint="default" w:asciiTheme="minorEastAsia" w:hAnsiTheme="minorEastAsia" w:eastAsiaTheme="minorEastAsia"/>
          <w:sz w:val="24"/>
          <w:lang w:val="en-US" w:eastAsia="zh-CN"/>
        </w:rPr>
        <w:t>市场。欧洲是全球轻型客车的主要市场之一，</w:t>
      </w:r>
      <w:r>
        <w:rPr>
          <w:rFonts w:hint="eastAsia" w:asciiTheme="minorEastAsia" w:hAnsiTheme="minorEastAsia" w:eastAsiaTheme="minorEastAsia"/>
          <w:sz w:val="24"/>
          <w:lang w:val="en-US" w:eastAsia="zh-CN"/>
        </w:rPr>
        <w:t>在</w:t>
      </w:r>
      <w:r>
        <w:rPr>
          <w:rFonts w:hint="default" w:asciiTheme="minorEastAsia" w:hAnsiTheme="minorEastAsia" w:eastAsiaTheme="minorEastAsia"/>
          <w:sz w:val="24"/>
          <w:lang w:val="en-US" w:eastAsia="zh-CN"/>
        </w:rPr>
        <w:t>德国、法国和英国等国家的轻型客车销量一直较为稳定，并且在电动化转型方面走在前列</w:t>
      </w:r>
      <w:r>
        <w:rPr>
          <w:rFonts w:hint="eastAsia" w:asciiTheme="minorEastAsia" w:hAnsiTheme="minorEastAsia" w:eastAsiaTheme="minorEastAsia"/>
          <w:sz w:val="24"/>
          <w:lang w:val="en-US" w:eastAsia="zh-CN"/>
        </w:rPr>
        <w:t>；</w:t>
      </w:r>
      <w:r>
        <w:rPr>
          <w:rFonts w:hint="default" w:asciiTheme="minorEastAsia" w:hAnsiTheme="minorEastAsia" w:eastAsiaTheme="minorEastAsia"/>
          <w:sz w:val="24"/>
          <w:lang w:val="en-US" w:eastAsia="zh-CN"/>
        </w:rPr>
        <w:t>北美市场以美国和加拿大为主，近年来轻型客车的销量有所回升‌</w:t>
      </w:r>
      <w:r>
        <w:rPr>
          <w:rFonts w:hint="eastAsia" w:asciiTheme="minorEastAsia" w:hAnsiTheme="minorEastAsia" w:eastAsiaTheme="minorEastAsia"/>
          <w:sz w:val="24"/>
          <w:lang w:val="en-US" w:eastAsia="zh-CN"/>
        </w:rPr>
        <w:t>；亚洲主要市场为中国和日本，其中日本的轻型客车销量一直保持稳定。</w:t>
      </w:r>
    </w:p>
    <w:p w14:paraId="1464BA1A">
      <w:pPr>
        <w:numPr>
          <w:ilvl w:val="0"/>
          <w:numId w:val="5"/>
        </w:numPr>
        <w:spacing w:line="360" w:lineRule="auto"/>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轻型客车</w:t>
      </w:r>
      <w:r>
        <w:rPr>
          <w:rFonts w:hint="eastAsia" w:ascii="黑体" w:hAnsi="黑体" w:eastAsia="黑体" w:cs="黑体"/>
          <w:sz w:val="24"/>
        </w:rPr>
        <w:t>标准体系现状及现存问题</w:t>
      </w:r>
    </w:p>
    <w:p w14:paraId="041992C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国内尚缺乏轻型客车整车各项性能</w:t>
      </w:r>
      <w:r>
        <w:rPr>
          <w:rFonts w:hint="eastAsia" w:asciiTheme="minorEastAsia" w:hAnsiTheme="minorEastAsia" w:eastAsiaTheme="minorEastAsia"/>
          <w:sz w:val="24"/>
        </w:rPr>
        <w:t>（诸如动力、经济、</w:t>
      </w:r>
      <w:r>
        <w:rPr>
          <w:rFonts w:hint="eastAsia" w:asciiTheme="minorEastAsia" w:hAnsiTheme="minorEastAsia" w:eastAsiaTheme="minorEastAsia"/>
          <w:sz w:val="24"/>
          <w:lang w:val="en-US" w:eastAsia="zh-CN"/>
        </w:rPr>
        <w:t>安全</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环保</w:t>
      </w:r>
      <w:r>
        <w:rPr>
          <w:rFonts w:hint="eastAsia" w:asciiTheme="minorEastAsia" w:hAnsiTheme="minorEastAsia" w:eastAsiaTheme="minorEastAsia"/>
          <w:sz w:val="24"/>
        </w:rPr>
        <w:t>等）指标做出明确要求。为切实发挥企业标准对质量提升的引领作用，引导</w:t>
      </w:r>
      <w:r>
        <w:rPr>
          <w:rFonts w:hint="eastAsia" w:asciiTheme="minorEastAsia" w:hAnsiTheme="minorEastAsia" w:eastAsiaTheme="minorEastAsia"/>
          <w:sz w:val="24"/>
          <w:lang w:val="en-US" w:eastAsia="zh-CN"/>
        </w:rPr>
        <w:t>轻型客车相关</w:t>
      </w:r>
      <w:r>
        <w:rPr>
          <w:rFonts w:hint="eastAsia" w:asciiTheme="minorEastAsia" w:hAnsiTheme="minorEastAsia" w:eastAsiaTheme="minorEastAsia"/>
          <w:sz w:val="24"/>
        </w:rPr>
        <w:t>企业标准水平提升，促进我国</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行业向更安全、更高效</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更智能</w:t>
      </w:r>
      <w:r>
        <w:rPr>
          <w:rFonts w:hint="eastAsia" w:asciiTheme="minorEastAsia" w:hAnsiTheme="minorEastAsia" w:eastAsiaTheme="minorEastAsia"/>
          <w:sz w:val="24"/>
        </w:rPr>
        <w:t>的方向发展，故</w:t>
      </w:r>
      <w:r>
        <w:rPr>
          <w:rFonts w:hint="eastAsia" w:asciiTheme="minorEastAsia" w:hAnsiTheme="minorEastAsia" w:eastAsiaTheme="minorEastAsia"/>
          <w:sz w:val="24"/>
          <w:lang w:val="en-US" w:eastAsia="zh-CN"/>
        </w:rPr>
        <w:t>制定</w:t>
      </w:r>
      <w:r>
        <w:rPr>
          <w:rFonts w:hint="eastAsia" w:asciiTheme="minorEastAsia" w:hAnsiTheme="minorEastAsia" w:eastAsiaTheme="minorEastAsia"/>
          <w:sz w:val="24"/>
        </w:rPr>
        <w:t xml:space="preserve">《“领跑者”标准评价要求 </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》团体标准。</w:t>
      </w:r>
    </w:p>
    <w:p w14:paraId="0DA1888A">
      <w:pPr>
        <w:numPr>
          <w:ilvl w:val="0"/>
          <w:numId w:val="4"/>
        </w:numPr>
        <w:spacing w:line="360" w:lineRule="auto"/>
        <w:ind w:left="0" w:leftChars="0" w:firstLine="0" w:firstLineChars="0"/>
        <w:rPr>
          <w:rFonts w:hint="eastAsia" w:ascii="黑体" w:hAnsi="黑体" w:eastAsia="黑体" w:cs="黑体"/>
          <w:b w:val="0"/>
          <w:bCs/>
          <w:color w:val="auto"/>
          <w:sz w:val="24"/>
          <w:highlight w:val="none"/>
          <w:lang w:val="en-US" w:eastAsia="zh-CN"/>
        </w:rPr>
      </w:pPr>
      <w:r>
        <w:rPr>
          <w:rFonts w:hint="eastAsia" w:ascii="黑体" w:hAnsi="黑体" w:eastAsia="黑体" w:cs="黑体"/>
          <w:b w:val="0"/>
          <w:bCs/>
          <w:color w:val="auto"/>
          <w:sz w:val="24"/>
          <w:highlight w:val="none"/>
          <w:lang w:val="en-US" w:eastAsia="zh-CN"/>
        </w:rPr>
        <w:t>标准研讨</w:t>
      </w:r>
    </w:p>
    <w:p w14:paraId="766B5245">
      <w:pPr>
        <w:spacing w:line="360" w:lineRule="auto"/>
        <w:ind w:firstLine="480" w:firstLineChars="200"/>
        <w:rPr>
          <w:rFonts w:hint="eastAsia" w:asciiTheme="minorEastAsia" w:hAnsiTheme="minorEastAsia" w:eastAsiaTheme="minorEastAsia"/>
          <w:sz w:val="24"/>
        </w:rPr>
      </w:pPr>
      <w:r>
        <w:rPr>
          <w:rFonts w:hint="eastAsia" w:ascii="仿宋" w:hAnsi="仿宋" w:eastAsia="仿宋" w:cs="仿宋"/>
          <w:color w:val="000000" w:themeColor="text1"/>
          <w:sz w:val="24"/>
          <w14:textFill>
            <w14:solidFill>
              <w14:schemeClr w14:val="tx1"/>
            </w14:solidFill>
          </w14:textFill>
        </w:rPr>
        <w:t>202</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Theme="minorEastAsia" w:hAnsiTheme="minorEastAsia" w:eastAsiaTheme="minorEastAsia"/>
          <w:sz w:val="24"/>
        </w:rPr>
        <w:t>年2月，与</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行业相关企业、协会等进行了沟通交流，整理历年来</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试验数据，对相关试验方法、试验指标进行了收集。</w:t>
      </w:r>
    </w:p>
    <w:p w14:paraId="0E400F9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年3月，召开团标草案研讨会，确定了团标草案基本框架、指标限值等。</w:t>
      </w:r>
    </w:p>
    <w:p w14:paraId="4AA2C45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年4月，召开团标立项审查会，根据会议专家意见，将核心指标调整为所有</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都能开展测试的项目。</w:t>
      </w:r>
    </w:p>
    <w:p w14:paraId="433743F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2024年4月，标准起草工作组在重庆召开了标准启动会，来自江铃汽车股份有限公司、中通客车股份有限公司、宇通客车股份有限公司、厦门金龙联合汽车工业有限公司、上汽大通汽车有限公司、安徽江淮汽车集团股份有限公司、中国第一汽车集团有限公司、南京汽车集团有限公司、中兴智能汽车有限公司、珠海广通汽车有限公司专家共15余人</w:t>
      </w:r>
      <w:r>
        <w:rPr>
          <w:rFonts w:hint="eastAsia" w:asciiTheme="minorEastAsia" w:hAnsiTheme="minorEastAsia" w:eastAsiaTheme="minorEastAsia"/>
          <w:sz w:val="24"/>
          <w:lang w:val="en-US" w:eastAsia="zh-CN"/>
        </w:rPr>
        <w:t>参加会议</w:t>
      </w:r>
      <w:r>
        <w:rPr>
          <w:rFonts w:hint="eastAsia" w:asciiTheme="minorEastAsia" w:hAnsiTheme="minorEastAsia" w:eastAsiaTheme="minorEastAsia"/>
          <w:sz w:val="24"/>
        </w:rPr>
        <w:t>。与会专家对团标草案内容进行讨论，提出</w:t>
      </w:r>
      <w:r>
        <w:rPr>
          <w:rFonts w:hint="eastAsia" w:asciiTheme="minorEastAsia" w:hAnsiTheme="minorEastAsia" w:eastAsiaTheme="minorEastAsia"/>
          <w:sz w:val="24"/>
          <w:lang w:val="en-US" w:eastAsia="zh-CN"/>
        </w:rPr>
        <w:t>16条</w:t>
      </w:r>
      <w:r>
        <w:rPr>
          <w:rFonts w:hint="eastAsia" w:asciiTheme="minorEastAsia" w:hAnsiTheme="minorEastAsia" w:eastAsiaTheme="minorEastAsia"/>
          <w:sz w:val="24"/>
        </w:rPr>
        <w:t>修改意见</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如增加匀速车内噪声乘客区最大噪声、道路工况燃料消耗量采用等速测试加权等</w:t>
      </w:r>
      <w:r>
        <w:rPr>
          <w:rFonts w:hint="eastAsia" w:asciiTheme="minorEastAsia" w:hAnsiTheme="minorEastAsia" w:eastAsiaTheme="minorEastAsia"/>
          <w:sz w:val="24"/>
        </w:rPr>
        <w:t>。</w:t>
      </w:r>
    </w:p>
    <w:p w14:paraId="3A38002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2024年</w:t>
      </w:r>
      <w:r>
        <w:rPr>
          <w:rFonts w:hint="eastAsia" w:asciiTheme="minorEastAsia" w:hAnsiTheme="minorEastAsia" w:eastAsiaTheme="minorEastAsia"/>
          <w:sz w:val="24"/>
          <w:lang w:val="en-US" w:eastAsia="zh-CN"/>
        </w:rPr>
        <w:t>10-11</w:t>
      </w:r>
      <w:r>
        <w:rPr>
          <w:rFonts w:hint="eastAsia" w:asciiTheme="minorEastAsia" w:hAnsiTheme="minorEastAsia" w:eastAsiaTheme="minorEastAsia"/>
          <w:sz w:val="24"/>
        </w:rPr>
        <w:t>月，对征求意见稿面向全行业征求意见。</w:t>
      </w:r>
    </w:p>
    <w:p w14:paraId="307E3069">
      <w:pPr>
        <w:ind w:left="360"/>
        <w:rPr>
          <w:rFonts w:ascii="仿宋" w:hAnsi="仿宋" w:eastAsia="仿宋" w:cs="仿宋"/>
          <w:color w:val="auto"/>
          <w:sz w:val="24"/>
          <w:highlight w:val="none"/>
        </w:rPr>
      </w:pPr>
    </w:p>
    <w:p w14:paraId="090C9D15">
      <w:pPr>
        <w:numPr>
          <w:ilvl w:val="0"/>
          <w:numId w:val="1"/>
        </w:numPr>
        <w:ind w:left="0" w:leftChars="0" w:firstLine="0" w:firstLineChars="0"/>
        <w:rPr>
          <w:rFonts w:hint="eastAsia" w:ascii="黑体" w:hAnsi="黑体" w:eastAsia="黑体" w:cs="黑体"/>
          <w:color w:val="auto"/>
          <w:sz w:val="24"/>
          <w:highlight w:val="none"/>
        </w:rPr>
      </w:pPr>
      <w:r>
        <w:rPr>
          <w:rFonts w:hint="eastAsia" w:ascii="黑体" w:hAnsi="黑体" w:eastAsia="黑体" w:cs="黑体"/>
          <w:color w:val="auto"/>
          <w:sz w:val="24"/>
          <w:highlight w:val="none"/>
        </w:rPr>
        <w:t>标准编制原则和主要内容</w:t>
      </w:r>
    </w:p>
    <w:p w14:paraId="080C3521">
      <w:pPr>
        <w:numPr>
          <w:ilvl w:val="0"/>
          <w:numId w:val="0"/>
        </w:numPr>
        <w:ind w:leftChars="0" w:firstLine="420" w:firstLineChars="200"/>
        <w:rPr>
          <w:rFonts w:hint="eastAsia" w:ascii="黑体" w:hAnsi="黑体" w:eastAsia="黑体" w:cs="黑体"/>
          <w:color w:val="auto"/>
          <w:sz w:val="24"/>
          <w:highlight w:val="none"/>
        </w:rPr>
      </w:pPr>
      <w:r>
        <w:rPr>
          <w:rFonts w:hint="eastAsia" w:ascii="仿宋" w:hAnsi="仿宋" w:eastAsia="仿宋" w:cs="仿宋"/>
          <w:i/>
          <w:iCs/>
          <w:color w:val="000000" w:themeColor="text1"/>
          <w:szCs w:val="21"/>
          <w14:textFill>
            <w14:solidFill>
              <w14:schemeClr w14:val="tx1"/>
            </w14:solidFill>
          </w14:textFill>
        </w:rPr>
        <w:t>介绍标准编制依据的原则，并对标准的主要技术指标（参数）等重要条款进行分析阐述，突出本标准的技术先进性、创新性和经济适用性；修订标准时应列出与原标准的主要差异和理由</w:t>
      </w:r>
    </w:p>
    <w:p w14:paraId="6044D33A">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本标准的制定依据以下原则：</w:t>
      </w:r>
    </w:p>
    <w:p w14:paraId="207D9F62">
      <w:pPr>
        <w:adjustRightInd w:val="0"/>
        <w:snapToGrid w:val="0"/>
        <w:spacing w:before="156" w:beforeLines="50" w:line="36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1、适用性原则</w:t>
      </w:r>
    </w:p>
    <w:p w14:paraId="5A56D484">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本标准的编制充分考虑与我国</w:t>
      </w:r>
      <w:r>
        <w:rPr>
          <w:rFonts w:hint="eastAsia" w:ascii="宋体" w:hAnsi="宋体"/>
          <w:color w:val="auto"/>
          <w:sz w:val="24"/>
          <w:highlight w:val="none"/>
          <w:lang w:val="en-US" w:eastAsia="zh-CN"/>
        </w:rPr>
        <w:t>轻型客车</w:t>
      </w:r>
      <w:r>
        <w:rPr>
          <w:rFonts w:hint="eastAsia" w:ascii="宋体" w:hAnsi="宋体"/>
          <w:color w:val="auto"/>
          <w:sz w:val="24"/>
          <w:highlight w:val="none"/>
        </w:rPr>
        <w:t>行业现行法律法规和技术标准相符合，重点考虑可操作性，便于标准的实施。</w:t>
      </w:r>
    </w:p>
    <w:p w14:paraId="3F396580">
      <w:pPr>
        <w:adjustRightInd w:val="0"/>
        <w:snapToGrid w:val="0"/>
        <w:spacing w:before="156" w:beforeLines="50" w:line="360" w:lineRule="auto"/>
        <w:rPr>
          <w:rFonts w:hint="eastAsia" w:ascii="黑体" w:hAnsi="黑体" w:eastAsia="黑体" w:cs="黑体"/>
          <w:color w:val="auto"/>
          <w:sz w:val="24"/>
          <w:highlight w:val="none"/>
        </w:rPr>
      </w:pPr>
      <w:r>
        <w:rPr>
          <w:rFonts w:hint="eastAsia" w:ascii="黑体" w:hAnsi="黑体" w:eastAsia="黑体" w:cs="黑体"/>
          <w:color w:val="auto"/>
          <w:sz w:val="24"/>
          <w:highlight w:val="none"/>
        </w:rPr>
        <w:t>2、规范性原则</w:t>
      </w:r>
    </w:p>
    <w:p w14:paraId="37526353">
      <w:pPr>
        <w:adjustRightInd w:val="0"/>
        <w:snapToGrid w:val="0"/>
        <w:spacing w:before="156" w:beforeLines="50" w:line="360" w:lineRule="auto"/>
        <w:ind w:firstLine="420"/>
        <w:rPr>
          <w:rFonts w:hint="eastAsia" w:ascii="宋体" w:hAnsi="宋体"/>
          <w:color w:val="auto"/>
          <w:sz w:val="24"/>
          <w:highlight w:val="none"/>
        </w:rPr>
      </w:pPr>
      <w:r>
        <w:rPr>
          <w:rFonts w:hint="eastAsia" w:ascii="宋体" w:hAnsi="宋体"/>
          <w:color w:val="auto"/>
          <w:sz w:val="24"/>
          <w:highlight w:val="none"/>
        </w:rPr>
        <w:t>本标准根据《中华人民共和国标准法》、GB/T 1.1《标准化工作导则第1部分：标准的结构和编写》、T/CAQP 015《“领跑者”标准编制通则》进行编制。</w:t>
      </w:r>
    </w:p>
    <w:p w14:paraId="00CE5E0B">
      <w:pPr>
        <w:numPr>
          <w:ilvl w:val="0"/>
          <w:numId w:val="1"/>
        </w:numPr>
        <w:ind w:left="0" w:leftChars="0" w:firstLine="0" w:firstLineChars="0"/>
        <w:rPr>
          <w:rFonts w:hint="eastAsia" w:ascii="黑体" w:hAnsi="黑体" w:eastAsia="黑体" w:cs="黑体"/>
          <w:color w:val="auto"/>
          <w:sz w:val="30"/>
          <w:szCs w:val="30"/>
          <w:highlight w:val="none"/>
        </w:rPr>
      </w:pPr>
      <w:r>
        <w:rPr>
          <w:rFonts w:hint="eastAsia" w:ascii="黑体" w:hAnsi="黑体" w:eastAsia="黑体" w:cs="黑体"/>
          <w:color w:val="auto"/>
          <w:sz w:val="24"/>
          <w:highlight w:val="none"/>
        </w:rPr>
        <w:t xml:space="preserve">采用国际标准和国外先进标准情况  </w:t>
      </w:r>
      <w:r>
        <w:rPr>
          <w:rFonts w:hint="eastAsia" w:ascii="黑体" w:hAnsi="黑体" w:eastAsia="黑体" w:cs="黑体"/>
          <w:color w:val="auto"/>
          <w:sz w:val="30"/>
          <w:szCs w:val="30"/>
          <w:highlight w:val="none"/>
        </w:rPr>
        <w:t xml:space="preserve"> </w:t>
      </w:r>
    </w:p>
    <w:p w14:paraId="6AE37409">
      <w:pPr>
        <w:ind w:firstLine="420" w:firstLineChars="200"/>
        <w:rPr>
          <w:rFonts w:hint="eastAsia" w:ascii="黑体" w:hAnsi="黑体" w:eastAsia="黑体" w:cs="黑体"/>
          <w:color w:val="auto"/>
          <w:sz w:val="30"/>
          <w:szCs w:val="30"/>
          <w:highlight w:val="none"/>
        </w:rPr>
      </w:pPr>
      <w:r>
        <w:rPr>
          <w:rFonts w:hint="eastAsia" w:ascii="仿宋" w:hAnsi="仿宋" w:eastAsia="仿宋" w:cs="仿宋"/>
          <w:i/>
          <w:iCs/>
          <w:color w:val="000000" w:themeColor="text1"/>
          <w:szCs w:val="21"/>
          <w14:textFill>
            <w14:solidFill>
              <w14:schemeClr w14:val="tx1"/>
            </w14:solidFill>
          </w14:textFill>
        </w:rPr>
        <w:t>介绍标准是否采标，与国际、国外同类标准水平的对比情况。</w:t>
      </w:r>
    </w:p>
    <w:p w14:paraId="7701ED1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本标准属于团体标准，与现行法律、法规、规章和政策以及有关基础和相关标准不矛盾。国内、国外均没有本标准所评价内容的评测标准。</w:t>
      </w:r>
    </w:p>
    <w:p w14:paraId="2C2F84D5">
      <w:pPr>
        <w:rPr>
          <w:rFonts w:ascii="仿宋" w:hAnsi="仿宋" w:eastAsia="仿宋" w:cs="仿宋"/>
          <w:color w:val="auto"/>
          <w:szCs w:val="21"/>
          <w:highlight w:val="none"/>
        </w:rPr>
      </w:pPr>
    </w:p>
    <w:p w14:paraId="57FEF209">
      <w:pPr>
        <w:numPr>
          <w:ilvl w:val="0"/>
          <w:numId w:val="1"/>
        </w:numPr>
        <w:ind w:left="0" w:leftChars="0" w:firstLine="0" w:firstLineChars="0"/>
        <w:rPr>
          <w:rFonts w:hint="eastAsia" w:ascii="黑体" w:hAnsi="黑体" w:eastAsia="黑体" w:cs="黑体"/>
          <w:color w:val="auto"/>
          <w:sz w:val="24"/>
          <w:highlight w:val="none"/>
        </w:rPr>
      </w:pPr>
      <w:r>
        <w:rPr>
          <w:rFonts w:hint="eastAsia" w:ascii="黑体" w:hAnsi="黑体" w:eastAsia="黑体" w:cs="黑体"/>
          <w:color w:val="auto"/>
          <w:sz w:val="24"/>
          <w:highlight w:val="none"/>
        </w:rPr>
        <w:t>主要</w:t>
      </w:r>
      <w:r>
        <w:rPr>
          <w:rFonts w:hint="eastAsia" w:ascii="黑体" w:hAnsi="黑体" w:eastAsia="黑体" w:cs="黑体"/>
          <w:color w:val="auto"/>
          <w:sz w:val="24"/>
          <w:highlight w:val="none"/>
          <w:lang w:val="en-US" w:eastAsia="zh-CN"/>
        </w:rPr>
        <w:t>关键指标及</w:t>
      </w:r>
      <w:r>
        <w:rPr>
          <w:rFonts w:hint="eastAsia" w:ascii="黑体" w:hAnsi="黑体" w:eastAsia="黑体" w:cs="黑体"/>
          <w:color w:val="auto"/>
          <w:sz w:val="24"/>
          <w:highlight w:val="none"/>
        </w:rPr>
        <w:t>试验验证情况</w:t>
      </w:r>
    </w:p>
    <w:p w14:paraId="3E861BBD">
      <w:pPr>
        <w:ind w:firstLine="420" w:firstLineChars="200"/>
        <w:rPr>
          <w:rFonts w:hint="eastAsia" w:ascii="黑体" w:hAnsi="黑体" w:eastAsia="黑体" w:cs="黑体"/>
          <w:color w:val="auto"/>
          <w:sz w:val="24"/>
          <w:highlight w:val="none"/>
        </w:rPr>
      </w:pPr>
      <w:r>
        <w:rPr>
          <w:rFonts w:hint="eastAsia" w:ascii="仿宋" w:hAnsi="仿宋" w:eastAsia="仿宋"/>
          <w:i/>
          <w:iCs/>
          <w:szCs w:val="21"/>
        </w:rPr>
        <w:t>介</w:t>
      </w:r>
      <w:r>
        <w:rPr>
          <w:rFonts w:hint="eastAsia" w:ascii="仿宋" w:hAnsi="仿宋" w:eastAsia="仿宋" w:cs="仿宋"/>
          <w:i/>
          <w:iCs/>
          <w:color w:val="000000" w:themeColor="text1"/>
          <w:szCs w:val="21"/>
          <w14:textFill>
            <w14:solidFill>
              <w14:schemeClr w14:val="tx1"/>
            </w14:solidFill>
          </w14:textFill>
        </w:rPr>
        <w:t>绍关键指标的确立及试验验证情况（试验方法、实验过程、试验结果分析等情况）。</w:t>
      </w:r>
    </w:p>
    <w:p w14:paraId="4BB8F3E3">
      <w:pPr>
        <w:spacing w:line="360" w:lineRule="auto"/>
        <w:rPr>
          <w:rFonts w:hint="eastAsia" w:ascii="黑体" w:hAnsi="黑体" w:eastAsia="黑体" w:cs="黑体"/>
          <w:sz w:val="24"/>
        </w:rPr>
      </w:pPr>
      <w:r>
        <w:rPr>
          <w:rFonts w:hint="eastAsia" w:ascii="黑体" w:hAnsi="黑体" w:eastAsia="黑体" w:cs="黑体"/>
          <w:sz w:val="24"/>
        </w:rPr>
        <w:t>1、评价指标分类</w:t>
      </w:r>
    </w:p>
    <w:p w14:paraId="4758DA5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“领跑者”标准的评价指标分为：基础指标、核心指标和创新性指标。</w:t>
      </w:r>
    </w:p>
    <w:p w14:paraId="36BC829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基础指标包括：重型汽车整车车载法（PEMS)试验、重型汽车排气污染物（底盘测功机法）、客车结构安全要求、客车上部结构强度。</w:t>
      </w:r>
    </w:p>
    <w:p w14:paraId="78EA8590">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核心指标包括：</w:t>
      </w:r>
      <w:r>
        <w:rPr>
          <w:rFonts w:hint="default" w:asciiTheme="minorEastAsia" w:hAnsiTheme="minorEastAsia" w:eastAsiaTheme="minorEastAsia"/>
          <w:sz w:val="24"/>
          <w:lang w:val="en-US" w:eastAsia="zh-CN"/>
        </w:rPr>
        <w:t>0-</w:t>
      </w:r>
      <w:r>
        <w:rPr>
          <w:rFonts w:hint="eastAsia" w:asciiTheme="minorEastAsia" w:hAnsiTheme="minorEastAsia" w:eastAsiaTheme="minorEastAsia"/>
          <w:sz w:val="24"/>
          <w:lang w:val="en-US" w:eastAsia="zh-CN"/>
        </w:rPr>
        <w:t>8</w:t>
      </w:r>
      <w:r>
        <w:rPr>
          <w:rFonts w:hint="default" w:asciiTheme="minorEastAsia" w:hAnsiTheme="minorEastAsia" w:eastAsiaTheme="minorEastAsia"/>
          <w:sz w:val="24"/>
          <w:lang w:val="en-US" w:eastAsia="zh-CN"/>
        </w:rPr>
        <w:t>0km/h全油门起步加速时间</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最大爬坡度</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道路工况燃料消耗量</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发动机脱开的0型试验制动距离、</w:t>
      </w:r>
      <w:r>
        <w:rPr>
          <w:rFonts w:hint="default" w:asciiTheme="minorEastAsia" w:hAnsiTheme="minorEastAsia" w:eastAsiaTheme="minorEastAsia"/>
          <w:sz w:val="24"/>
          <w:lang w:val="en-US" w:eastAsia="zh-CN"/>
        </w:rPr>
        <w:t>热衰退后与热衰退前紧急制动距离比值</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加速行驶车外噪声</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匀速车内噪声乘客区</w:t>
      </w:r>
      <w:r>
        <w:rPr>
          <w:rFonts w:hint="eastAsia" w:asciiTheme="minorEastAsia" w:hAnsiTheme="minorEastAsia" w:eastAsiaTheme="minorEastAsia"/>
          <w:sz w:val="24"/>
          <w:lang w:val="en-US" w:eastAsia="zh-CN"/>
        </w:rPr>
        <w:t>最大噪声</w:t>
      </w:r>
      <w:r>
        <w:rPr>
          <w:rFonts w:hint="eastAsia" w:asciiTheme="minorEastAsia" w:hAnsiTheme="minorEastAsia" w:eastAsiaTheme="minorEastAsia"/>
          <w:sz w:val="24"/>
        </w:rPr>
        <w:t>。核心指标分为三个等级，包括先进水平，相当于企业标准排行榜中5星级水平；平均水平，相当于企业标准排行榜中4星级水平；基准水平，相当于企业标准排行榜中3星级水平</w:t>
      </w:r>
      <w:r>
        <w:rPr>
          <w:rFonts w:hint="eastAsia" w:asciiTheme="minorEastAsia" w:hAnsiTheme="minorEastAsia" w:eastAsiaTheme="minorEastAsia"/>
          <w:sz w:val="24"/>
          <w:lang w:eastAsia="zh-CN"/>
        </w:rPr>
        <w:t>。</w:t>
      </w:r>
    </w:p>
    <w:p w14:paraId="62038E2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创新指标包括：乘坐便利性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空调制冷舒适性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采暖舒适性</w:t>
      </w:r>
      <w:r>
        <w:rPr>
          <w:rFonts w:hint="eastAsia" w:asciiTheme="minorEastAsia" w:hAnsiTheme="minorEastAsia" w:eastAsiaTheme="minorEastAsia"/>
          <w:sz w:val="24"/>
          <w:lang w:eastAsia="zh-CN"/>
        </w:rPr>
        <w:t>、车对车自动紧急制动系统性能</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驾驶员疲劳监测</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驾驶员注意力监测等。创新指标分为</w:t>
      </w:r>
      <w:r>
        <w:rPr>
          <w:rFonts w:hint="eastAsia" w:asciiTheme="minorEastAsia" w:hAnsiTheme="minorEastAsia" w:eastAsiaTheme="minorEastAsia"/>
          <w:sz w:val="24"/>
          <w:lang w:val="en-US" w:eastAsia="zh-CN"/>
        </w:rPr>
        <w:t>二</w:t>
      </w:r>
      <w:r>
        <w:rPr>
          <w:rFonts w:hint="eastAsia" w:asciiTheme="minorEastAsia" w:hAnsiTheme="minorEastAsia" w:eastAsiaTheme="minorEastAsia"/>
          <w:sz w:val="24"/>
        </w:rPr>
        <w:t>个等级，包括先进水平，相当于企业标准排行</w:t>
      </w:r>
      <w:bookmarkStart w:id="1" w:name="_GoBack"/>
      <w:bookmarkEnd w:id="1"/>
      <w:r>
        <w:rPr>
          <w:rFonts w:hint="eastAsia" w:asciiTheme="minorEastAsia" w:hAnsiTheme="minorEastAsia" w:eastAsiaTheme="minorEastAsia"/>
          <w:sz w:val="24"/>
        </w:rPr>
        <w:t>榜中5星级水平；平均水平，相当于企业标准排行榜中4星级水平；鼓励根据条件成熟情况适时增加与产品性能和消费者关注的相关创新性指标。</w:t>
      </w:r>
    </w:p>
    <w:p w14:paraId="674874B8">
      <w:pPr>
        <w:spacing w:line="360" w:lineRule="auto"/>
        <w:rPr>
          <w:rFonts w:hint="eastAsia" w:ascii="黑体" w:hAnsi="黑体" w:eastAsia="黑体" w:cs="黑体"/>
          <w:sz w:val="24"/>
        </w:rPr>
      </w:pPr>
      <w:r>
        <w:rPr>
          <w:rFonts w:hint="eastAsia" w:ascii="黑体" w:hAnsi="黑体" w:eastAsia="黑体" w:cs="黑体"/>
          <w:sz w:val="24"/>
          <w:lang w:val="en-US" w:eastAsia="zh-CN"/>
        </w:rPr>
        <w:t>2、</w:t>
      </w:r>
      <w:r>
        <w:rPr>
          <w:rFonts w:hint="eastAsia" w:ascii="黑体" w:hAnsi="黑体" w:eastAsia="黑体" w:cs="黑体"/>
          <w:sz w:val="24"/>
        </w:rPr>
        <w:t>评价指标限值验证</w:t>
      </w:r>
    </w:p>
    <w:p w14:paraId="24227FB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2024年5-</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月，标准牵头起草单位对多辆</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开展了试验验证工作。主要试验项目包括：0-80km/h全油门起步加速时间、最大爬坡度、道路工况燃料消耗量、发动机脱开的 0 型试验制动距离、热衰退后与热衰退前紧急制动距离比值p、匀速车内噪声乘客区</w:t>
      </w:r>
      <w:r>
        <w:rPr>
          <w:rFonts w:hint="eastAsia" w:asciiTheme="minorEastAsia" w:hAnsiTheme="minorEastAsia" w:eastAsiaTheme="minorEastAsia"/>
          <w:sz w:val="24"/>
          <w:lang w:val="en-US" w:eastAsia="zh-CN"/>
        </w:rPr>
        <w:t>最大噪声</w:t>
      </w:r>
      <w:r>
        <w:rPr>
          <w:rFonts w:hint="eastAsia" w:asciiTheme="minorEastAsia" w:hAnsiTheme="minorEastAsia" w:eastAsiaTheme="minorEastAsia"/>
          <w:sz w:val="24"/>
        </w:rPr>
        <w:t>、加速行驶车外噪声、乘坐便利性</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空调制冷舒适性、采暖舒适性</w:t>
      </w:r>
      <w:r>
        <w:rPr>
          <w:rFonts w:hint="eastAsia" w:asciiTheme="minorEastAsia" w:hAnsiTheme="minorEastAsia" w:eastAsiaTheme="minorEastAsia"/>
          <w:sz w:val="24"/>
          <w:lang w:eastAsia="zh-CN"/>
        </w:rPr>
        <w:t>、自动紧急制动速度降低量</w:t>
      </w:r>
      <w:r>
        <w:rPr>
          <w:rFonts w:hint="eastAsia" w:asciiTheme="minorEastAsia" w:hAnsiTheme="minorEastAsia" w:eastAsiaTheme="minorEastAsia"/>
          <w:sz w:val="24"/>
        </w:rPr>
        <w:t>、驾驶员疲劳监测</w:t>
      </w:r>
      <w:r>
        <w:rPr>
          <w:rFonts w:hint="eastAsia" w:asciiTheme="minorEastAsia" w:hAnsiTheme="minorEastAsia" w:eastAsiaTheme="minorEastAsia"/>
          <w:sz w:val="24"/>
          <w:lang w:eastAsia="zh-CN"/>
        </w:rPr>
        <w:t>、驾驶员注意力监测</w:t>
      </w:r>
      <w:r>
        <w:rPr>
          <w:rFonts w:hint="eastAsia" w:asciiTheme="minorEastAsia" w:hAnsiTheme="minorEastAsia" w:eastAsiaTheme="minorEastAsia"/>
          <w:sz w:val="24"/>
        </w:rPr>
        <w:t>。</w:t>
      </w:r>
    </w:p>
    <w:p w14:paraId="5A8AAC27">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加速性能</w:t>
      </w:r>
    </w:p>
    <w:p w14:paraId="14FB4D1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现有加速性能试验方法主要有0-100km/h全油门起步加速、60-100km/h全油门超越加速、400m全油门起步加速等。参照《汽车加速性能试验方法》（GB/T 12543），选取了0-</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0km/h全油门起步加速作为加速性能试验方法。试验数据来源于</w:t>
      </w:r>
      <w:r>
        <w:rPr>
          <w:rFonts w:hint="eastAsia" w:asciiTheme="minorEastAsia" w:hAnsiTheme="minorEastAsia" w:eastAsiaTheme="minorEastAsia"/>
          <w:sz w:val="24"/>
          <w:lang w:val="en-US" w:eastAsia="zh-CN"/>
        </w:rPr>
        <w:t>江铃、中通、依维柯、金龙</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测试结果。</w:t>
      </w:r>
    </w:p>
    <w:p w14:paraId="07C9BEBB">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爬坡性能</w:t>
      </w:r>
    </w:p>
    <w:p w14:paraId="64580AA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为了综合考量车辆的爬坡能力，参照《汽车爬陡坡试验方法》（GB/T 12539）选取了最大爬坡度作为评价指标。试验数据来源于</w:t>
      </w:r>
      <w:r>
        <w:rPr>
          <w:rFonts w:hint="eastAsia" w:asciiTheme="minorEastAsia" w:hAnsiTheme="minorEastAsia" w:eastAsiaTheme="minorEastAsia"/>
          <w:sz w:val="24"/>
          <w:lang w:val="en-US" w:eastAsia="zh-CN"/>
        </w:rPr>
        <w:t>江铃、中通、依维柯、金龙</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测试结果。</w:t>
      </w:r>
    </w:p>
    <w:p w14:paraId="047FE578">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道路工况燃料消耗量</w:t>
      </w:r>
    </w:p>
    <w:p w14:paraId="5369A68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市场</w:t>
      </w:r>
      <w:r>
        <w:rPr>
          <w:rFonts w:hint="eastAsia" w:asciiTheme="minorEastAsia" w:hAnsiTheme="minorEastAsia" w:eastAsiaTheme="minorEastAsia"/>
          <w:sz w:val="24"/>
        </w:rPr>
        <w:t>对车辆经济性</w:t>
      </w:r>
      <w:r>
        <w:rPr>
          <w:rFonts w:hint="eastAsia" w:asciiTheme="minorEastAsia" w:hAnsiTheme="minorEastAsia" w:eastAsiaTheme="minorEastAsia"/>
          <w:sz w:val="24"/>
          <w:lang w:val="en-US" w:eastAsia="zh-CN"/>
        </w:rPr>
        <w:t>十分关注</w:t>
      </w:r>
      <w:r>
        <w:rPr>
          <w:rFonts w:hint="eastAsia" w:asciiTheme="minorEastAsia" w:hAnsiTheme="minorEastAsia" w:eastAsiaTheme="minorEastAsia"/>
          <w:sz w:val="24"/>
        </w:rPr>
        <w:t>，燃料消耗是车辆经济性的主要评价指标之一。依据《商用车辆燃料消耗量试验方法》（GB/T 12545.2）进行满载情况下的等速行驶油耗测试，试验车速为60km/h</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0km/h</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0km/h</w:t>
      </w:r>
      <w:r>
        <w:rPr>
          <w:rFonts w:hint="eastAsia" w:asciiTheme="minorEastAsia" w:hAnsiTheme="minorEastAsia" w:eastAsiaTheme="minorEastAsia"/>
          <w:sz w:val="24"/>
          <w:lang w:val="en-US" w:eastAsia="zh-CN"/>
        </w:rPr>
        <w:t>并进行加权</w:t>
      </w:r>
      <w:r>
        <w:rPr>
          <w:rFonts w:hint="eastAsia" w:asciiTheme="minorEastAsia" w:hAnsiTheme="minorEastAsia" w:eastAsiaTheme="minorEastAsia"/>
          <w:sz w:val="24"/>
        </w:rPr>
        <w:t>。试验数据来源于</w:t>
      </w:r>
      <w:r>
        <w:rPr>
          <w:rFonts w:hint="eastAsia" w:asciiTheme="minorEastAsia" w:hAnsiTheme="minorEastAsia" w:eastAsiaTheme="minorEastAsia"/>
          <w:sz w:val="24"/>
          <w:lang w:val="en-US" w:eastAsia="zh-CN"/>
        </w:rPr>
        <w:t>江铃、中通、依维柯、金龙</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测试结果。</w:t>
      </w:r>
    </w:p>
    <w:p w14:paraId="5762B5C9">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发动机脱开的 0 型试验制动距离</w:t>
      </w:r>
    </w:p>
    <w:p w14:paraId="00E4CE7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0型制动是是模拟车辆在遇到紧急情况时的全力制动，试验依据为《商用车辆和挂车制动系统技术要求及试验方法》（GB 12676），车辆进行发动机脱开的0型试验，试验车辆为满载状态，评价指标为</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0km/h到0km/h的制动距离。试验数据来源于</w:t>
      </w:r>
      <w:r>
        <w:rPr>
          <w:rFonts w:hint="eastAsia" w:asciiTheme="minorEastAsia" w:hAnsiTheme="minorEastAsia" w:eastAsiaTheme="minorEastAsia"/>
          <w:sz w:val="24"/>
          <w:lang w:val="en-US" w:eastAsia="zh-CN"/>
        </w:rPr>
        <w:t>江铃、中通、依维柯、金龙</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测试结果。</w:t>
      </w:r>
    </w:p>
    <w:p w14:paraId="19D2180A">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热衰退后与热衰退前紧急制动距离比值p</w:t>
      </w:r>
    </w:p>
    <w:p w14:paraId="47681698">
      <w:pPr>
        <w:numPr>
          <w:ilvl w:val="0"/>
          <w:numId w:val="0"/>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热衰退是模拟</w:t>
      </w:r>
      <w:r>
        <w:rPr>
          <w:rFonts w:hint="eastAsia" w:asciiTheme="minorEastAsia" w:hAnsiTheme="minorEastAsia" w:eastAsiaTheme="minorEastAsia"/>
          <w:sz w:val="24"/>
          <w:lang w:val="en-US" w:eastAsia="zh-CN"/>
        </w:rPr>
        <w:t>车辆连续制动后</w:t>
      </w:r>
      <w:r>
        <w:rPr>
          <w:rFonts w:hint="eastAsia" w:asciiTheme="minorEastAsia" w:hAnsiTheme="minorEastAsia" w:eastAsiaTheme="minorEastAsia"/>
          <w:sz w:val="24"/>
        </w:rPr>
        <w:t>车辆在遇到紧急情况时的全力制动，试验依据为《商用车辆和挂车制动系统技术要求及试验方法》（GB 12676），车辆进行发动机脱开的0型试验，试验车辆为满载状态，评价指标为</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0km/h到0km/h</w:t>
      </w:r>
      <w:r>
        <w:rPr>
          <w:rFonts w:hint="eastAsia" w:asciiTheme="minorEastAsia" w:hAnsiTheme="minorEastAsia" w:eastAsiaTheme="minorEastAsia"/>
          <w:sz w:val="24"/>
          <w:lang w:val="en-US" w:eastAsia="zh-CN"/>
        </w:rPr>
        <w:t>热衰退后</w:t>
      </w:r>
      <w:r>
        <w:rPr>
          <w:rFonts w:hint="eastAsia" w:asciiTheme="minorEastAsia" w:hAnsiTheme="minorEastAsia" w:eastAsiaTheme="minorEastAsia"/>
          <w:sz w:val="24"/>
        </w:rPr>
        <w:t>的制动距离。试验数据来源于</w:t>
      </w:r>
      <w:r>
        <w:rPr>
          <w:rFonts w:hint="eastAsia" w:asciiTheme="minorEastAsia" w:hAnsiTheme="minorEastAsia" w:eastAsiaTheme="minorEastAsia"/>
          <w:sz w:val="24"/>
          <w:lang w:val="en-US" w:eastAsia="zh-CN"/>
        </w:rPr>
        <w:t>江铃、中通、依维柯、金龙</w:t>
      </w:r>
      <w:r>
        <w:rPr>
          <w:rFonts w:hint="eastAsia" w:asciiTheme="minorEastAsia" w:hAnsiTheme="minorEastAsia" w:eastAsiaTheme="minorEastAsia"/>
          <w:sz w:val="24"/>
        </w:rPr>
        <w:t>等多款</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测试结果。</w:t>
      </w:r>
    </w:p>
    <w:p w14:paraId="4405C9C3">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加速行驶车外噪声</w:t>
      </w:r>
    </w:p>
    <w:p w14:paraId="2D1A1EE0">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随着</w:t>
      </w:r>
      <w:r>
        <w:rPr>
          <w:rFonts w:hint="eastAsia" w:asciiTheme="minorEastAsia" w:hAnsiTheme="minorEastAsia" w:eastAsiaTheme="minorEastAsia"/>
          <w:sz w:val="24"/>
          <w:lang w:val="en-US" w:eastAsia="zh-CN"/>
        </w:rPr>
        <w:t>轻型客车作为通勤、旅游团体等用车</w:t>
      </w:r>
      <w:r>
        <w:rPr>
          <w:rFonts w:hint="eastAsia" w:asciiTheme="minorEastAsia" w:hAnsiTheme="minorEastAsia" w:eastAsiaTheme="minorEastAsia"/>
          <w:sz w:val="24"/>
        </w:rPr>
        <w:t>，需要考虑到对城市</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旅游景区等</w:t>
      </w:r>
      <w:r>
        <w:rPr>
          <w:rFonts w:hint="eastAsia" w:asciiTheme="minorEastAsia" w:hAnsiTheme="minorEastAsia" w:eastAsiaTheme="minorEastAsia"/>
          <w:sz w:val="24"/>
        </w:rPr>
        <w:t>环境的影响。噪声指标主要考察车辆的环保性，试验依据为《汽车加速行驶车外噪声限值及测量方法》（GB 1495），评价指标为加速行驶车外噪声。试验数据来源于江铃、中通、依维柯、金龙等多款轻型客车测试结果。</w:t>
      </w:r>
    </w:p>
    <w:p w14:paraId="7B1A06A2">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匀速车内噪声乘客区最大噪声</w:t>
      </w:r>
    </w:p>
    <w:p w14:paraId="4854EDD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随着</w:t>
      </w:r>
      <w:r>
        <w:rPr>
          <w:rFonts w:hint="eastAsia" w:asciiTheme="minorEastAsia" w:hAnsiTheme="minorEastAsia" w:eastAsiaTheme="minorEastAsia"/>
          <w:sz w:val="24"/>
          <w:lang w:val="en-US" w:eastAsia="zh-CN"/>
        </w:rPr>
        <w:t>生活水平的提高，人们对乘坐舒适性也有了更高的要求，除座椅等硬件设施提供的舒适性外，车内噪声也是主要因素之一。车内</w:t>
      </w:r>
      <w:r>
        <w:rPr>
          <w:rFonts w:hint="eastAsia" w:asciiTheme="minorEastAsia" w:hAnsiTheme="minorEastAsia" w:eastAsiaTheme="minorEastAsia"/>
          <w:sz w:val="24"/>
        </w:rPr>
        <w:t>噪声指标主要考察车辆的</w:t>
      </w:r>
      <w:r>
        <w:rPr>
          <w:rFonts w:hint="eastAsia" w:asciiTheme="minorEastAsia" w:hAnsiTheme="minorEastAsia" w:eastAsiaTheme="minorEastAsia"/>
          <w:sz w:val="24"/>
          <w:lang w:val="en-US" w:eastAsia="zh-CN"/>
        </w:rPr>
        <w:t>车内乘客的舒适性</w:t>
      </w:r>
      <w:r>
        <w:rPr>
          <w:rFonts w:hint="eastAsia" w:asciiTheme="minorEastAsia" w:hAnsiTheme="minorEastAsia" w:eastAsiaTheme="minorEastAsia"/>
          <w:sz w:val="24"/>
        </w:rPr>
        <w:t>，试验依据为《</w:t>
      </w:r>
      <w:r>
        <w:rPr>
          <w:rFonts w:hint="eastAsia" w:asciiTheme="minorEastAsia" w:hAnsiTheme="minorEastAsia" w:eastAsiaTheme="minorEastAsia"/>
          <w:sz w:val="24"/>
          <w:lang w:val="en-US" w:eastAsia="zh-CN"/>
        </w:rPr>
        <w:t>客车车内噪声</w:t>
      </w:r>
      <w:r>
        <w:rPr>
          <w:rFonts w:hint="eastAsia" w:asciiTheme="minorEastAsia" w:hAnsiTheme="minorEastAsia" w:eastAsiaTheme="minorEastAsia"/>
          <w:sz w:val="24"/>
        </w:rPr>
        <w:t>限值及测量方法》（GB/T 25982），评价指标为</w:t>
      </w:r>
      <w:r>
        <w:rPr>
          <w:rFonts w:hint="eastAsia" w:asciiTheme="minorEastAsia" w:hAnsiTheme="minorEastAsia" w:eastAsiaTheme="minorEastAsia"/>
          <w:sz w:val="24"/>
          <w:lang w:val="en-US" w:eastAsia="zh-CN"/>
        </w:rPr>
        <w:t>80km/h</w:t>
      </w:r>
      <w:r>
        <w:rPr>
          <w:rFonts w:hint="eastAsia" w:asciiTheme="minorEastAsia" w:hAnsiTheme="minorEastAsia" w:eastAsiaTheme="minorEastAsia"/>
          <w:sz w:val="24"/>
        </w:rPr>
        <w:t>匀速</w:t>
      </w:r>
      <w:r>
        <w:rPr>
          <w:rFonts w:hint="eastAsia" w:asciiTheme="minorEastAsia" w:hAnsiTheme="minorEastAsia" w:eastAsiaTheme="minorEastAsia"/>
          <w:sz w:val="24"/>
          <w:lang w:val="en-US" w:eastAsia="zh-CN"/>
        </w:rPr>
        <w:t>行驶时</w:t>
      </w:r>
      <w:r>
        <w:rPr>
          <w:rFonts w:hint="eastAsia" w:asciiTheme="minorEastAsia" w:hAnsiTheme="minorEastAsia" w:eastAsiaTheme="minorEastAsia"/>
          <w:sz w:val="24"/>
        </w:rPr>
        <w:t>车内噪声乘客区最大噪声。试验数据来源于江铃、中通、依维柯、金龙等多款轻型客车测试结果。</w:t>
      </w:r>
    </w:p>
    <w:p w14:paraId="4CC039F6">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rPr>
        <w:t>乘坐便利性</w:t>
      </w:r>
    </w:p>
    <w:p w14:paraId="189280E9">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乘坐便利性主要包括踏步尺寸、乘客门尺寸、座椅间距及座椅宽度评价维度，评价指标主要来源于国家标准。主要试验依据为</w:t>
      </w:r>
      <w:r>
        <w:rPr>
          <w:rFonts w:hint="eastAsia" w:asciiTheme="minorEastAsia" w:hAnsiTheme="minorEastAsia" w:eastAsiaTheme="minorEastAsia"/>
          <w:sz w:val="24"/>
        </w:rPr>
        <w:t>《客车结构安全要求》（GB 13094）</w:t>
      </w:r>
      <w:r>
        <w:rPr>
          <w:rFonts w:hint="eastAsia" w:asciiTheme="minorEastAsia" w:hAnsiTheme="minorEastAsia" w:eastAsiaTheme="minorEastAsia"/>
          <w:sz w:val="24"/>
          <w:lang w:eastAsia="zh-CN"/>
        </w:rPr>
        <w:t>、《机动车运行安全技术条件》</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GB 7258</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等。试验数据来源于江铃、中通、依维柯、金龙等多款轻型客车测试结果。</w:t>
      </w:r>
    </w:p>
    <w:p w14:paraId="1EBBB74D">
      <w:pPr>
        <w:numPr>
          <w:ilvl w:val="0"/>
          <w:numId w:val="6"/>
        </w:numPr>
        <w:spacing w:line="360" w:lineRule="auto"/>
        <w:ind w:firstLine="480" w:firstLineChars="200"/>
        <w:rPr>
          <w:rFonts w:hint="eastAsia" w:ascii="黑体" w:hAnsi="黑体" w:eastAsia="黑体" w:cs="黑体"/>
          <w:sz w:val="24"/>
        </w:rPr>
      </w:pPr>
      <w:r>
        <w:rPr>
          <w:rFonts w:hint="eastAsia" w:ascii="黑体" w:hAnsi="黑体" w:eastAsia="黑体" w:cs="黑体"/>
          <w:sz w:val="24"/>
          <w:lang w:val="en-US" w:eastAsia="zh-CN"/>
        </w:rPr>
        <w:t>空</w:t>
      </w:r>
      <w:r>
        <w:rPr>
          <w:rFonts w:hint="eastAsia" w:ascii="黑体" w:hAnsi="黑体" w:eastAsia="黑体" w:cs="黑体"/>
          <w:sz w:val="24"/>
        </w:rPr>
        <w:t>调制冷舒适性</w:t>
      </w:r>
    </w:p>
    <w:p w14:paraId="74C2C841">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随着气候越来越炎热，空调已成为车辆必备组成部分。空调制冷的效率及温度稳定性直接反馈给乘员舒适性。主要试验依据为《客车空调系统技术条件》（JT/T 216），试验数据来源于江铃、中通、依维柯、金龙等多款轻型客车测试结果。</w:t>
      </w:r>
    </w:p>
    <w:p w14:paraId="658F7FC2">
      <w:pPr>
        <w:numPr>
          <w:ilvl w:val="0"/>
          <w:numId w:val="6"/>
        </w:numPr>
        <w:spacing w:line="360" w:lineRule="auto"/>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采暖舒适性（空调/非空调）</w:t>
      </w:r>
    </w:p>
    <w:p w14:paraId="159F43C2">
      <w:pPr>
        <w:spacing w:line="360" w:lineRule="auto"/>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在我国长江以北区域，冬季气候寒冷，一般在-5℃~-25℃,最冷的时候,气温可达-40℃以下，极低的温度环</w:t>
      </w:r>
      <w:r>
        <w:rPr>
          <w:rFonts w:hint="eastAsia" w:asciiTheme="minorEastAsia" w:hAnsiTheme="minorEastAsia" w:eastAsiaTheme="minorEastAsia"/>
          <w:sz w:val="24"/>
          <w:highlight w:val="none"/>
          <w:lang w:val="en-US" w:eastAsia="zh-CN"/>
        </w:rPr>
        <w:t>境严重影响乘员舒适性。主要试验依据为</w:t>
      </w:r>
      <w:r>
        <w:rPr>
          <w:rFonts w:hint="eastAsia" w:asciiTheme="minorEastAsia" w:hAnsiTheme="minorEastAsia" w:eastAsiaTheme="minorEastAsia"/>
          <w:sz w:val="24"/>
          <w:highlight w:val="none"/>
        </w:rPr>
        <w:t>《汽车采暖性能要求和试验方法》（GB/T 12782）</w:t>
      </w:r>
      <w:r>
        <w:rPr>
          <w:rFonts w:hint="eastAsia" w:asciiTheme="minorEastAsia" w:hAnsiTheme="minorEastAsia" w:eastAsiaTheme="minorEastAsia"/>
          <w:sz w:val="24"/>
          <w:highlight w:val="none"/>
          <w:lang w:val="en-US" w:eastAsia="zh-CN"/>
        </w:rPr>
        <w:t>等</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试验数据来源于江铃</w:t>
      </w:r>
      <w:r>
        <w:rPr>
          <w:rFonts w:hint="eastAsia" w:asciiTheme="minorEastAsia" w:hAnsiTheme="minorEastAsia" w:eastAsiaTheme="minorEastAsia"/>
          <w:sz w:val="24"/>
          <w:lang w:val="en-US" w:eastAsia="zh-CN"/>
        </w:rPr>
        <w:t>、中通、依维柯、金龙等多款轻型客车测试结果。</w:t>
      </w:r>
    </w:p>
    <w:p w14:paraId="0C0A9DBB">
      <w:pPr>
        <w:numPr>
          <w:ilvl w:val="0"/>
          <w:numId w:val="6"/>
        </w:numPr>
        <w:spacing w:line="360" w:lineRule="auto"/>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车对车自动紧急制动系统性能</w:t>
      </w:r>
    </w:p>
    <w:p w14:paraId="74173F33">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AEB</w:t>
      </w:r>
      <w:r>
        <w:rPr>
          <w:rFonts w:hint="eastAsia" w:asciiTheme="minorEastAsia" w:hAnsiTheme="minorEastAsia" w:eastAsiaTheme="minorEastAsia"/>
          <w:sz w:val="24"/>
          <w:lang w:val="en-US" w:eastAsia="zh-CN"/>
        </w:rPr>
        <w:t>是</w:t>
      </w:r>
      <w:r>
        <w:rPr>
          <w:rFonts w:hint="eastAsia" w:asciiTheme="minorEastAsia" w:hAnsiTheme="minorEastAsia" w:eastAsiaTheme="minorEastAsia"/>
          <w:sz w:val="24"/>
        </w:rPr>
        <w:t>目前</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的先进配置，从引导行业发展的角度，设置了相关的评价指标，指标主要来源于国家标准、ECE法规</w:t>
      </w:r>
      <w:r>
        <w:rPr>
          <w:rFonts w:hint="eastAsia" w:asciiTheme="minorEastAsia" w:hAnsiTheme="minorEastAsia" w:eastAsiaTheme="minorEastAsia"/>
          <w:sz w:val="24"/>
          <w:lang w:val="en-US" w:eastAsia="zh-CN"/>
        </w:rPr>
        <w:t>等</w:t>
      </w:r>
      <w:r>
        <w:rPr>
          <w:rFonts w:hint="eastAsia" w:asciiTheme="minorEastAsia" w:hAnsiTheme="minorEastAsia" w:eastAsiaTheme="minorEastAsia"/>
          <w:sz w:val="24"/>
        </w:rPr>
        <w:t>。AEB性能的试验依据</w:t>
      </w:r>
      <w:r>
        <w:rPr>
          <w:rFonts w:hint="eastAsia" w:asciiTheme="minorEastAsia" w:hAnsiTheme="minorEastAsia" w:eastAsiaTheme="minorEastAsia"/>
          <w:sz w:val="24"/>
          <w:lang w:val="en-US" w:eastAsia="zh-CN"/>
        </w:rPr>
        <w:t>参照</w:t>
      </w:r>
      <w:r>
        <w:rPr>
          <w:rFonts w:hint="eastAsia" w:asciiTheme="minorEastAsia" w:hAnsiTheme="minorEastAsia" w:eastAsiaTheme="minorEastAsia"/>
          <w:sz w:val="24"/>
        </w:rPr>
        <w:t>为《营运车辆自动紧急制动系统性能要求和测试规程》（JT/T 1242）</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评价指标为</w:t>
      </w:r>
      <w:r>
        <w:rPr>
          <w:rFonts w:hint="eastAsia" w:asciiTheme="minorEastAsia" w:hAnsiTheme="minorEastAsia" w:eastAsiaTheme="minorEastAsia"/>
          <w:sz w:val="24"/>
          <w:lang w:val="en-US" w:eastAsia="zh-CN"/>
        </w:rPr>
        <w:t>80km/h对车自动紧急制动系统主车车速减速量</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试验数据来源于江铃、中通、依维柯等多款轻型客车测试结果。</w:t>
      </w:r>
    </w:p>
    <w:p w14:paraId="7086D20A">
      <w:pPr>
        <w:numPr>
          <w:ilvl w:val="0"/>
          <w:numId w:val="6"/>
        </w:numPr>
        <w:spacing w:line="360" w:lineRule="auto"/>
        <w:ind w:firstLine="480" w:firstLineChars="200"/>
        <w:rPr>
          <w:rFonts w:hint="eastAsia" w:ascii="黑体" w:hAnsi="黑体" w:eastAsia="黑体" w:cs="黑体"/>
          <w:sz w:val="24"/>
          <w:lang w:val="en-US" w:eastAsia="zh-CN"/>
        </w:rPr>
      </w:pPr>
      <w:r>
        <w:rPr>
          <w:rFonts w:hint="eastAsia" w:ascii="黑体" w:hAnsi="黑体" w:eastAsia="黑体" w:cs="黑体"/>
          <w:sz w:val="24"/>
          <w:lang w:val="en-US" w:eastAsia="zh-CN"/>
        </w:rPr>
        <w:t>驾驶员疲劳监测、驾驶员注意力监测</w:t>
      </w:r>
    </w:p>
    <w:p w14:paraId="6D7A729C">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驾驶员疲劳监测、驾驶员注意力监测也是</w:t>
      </w:r>
      <w:r>
        <w:rPr>
          <w:rFonts w:hint="eastAsia" w:asciiTheme="minorEastAsia" w:hAnsiTheme="minorEastAsia" w:eastAsiaTheme="minorEastAsia"/>
          <w:sz w:val="24"/>
        </w:rPr>
        <w:t>目前</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的先进配置，</w:t>
      </w:r>
      <w:r>
        <w:rPr>
          <w:rFonts w:hint="eastAsia" w:asciiTheme="minorEastAsia" w:hAnsiTheme="minorEastAsia" w:eastAsiaTheme="minorEastAsia"/>
          <w:sz w:val="24"/>
          <w:lang w:val="en-US" w:eastAsia="zh-CN"/>
        </w:rPr>
        <w:t>也是行车安全重要的保障手段之一，在所有的道路交通事故中，司机的疲劳因素占10-25%。</w:t>
      </w:r>
      <w:r>
        <w:rPr>
          <w:rFonts w:hint="eastAsia" w:asciiTheme="minorEastAsia" w:hAnsiTheme="minorEastAsia" w:eastAsiaTheme="minorEastAsia"/>
          <w:sz w:val="24"/>
        </w:rPr>
        <w:t>从引导行业发展的角度，设置了相关的评价指标，指标主要来源于国家标准、ECE法规</w:t>
      </w:r>
      <w:r>
        <w:rPr>
          <w:rFonts w:hint="eastAsia" w:asciiTheme="minorEastAsia" w:hAnsiTheme="minorEastAsia" w:eastAsiaTheme="minorEastAsia"/>
          <w:sz w:val="24"/>
          <w:lang w:val="en-US" w:eastAsia="zh-CN"/>
        </w:rPr>
        <w:t>等</w:t>
      </w:r>
      <w:r>
        <w:rPr>
          <w:rFonts w:hint="eastAsia" w:asciiTheme="minorEastAsia" w:hAnsiTheme="minorEastAsia" w:eastAsiaTheme="minorEastAsia"/>
          <w:sz w:val="24"/>
        </w:rPr>
        <w:t>。驾驶员疲劳监测的试验依据为《关于机动车驾驶员</w:t>
      </w:r>
      <w:r>
        <w:rPr>
          <w:rFonts w:hint="eastAsia" w:asciiTheme="minorEastAsia" w:hAnsiTheme="minorEastAsia" w:eastAsiaTheme="minorEastAsia"/>
          <w:sz w:val="24"/>
          <w:lang w:val="en-US" w:eastAsia="zh-CN"/>
        </w:rPr>
        <w:t>困倦</w:t>
      </w:r>
      <w:r>
        <w:rPr>
          <w:rFonts w:hint="eastAsia" w:asciiTheme="minorEastAsia" w:hAnsiTheme="minorEastAsia" w:eastAsiaTheme="minorEastAsia"/>
          <w:sz w:val="24"/>
        </w:rPr>
        <w:t>和注意力警告系统型式批准的具体测试程序和技术要求》（(EU) 2021/1341）</w:t>
      </w:r>
      <w:r>
        <w:rPr>
          <w:rFonts w:hint="eastAsia" w:asciiTheme="minorEastAsia" w:hAnsiTheme="minorEastAsia" w:eastAsiaTheme="minorEastAsia"/>
          <w:sz w:val="24"/>
          <w:lang w:eastAsia="zh-CN"/>
        </w:rPr>
        <w:t>，驾驶员注意力监测</w:t>
      </w:r>
      <w:r>
        <w:rPr>
          <w:rFonts w:hint="eastAsia" w:asciiTheme="minorEastAsia" w:hAnsiTheme="minorEastAsia" w:eastAsiaTheme="minorEastAsia"/>
          <w:sz w:val="24"/>
        </w:rPr>
        <w:t>的试验依据为《</w:t>
      </w:r>
      <w:r>
        <w:rPr>
          <w:rFonts w:hint="eastAsia" w:asciiTheme="minorEastAsia" w:hAnsiTheme="minorEastAsia" w:eastAsiaTheme="minorEastAsia"/>
          <w:sz w:val="24"/>
          <w:lang w:val="en-US" w:eastAsia="zh-CN"/>
        </w:rPr>
        <w:t>驾驶员注意力监测系统性能要求及试验方法</w:t>
      </w:r>
      <w:r>
        <w:rPr>
          <w:rFonts w:hint="eastAsia" w:asciiTheme="minorEastAsia" w:hAnsiTheme="minorEastAsia" w:eastAsiaTheme="minorEastAsia"/>
          <w:sz w:val="24"/>
        </w:rPr>
        <w:t>》（GB/T 41797）。</w:t>
      </w:r>
      <w:r>
        <w:rPr>
          <w:rFonts w:hint="eastAsia" w:asciiTheme="minorEastAsia" w:hAnsiTheme="minorEastAsia" w:eastAsiaTheme="minorEastAsia"/>
          <w:sz w:val="24"/>
          <w:lang w:val="en-US" w:eastAsia="zh-CN"/>
        </w:rPr>
        <w:t>试验数据来源于江铃、中通、依维柯等多款轻型客车测试结果。</w:t>
      </w:r>
    </w:p>
    <w:p w14:paraId="1C9968C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依据试验数据，制定</w:t>
      </w:r>
      <w:r>
        <w:rPr>
          <w:rFonts w:hint="eastAsia" w:asciiTheme="minorEastAsia" w:hAnsiTheme="minorEastAsia" w:eastAsiaTheme="minorEastAsia"/>
          <w:sz w:val="24"/>
          <w:lang w:val="en-US" w:eastAsia="zh-CN"/>
        </w:rPr>
        <w:t>轻型客车</w:t>
      </w:r>
      <w:r>
        <w:rPr>
          <w:rFonts w:hint="eastAsia" w:asciiTheme="minorEastAsia" w:hAnsiTheme="minorEastAsia" w:eastAsiaTheme="minorEastAsia"/>
          <w:sz w:val="24"/>
        </w:rPr>
        <w:t>的评价指标体系框架，见表1。</w:t>
      </w:r>
    </w:p>
    <w:p w14:paraId="6795DB37">
      <w:pPr>
        <w:spacing w:after="156" w:afterLines="50"/>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表</w:t>
      </w:r>
      <w:r>
        <w:rPr>
          <w:rFonts w:ascii="黑体" w:hAnsi="黑体" w:eastAsia="黑体" w:cs="黑体"/>
          <w:szCs w:val="21"/>
          <w:highlight w:val="none"/>
        </w:rPr>
        <w:t>1</w:t>
      </w:r>
      <w:bookmarkStart w:id="0" w:name="_Hlk42778042"/>
      <w:r>
        <w:rPr>
          <w:rFonts w:hint="eastAsia" w:ascii="黑体" w:hAnsi="黑体" w:eastAsia="黑体" w:cs="黑体"/>
          <w:szCs w:val="21"/>
          <w:highlight w:val="none"/>
        </w:rPr>
        <w:t xml:space="preserve"> 轻型客车评价指标体系</w:t>
      </w:r>
      <w:bookmarkEnd w:id="0"/>
    </w:p>
    <w:tbl>
      <w:tblPr>
        <w:tblStyle w:val="3"/>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612"/>
        <w:gridCol w:w="622"/>
        <w:gridCol w:w="600"/>
        <w:gridCol w:w="902"/>
        <w:gridCol w:w="1333"/>
        <w:gridCol w:w="1370"/>
        <w:gridCol w:w="1370"/>
        <w:gridCol w:w="1307"/>
        <w:gridCol w:w="1415"/>
      </w:tblGrid>
      <w:tr w14:paraId="2DD7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21" w:type="dxa"/>
            <w:vMerge w:val="restart"/>
            <w:vAlign w:val="center"/>
          </w:tcPr>
          <w:p w14:paraId="796DBE4D">
            <w:pPr>
              <w:widowControl/>
              <w:kinsoku/>
              <w:wordWrap/>
              <w:overflowPunct/>
              <w:topLinePunct w:val="0"/>
              <w:bidi w:val="0"/>
              <w:spacing w:beforeAutospacing="0" w:afterAutospacing="0" w:line="276"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序号</w:t>
            </w:r>
          </w:p>
        </w:tc>
        <w:tc>
          <w:tcPr>
            <w:tcW w:w="612" w:type="dxa"/>
            <w:vMerge w:val="restart"/>
            <w:shd w:val="clear" w:color="auto" w:fill="auto"/>
            <w:vAlign w:val="center"/>
          </w:tcPr>
          <w:p w14:paraId="022A9BCB">
            <w:pPr>
              <w:widowControl/>
              <w:kinsoku/>
              <w:wordWrap/>
              <w:overflowPunct/>
              <w:topLinePunct w:val="0"/>
              <w:bidi w:val="0"/>
              <w:spacing w:beforeAutospacing="0" w:afterAutospacing="0" w:line="276"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指标类型</w:t>
            </w:r>
          </w:p>
        </w:tc>
        <w:tc>
          <w:tcPr>
            <w:tcW w:w="2124" w:type="dxa"/>
            <w:gridSpan w:val="3"/>
            <w:vMerge w:val="restart"/>
            <w:shd w:val="clear" w:color="auto" w:fill="auto"/>
            <w:vAlign w:val="center"/>
          </w:tcPr>
          <w:p w14:paraId="37A76C20">
            <w:pPr>
              <w:widowControl/>
              <w:kinsoku/>
              <w:wordWrap/>
              <w:overflowPunct/>
              <w:topLinePunct w:val="0"/>
              <w:bidi w:val="0"/>
              <w:spacing w:beforeAutospacing="0" w:afterAutospacing="0" w:line="276"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评价指标</w:t>
            </w:r>
          </w:p>
        </w:tc>
        <w:tc>
          <w:tcPr>
            <w:tcW w:w="1333" w:type="dxa"/>
            <w:vMerge w:val="restart"/>
            <w:shd w:val="clear" w:color="auto" w:fill="auto"/>
            <w:vAlign w:val="center"/>
          </w:tcPr>
          <w:p w14:paraId="2CEBD601">
            <w:pPr>
              <w:widowControl/>
              <w:kinsoku/>
              <w:wordWrap/>
              <w:overflowPunct/>
              <w:topLinePunct w:val="0"/>
              <w:bidi w:val="0"/>
              <w:spacing w:beforeAutospacing="0" w:afterAutospacing="0" w:line="276"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指标来源</w:t>
            </w:r>
          </w:p>
        </w:tc>
        <w:tc>
          <w:tcPr>
            <w:tcW w:w="4047" w:type="dxa"/>
            <w:gridSpan w:val="3"/>
            <w:shd w:val="clear" w:color="auto" w:fill="auto"/>
            <w:vAlign w:val="center"/>
          </w:tcPr>
          <w:p w14:paraId="6E7DAEB1">
            <w:pPr>
              <w:widowControl/>
              <w:kinsoku/>
              <w:wordWrap/>
              <w:overflowPunct/>
              <w:topLinePunct w:val="0"/>
              <w:bidi w:val="0"/>
              <w:spacing w:beforeAutospacing="0" w:afterAutospacing="0" w:line="276"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指标水平分级</w:t>
            </w:r>
          </w:p>
        </w:tc>
        <w:tc>
          <w:tcPr>
            <w:tcW w:w="1415" w:type="dxa"/>
            <w:vMerge w:val="restart"/>
            <w:shd w:val="clear" w:color="auto" w:fill="auto"/>
            <w:vAlign w:val="center"/>
          </w:tcPr>
          <w:p w14:paraId="66A39D5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黑体" w:hAnsi="黑体" w:eastAsia="黑体" w:cs="黑体"/>
                <w:kern w:val="0"/>
                <w:sz w:val="18"/>
                <w:szCs w:val="18"/>
              </w:rPr>
              <w:t>判定依据/方法</w:t>
            </w:r>
          </w:p>
        </w:tc>
      </w:tr>
      <w:tr w14:paraId="45FE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45649884">
            <w:pPr>
              <w:widowControl/>
              <w:kinsoku/>
              <w:wordWrap/>
              <w:overflowPunct/>
              <w:topLinePunct w:val="0"/>
              <w:bidi w:val="0"/>
              <w:spacing w:beforeAutospacing="0" w:afterAutospacing="0" w:line="276" w:lineRule="auto"/>
              <w:jc w:val="left"/>
              <w:rPr>
                <w:rFonts w:hint="eastAsia" w:ascii="黑体" w:hAnsi="黑体" w:eastAsia="黑体" w:cs="黑体"/>
                <w:kern w:val="0"/>
                <w:sz w:val="18"/>
                <w:szCs w:val="18"/>
              </w:rPr>
            </w:pPr>
          </w:p>
        </w:tc>
        <w:tc>
          <w:tcPr>
            <w:tcW w:w="612" w:type="dxa"/>
            <w:vMerge w:val="continue"/>
            <w:vAlign w:val="center"/>
          </w:tcPr>
          <w:p w14:paraId="3F3BC7A9">
            <w:pPr>
              <w:widowControl/>
              <w:kinsoku/>
              <w:wordWrap/>
              <w:overflowPunct/>
              <w:topLinePunct w:val="0"/>
              <w:bidi w:val="0"/>
              <w:spacing w:beforeAutospacing="0" w:afterAutospacing="0" w:line="276" w:lineRule="auto"/>
              <w:jc w:val="left"/>
              <w:rPr>
                <w:rFonts w:hint="eastAsia" w:ascii="黑体" w:hAnsi="黑体" w:eastAsia="黑体" w:cs="黑体"/>
                <w:kern w:val="0"/>
                <w:sz w:val="18"/>
                <w:szCs w:val="18"/>
              </w:rPr>
            </w:pPr>
          </w:p>
        </w:tc>
        <w:tc>
          <w:tcPr>
            <w:tcW w:w="2124" w:type="dxa"/>
            <w:gridSpan w:val="3"/>
            <w:vMerge w:val="continue"/>
            <w:vAlign w:val="center"/>
          </w:tcPr>
          <w:p w14:paraId="736771B6">
            <w:pPr>
              <w:widowControl/>
              <w:kinsoku/>
              <w:wordWrap/>
              <w:overflowPunct/>
              <w:topLinePunct w:val="0"/>
              <w:bidi w:val="0"/>
              <w:spacing w:beforeAutospacing="0" w:afterAutospacing="0" w:line="276" w:lineRule="auto"/>
              <w:jc w:val="center"/>
              <w:rPr>
                <w:rFonts w:hint="eastAsia" w:ascii="黑体" w:hAnsi="黑体" w:eastAsia="黑体" w:cs="黑体"/>
                <w:kern w:val="0"/>
                <w:sz w:val="18"/>
                <w:szCs w:val="18"/>
              </w:rPr>
            </w:pPr>
          </w:p>
        </w:tc>
        <w:tc>
          <w:tcPr>
            <w:tcW w:w="1333" w:type="dxa"/>
            <w:vMerge w:val="continue"/>
            <w:vAlign w:val="center"/>
          </w:tcPr>
          <w:p w14:paraId="628252B8">
            <w:pPr>
              <w:widowControl/>
              <w:kinsoku/>
              <w:wordWrap/>
              <w:overflowPunct/>
              <w:topLinePunct w:val="0"/>
              <w:bidi w:val="0"/>
              <w:spacing w:beforeAutospacing="0" w:afterAutospacing="0" w:line="276" w:lineRule="auto"/>
              <w:jc w:val="left"/>
              <w:rPr>
                <w:rFonts w:hint="eastAsia" w:ascii="黑体" w:hAnsi="黑体" w:eastAsia="黑体" w:cs="黑体"/>
                <w:kern w:val="0"/>
                <w:sz w:val="18"/>
                <w:szCs w:val="18"/>
              </w:rPr>
            </w:pPr>
          </w:p>
        </w:tc>
        <w:tc>
          <w:tcPr>
            <w:tcW w:w="1370" w:type="dxa"/>
            <w:shd w:val="clear" w:color="auto" w:fill="auto"/>
            <w:vAlign w:val="center"/>
          </w:tcPr>
          <w:p w14:paraId="3CAC4392">
            <w:pPr>
              <w:widowControl/>
              <w:kinsoku/>
              <w:wordWrap/>
              <w:overflowPunct/>
              <w:topLinePunct w:val="0"/>
              <w:bidi w:val="0"/>
              <w:spacing w:beforeAutospacing="0" w:afterAutospacing="0" w:line="24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先进水平</w:t>
            </w:r>
          </w:p>
          <w:p w14:paraId="37A91301">
            <w:pPr>
              <w:widowControl/>
              <w:kinsoku/>
              <w:wordWrap/>
              <w:overflowPunct/>
              <w:topLinePunct w:val="0"/>
              <w:bidi w:val="0"/>
              <w:spacing w:beforeAutospacing="0" w:afterAutospacing="0" w:line="24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（五星）</w:t>
            </w:r>
          </w:p>
        </w:tc>
        <w:tc>
          <w:tcPr>
            <w:tcW w:w="1370" w:type="dxa"/>
            <w:shd w:val="clear" w:color="auto" w:fill="auto"/>
            <w:vAlign w:val="center"/>
          </w:tcPr>
          <w:p w14:paraId="6C4AD478">
            <w:pPr>
              <w:widowControl/>
              <w:kinsoku/>
              <w:wordWrap/>
              <w:overflowPunct/>
              <w:topLinePunct w:val="0"/>
              <w:bidi w:val="0"/>
              <w:spacing w:beforeAutospacing="0" w:afterAutospacing="0" w:line="24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平均水平</w:t>
            </w:r>
          </w:p>
          <w:p w14:paraId="0DC5E7E6">
            <w:pPr>
              <w:widowControl/>
              <w:kinsoku/>
              <w:wordWrap/>
              <w:overflowPunct/>
              <w:topLinePunct w:val="0"/>
              <w:bidi w:val="0"/>
              <w:spacing w:beforeAutospacing="0" w:afterAutospacing="0" w:line="24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（四星）</w:t>
            </w:r>
          </w:p>
        </w:tc>
        <w:tc>
          <w:tcPr>
            <w:tcW w:w="1307" w:type="dxa"/>
            <w:shd w:val="clear" w:color="auto" w:fill="auto"/>
            <w:vAlign w:val="center"/>
          </w:tcPr>
          <w:p w14:paraId="7C5E1008">
            <w:pPr>
              <w:widowControl/>
              <w:kinsoku/>
              <w:wordWrap/>
              <w:overflowPunct/>
              <w:topLinePunct w:val="0"/>
              <w:bidi w:val="0"/>
              <w:spacing w:beforeAutospacing="0" w:afterAutospacing="0" w:line="24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基准水平</w:t>
            </w:r>
          </w:p>
          <w:p w14:paraId="3F9A0CED">
            <w:pPr>
              <w:widowControl/>
              <w:kinsoku/>
              <w:wordWrap/>
              <w:overflowPunct/>
              <w:topLinePunct w:val="0"/>
              <w:bidi w:val="0"/>
              <w:spacing w:beforeAutospacing="0" w:afterAutospacing="0" w:line="240" w:lineRule="auto"/>
              <w:jc w:val="center"/>
              <w:rPr>
                <w:rFonts w:hint="eastAsia" w:ascii="黑体" w:hAnsi="黑体" w:eastAsia="黑体" w:cs="黑体"/>
                <w:kern w:val="0"/>
                <w:sz w:val="18"/>
                <w:szCs w:val="18"/>
              </w:rPr>
            </w:pPr>
            <w:r>
              <w:rPr>
                <w:rFonts w:hint="eastAsia" w:ascii="黑体" w:hAnsi="黑体" w:eastAsia="黑体" w:cs="黑体"/>
                <w:kern w:val="0"/>
                <w:sz w:val="18"/>
                <w:szCs w:val="18"/>
              </w:rPr>
              <w:t>（三星）</w:t>
            </w:r>
          </w:p>
        </w:tc>
        <w:tc>
          <w:tcPr>
            <w:tcW w:w="1415" w:type="dxa"/>
            <w:vMerge w:val="continue"/>
            <w:shd w:val="clear" w:color="auto" w:fill="auto"/>
            <w:vAlign w:val="center"/>
          </w:tcPr>
          <w:p w14:paraId="13EEAA0E">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r>
      <w:tr w14:paraId="370C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534B097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612" w:type="dxa"/>
            <w:vMerge w:val="restart"/>
            <w:shd w:val="clear" w:color="auto" w:fill="auto"/>
            <w:vAlign w:val="center"/>
          </w:tcPr>
          <w:p w14:paraId="00B7F24E">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基础指标</w:t>
            </w:r>
          </w:p>
        </w:tc>
        <w:tc>
          <w:tcPr>
            <w:tcW w:w="622" w:type="dxa"/>
            <w:vMerge w:val="restart"/>
            <w:shd w:val="clear" w:color="auto" w:fill="auto"/>
            <w:vAlign w:val="center"/>
          </w:tcPr>
          <w:p w14:paraId="2BD75169">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排放</w:t>
            </w:r>
          </w:p>
        </w:tc>
        <w:tc>
          <w:tcPr>
            <w:tcW w:w="1502" w:type="dxa"/>
            <w:gridSpan w:val="2"/>
            <w:shd w:val="clear" w:color="auto" w:fill="auto"/>
            <w:vAlign w:val="center"/>
          </w:tcPr>
          <w:p w14:paraId="7E5AF00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重型汽车整车车载法（PEMS)试验</w:t>
            </w:r>
          </w:p>
        </w:tc>
        <w:tc>
          <w:tcPr>
            <w:tcW w:w="1333" w:type="dxa"/>
            <w:shd w:val="clear" w:color="auto" w:fill="auto"/>
            <w:vAlign w:val="center"/>
          </w:tcPr>
          <w:p w14:paraId="01B71B7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GB17691-2018 6b阶段</w:t>
            </w:r>
          </w:p>
        </w:tc>
        <w:tc>
          <w:tcPr>
            <w:tcW w:w="4047" w:type="dxa"/>
            <w:gridSpan w:val="3"/>
            <w:shd w:val="clear" w:color="auto" w:fill="auto"/>
            <w:vAlign w:val="center"/>
          </w:tcPr>
          <w:p w14:paraId="68A486A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符合标准要求</w:t>
            </w:r>
          </w:p>
        </w:tc>
        <w:tc>
          <w:tcPr>
            <w:tcW w:w="1415" w:type="dxa"/>
            <w:shd w:val="clear" w:color="auto" w:fill="auto"/>
            <w:vAlign w:val="center"/>
          </w:tcPr>
          <w:p w14:paraId="0ACEB54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17691-2018 6b阶段</w:t>
            </w:r>
          </w:p>
        </w:tc>
      </w:tr>
      <w:tr w14:paraId="6B6F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21" w:type="dxa"/>
            <w:vMerge w:val="continue"/>
            <w:vAlign w:val="center"/>
          </w:tcPr>
          <w:p w14:paraId="65DCBCB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6040896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26E414D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502" w:type="dxa"/>
            <w:gridSpan w:val="2"/>
            <w:shd w:val="clear" w:color="auto" w:fill="auto"/>
            <w:vAlign w:val="center"/>
          </w:tcPr>
          <w:p w14:paraId="1700C04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重型汽车排气污染物（底盘测功机法）</w:t>
            </w:r>
          </w:p>
        </w:tc>
        <w:tc>
          <w:tcPr>
            <w:tcW w:w="1333" w:type="dxa"/>
            <w:shd w:val="clear" w:color="auto" w:fill="auto"/>
            <w:vAlign w:val="center"/>
          </w:tcPr>
          <w:p w14:paraId="12DCDF13">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17691-2018 6b阶段</w:t>
            </w:r>
          </w:p>
          <w:p w14:paraId="3E66A4B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30510</w:t>
            </w:r>
          </w:p>
        </w:tc>
        <w:tc>
          <w:tcPr>
            <w:tcW w:w="4047" w:type="dxa"/>
            <w:gridSpan w:val="3"/>
            <w:shd w:val="clear" w:color="auto" w:fill="auto"/>
            <w:vAlign w:val="center"/>
          </w:tcPr>
          <w:p w14:paraId="02CA890E">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符合标准要求</w:t>
            </w:r>
          </w:p>
        </w:tc>
        <w:tc>
          <w:tcPr>
            <w:tcW w:w="1415" w:type="dxa"/>
            <w:shd w:val="clear" w:color="auto" w:fill="auto"/>
            <w:vAlign w:val="center"/>
          </w:tcPr>
          <w:p w14:paraId="2EF89FE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17691-2018 6b阶段</w:t>
            </w:r>
          </w:p>
          <w:p w14:paraId="131A1A4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30510</w:t>
            </w:r>
          </w:p>
        </w:tc>
      </w:tr>
      <w:tr w14:paraId="5D23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25D2E271">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612" w:type="dxa"/>
            <w:vMerge w:val="continue"/>
            <w:shd w:val="clear" w:color="auto" w:fill="auto"/>
            <w:vAlign w:val="center"/>
          </w:tcPr>
          <w:p w14:paraId="2645C153">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restart"/>
            <w:shd w:val="clear" w:color="auto" w:fill="auto"/>
            <w:vAlign w:val="center"/>
          </w:tcPr>
          <w:p w14:paraId="5D16507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安全</w:t>
            </w:r>
          </w:p>
        </w:tc>
        <w:tc>
          <w:tcPr>
            <w:tcW w:w="1502" w:type="dxa"/>
            <w:gridSpan w:val="2"/>
            <w:shd w:val="clear" w:color="auto" w:fill="auto"/>
            <w:vAlign w:val="center"/>
          </w:tcPr>
          <w:p w14:paraId="3C18B6D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客车结构安全要求</w:t>
            </w:r>
          </w:p>
        </w:tc>
        <w:tc>
          <w:tcPr>
            <w:tcW w:w="1333" w:type="dxa"/>
            <w:shd w:val="clear" w:color="auto" w:fill="auto"/>
            <w:vAlign w:val="center"/>
          </w:tcPr>
          <w:p w14:paraId="1B2C6F3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13094</w:t>
            </w:r>
          </w:p>
        </w:tc>
        <w:tc>
          <w:tcPr>
            <w:tcW w:w="4047" w:type="dxa"/>
            <w:gridSpan w:val="3"/>
            <w:shd w:val="clear" w:color="auto" w:fill="auto"/>
            <w:vAlign w:val="center"/>
          </w:tcPr>
          <w:p w14:paraId="12B3618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符合标准要求</w:t>
            </w:r>
          </w:p>
        </w:tc>
        <w:tc>
          <w:tcPr>
            <w:tcW w:w="1415" w:type="dxa"/>
            <w:shd w:val="clear" w:color="auto" w:fill="auto"/>
            <w:vAlign w:val="center"/>
          </w:tcPr>
          <w:p w14:paraId="06B15C0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13094</w:t>
            </w:r>
          </w:p>
        </w:tc>
      </w:tr>
      <w:tr w14:paraId="6473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2941888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5220B063">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4B1BA90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502" w:type="dxa"/>
            <w:gridSpan w:val="2"/>
            <w:shd w:val="clear" w:color="auto" w:fill="auto"/>
            <w:vAlign w:val="center"/>
          </w:tcPr>
          <w:p w14:paraId="7F300399">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客车上部结构强度</w:t>
            </w:r>
          </w:p>
        </w:tc>
        <w:tc>
          <w:tcPr>
            <w:tcW w:w="1333" w:type="dxa"/>
            <w:shd w:val="clear" w:color="auto" w:fill="auto"/>
            <w:vAlign w:val="center"/>
          </w:tcPr>
          <w:p w14:paraId="7006FC2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17578</w:t>
            </w:r>
          </w:p>
        </w:tc>
        <w:tc>
          <w:tcPr>
            <w:tcW w:w="4047" w:type="dxa"/>
            <w:gridSpan w:val="3"/>
            <w:shd w:val="clear" w:color="auto" w:fill="auto"/>
            <w:vAlign w:val="center"/>
          </w:tcPr>
          <w:p w14:paraId="5704D39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符合标准要求</w:t>
            </w:r>
          </w:p>
        </w:tc>
        <w:tc>
          <w:tcPr>
            <w:tcW w:w="1415" w:type="dxa"/>
            <w:shd w:val="clear" w:color="auto" w:fill="auto"/>
            <w:vAlign w:val="center"/>
          </w:tcPr>
          <w:p w14:paraId="6F35225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17578</w:t>
            </w:r>
          </w:p>
        </w:tc>
      </w:tr>
      <w:tr w14:paraId="6332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32A1C06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612" w:type="dxa"/>
            <w:vMerge w:val="restart"/>
            <w:shd w:val="clear" w:color="auto" w:fill="auto"/>
            <w:vAlign w:val="center"/>
          </w:tcPr>
          <w:p w14:paraId="025F00CB">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核心指标</w:t>
            </w:r>
          </w:p>
        </w:tc>
        <w:tc>
          <w:tcPr>
            <w:tcW w:w="622" w:type="dxa"/>
            <w:vMerge w:val="restart"/>
            <w:shd w:val="clear" w:color="auto" w:fill="auto"/>
            <w:vAlign w:val="center"/>
          </w:tcPr>
          <w:p w14:paraId="11AE2944">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动力</w:t>
            </w:r>
          </w:p>
        </w:tc>
        <w:tc>
          <w:tcPr>
            <w:tcW w:w="1502" w:type="dxa"/>
            <w:gridSpan w:val="2"/>
            <w:shd w:val="clear" w:color="auto" w:fill="auto"/>
            <w:vAlign w:val="center"/>
          </w:tcPr>
          <w:p w14:paraId="6171CE0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0-80km/h 全油门起步加速时间算术平均值</w:t>
            </w:r>
            <w:r>
              <w:rPr>
                <w:rFonts w:hint="eastAsia" w:ascii="宋体" w:hAnsi="宋体" w:eastAsia="宋体" w:cs="宋体"/>
                <w:kern w:val="0"/>
                <w:sz w:val="18"/>
                <w:szCs w:val="18"/>
              </w:rPr>
              <w:sym w:font="Symbol" w:char="0060"/>
            </w:r>
            <w:r>
              <w:rPr>
                <w:rFonts w:hint="eastAsia" w:ascii="宋体" w:hAnsi="宋体" w:eastAsia="宋体" w:cs="宋体"/>
                <w:kern w:val="0"/>
                <w:sz w:val="18"/>
                <w:szCs w:val="18"/>
              </w:rPr>
              <w:t>t(s)</w:t>
            </w:r>
          </w:p>
        </w:tc>
        <w:tc>
          <w:tcPr>
            <w:tcW w:w="1333" w:type="dxa"/>
            <w:shd w:val="clear" w:color="auto" w:fill="auto"/>
            <w:vAlign w:val="center"/>
          </w:tcPr>
          <w:p w14:paraId="65FAA9F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GB/T 12543</w:t>
            </w:r>
          </w:p>
        </w:tc>
        <w:tc>
          <w:tcPr>
            <w:tcW w:w="1370" w:type="dxa"/>
            <w:shd w:val="clear" w:color="auto" w:fill="auto"/>
            <w:vAlign w:val="center"/>
          </w:tcPr>
          <w:p w14:paraId="5C57D32E">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sym w:font="Symbol" w:char="0060"/>
            </w:r>
            <w:r>
              <w:rPr>
                <w:rFonts w:hint="eastAsia" w:ascii="宋体" w:hAnsi="宋体" w:eastAsia="宋体" w:cs="宋体"/>
                <w:kern w:val="0"/>
                <w:sz w:val="18"/>
                <w:szCs w:val="18"/>
              </w:rPr>
              <w:t>t≤25.0</w:t>
            </w:r>
          </w:p>
        </w:tc>
        <w:tc>
          <w:tcPr>
            <w:tcW w:w="1370" w:type="dxa"/>
            <w:shd w:val="clear" w:color="auto" w:fill="auto"/>
            <w:vAlign w:val="center"/>
          </w:tcPr>
          <w:p w14:paraId="304D731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25.0＜</w:t>
            </w:r>
            <w:r>
              <w:rPr>
                <w:rFonts w:hint="eastAsia" w:ascii="宋体" w:hAnsi="宋体" w:eastAsia="宋体" w:cs="宋体"/>
                <w:kern w:val="0"/>
                <w:sz w:val="18"/>
                <w:szCs w:val="18"/>
              </w:rPr>
              <w:sym w:font="Symbol" w:char="0060"/>
            </w:r>
            <w:r>
              <w:rPr>
                <w:rFonts w:hint="eastAsia" w:ascii="宋体" w:hAnsi="宋体" w:eastAsia="宋体" w:cs="宋体"/>
                <w:kern w:val="0"/>
                <w:sz w:val="18"/>
                <w:szCs w:val="18"/>
              </w:rPr>
              <w:t>t≤26.0</w:t>
            </w:r>
          </w:p>
        </w:tc>
        <w:tc>
          <w:tcPr>
            <w:tcW w:w="1307" w:type="dxa"/>
            <w:shd w:val="clear" w:color="auto" w:fill="auto"/>
            <w:vAlign w:val="center"/>
          </w:tcPr>
          <w:p w14:paraId="2645EC7D">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26.0＜</w:t>
            </w:r>
            <w:r>
              <w:rPr>
                <w:rFonts w:hint="eastAsia" w:ascii="宋体" w:hAnsi="宋体" w:eastAsia="宋体" w:cs="宋体"/>
                <w:kern w:val="0"/>
                <w:sz w:val="18"/>
                <w:szCs w:val="18"/>
              </w:rPr>
              <w:sym w:font="Symbol" w:char="0060"/>
            </w:r>
            <w:r>
              <w:rPr>
                <w:rFonts w:hint="eastAsia" w:ascii="宋体" w:hAnsi="宋体" w:eastAsia="宋体" w:cs="宋体"/>
                <w:kern w:val="0"/>
                <w:sz w:val="18"/>
                <w:szCs w:val="18"/>
              </w:rPr>
              <w:t>t≤27.5</w:t>
            </w:r>
          </w:p>
        </w:tc>
        <w:tc>
          <w:tcPr>
            <w:tcW w:w="1415" w:type="dxa"/>
            <w:shd w:val="clear" w:color="auto" w:fill="auto"/>
            <w:vAlign w:val="center"/>
          </w:tcPr>
          <w:p w14:paraId="638E3FCA">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GB/T 12543</w:t>
            </w:r>
          </w:p>
        </w:tc>
      </w:tr>
      <w:tr w14:paraId="7D03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1338379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6EB9D29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69D15EF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502" w:type="dxa"/>
            <w:gridSpan w:val="2"/>
            <w:shd w:val="clear" w:color="auto" w:fill="auto"/>
            <w:vAlign w:val="center"/>
          </w:tcPr>
          <w:p w14:paraId="2035483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最大爬坡度i</w:t>
            </w:r>
          </w:p>
        </w:tc>
        <w:tc>
          <w:tcPr>
            <w:tcW w:w="1333" w:type="dxa"/>
            <w:shd w:val="clear" w:color="auto" w:fill="auto"/>
            <w:vAlign w:val="center"/>
          </w:tcPr>
          <w:p w14:paraId="371FD34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GB/T 12539</w:t>
            </w:r>
          </w:p>
        </w:tc>
        <w:tc>
          <w:tcPr>
            <w:tcW w:w="1370" w:type="dxa"/>
            <w:shd w:val="clear" w:color="auto" w:fill="auto"/>
            <w:vAlign w:val="center"/>
          </w:tcPr>
          <w:p w14:paraId="5AF8085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i≥30%</w:t>
            </w:r>
          </w:p>
        </w:tc>
        <w:tc>
          <w:tcPr>
            <w:tcW w:w="1370" w:type="dxa"/>
            <w:shd w:val="clear" w:color="auto" w:fill="auto"/>
            <w:vAlign w:val="center"/>
          </w:tcPr>
          <w:p w14:paraId="7865572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30%＞i≥20%</w:t>
            </w:r>
          </w:p>
        </w:tc>
        <w:tc>
          <w:tcPr>
            <w:tcW w:w="1307" w:type="dxa"/>
            <w:shd w:val="clear" w:color="auto" w:fill="auto"/>
            <w:vAlign w:val="center"/>
          </w:tcPr>
          <w:p w14:paraId="62CE94E4">
            <w:pPr>
              <w:pStyle w:val="8"/>
              <w:kinsoku/>
              <w:wordWrap/>
              <w:overflowPunct/>
              <w:topLinePunct w:val="0"/>
              <w:bidi w:val="0"/>
              <w:spacing w:beforeAutospacing="0" w:afterAutospacing="0" w:line="276" w:lineRule="auto"/>
              <w:ind w:firstLine="0" w:firstLineChars="0"/>
              <w:jc w:val="center"/>
              <w:rPr>
                <w:rStyle w:val="7"/>
                <w:rFonts w:hint="eastAsia" w:ascii="宋体" w:hAnsi="宋体" w:eastAsia="宋体" w:cs="宋体"/>
                <w:lang w:val="en-US" w:eastAsia="zh-CN"/>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0%＞i≥</w:t>
            </w:r>
            <w:r>
              <w:rPr>
                <w:rFonts w:hint="eastAsia" w:ascii="宋体" w:hAnsi="宋体" w:eastAsia="宋体" w:cs="宋体"/>
                <w:kern w:val="0"/>
                <w:sz w:val="18"/>
                <w:szCs w:val="18"/>
                <w:lang w:val="en-US" w:eastAsia="zh-CN"/>
              </w:rPr>
              <w:t>18</w:t>
            </w:r>
            <w:r>
              <w:rPr>
                <w:rFonts w:hint="eastAsia" w:ascii="宋体" w:hAnsi="宋体" w:eastAsia="宋体" w:cs="宋体"/>
                <w:kern w:val="0"/>
                <w:sz w:val="18"/>
                <w:szCs w:val="18"/>
              </w:rPr>
              <w:t>%</w:t>
            </w:r>
          </w:p>
        </w:tc>
        <w:tc>
          <w:tcPr>
            <w:tcW w:w="1415" w:type="dxa"/>
            <w:shd w:val="clear" w:color="auto" w:fill="auto"/>
            <w:vAlign w:val="center"/>
          </w:tcPr>
          <w:p w14:paraId="2A32E18C">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GB/T 12539</w:t>
            </w:r>
          </w:p>
        </w:tc>
      </w:tr>
      <w:tr w14:paraId="61C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Align w:val="center"/>
          </w:tcPr>
          <w:p w14:paraId="07C0ADD7">
            <w:pPr>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612" w:type="dxa"/>
            <w:vMerge w:val="continue"/>
            <w:shd w:val="clear" w:color="auto" w:fill="auto"/>
            <w:vAlign w:val="center"/>
          </w:tcPr>
          <w:p w14:paraId="05D9C25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shd w:val="clear" w:color="auto" w:fill="auto"/>
            <w:vAlign w:val="center"/>
          </w:tcPr>
          <w:p w14:paraId="0E011DA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经济</w:t>
            </w:r>
          </w:p>
        </w:tc>
        <w:tc>
          <w:tcPr>
            <w:tcW w:w="1502" w:type="dxa"/>
            <w:gridSpan w:val="2"/>
            <w:shd w:val="clear" w:color="auto" w:fill="auto"/>
            <w:vAlign w:val="center"/>
          </w:tcPr>
          <w:p w14:paraId="5BDC7E24">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道路工况燃料消耗量Q</w:t>
            </w:r>
            <w:r>
              <w:rPr>
                <w:rFonts w:hint="eastAsia" w:ascii="宋体" w:hAnsi="宋体" w:eastAsia="宋体" w:cs="宋体"/>
                <w:kern w:val="0"/>
                <w:sz w:val="18"/>
                <w:szCs w:val="18"/>
                <w:vertAlign w:val="subscript"/>
              </w:rPr>
              <w:t>0</w:t>
            </w:r>
            <w:r>
              <w:rPr>
                <w:rFonts w:hint="eastAsia" w:ascii="宋体" w:hAnsi="宋体" w:eastAsia="宋体" w:cs="宋体"/>
                <w:kern w:val="0"/>
                <w:sz w:val="18"/>
                <w:szCs w:val="18"/>
              </w:rPr>
              <w:t>(L/100km)</w:t>
            </w:r>
          </w:p>
        </w:tc>
        <w:tc>
          <w:tcPr>
            <w:tcW w:w="1333" w:type="dxa"/>
            <w:shd w:val="clear" w:color="auto" w:fill="auto"/>
            <w:vAlign w:val="center"/>
          </w:tcPr>
          <w:p w14:paraId="34E0146E">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本文件</w:t>
            </w:r>
          </w:p>
        </w:tc>
        <w:tc>
          <w:tcPr>
            <w:tcW w:w="1370" w:type="dxa"/>
            <w:shd w:val="clear" w:color="auto" w:fill="auto"/>
            <w:vAlign w:val="center"/>
          </w:tcPr>
          <w:p w14:paraId="137C8247">
            <w:pPr>
              <w:widowControl/>
              <w:kinsoku/>
              <w:wordWrap/>
              <w:overflowPunct/>
              <w:topLinePunct w:val="0"/>
              <w:bidi w:val="0"/>
              <w:spacing w:beforeAutospacing="0" w:afterAutospacing="0" w:line="276" w:lineRule="auto"/>
              <w:jc w:val="center"/>
              <w:rPr>
                <w:rFonts w:hint="eastAsia" w:ascii="宋体" w:hAnsi="宋体" w:eastAsia="宋体" w:cs="宋体"/>
                <w:bCs/>
                <w:sz w:val="18"/>
                <w:szCs w:val="18"/>
              </w:rPr>
            </w:pPr>
            <w:r>
              <w:rPr>
                <w:rFonts w:hint="eastAsia" w:ascii="宋体" w:hAnsi="宋体" w:eastAsia="宋体" w:cs="宋体"/>
                <w:kern w:val="0"/>
                <w:sz w:val="18"/>
                <w:szCs w:val="18"/>
              </w:rPr>
              <w:t>Q</w:t>
            </w:r>
            <w:r>
              <w:rPr>
                <w:rFonts w:hint="eastAsia" w:ascii="宋体" w:hAnsi="宋体" w:eastAsia="宋体" w:cs="宋体"/>
                <w:kern w:val="0"/>
                <w:sz w:val="18"/>
                <w:szCs w:val="18"/>
                <w:vertAlign w:val="subscript"/>
              </w:rPr>
              <w:t>0</w:t>
            </w:r>
            <w:r>
              <w:rPr>
                <w:rFonts w:hint="eastAsia" w:ascii="宋体" w:hAnsi="宋体" w:eastAsia="宋体" w:cs="宋体"/>
                <w:bCs/>
                <w:sz w:val="18"/>
                <w:szCs w:val="18"/>
              </w:rPr>
              <w:t>≤13.2</w:t>
            </w:r>
          </w:p>
        </w:tc>
        <w:tc>
          <w:tcPr>
            <w:tcW w:w="1370" w:type="dxa"/>
            <w:shd w:val="clear" w:color="auto" w:fill="auto"/>
            <w:vAlign w:val="center"/>
          </w:tcPr>
          <w:p w14:paraId="2A9E87C1">
            <w:pPr>
              <w:widowControl/>
              <w:kinsoku/>
              <w:wordWrap/>
              <w:overflowPunct/>
              <w:topLinePunct w:val="0"/>
              <w:bidi w:val="0"/>
              <w:spacing w:beforeAutospacing="0" w:afterAutospacing="0" w:line="276" w:lineRule="auto"/>
              <w:jc w:val="center"/>
              <w:rPr>
                <w:rFonts w:hint="eastAsia" w:ascii="宋体" w:hAnsi="宋体" w:eastAsia="宋体" w:cs="宋体"/>
                <w:bCs/>
                <w:sz w:val="18"/>
                <w:szCs w:val="18"/>
              </w:rPr>
            </w:pPr>
            <w:r>
              <w:rPr>
                <w:rFonts w:hint="eastAsia" w:ascii="宋体" w:hAnsi="宋体" w:eastAsia="宋体" w:cs="宋体"/>
                <w:sz w:val="18"/>
                <w:szCs w:val="18"/>
              </w:rPr>
              <w:t>13.2＜Q</w:t>
            </w:r>
            <w:r>
              <w:rPr>
                <w:rFonts w:hint="eastAsia" w:ascii="宋体" w:hAnsi="宋体" w:eastAsia="宋体" w:cs="宋体"/>
                <w:sz w:val="18"/>
                <w:szCs w:val="18"/>
                <w:vertAlign w:val="subscript"/>
              </w:rPr>
              <w:t>0</w:t>
            </w:r>
            <w:r>
              <w:rPr>
                <w:rFonts w:hint="eastAsia" w:ascii="宋体" w:hAnsi="宋体" w:eastAsia="宋体" w:cs="宋体"/>
                <w:sz w:val="18"/>
                <w:szCs w:val="18"/>
              </w:rPr>
              <w:t>≤14.0</w:t>
            </w:r>
          </w:p>
        </w:tc>
        <w:tc>
          <w:tcPr>
            <w:tcW w:w="1307" w:type="dxa"/>
            <w:shd w:val="clear" w:color="auto" w:fill="auto"/>
            <w:vAlign w:val="center"/>
          </w:tcPr>
          <w:p w14:paraId="1ECAC62A">
            <w:pPr>
              <w:kinsoku/>
              <w:wordWrap/>
              <w:overflowPunct/>
              <w:topLinePunct w:val="0"/>
              <w:bidi w:val="0"/>
              <w:snapToGrid w:val="0"/>
              <w:spacing w:beforeAutospacing="0" w:afterAutospacing="0" w:line="276" w:lineRule="auto"/>
              <w:jc w:val="center"/>
              <w:rPr>
                <w:rFonts w:hint="eastAsia" w:ascii="宋体" w:hAnsi="宋体" w:eastAsia="宋体" w:cs="宋体"/>
                <w:bCs/>
                <w:sz w:val="18"/>
                <w:szCs w:val="18"/>
              </w:rPr>
            </w:pPr>
            <w:r>
              <w:rPr>
                <w:rFonts w:hint="eastAsia" w:ascii="宋体" w:hAnsi="宋体" w:eastAsia="宋体" w:cs="宋体"/>
                <w:sz w:val="18"/>
                <w:szCs w:val="18"/>
              </w:rPr>
              <w:t>14.0＜Q</w:t>
            </w:r>
            <w:r>
              <w:rPr>
                <w:rFonts w:hint="eastAsia" w:ascii="宋体" w:hAnsi="宋体" w:eastAsia="宋体" w:cs="宋体"/>
                <w:sz w:val="18"/>
                <w:szCs w:val="18"/>
                <w:vertAlign w:val="subscript"/>
              </w:rPr>
              <w:t>0</w:t>
            </w:r>
            <w:r>
              <w:rPr>
                <w:rFonts w:hint="eastAsia" w:ascii="宋体" w:hAnsi="宋体" w:eastAsia="宋体" w:cs="宋体"/>
                <w:sz w:val="18"/>
                <w:szCs w:val="18"/>
              </w:rPr>
              <w:t>≤15.0</w:t>
            </w:r>
          </w:p>
        </w:tc>
        <w:tc>
          <w:tcPr>
            <w:tcW w:w="1415" w:type="dxa"/>
            <w:shd w:val="clear" w:color="auto" w:fill="auto"/>
            <w:vAlign w:val="center"/>
          </w:tcPr>
          <w:p w14:paraId="642104E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附录 A</w:t>
            </w:r>
          </w:p>
        </w:tc>
      </w:tr>
      <w:tr w14:paraId="094C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3190D32B">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612" w:type="dxa"/>
            <w:vMerge w:val="continue"/>
            <w:shd w:val="clear" w:color="auto" w:fill="auto"/>
            <w:vAlign w:val="center"/>
          </w:tcPr>
          <w:p w14:paraId="1C01ECC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restart"/>
            <w:shd w:val="clear" w:color="auto" w:fill="auto"/>
            <w:vAlign w:val="center"/>
          </w:tcPr>
          <w:p w14:paraId="10E4F45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安全</w:t>
            </w:r>
          </w:p>
        </w:tc>
        <w:tc>
          <w:tcPr>
            <w:tcW w:w="1502" w:type="dxa"/>
            <w:gridSpan w:val="2"/>
            <w:shd w:val="clear" w:color="auto" w:fill="auto"/>
            <w:vAlign w:val="center"/>
          </w:tcPr>
          <w:p w14:paraId="3A7F99D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发动机脱开的 0 型试验制动距离 S</w:t>
            </w:r>
            <w:r>
              <w:rPr>
                <w:rFonts w:hint="eastAsia" w:ascii="宋体" w:hAnsi="宋体" w:eastAsia="宋体" w:cs="宋体"/>
                <w:kern w:val="0"/>
                <w:sz w:val="18"/>
                <w:szCs w:val="18"/>
                <w:vertAlign w:val="subscript"/>
              </w:rPr>
              <w:t>0</w:t>
            </w:r>
            <w:r>
              <w:rPr>
                <w:rFonts w:hint="eastAsia" w:ascii="宋体" w:hAnsi="宋体" w:eastAsia="宋体" w:cs="宋体"/>
                <w:kern w:val="0"/>
                <w:sz w:val="18"/>
                <w:szCs w:val="18"/>
              </w:rPr>
              <w:t>(m)（满载状态，试验车速60km/h）</w:t>
            </w:r>
          </w:p>
        </w:tc>
        <w:tc>
          <w:tcPr>
            <w:tcW w:w="1333" w:type="dxa"/>
            <w:vMerge w:val="restart"/>
            <w:shd w:val="clear" w:color="auto" w:fill="auto"/>
            <w:vAlign w:val="center"/>
          </w:tcPr>
          <w:p w14:paraId="4C3D587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12676</w:t>
            </w:r>
          </w:p>
        </w:tc>
        <w:tc>
          <w:tcPr>
            <w:tcW w:w="1370" w:type="dxa"/>
            <w:shd w:val="clear" w:color="auto" w:fill="auto"/>
            <w:vAlign w:val="center"/>
          </w:tcPr>
          <w:p w14:paraId="6878CAF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w:t>
            </w:r>
            <w:r>
              <w:rPr>
                <w:rFonts w:hint="eastAsia" w:ascii="宋体" w:hAnsi="宋体" w:eastAsia="宋体" w:cs="宋体"/>
                <w:kern w:val="0"/>
                <w:sz w:val="18"/>
                <w:szCs w:val="18"/>
                <w:vertAlign w:val="subscript"/>
              </w:rPr>
              <w:t>0</w:t>
            </w:r>
            <w:r>
              <w:rPr>
                <w:rFonts w:hint="eastAsia" w:ascii="宋体" w:hAnsi="宋体" w:eastAsia="宋体" w:cs="宋体"/>
                <w:kern w:val="0"/>
                <w:sz w:val="18"/>
                <w:szCs w:val="18"/>
              </w:rPr>
              <w:t>≤19.5</w:t>
            </w:r>
          </w:p>
        </w:tc>
        <w:tc>
          <w:tcPr>
            <w:tcW w:w="1370" w:type="dxa"/>
            <w:shd w:val="clear" w:color="auto" w:fill="auto"/>
            <w:vAlign w:val="center"/>
          </w:tcPr>
          <w:p w14:paraId="7D10375B">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19.5＜S</w:t>
            </w:r>
            <w:r>
              <w:rPr>
                <w:rFonts w:hint="eastAsia" w:ascii="宋体" w:hAnsi="宋体" w:eastAsia="宋体" w:cs="宋体"/>
                <w:kern w:val="0"/>
                <w:sz w:val="18"/>
                <w:szCs w:val="18"/>
                <w:vertAlign w:val="subscript"/>
              </w:rPr>
              <w:t>0</w:t>
            </w:r>
            <w:r>
              <w:rPr>
                <w:rFonts w:hint="eastAsia" w:ascii="宋体" w:hAnsi="宋体" w:eastAsia="宋体" w:cs="宋体"/>
                <w:kern w:val="0"/>
                <w:sz w:val="18"/>
                <w:szCs w:val="18"/>
              </w:rPr>
              <w:t>≤21.0</w:t>
            </w:r>
          </w:p>
        </w:tc>
        <w:tc>
          <w:tcPr>
            <w:tcW w:w="1307" w:type="dxa"/>
            <w:shd w:val="clear" w:color="auto" w:fill="auto"/>
            <w:vAlign w:val="center"/>
          </w:tcPr>
          <w:p w14:paraId="72288A07">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21.0＜S</w:t>
            </w:r>
            <w:r>
              <w:rPr>
                <w:rFonts w:hint="eastAsia" w:ascii="宋体" w:hAnsi="宋体" w:eastAsia="宋体" w:cs="宋体"/>
                <w:kern w:val="0"/>
                <w:sz w:val="18"/>
                <w:szCs w:val="18"/>
                <w:vertAlign w:val="subscript"/>
              </w:rPr>
              <w:t>0</w:t>
            </w:r>
            <w:r>
              <w:rPr>
                <w:rFonts w:hint="eastAsia" w:ascii="宋体" w:hAnsi="宋体" w:eastAsia="宋体" w:cs="宋体"/>
                <w:kern w:val="0"/>
                <w:sz w:val="18"/>
                <w:szCs w:val="18"/>
              </w:rPr>
              <w:t>≤22.5</w:t>
            </w:r>
          </w:p>
        </w:tc>
        <w:tc>
          <w:tcPr>
            <w:tcW w:w="1415" w:type="dxa"/>
            <w:vMerge w:val="restart"/>
            <w:shd w:val="clear" w:color="auto" w:fill="auto"/>
            <w:vAlign w:val="center"/>
          </w:tcPr>
          <w:p w14:paraId="18442502">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GB 12676</w:t>
            </w:r>
          </w:p>
        </w:tc>
      </w:tr>
      <w:tr w14:paraId="675F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55A25DE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50FA0CD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23CC43DE">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502" w:type="dxa"/>
            <w:gridSpan w:val="2"/>
            <w:shd w:val="clear" w:color="auto" w:fill="auto"/>
            <w:vAlign w:val="center"/>
          </w:tcPr>
          <w:p w14:paraId="6E545D5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热衰退后与热衰退前紧急制动距离比值p（满载状态，试验车速60km/h）</w:t>
            </w:r>
          </w:p>
        </w:tc>
        <w:tc>
          <w:tcPr>
            <w:tcW w:w="1333" w:type="dxa"/>
            <w:vMerge w:val="continue"/>
            <w:shd w:val="clear" w:color="auto" w:fill="auto"/>
            <w:vAlign w:val="center"/>
          </w:tcPr>
          <w:p w14:paraId="358E77BA">
            <w:pPr>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370" w:type="dxa"/>
            <w:shd w:val="clear" w:color="auto" w:fill="auto"/>
            <w:vAlign w:val="center"/>
          </w:tcPr>
          <w:p w14:paraId="3593E43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p≤1.10</w:t>
            </w:r>
          </w:p>
        </w:tc>
        <w:tc>
          <w:tcPr>
            <w:tcW w:w="1370" w:type="dxa"/>
            <w:shd w:val="clear" w:color="auto" w:fill="auto"/>
            <w:vAlign w:val="center"/>
          </w:tcPr>
          <w:p w14:paraId="05A74DC1">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1.10＜p≤1.15</w:t>
            </w:r>
          </w:p>
        </w:tc>
        <w:tc>
          <w:tcPr>
            <w:tcW w:w="1307" w:type="dxa"/>
            <w:shd w:val="clear" w:color="auto" w:fill="auto"/>
            <w:vAlign w:val="center"/>
          </w:tcPr>
          <w:p w14:paraId="7E5E9FEE">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1.15＜p≤1.25</w:t>
            </w:r>
          </w:p>
        </w:tc>
        <w:tc>
          <w:tcPr>
            <w:tcW w:w="1415" w:type="dxa"/>
            <w:vMerge w:val="continue"/>
            <w:shd w:val="clear" w:color="auto" w:fill="auto"/>
            <w:vAlign w:val="center"/>
          </w:tcPr>
          <w:p w14:paraId="0F2A5DDB">
            <w:pPr>
              <w:pStyle w:val="8"/>
              <w:kinsoku/>
              <w:wordWrap/>
              <w:overflowPunct/>
              <w:topLinePunct w:val="0"/>
              <w:bidi w:val="0"/>
              <w:spacing w:beforeAutospacing="0" w:afterAutospacing="0" w:line="276" w:lineRule="auto"/>
              <w:ind w:firstLine="360"/>
              <w:jc w:val="center"/>
              <w:rPr>
                <w:rFonts w:hint="eastAsia" w:ascii="宋体" w:hAnsi="宋体" w:eastAsia="宋体" w:cs="宋体"/>
                <w:sz w:val="18"/>
                <w:szCs w:val="18"/>
              </w:rPr>
            </w:pPr>
          </w:p>
        </w:tc>
      </w:tr>
      <w:tr w14:paraId="217A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50E7E26B">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612" w:type="dxa"/>
            <w:vMerge w:val="continue"/>
            <w:shd w:val="clear" w:color="auto" w:fill="auto"/>
            <w:vAlign w:val="center"/>
          </w:tcPr>
          <w:p w14:paraId="6AE6152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restart"/>
            <w:shd w:val="clear" w:color="auto" w:fill="auto"/>
            <w:vAlign w:val="center"/>
          </w:tcPr>
          <w:p w14:paraId="17C5B9A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噪声</w:t>
            </w:r>
          </w:p>
        </w:tc>
        <w:tc>
          <w:tcPr>
            <w:tcW w:w="1502" w:type="dxa"/>
            <w:gridSpan w:val="2"/>
            <w:shd w:val="clear" w:color="auto" w:fill="auto"/>
            <w:vAlign w:val="center"/>
          </w:tcPr>
          <w:p w14:paraId="176F2E22">
            <w:pPr>
              <w:kinsoku/>
              <w:wordWrap/>
              <w:overflowPunct/>
              <w:topLinePunct w:val="0"/>
              <w:bidi w:val="0"/>
              <w:snapToGrid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加速行驶车外噪声</w:t>
            </w:r>
            <w:r>
              <w:rPr>
                <w:rFonts w:hint="eastAsia" w:ascii="宋体" w:hAnsi="宋体" w:eastAsia="宋体" w:cs="宋体"/>
                <w:kern w:val="0"/>
                <w:sz w:val="18"/>
                <w:szCs w:val="18"/>
              </w:rPr>
              <w:t>N</w:t>
            </w:r>
            <w:r>
              <w:rPr>
                <w:rFonts w:hint="eastAsia" w:ascii="宋体" w:hAnsi="宋体" w:eastAsia="宋体" w:cs="宋体"/>
                <w:kern w:val="0"/>
                <w:sz w:val="18"/>
                <w:szCs w:val="18"/>
                <w:vertAlign w:val="subscript"/>
              </w:rPr>
              <w:t>1</w:t>
            </w:r>
            <w:r>
              <w:rPr>
                <w:rFonts w:hint="eastAsia" w:ascii="宋体" w:hAnsi="宋体" w:eastAsia="宋体" w:cs="宋体"/>
                <w:kern w:val="0"/>
                <w:sz w:val="18"/>
                <w:szCs w:val="18"/>
              </w:rPr>
              <w:t>(dB(A))</w:t>
            </w:r>
          </w:p>
        </w:tc>
        <w:tc>
          <w:tcPr>
            <w:tcW w:w="1333" w:type="dxa"/>
            <w:shd w:val="clear" w:color="auto" w:fill="auto"/>
            <w:vAlign w:val="center"/>
          </w:tcPr>
          <w:p w14:paraId="1F497D42">
            <w:pPr>
              <w:kinsoku/>
              <w:wordWrap/>
              <w:overflowPunct/>
              <w:topLinePunct w:val="0"/>
              <w:bidi w:val="0"/>
              <w:snapToGrid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1495</w:t>
            </w:r>
          </w:p>
        </w:tc>
        <w:tc>
          <w:tcPr>
            <w:tcW w:w="1370" w:type="dxa"/>
            <w:shd w:val="clear" w:color="auto" w:fill="auto"/>
            <w:vAlign w:val="center"/>
          </w:tcPr>
          <w:p w14:paraId="61571B93">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N</w:t>
            </w:r>
            <w:r>
              <w:rPr>
                <w:rFonts w:hint="eastAsia" w:ascii="宋体" w:hAnsi="宋体" w:eastAsia="宋体" w:cs="宋体"/>
                <w:kern w:val="0"/>
                <w:sz w:val="18"/>
                <w:szCs w:val="18"/>
                <w:vertAlign w:val="subscript"/>
              </w:rPr>
              <w:t>1</w:t>
            </w:r>
            <w:r>
              <w:rPr>
                <w:rFonts w:hint="eastAsia" w:ascii="宋体" w:hAnsi="宋体" w:eastAsia="宋体" w:cs="宋体"/>
                <w:kern w:val="0"/>
                <w:sz w:val="18"/>
                <w:szCs w:val="18"/>
              </w:rPr>
              <w:t>≤64</w:t>
            </w:r>
          </w:p>
        </w:tc>
        <w:tc>
          <w:tcPr>
            <w:tcW w:w="1370" w:type="dxa"/>
            <w:shd w:val="clear" w:color="auto" w:fill="auto"/>
            <w:vAlign w:val="center"/>
          </w:tcPr>
          <w:p w14:paraId="65C9C4F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64＜N</w:t>
            </w:r>
            <w:r>
              <w:rPr>
                <w:rFonts w:hint="eastAsia" w:ascii="宋体" w:hAnsi="宋体" w:eastAsia="宋体" w:cs="宋体"/>
                <w:kern w:val="0"/>
                <w:sz w:val="18"/>
                <w:szCs w:val="18"/>
                <w:vertAlign w:val="subscript"/>
              </w:rPr>
              <w:t>1</w:t>
            </w:r>
            <w:r>
              <w:rPr>
                <w:rFonts w:hint="eastAsia" w:ascii="宋体" w:hAnsi="宋体" w:eastAsia="宋体" w:cs="宋体"/>
                <w:kern w:val="0"/>
                <w:sz w:val="18"/>
                <w:szCs w:val="18"/>
              </w:rPr>
              <w:t>≤66</w:t>
            </w:r>
          </w:p>
        </w:tc>
        <w:tc>
          <w:tcPr>
            <w:tcW w:w="1307" w:type="dxa"/>
            <w:shd w:val="clear" w:color="auto" w:fill="auto"/>
            <w:vAlign w:val="center"/>
          </w:tcPr>
          <w:p w14:paraId="08974860">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66＜N</w:t>
            </w:r>
            <w:r>
              <w:rPr>
                <w:rFonts w:hint="eastAsia" w:ascii="宋体" w:hAnsi="宋体" w:eastAsia="宋体" w:cs="宋体"/>
                <w:kern w:val="0"/>
                <w:sz w:val="18"/>
                <w:szCs w:val="18"/>
                <w:vertAlign w:val="subscript"/>
              </w:rPr>
              <w:t>1</w:t>
            </w:r>
            <w:r>
              <w:rPr>
                <w:rFonts w:hint="eastAsia" w:ascii="宋体" w:hAnsi="宋体" w:eastAsia="宋体" w:cs="宋体"/>
                <w:kern w:val="0"/>
                <w:sz w:val="18"/>
                <w:szCs w:val="18"/>
              </w:rPr>
              <w:t>≤68</w:t>
            </w:r>
          </w:p>
        </w:tc>
        <w:tc>
          <w:tcPr>
            <w:tcW w:w="1415" w:type="dxa"/>
            <w:shd w:val="clear" w:color="auto" w:fill="auto"/>
            <w:vAlign w:val="center"/>
          </w:tcPr>
          <w:p w14:paraId="2EC0474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 1495</w:t>
            </w:r>
          </w:p>
        </w:tc>
      </w:tr>
      <w:tr w14:paraId="7D73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02AF2C8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154C0B7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2161891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502" w:type="dxa"/>
            <w:gridSpan w:val="2"/>
            <w:shd w:val="clear" w:color="auto" w:fill="auto"/>
            <w:vAlign w:val="center"/>
          </w:tcPr>
          <w:p w14:paraId="35D4F73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匀速车内噪声乘客区最大噪声N</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(dB(A))(试验车速80km/h）</w:t>
            </w:r>
          </w:p>
        </w:tc>
        <w:tc>
          <w:tcPr>
            <w:tcW w:w="1333" w:type="dxa"/>
            <w:shd w:val="clear" w:color="auto" w:fill="auto"/>
            <w:vAlign w:val="center"/>
          </w:tcPr>
          <w:p w14:paraId="461C09B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GB/T 25982</w:t>
            </w:r>
          </w:p>
        </w:tc>
        <w:tc>
          <w:tcPr>
            <w:tcW w:w="1370" w:type="dxa"/>
            <w:shd w:val="clear" w:color="auto" w:fill="auto"/>
            <w:vAlign w:val="center"/>
          </w:tcPr>
          <w:p w14:paraId="3CAD6F1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N</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≤66</w:t>
            </w:r>
          </w:p>
        </w:tc>
        <w:tc>
          <w:tcPr>
            <w:tcW w:w="1370" w:type="dxa"/>
            <w:shd w:val="clear" w:color="auto" w:fill="auto"/>
            <w:vAlign w:val="center"/>
          </w:tcPr>
          <w:p w14:paraId="648AEB3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66＜N</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≤68</w:t>
            </w:r>
          </w:p>
        </w:tc>
        <w:tc>
          <w:tcPr>
            <w:tcW w:w="1307" w:type="dxa"/>
            <w:shd w:val="clear" w:color="auto" w:fill="auto"/>
            <w:vAlign w:val="center"/>
          </w:tcPr>
          <w:p w14:paraId="406E897A">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68＜N</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≤70</w:t>
            </w:r>
          </w:p>
        </w:tc>
        <w:tc>
          <w:tcPr>
            <w:tcW w:w="1415" w:type="dxa"/>
            <w:shd w:val="clear" w:color="auto" w:fill="auto"/>
            <w:vAlign w:val="center"/>
          </w:tcPr>
          <w:p w14:paraId="6B9CE7C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GB/T 25982</w:t>
            </w:r>
          </w:p>
        </w:tc>
      </w:tr>
      <w:tr w14:paraId="0A67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6179A05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612" w:type="dxa"/>
            <w:vMerge w:val="restart"/>
            <w:shd w:val="clear" w:color="auto" w:fill="auto"/>
            <w:vAlign w:val="center"/>
          </w:tcPr>
          <w:p w14:paraId="120908D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创新性指标</w:t>
            </w:r>
          </w:p>
        </w:tc>
        <w:tc>
          <w:tcPr>
            <w:tcW w:w="622" w:type="dxa"/>
            <w:vMerge w:val="restart"/>
            <w:shd w:val="clear" w:color="auto" w:fill="auto"/>
            <w:vAlign w:val="center"/>
          </w:tcPr>
          <w:p w14:paraId="7FA4F4C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spacing w:val="-5"/>
                <w:sz w:val="18"/>
                <w:szCs w:val="18"/>
              </w:rPr>
              <w:t>驾乘体</w:t>
            </w:r>
            <w:r>
              <w:rPr>
                <w:rFonts w:hint="eastAsia" w:ascii="宋体" w:hAnsi="宋体" w:eastAsia="宋体" w:cs="宋体"/>
                <w:sz w:val="18"/>
                <w:szCs w:val="18"/>
              </w:rPr>
              <w:t>验</w:t>
            </w:r>
          </w:p>
        </w:tc>
        <w:tc>
          <w:tcPr>
            <w:tcW w:w="1502" w:type="dxa"/>
            <w:gridSpan w:val="2"/>
            <w:shd w:val="clear" w:color="auto" w:fill="auto"/>
            <w:vAlign w:val="center"/>
          </w:tcPr>
          <w:p w14:paraId="764F338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乘坐便利性</w:t>
            </w:r>
          </w:p>
        </w:tc>
        <w:tc>
          <w:tcPr>
            <w:tcW w:w="1333" w:type="dxa"/>
            <w:shd w:val="clear" w:color="auto" w:fill="auto"/>
            <w:vAlign w:val="center"/>
          </w:tcPr>
          <w:p w14:paraId="5777EB80">
            <w:pPr>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本文件</w:t>
            </w:r>
          </w:p>
        </w:tc>
        <w:tc>
          <w:tcPr>
            <w:tcW w:w="1370" w:type="dxa"/>
            <w:shd w:val="clear" w:color="auto" w:fill="auto"/>
            <w:vAlign w:val="center"/>
          </w:tcPr>
          <w:p w14:paraId="2E926F4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S=100</w:t>
            </w:r>
          </w:p>
        </w:tc>
        <w:tc>
          <w:tcPr>
            <w:tcW w:w="1370" w:type="dxa"/>
            <w:shd w:val="clear" w:color="auto" w:fill="auto"/>
            <w:vAlign w:val="center"/>
          </w:tcPr>
          <w:p w14:paraId="42C3F89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S=75</w:t>
            </w:r>
          </w:p>
        </w:tc>
        <w:tc>
          <w:tcPr>
            <w:tcW w:w="1307" w:type="dxa"/>
            <w:shd w:val="clear" w:color="auto" w:fill="auto"/>
            <w:vAlign w:val="center"/>
          </w:tcPr>
          <w:p w14:paraId="7323C397">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w:t>
            </w:r>
          </w:p>
        </w:tc>
        <w:tc>
          <w:tcPr>
            <w:tcW w:w="1415" w:type="dxa"/>
            <w:shd w:val="clear" w:color="auto" w:fill="auto"/>
            <w:vAlign w:val="center"/>
          </w:tcPr>
          <w:p w14:paraId="3E136DCB">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附录B</w:t>
            </w:r>
          </w:p>
        </w:tc>
      </w:tr>
      <w:tr w14:paraId="42F5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4D48F85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036D33E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0F6CBAC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502" w:type="dxa"/>
            <w:gridSpan w:val="2"/>
            <w:shd w:val="clear" w:color="auto" w:fill="auto"/>
            <w:vAlign w:val="center"/>
          </w:tcPr>
          <w:p w14:paraId="5946FF7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空调制冷舒适性</w:t>
            </w:r>
          </w:p>
        </w:tc>
        <w:tc>
          <w:tcPr>
            <w:tcW w:w="1333" w:type="dxa"/>
            <w:shd w:val="clear" w:color="auto" w:fill="auto"/>
            <w:vAlign w:val="center"/>
          </w:tcPr>
          <w:p w14:paraId="13C2A25E">
            <w:pPr>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本文件</w:t>
            </w:r>
          </w:p>
        </w:tc>
        <w:tc>
          <w:tcPr>
            <w:tcW w:w="1370" w:type="dxa"/>
            <w:shd w:val="clear" w:color="auto" w:fill="auto"/>
            <w:vAlign w:val="center"/>
          </w:tcPr>
          <w:p w14:paraId="2CDB9D7B">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S≥95%</w:t>
            </w:r>
          </w:p>
        </w:tc>
        <w:tc>
          <w:tcPr>
            <w:tcW w:w="1370" w:type="dxa"/>
            <w:shd w:val="clear" w:color="auto" w:fill="auto"/>
            <w:vAlign w:val="center"/>
          </w:tcPr>
          <w:p w14:paraId="00354D6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95%＞S≥90%</w:t>
            </w:r>
          </w:p>
        </w:tc>
        <w:tc>
          <w:tcPr>
            <w:tcW w:w="1307" w:type="dxa"/>
            <w:shd w:val="clear" w:color="auto" w:fill="auto"/>
            <w:vAlign w:val="center"/>
          </w:tcPr>
          <w:p w14:paraId="17E73A78">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w:t>
            </w:r>
          </w:p>
        </w:tc>
        <w:tc>
          <w:tcPr>
            <w:tcW w:w="1415" w:type="dxa"/>
            <w:vMerge w:val="restart"/>
            <w:shd w:val="clear" w:color="auto" w:fill="auto"/>
            <w:vAlign w:val="center"/>
          </w:tcPr>
          <w:p w14:paraId="1CBABD1A">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附录C</w:t>
            </w:r>
          </w:p>
        </w:tc>
      </w:tr>
      <w:tr w14:paraId="6286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5901B10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30F0FEB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28684331">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00" w:type="dxa"/>
            <w:vMerge w:val="restart"/>
            <w:shd w:val="clear" w:color="auto" w:fill="auto"/>
            <w:vAlign w:val="center"/>
          </w:tcPr>
          <w:p w14:paraId="42E675AF">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采暖舒适性</w:t>
            </w:r>
          </w:p>
        </w:tc>
        <w:tc>
          <w:tcPr>
            <w:tcW w:w="902" w:type="dxa"/>
            <w:shd w:val="clear" w:color="auto" w:fill="auto"/>
            <w:vAlign w:val="center"/>
          </w:tcPr>
          <w:p w14:paraId="1E3D8DF9">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空调</w:t>
            </w:r>
          </w:p>
        </w:tc>
        <w:tc>
          <w:tcPr>
            <w:tcW w:w="1333" w:type="dxa"/>
            <w:shd w:val="clear" w:color="auto" w:fill="auto"/>
            <w:vAlign w:val="center"/>
          </w:tcPr>
          <w:p w14:paraId="3A7C434D">
            <w:pPr>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本文件</w:t>
            </w:r>
          </w:p>
        </w:tc>
        <w:tc>
          <w:tcPr>
            <w:tcW w:w="1370" w:type="dxa"/>
            <w:shd w:val="clear" w:color="auto" w:fill="auto"/>
            <w:vAlign w:val="center"/>
          </w:tcPr>
          <w:p w14:paraId="4C2EC381">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S≥95%</w:t>
            </w:r>
          </w:p>
        </w:tc>
        <w:tc>
          <w:tcPr>
            <w:tcW w:w="1370" w:type="dxa"/>
            <w:shd w:val="clear" w:color="auto" w:fill="auto"/>
            <w:vAlign w:val="center"/>
          </w:tcPr>
          <w:p w14:paraId="390F003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95%＞S≥90%</w:t>
            </w:r>
          </w:p>
        </w:tc>
        <w:tc>
          <w:tcPr>
            <w:tcW w:w="1307" w:type="dxa"/>
            <w:shd w:val="clear" w:color="auto" w:fill="auto"/>
            <w:vAlign w:val="center"/>
          </w:tcPr>
          <w:p w14:paraId="0F88C582">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w:t>
            </w:r>
          </w:p>
        </w:tc>
        <w:tc>
          <w:tcPr>
            <w:tcW w:w="1415" w:type="dxa"/>
            <w:vMerge w:val="continue"/>
            <w:shd w:val="clear" w:color="auto" w:fill="auto"/>
            <w:vAlign w:val="center"/>
          </w:tcPr>
          <w:p w14:paraId="0D0DB930">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p>
        </w:tc>
      </w:tr>
      <w:tr w14:paraId="39BE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4D85F8B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27A3587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40860B8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00" w:type="dxa"/>
            <w:vMerge w:val="continue"/>
            <w:shd w:val="clear" w:color="auto" w:fill="auto"/>
            <w:vAlign w:val="center"/>
          </w:tcPr>
          <w:p w14:paraId="7175E1C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902" w:type="dxa"/>
            <w:shd w:val="clear" w:color="auto" w:fill="auto"/>
            <w:vAlign w:val="center"/>
          </w:tcPr>
          <w:p w14:paraId="5263B363">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非空调</w:t>
            </w:r>
          </w:p>
        </w:tc>
        <w:tc>
          <w:tcPr>
            <w:tcW w:w="1333" w:type="dxa"/>
            <w:shd w:val="clear" w:color="auto" w:fill="auto"/>
            <w:vAlign w:val="center"/>
          </w:tcPr>
          <w:p w14:paraId="55E5AF03">
            <w:pPr>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本文件</w:t>
            </w:r>
          </w:p>
        </w:tc>
        <w:tc>
          <w:tcPr>
            <w:tcW w:w="1370" w:type="dxa"/>
            <w:shd w:val="clear" w:color="auto" w:fill="auto"/>
            <w:vAlign w:val="center"/>
          </w:tcPr>
          <w:p w14:paraId="6777DBF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S≥95%</w:t>
            </w:r>
          </w:p>
        </w:tc>
        <w:tc>
          <w:tcPr>
            <w:tcW w:w="1370" w:type="dxa"/>
            <w:shd w:val="clear" w:color="auto" w:fill="auto"/>
            <w:vAlign w:val="center"/>
          </w:tcPr>
          <w:p w14:paraId="7C3E25FC">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95%＞S≥90%</w:t>
            </w:r>
          </w:p>
        </w:tc>
        <w:tc>
          <w:tcPr>
            <w:tcW w:w="1307" w:type="dxa"/>
            <w:shd w:val="clear" w:color="auto" w:fill="auto"/>
            <w:vAlign w:val="center"/>
          </w:tcPr>
          <w:p w14:paraId="77442888">
            <w:pPr>
              <w:pStyle w:val="8"/>
              <w:kinsoku/>
              <w:wordWrap/>
              <w:overflowPunct/>
              <w:topLinePunct w:val="0"/>
              <w:bidi w:val="0"/>
              <w:spacing w:beforeAutospacing="0" w:afterAutospacing="0" w:line="276" w:lineRule="auto"/>
              <w:ind w:firstLine="0" w:firstLineChars="0"/>
              <w:jc w:val="center"/>
              <w:rPr>
                <w:rFonts w:hint="eastAsia" w:ascii="宋体" w:hAnsi="宋体" w:eastAsia="宋体" w:cs="宋体"/>
                <w:sz w:val="18"/>
                <w:szCs w:val="18"/>
              </w:rPr>
            </w:pPr>
            <w:r>
              <w:rPr>
                <w:rFonts w:hint="eastAsia" w:ascii="宋体" w:hAnsi="宋体" w:eastAsia="宋体" w:cs="宋体"/>
                <w:kern w:val="0"/>
                <w:sz w:val="18"/>
                <w:szCs w:val="18"/>
              </w:rPr>
              <w:t>--</w:t>
            </w:r>
          </w:p>
        </w:tc>
        <w:tc>
          <w:tcPr>
            <w:tcW w:w="1415" w:type="dxa"/>
            <w:vMerge w:val="continue"/>
            <w:shd w:val="clear" w:color="auto" w:fill="auto"/>
            <w:vAlign w:val="center"/>
          </w:tcPr>
          <w:p w14:paraId="0CD3F081">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p>
        </w:tc>
      </w:tr>
      <w:tr w14:paraId="7326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restart"/>
            <w:vAlign w:val="center"/>
          </w:tcPr>
          <w:p w14:paraId="5464122B">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612" w:type="dxa"/>
            <w:vMerge w:val="continue"/>
            <w:shd w:val="clear" w:color="auto" w:fill="auto"/>
            <w:vAlign w:val="center"/>
          </w:tcPr>
          <w:p w14:paraId="1E19E83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restart"/>
            <w:shd w:val="clear" w:color="auto" w:fill="auto"/>
            <w:vAlign w:val="center"/>
          </w:tcPr>
          <w:p w14:paraId="62ED8135">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spacing w:val="-4"/>
                <w:sz w:val="18"/>
                <w:szCs w:val="18"/>
              </w:rPr>
              <w:t>智能安全</w:t>
            </w:r>
          </w:p>
        </w:tc>
        <w:tc>
          <w:tcPr>
            <w:tcW w:w="1502" w:type="dxa"/>
            <w:gridSpan w:val="2"/>
            <w:shd w:val="clear" w:color="auto" w:fill="auto"/>
            <w:vAlign w:val="center"/>
          </w:tcPr>
          <w:p w14:paraId="5EF9993F">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车对车自动紧</w:t>
            </w:r>
          </w:p>
          <w:p w14:paraId="46B60455">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急制动系统性</w:t>
            </w:r>
          </w:p>
          <w:p w14:paraId="4C82AD30">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能（</w:t>
            </w:r>
            <w:r>
              <w:rPr>
                <w:rFonts w:hint="eastAsia" w:ascii="宋体" w:hAnsi="宋体" w:eastAsia="宋体" w:cs="宋体"/>
                <w:kern w:val="0"/>
                <w:sz w:val="18"/>
                <w:szCs w:val="18"/>
              </w:rPr>
              <w:t>试验车速为80km/h）</w:t>
            </w:r>
          </w:p>
        </w:tc>
        <w:tc>
          <w:tcPr>
            <w:tcW w:w="1333" w:type="dxa"/>
            <w:shd w:val="clear" w:color="auto" w:fill="auto"/>
            <w:vAlign w:val="center"/>
          </w:tcPr>
          <w:p w14:paraId="4C3AE999">
            <w:pPr>
              <w:kinsoku/>
              <w:wordWrap/>
              <w:overflowPunct/>
              <w:topLinePunct w:val="0"/>
              <w:bidi w:val="0"/>
              <w:spacing w:beforeAutospacing="0" w:afterAutospacing="0" w:line="276" w:lineRule="auto"/>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本文件</w:t>
            </w:r>
          </w:p>
        </w:tc>
        <w:tc>
          <w:tcPr>
            <w:tcW w:w="1370" w:type="dxa"/>
            <w:shd w:val="clear" w:color="auto" w:fill="auto"/>
            <w:vAlign w:val="center"/>
          </w:tcPr>
          <w:p w14:paraId="0B206049">
            <w:pPr>
              <w:widowControl/>
              <w:kinsoku/>
              <w:wordWrap/>
              <w:overflowPunct/>
              <w:topLinePunct w:val="0"/>
              <w:bidi w:val="0"/>
              <w:spacing w:beforeAutospacing="0" w:afterAutospacing="0" w:line="276" w:lineRule="auto"/>
              <w:jc w:val="center"/>
              <w:rPr>
                <w:rFonts w:hint="eastAsia" w:ascii="宋体" w:hAnsi="宋体" w:eastAsia="宋体" w:cs="宋体"/>
                <w:iCs/>
                <w:sz w:val="18"/>
                <w:szCs w:val="18"/>
              </w:rPr>
            </w:pPr>
            <w:r>
              <w:rPr>
                <w:rFonts w:hint="eastAsia" w:ascii="宋体" w:hAnsi="宋体" w:eastAsia="宋体" w:cs="宋体"/>
                <w:iCs/>
                <w:sz w:val="18"/>
                <w:szCs w:val="18"/>
              </w:rPr>
              <w:t>ΔV≥45</w:t>
            </w:r>
          </w:p>
        </w:tc>
        <w:tc>
          <w:tcPr>
            <w:tcW w:w="1370" w:type="dxa"/>
            <w:shd w:val="clear" w:color="auto" w:fill="auto"/>
            <w:vAlign w:val="center"/>
          </w:tcPr>
          <w:p w14:paraId="741A91DB">
            <w:pPr>
              <w:widowControl/>
              <w:kinsoku/>
              <w:wordWrap/>
              <w:overflowPunct/>
              <w:topLinePunct w:val="0"/>
              <w:bidi w:val="0"/>
              <w:spacing w:beforeAutospacing="0" w:afterAutospacing="0" w:line="276" w:lineRule="auto"/>
              <w:jc w:val="center"/>
              <w:rPr>
                <w:rFonts w:hint="eastAsia" w:ascii="宋体" w:hAnsi="宋体" w:eastAsia="宋体" w:cs="宋体"/>
                <w:iCs/>
                <w:sz w:val="18"/>
                <w:szCs w:val="18"/>
              </w:rPr>
            </w:pPr>
            <w:r>
              <w:rPr>
                <w:rFonts w:hint="eastAsia" w:ascii="宋体" w:hAnsi="宋体" w:eastAsia="宋体" w:cs="宋体"/>
                <w:kern w:val="0"/>
                <w:sz w:val="18"/>
                <w:szCs w:val="18"/>
              </w:rPr>
              <w:t>45＞</w:t>
            </w:r>
            <w:r>
              <w:rPr>
                <w:rFonts w:hint="eastAsia" w:ascii="宋体" w:hAnsi="宋体" w:eastAsia="宋体" w:cs="宋体"/>
                <w:iCs/>
                <w:sz w:val="18"/>
                <w:szCs w:val="18"/>
              </w:rPr>
              <w:t>ΔV≥43</w:t>
            </w:r>
          </w:p>
        </w:tc>
        <w:tc>
          <w:tcPr>
            <w:tcW w:w="1307" w:type="dxa"/>
            <w:shd w:val="clear" w:color="auto" w:fill="auto"/>
            <w:vAlign w:val="center"/>
          </w:tcPr>
          <w:p w14:paraId="3A5A6762">
            <w:pPr>
              <w:widowControl/>
              <w:kinsoku/>
              <w:wordWrap/>
              <w:overflowPunct/>
              <w:topLinePunct w:val="0"/>
              <w:bidi w:val="0"/>
              <w:spacing w:beforeAutospacing="0" w:afterAutospacing="0" w:line="276" w:lineRule="auto"/>
              <w:jc w:val="center"/>
              <w:rPr>
                <w:rFonts w:hint="eastAsia" w:ascii="宋体" w:hAnsi="宋体" w:eastAsia="宋体" w:cs="宋体"/>
                <w:iCs/>
                <w:sz w:val="18"/>
                <w:szCs w:val="18"/>
              </w:rPr>
            </w:pPr>
            <w:r>
              <w:rPr>
                <w:rFonts w:hint="eastAsia" w:ascii="宋体" w:hAnsi="宋体" w:eastAsia="宋体" w:cs="宋体"/>
                <w:kern w:val="0"/>
                <w:sz w:val="18"/>
                <w:szCs w:val="18"/>
              </w:rPr>
              <w:t>--</w:t>
            </w:r>
          </w:p>
        </w:tc>
        <w:tc>
          <w:tcPr>
            <w:tcW w:w="1415" w:type="dxa"/>
            <w:shd w:val="clear" w:color="auto" w:fill="auto"/>
            <w:vAlign w:val="center"/>
          </w:tcPr>
          <w:p w14:paraId="393CF8F0">
            <w:pPr>
              <w:widowControl/>
              <w:kinsoku/>
              <w:wordWrap/>
              <w:overflowPunct/>
              <w:topLinePunct w:val="0"/>
              <w:bidi w:val="0"/>
              <w:spacing w:beforeAutospacing="0" w:afterAutospacing="0" w:line="276" w:lineRule="auto"/>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附录D</w:t>
            </w:r>
          </w:p>
        </w:tc>
      </w:tr>
      <w:tr w14:paraId="2636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34F7B80A">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1E5C160D">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4DC6AFF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00" w:type="dxa"/>
            <w:vMerge w:val="restart"/>
            <w:shd w:val="clear" w:color="auto" w:fill="auto"/>
            <w:vAlign w:val="center"/>
          </w:tcPr>
          <w:p w14:paraId="5A5955E5">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驾驶员疲劳监测</w:t>
            </w:r>
          </w:p>
        </w:tc>
        <w:tc>
          <w:tcPr>
            <w:tcW w:w="902" w:type="dxa"/>
            <w:shd w:val="clear" w:color="auto" w:fill="auto"/>
            <w:vAlign w:val="center"/>
          </w:tcPr>
          <w:p w14:paraId="304110C1">
            <w:pPr>
              <w:kinsoku/>
              <w:wordWrap/>
              <w:overflowPunct/>
              <w:topLinePunct w:val="0"/>
              <w:bidi w:val="0"/>
              <w:snapToGrid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平均灵敏度</w:t>
            </w:r>
          </w:p>
        </w:tc>
        <w:tc>
          <w:tcPr>
            <w:tcW w:w="1333" w:type="dxa"/>
            <w:vMerge w:val="restart"/>
            <w:shd w:val="clear" w:color="auto" w:fill="auto"/>
            <w:vAlign w:val="center"/>
          </w:tcPr>
          <w:p w14:paraId="4B2C786E">
            <w:pPr>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本文件</w:t>
            </w:r>
          </w:p>
        </w:tc>
        <w:tc>
          <w:tcPr>
            <w:tcW w:w="1370" w:type="dxa"/>
            <w:shd w:val="clear" w:color="auto" w:fill="auto"/>
            <w:vAlign w:val="center"/>
          </w:tcPr>
          <w:p w14:paraId="0414F645">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平均灵敏度≥80%</w:t>
            </w:r>
          </w:p>
        </w:tc>
        <w:tc>
          <w:tcPr>
            <w:tcW w:w="1370" w:type="dxa"/>
            <w:shd w:val="clear" w:color="auto" w:fill="auto"/>
            <w:vAlign w:val="center"/>
          </w:tcPr>
          <w:p w14:paraId="33387488">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80%＞平均灵敏度≥60%</w:t>
            </w:r>
          </w:p>
        </w:tc>
        <w:tc>
          <w:tcPr>
            <w:tcW w:w="1307" w:type="dxa"/>
            <w:shd w:val="clear" w:color="auto" w:fill="auto"/>
            <w:vAlign w:val="center"/>
          </w:tcPr>
          <w:p w14:paraId="17DB597B">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415" w:type="dxa"/>
            <w:vMerge w:val="restart"/>
            <w:shd w:val="clear" w:color="auto" w:fill="auto"/>
            <w:vAlign w:val="center"/>
          </w:tcPr>
          <w:p w14:paraId="55046F84">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lang w:eastAsia="zh-CN"/>
              </w:rPr>
            </w:pPr>
            <w:r>
              <w:rPr>
                <w:rFonts w:hint="eastAsia" w:ascii="宋体" w:hAnsi="宋体" w:eastAsia="宋体" w:cs="宋体"/>
                <w:sz w:val="18"/>
                <w:szCs w:val="18"/>
              </w:rPr>
              <w:t>附录</w:t>
            </w:r>
            <w:r>
              <w:rPr>
                <w:rFonts w:hint="eastAsia" w:ascii="宋体" w:hAnsi="宋体" w:eastAsia="宋体" w:cs="宋体"/>
                <w:sz w:val="18"/>
                <w:szCs w:val="18"/>
                <w:lang w:val="en-US" w:eastAsia="zh-CN"/>
              </w:rPr>
              <w:t>E</w:t>
            </w:r>
          </w:p>
        </w:tc>
      </w:tr>
      <w:tr w14:paraId="5335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dxa"/>
            <w:vMerge w:val="continue"/>
            <w:vAlign w:val="center"/>
          </w:tcPr>
          <w:p w14:paraId="26D83038">
            <w:pPr>
              <w:widowControl/>
              <w:kinsoku/>
              <w:wordWrap/>
              <w:overflowPunct/>
              <w:topLinePunct w:val="0"/>
              <w:bidi w:val="0"/>
              <w:spacing w:beforeAutospacing="0" w:afterAutospacing="0" w:line="276" w:lineRule="auto"/>
              <w:jc w:val="center"/>
              <w:rPr>
                <w:rFonts w:hint="eastAsia" w:ascii="宋体" w:hAnsi="宋体" w:eastAsia="宋体" w:cs="宋体"/>
              </w:rPr>
            </w:pPr>
          </w:p>
        </w:tc>
        <w:tc>
          <w:tcPr>
            <w:tcW w:w="612" w:type="dxa"/>
            <w:vMerge w:val="continue"/>
            <w:shd w:val="clear" w:color="auto" w:fill="auto"/>
            <w:vAlign w:val="center"/>
          </w:tcPr>
          <w:p w14:paraId="4EBEA2B8">
            <w:pPr>
              <w:widowControl/>
              <w:kinsoku/>
              <w:wordWrap/>
              <w:overflowPunct/>
              <w:topLinePunct w:val="0"/>
              <w:bidi w:val="0"/>
              <w:spacing w:beforeAutospacing="0" w:afterAutospacing="0" w:line="276" w:lineRule="auto"/>
              <w:jc w:val="center"/>
              <w:rPr>
                <w:rFonts w:hint="eastAsia" w:ascii="宋体" w:hAnsi="宋体" w:eastAsia="宋体" w:cs="宋体"/>
              </w:rPr>
            </w:pPr>
          </w:p>
        </w:tc>
        <w:tc>
          <w:tcPr>
            <w:tcW w:w="622" w:type="dxa"/>
            <w:vMerge w:val="continue"/>
            <w:shd w:val="clear" w:color="auto" w:fill="auto"/>
            <w:vAlign w:val="center"/>
          </w:tcPr>
          <w:p w14:paraId="02754689">
            <w:pPr>
              <w:widowControl/>
              <w:kinsoku/>
              <w:wordWrap/>
              <w:overflowPunct/>
              <w:topLinePunct w:val="0"/>
              <w:bidi w:val="0"/>
              <w:spacing w:beforeAutospacing="0" w:afterAutospacing="0" w:line="276" w:lineRule="auto"/>
              <w:jc w:val="center"/>
              <w:rPr>
                <w:rFonts w:hint="eastAsia" w:ascii="宋体" w:hAnsi="宋体" w:eastAsia="宋体" w:cs="宋体"/>
              </w:rPr>
            </w:pPr>
          </w:p>
        </w:tc>
        <w:tc>
          <w:tcPr>
            <w:tcW w:w="600" w:type="dxa"/>
            <w:vMerge w:val="continue"/>
            <w:shd w:val="clear" w:color="auto" w:fill="auto"/>
            <w:vAlign w:val="center"/>
          </w:tcPr>
          <w:p w14:paraId="681FB981">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p>
        </w:tc>
        <w:tc>
          <w:tcPr>
            <w:tcW w:w="902" w:type="dxa"/>
            <w:shd w:val="clear" w:color="auto" w:fill="auto"/>
            <w:vAlign w:val="center"/>
          </w:tcPr>
          <w:p w14:paraId="241C6B80">
            <w:pPr>
              <w:kinsoku/>
              <w:wordWrap/>
              <w:overflowPunct/>
              <w:topLinePunct w:val="0"/>
              <w:bidi w:val="0"/>
              <w:snapToGrid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灵敏度结果90%置信区间</w:t>
            </w:r>
          </w:p>
        </w:tc>
        <w:tc>
          <w:tcPr>
            <w:tcW w:w="1333" w:type="dxa"/>
            <w:vMerge w:val="continue"/>
            <w:shd w:val="clear" w:color="auto" w:fill="auto"/>
            <w:vAlign w:val="center"/>
          </w:tcPr>
          <w:p w14:paraId="7154CB9D">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p>
        </w:tc>
        <w:tc>
          <w:tcPr>
            <w:tcW w:w="1370" w:type="dxa"/>
            <w:shd w:val="clear" w:color="auto" w:fill="auto"/>
            <w:vAlign w:val="center"/>
          </w:tcPr>
          <w:p w14:paraId="5D143620">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置信区间≥70%</w:t>
            </w:r>
          </w:p>
        </w:tc>
        <w:tc>
          <w:tcPr>
            <w:tcW w:w="1370" w:type="dxa"/>
            <w:shd w:val="clear" w:color="auto" w:fill="auto"/>
            <w:vAlign w:val="center"/>
          </w:tcPr>
          <w:p w14:paraId="6B6D5FA2">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70%＞置信区间≥50%</w:t>
            </w:r>
          </w:p>
        </w:tc>
        <w:tc>
          <w:tcPr>
            <w:tcW w:w="1307" w:type="dxa"/>
            <w:shd w:val="clear" w:color="auto" w:fill="auto"/>
            <w:vAlign w:val="center"/>
          </w:tcPr>
          <w:p w14:paraId="5DFACD46">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415" w:type="dxa"/>
            <w:vMerge w:val="continue"/>
            <w:shd w:val="clear" w:color="auto" w:fill="auto"/>
            <w:vAlign w:val="center"/>
          </w:tcPr>
          <w:p w14:paraId="79A1E75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r>
      <w:tr w14:paraId="7626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35D66A86">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7DC17323">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016B0B77">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00" w:type="dxa"/>
            <w:vMerge w:val="restart"/>
            <w:shd w:val="clear" w:color="auto" w:fill="auto"/>
            <w:vAlign w:val="center"/>
          </w:tcPr>
          <w:p w14:paraId="02A3908D">
            <w:pPr>
              <w:kinsoku/>
              <w:wordWrap/>
              <w:overflowPunct/>
              <w:topLinePunct w:val="0"/>
              <w:bidi w:val="0"/>
              <w:snapToGrid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驾驶员注意力监测</w:t>
            </w:r>
          </w:p>
        </w:tc>
        <w:tc>
          <w:tcPr>
            <w:tcW w:w="902" w:type="dxa"/>
            <w:shd w:val="clear" w:color="auto" w:fill="auto"/>
            <w:vAlign w:val="center"/>
          </w:tcPr>
          <w:p w14:paraId="57ED2D2A">
            <w:pPr>
              <w:kinsoku/>
              <w:wordWrap/>
              <w:overflowPunct/>
              <w:topLinePunct w:val="0"/>
              <w:bidi w:val="0"/>
              <w:snapToGrid w:val="0"/>
              <w:spacing w:beforeAutospacing="0" w:afterAutospacing="0" w:line="276" w:lineRule="auto"/>
              <w:jc w:val="center"/>
              <w:rPr>
                <w:rFonts w:hint="default" w:ascii="宋体" w:hAnsi="宋体" w:eastAsia="宋体" w:cs="宋体"/>
                <w:sz w:val="18"/>
                <w:szCs w:val="18"/>
                <w:lang w:val="en-US" w:eastAsia="zh-CN"/>
              </w:rPr>
            </w:pPr>
            <w:r>
              <w:rPr>
                <w:rFonts w:hint="eastAsia" w:ascii="宋体" w:hAnsi="宋体" w:eastAsia="宋体" w:cs="宋体"/>
                <w:sz w:val="18"/>
                <w:szCs w:val="18"/>
              </w:rPr>
              <w:t>检出率</w:t>
            </w:r>
            <w:r>
              <w:rPr>
                <w:rFonts w:hint="eastAsia" w:ascii="宋体" w:hAnsi="宋体" w:eastAsia="宋体" w:cs="宋体"/>
                <w:sz w:val="18"/>
                <w:szCs w:val="18"/>
                <w:lang w:val="en-US" w:eastAsia="zh-CN"/>
              </w:rPr>
              <w:t>(试验工况：驾驶员闭眼、头部姿态异常、接打手持电话)</w:t>
            </w:r>
          </w:p>
        </w:tc>
        <w:tc>
          <w:tcPr>
            <w:tcW w:w="1333" w:type="dxa"/>
            <w:vMerge w:val="restart"/>
            <w:shd w:val="clear" w:color="auto" w:fill="auto"/>
            <w:vAlign w:val="center"/>
          </w:tcPr>
          <w:p w14:paraId="40EA9596">
            <w:pPr>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sz w:val="18"/>
                <w:szCs w:val="18"/>
              </w:rPr>
              <w:t>GB/T 41797</w:t>
            </w:r>
          </w:p>
        </w:tc>
        <w:tc>
          <w:tcPr>
            <w:tcW w:w="1370" w:type="dxa"/>
            <w:shd w:val="clear" w:color="auto" w:fill="auto"/>
            <w:vAlign w:val="center"/>
          </w:tcPr>
          <w:p w14:paraId="02796740">
            <w:pPr>
              <w:kinsoku/>
              <w:wordWrap/>
              <w:overflowPunct/>
              <w:topLinePunct w:val="0"/>
              <w:bidi w:val="0"/>
              <w:spacing w:beforeAutospacing="0" w:afterAutospacing="0" w:line="276" w:lineRule="auto"/>
              <w:jc w:val="center"/>
              <w:rPr>
                <w:rFonts w:hint="eastAsia" w:ascii="宋体" w:hAnsi="宋体" w:eastAsia="宋体" w:cs="宋体"/>
                <w:kern w:val="0"/>
                <w:sz w:val="18"/>
                <w:szCs w:val="18"/>
              </w:rPr>
            </w:pPr>
            <w:r>
              <w:rPr>
                <w:rFonts w:hint="eastAsia" w:ascii="宋体" w:hAnsi="宋体" w:eastAsia="宋体" w:cs="宋体"/>
                <w:sz w:val="18"/>
                <w:szCs w:val="18"/>
              </w:rPr>
              <w:t>检出率＝100%</w:t>
            </w:r>
          </w:p>
        </w:tc>
        <w:tc>
          <w:tcPr>
            <w:tcW w:w="1370" w:type="dxa"/>
            <w:shd w:val="clear" w:color="auto" w:fill="auto"/>
            <w:vAlign w:val="center"/>
          </w:tcPr>
          <w:p w14:paraId="067AA7DE">
            <w:pPr>
              <w:widowControl/>
              <w:kinsoku/>
              <w:wordWrap/>
              <w:overflowPunct/>
              <w:topLinePunct w:val="0"/>
              <w:bidi w:val="0"/>
              <w:spacing w:beforeAutospacing="0" w:afterAutospacing="0" w:line="276" w:lineRule="auto"/>
              <w:jc w:val="center"/>
              <w:rPr>
                <w:rFonts w:hint="eastAsia" w:ascii="宋体" w:hAnsi="宋体" w:eastAsia="宋体" w:cs="宋体"/>
                <w:bCs/>
                <w:sz w:val="18"/>
                <w:szCs w:val="18"/>
              </w:rPr>
            </w:pPr>
            <w:r>
              <w:rPr>
                <w:rFonts w:hint="eastAsia" w:ascii="宋体" w:hAnsi="宋体" w:eastAsia="宋体" w:cs="宋体"/>
                <w:sz w:val="18"/>
                <w:szCs w:val="18"/>
              </w:rPr>
              <w:t>100%＞检出率≥98%</w:t>
            </w:r>
          </w:p>
        </w:tc>
        <w:tc>
          <w:tcPr>
            <w:tcW w:w="1307" w:type="dxa"/>
            <w:shd w:val="clear" w:color="auto" w:fill="auto"/>
            <w:vAlign w:val="center"/>
          </w:tcPr>
          <w:p w14:paraId="2A86AA2C">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415" w:type="dxa"/>
            <w:vMerge w:val="restart"/>
            <w:shd w:val="clear" w:color="auto" w:fill="auto"/>
            <w:vAlign w:val="center"/>
          </w:tcPr>
          <w:p w14:paraId="0B3B1F23">
            <w:pPr>
              <w:widowControl/>
              <w:kinsoku/>
              <w:wordWrap/>
              <w:overflowPunct/>
              <w:topLinePunct w:val="0"/>
              <w:bidi w:val="0"/>
              <w:spacing w:beforeAutospacing="0" w:afterAutospacing="0" w:line="276" w:lineRule="auto"/>
              <w:jc w:val="center"/>
              <w:rPr>
                <w:rFonts w:hint="eastAsia" w:ascii="宋体" w:hAnsi="宋体" w:eastAsia="宋体" w:cs="宋体"/>
                <w:color w:val="C00000"/>
                <w:sz w:val="18"/>
                <w:szCs w:val="18"/>
                <w:highlight w:val="yellow"/>
              </w:rPr>
            </w:pPr>
            <w:r>
              <w:rPr>
                <w:rFonts w:hint="eastAsia" w:ascii="宋体" w:hAnsi="宋体" w:eastAsia="宋体" w:cs="宋体"/>
                <w:sz w:val="18"/>
                <w:szCs w:val="18"/>
              </w:rPr>
              <w:t>GB/T 41797</w:t>
            </w:r>
          </w:p>
        </w:tc>
      </w:tr>
      <w:tr w14:paraId="4D70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dxa"/>
            <w:vMerge w:val="continue"/>
            <w:vAlign w:val="center"/>
          </w:tcPr>
          <w:p w14:paraId="344D6978">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12" w:type="dxa"/>
            <w:vMerge w:val="continue"/>
            <w:shd w:val="clear" w:color="auto" w:fill="auto"/>
            <w:vAlign w:val="center"/>
          </w:tcPr>
          <w:p w14:paraId="18D3E202">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22" w:type="dxa"/>
            <w:vMerge w:val="continue"/>
            <w:shd w:val="clear" w:color="auto" w:fill="auto"/>
            <w:vAlign w:val="center"/>
          </w:tcPr>
          <w:p w14:paraId="13923029">
            <w:pPr>
              <w:widowControl/>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600" w:type="dxa"/>
            <w:vMerge w:val="continue"/>
            <w:shd w:val="clear" w:color="auto" w:fill="auto"/>
            <w:vAlign w:val="center"/>
          </w:tcPr>
          <w:p w14:paraId="6A4E48AB">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p>
        </w:tc>
        <w:tc>
          <w:tcPr>
            <w:tcW w:w="902" w:type="dxa"/>
            <w:shd w:val="clear" w:color="auto" w:fill="auto"/>
            <w:vAlign w:val="center"/>
          </w:tcPr>
          <w:p w14:paraId="5846B5AA">
            <w:pPr>
              <w:kinsoku/>
              <w:wordWrap/>
              <w:overflowPunct/>
              <w:topLinePunct w:val="0"/>
              <w:bidi w:val="0"/>
              <w:snapToGrid w:val="0"/>
              <w:spacing w:beforeAutospacing="0" w:afterAutospacing="0" w:line="276" w:lineRule="auto"/>
              <w:jc w:val="center"/>
              <w:rPr>
                <w:rFonts w:hint="eastAsia" w:ascii="宋体" w:hAnsi="宋体" w:eastAsia="宋体" w:cs="宋体"/>
                <w:color w:val="C00000"/>
                <w:sz w:val="18"/>
                <w:szCs w:val="18"/>
              </w:rPr>
            </w:pPr>
            <w:r>
              <w:rPr>
                <w:rFonts w:hint="eastAsia" w:ascii="宋体" w:hAnsi="宋体" w:eastAsia="宋体" w:cs="宋体"/>
                <w:sz w:val="18"/>
                <w:szCs w:val="18"/>
              </w:rPr>
              <w:t>准确率</w:t>
            </w:r>
            <w:r>
              <w:rPr>
                <w:rFonts w:hint="eastAsia" w:ascii="宋体" w:hAnsi="宋体" w:eastAsia="宋体" w:cs="宋体"/>
                <w:sz w:val="18"/>
                <w:szCs w:val="18"/>
                <w:lang w:val="en-US" w:eastAsia="zh-CN"/>
              </w:rPr>
              <w:t>(试验工况：驾驶员闭眼、头部姿态异常、接打手持电话)</w:t>
            </w:r>
          </w:p>
        </w:tc>
        <w:tc>
          <w:tcPr>
            <w:tcW w:w="1333" w:type="dxa"/>
            <w:vMerge w:val="continue"/>
            <w:shd w:val="clear" w:color="auto" w:fill="auto"/>
            <w:vAlign w:val="center"/>
          </w:tcPr>
          <w:p w14:paraId="2BB42A07">
            <w:pPr>
              <w:kinsoku/>
              <w:wordWrap/>
              <w:overflowPunct/>
              <w:topLinePunct w:val="0"/>
              <w:bidi w:val="0"/>
              <w:spacing w:beforeAutospacing="0" w:afterAutospacing="0" w:line="276" w:lineRule="auto"/>
              <w:jc w:val="center"/>
              <w:rPr>
                <w:rFonts w:hint="eastAsia" w:ascii="宋体" w:hAnsi="宋体" w:eastAsia="宋体" w:cs="宋体"/>
                <w:kern w:val="0"/>
                <w:sz w:val="18"/>
                <w:szCs w:val="18"/>
              </w:rPr>
            </w:pPr>
          </w:p>
        </w:tc>
        <w:tc>
          <w:tcPr>
            <w:tcW w:w="1370" w:type="dxa"/>
            <w:shd w:val="clear" w:color="auto" w:fill="auto"/>
            <w:vAlign w:val="center"/>
          </w:tcPr>
          <w:p w14:paraId="39BD1E44">
            <w:pPr>
              <w:kinsoku/>
              <w:wordWrap/>
              <w:overflowPunct/>
              <w:topLinePunct w:val="0"/>
              <w:bidi w:val="0"/>
              <w:spacing w:beforeAutospacing="0" w:afterAutospacing="0" w:line="276" w:lineRule="auto"/>
              <w:jc w:val="center"/>
              <w:rPr>
                <w:rFonts w:hint="eastAsia" w:ascii="宋体" w:hAnsi="宋体" w:eastAsia="宋体" w:cs="宋体"/>
                <w:bCs/>
                <w:sz w:val="18"/>
                <w:szCs w:val="18"/>
              </w:rPr>
            </w:pPr>
            <w:r>
              <w:rPr>
                <w:rFonts w:hint="eastAsia" w:ascii="宋体" w:hAnsi="宋体" w:eastAsia="宋体" w:cs="宋体"/>
                <w:sz w:val="18"/>
                <w:szCs w:val="18"/>
              </w:rPr>
              <w:t>准确率＝100%</w:t>
            </w:r>
          </w:p>
        </w:tc>
        <w:tc>
          <w:tcPr>
            <w:tcW w:w="1370" w:type="dxa"/>
            <w:shd w:val="clear" w:color="auto" w:fill="auto"/>
            <w:vAlign w:val="center"/>
          </w:tcPr>
          <w:p w14:paraId="273EFABC">
            <w:pPr>
              <w:kinsoku/>
              <w:wordWrap/>
              <w:overflowPunct/>
              <w:topLinePunct w:val="0"/>
              <w:bidi w:val="0"/>
              <w:spacing w:beforeAutospacing="0" w:afterAutospacing="0" w:line="276" w:lineRule="auto"/>
              <w:jc w:val="center"/>
              <w:rPr>
                <w:rFonts w:hint="eastAsia" w:ascii="宋体" w:hAnsi="宋体" w:eastAsia="宋体" w:cs="宋体"/>
                <w:bCs/>
                <w:sz w:val="18"/>
                <w:szCs w:val="18"/>
              </w:rPr>
            </w:pPr>
            <w:r>
              <w:rPr>
                <w:rFonts w:hint="eastAsia" w:ascii="宋体" w:hAnsi="宋体" w:eastAsia="宋体" w:cs="宋体"/>
                <w:sz w:val="18"/>
                <w:szCs w:val="18"/>
              </w:rPr>
              <w:t>100%＞准确率≥98%</w:t>
            </w:r>
          </w:p>
        </w:tc>
        <w:tc>
          <w:tcPr>
            <w:tcW w:w="1307" w:type="dxa"/>
            <w:shd w:val="clear" w:color="auto" w:fill="auto"/>
            <w:vAlign w:val="center"/>
          </w:tcPr>
          <w:p w14:paraId="3625C495">
            <w:pPr>
              <w:widowControl/>
              <w:kinsoku/>
              <w:wordWrap/>
              <w:overflowPunct/>
              <w:topLinePunct w:val="0"/>
              <w:bidi w:val="0"/>
              <w:spacing w:beforeAutospacing="0" w:afterAutospacing="0" w:line="276" w:lineRule="auto"/>
              <w:jc w:val="center"/>
              <w:rPr>
                <w:rFonts w:hint="eastAsia" w:ascii="宋体" w:hAnsi="宋体" w:eastAsia="宋体" w:cs="宋体"/>
                <w:sz w:val="18"/>
                <w:szCs w:val="18"/>
              </w:rPr>
            </w:pPr>
            <w:r>
              <w:rPr>
                <w:rFonts w:hint="eastAsia" w:ascii="宋体" w:hAnsi="宋体" w:eastAsia="宋体" w:cs="宋体"/>
                <w:sz w:val="18"/>
                <w:szCs w:val="18"/>
              </w:rPr>
              <w:t>--</w:t>
            </w:r>
          </w:p>
        </w:tc>
        <w:tc>
          <w:tcPr>
            <w:tcW w:w="1415" w:type="dxa"/>
            <w:vMerge w:val="continue"/>
            <w:shd w:val="clear" w:color="auto" w:fill="auto"/>
            <w:vAlign w:val="center"/>
          </w:tcPr>
          <w:p w14:paraId="61F34A24">
            <w:pPr>
              <w:widowControl/>
              <w:kinsoku/>
              <w:wordWrap/>
              <w:overflowPunct/>
              <w:topLinePunct w:val="0"/>
              <w:bidi w:val="0"/>
              <w:spacing w:beforeAutospacing="0" w:afterAutospacing="0" w:line="276" w:lineRule="auto"/>
              <w:jc w:val="center"/>
              <w:rPr>
                <w:rFonts w:hint="eastAsia" w:ascii="宋体" w:hAnsi="宋体" w:eastAsia="宋体" w:cs="宋体"/>
                <w:color w:val="C00000"/>
                <w:sz w:val="18"/>
                <w:szCs w:val="18"/>
                <w:highlight w:val="yellow"/>
              </w:rPr>
            </w:pPr>
          </w:p>
        </w:tc>
      </w:tr>
    </w:tbl>
    <w:p w14:paraId="31457563">
      <w:pPr>
        <w:rPr>
          <w:rFonts w:hint="eastAsia" w:ascii="黑体" w:hAnsi="黑体" w:eastAsia="黑体" w:cs="黑体"/>
          <w:color w:val="auto"/>
          <w:sz w:val="24"/>
          <w:highlight w:val="none"/>
        </w:rPr>
      </w:pPr>
    </w:p>
    <w:p w14:paraId="29C3350B">
      <w:pPr>
        <w:rPr>
          <w:rFonts w:ascii="黑体" w:hAnsi="黑体" w:eastAsia="黑体" w:cs="黑体"/>
          <w:color w:val="auto"/>
          <w:sz w:val="24"/>
          <w:highlight w:val="none"/>
        </w:rPr>
      </w:pPr>
      <w:r>
        <w:rPr>
          <w:rFonts w:hint="eastAsia" w:ascii="黑体" w:hAnsi="黑体" w:eastAsia="黑体" w:cs="黑体"/>
          <w:color w:val="auto"/>
          <w:sz w:val="24"/>
          <w:highlight w:val="none"/>
        </w:rPr>
        <w:t>五、与现行法律、法规和政策及相关标准的协调性</w:t>
      </w:r>
    </w:p>
    <w:p w14:paraId="61F9DDFC">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本标准与现有的法律、法规和强制性国家标准无冲突。</w:t>
      </w:r>
    </w:p>
    <w:p w14:paraId="777670FB">
      <w:pPr>
        <w:ind w:firstLine="420" w:firstLineChars="200"/>
        <w:rPr>
          <w:rFonts w:ascii="仿宋" w:hAnsi="仿宋" w:eastAsia="仿宋" w:cs="仿宋"/>
          <w:color w:val="auto"/>
          <w:szCs w:val="21"/>
          <w:highlight w:val="none"/>
        </w:rPr>
      </w:pPr>
    </w:p>
    <w:p w14:paraId="703938C0">
      <w:pPr>
        <w:rPr>
          <w:rFonts w:ascii="黑体" w:hAnsi="黑体" w:eastAsia="黑体" w:cs="黑体"/>
          <w:color w:val="auto"/>
          <w:sz w:val="24"/>
          <w:highlight w:val="none"/>
        </w:rPr>
      </w:pPr>
      <w:r>
        <w:rPr>
          <w:rFonts w:hint="eastAsia" w:ascii="黑体" w:hAnsi="黑体" w:eastAsia="黑体" w:cs="黑体"/>
          <w:color w:val="auto"/>
          <w:sz w:val="24"/>
          <w:highlight w:val="none"/>
        </w:rPr>
        <w:t>六、贯彻标准的要求和措施建议</w:t>
      </w:r>
    </w:p>
    <w:p w14:paraId="6AC7DE2F">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建议标准发布后组织标准宣讲，促进标准顺利实施。</w:t>
      </w:r>
    </w:p>
    <w:p w14:paraId="5E24C511">
      <w:pPr>
        <w:ind w:firstLine="420" w:firstLineChars="200"/>
        <w:rPr>
          <w:rFonts w:ascii="仿宋" w:hAnsi="仿宋" w:eastAsia="仿宋" w:cs="仿宋"/>
          <w:color w:val="auto"/>
          <w:szCs w:val="21"/>
          <w:highlight w:val="none"/>
        </w:rPr>
      </w:pPr>
    </w:p>
    <w:p w14:paraId="2D1B5121">
      <w:pPr>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七、</w:t>
      </w:r>
      <w:r>
        <w:rPr>
          <w:rFonts w:hint="eastAsia" w:ascii="黑体" w:hAnsi="黑体" w:eastAsia="黑体" w:cs="黑体"/>
          <w:color w:val="auto"/>
          <w:sz w:val="24"/>
          <w:highlight w:val="none"/>
        </w:rPr>
        <w:t>其他需要说明的事项</w:t>
      </w:r>
    </w:p>
    <w:p w14:paraId="6FD26532">
      <w:pPr>
        <w:ind w:firstLine="560" w:firstLineChars="200"/>
        <w:rPr>
          <w:rFonts w:ascii="宋体" w:hAnsi="宋体" w:eastAsia="宋体"/>
          <w:sz w:val="28"/>
          <w:szCs w:val="28"/>
        </w:rPr>
      </w:pPr>
      <w:r>
        <w:rPr>
          <w:rFonts w:hint="eastAsia" w:ascii="宋体" w:hAnsi="宋体" w:eastAsia="宋体"/>
          <w:sz w:val="28"/>
          <w:szCs w:val="28"/>
        </w:rPr>
        <w:t>无。</w:t>
      </w:r>
    </w:p>
    <w:p w14:paraId="7BD4AB71">
      <w:pPr>
        <w:ind w:firstLine="840" w:firstLineChars="400"/>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6819F"/>
    <w:multiLevelType w:val="singleLevel"/>
    <w:tmpl w:val="A116819F"/>
    <w:lvl w:ilvl="0" w:tentative="0">
      <w:start w:val="1"/>
      <w:numFmt w:val="decimal"/>
      <w:suff w:val="nothing"/>
      <w:lvlText w:val="（%1）"/>
      <w:lvlJc w:val="left"/>
    </w:lvl>
  </w:abstractNum>
  <w:abstractNum w:abstractNumId="1">
    <w:nsid w:val="BC1DBF62"/>
    <w:multiLevelType w:val="singleLevel"/>
    <w:tmpl w:val="BC1DBF62"/>
    <w:lvl w:ilvl="0" w:tentative="0">
      <w:start w:val="1"/>
      <w:numFmt w:val="decimal"/>
      <w:suff w:val="nothing"/>
      <w:lvlText w:val="%1、"/>
      <w:lvlJc w:val="left"/>
      <w:pPr>
        <w:ind w:left="480" w:leftChars="0" w:firstLine="0" w:firstLineChars="0"/>
      </w:pPr>
    </w:lvl>
  </w:abstractNum>
  <w:abstractNum w:abstractNumId="2">
    <w:nsid w:val="C760A38F"/>
    <w:multiLevelType w:val="singleLevel"/>
    <w:tmpl w:val="C760A38F"/>
    <w:lvl w:ilvl="0" w:tentative="0">
      <w:start w:val="1"/>
      <w:numFmt w:val="chineseCounting"/>
      <w:suff w:val="nothing"/>
      <w:lvlText w:val="%1、"/>
      <w:lvlJc w:val="left"/>
      <w:rPr>
        <w:rFonts w:hint="eastAsia"/>
      </w:rPr>
    </w:lvl>
  </w:abstractNum>
  <w:abstractNum w:abstractNumId="3">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4">
    <w:nsid w:val="2C41CFF1"/>
    <w:multiLevelType w:val="singleLevel"/>
    <w:tmpl w:val="2C41CFF1"/>
    <w:lvl w:ilvl="0" w:tentative="0">
      <w:start w:val="1"/>
      <w:numFmt w:val="decimal"/>
      <w:suff w:val="nothing"/>
      <w:lvlText w:val="%1）"/>
      <w:lvlJc w:val="left"/>
    </w:lvl>
  </w:abstractNum>
  <w:abstractNum w:abstractNumId="5">
    <w:nsid w:val="6C77BB41"/>
    <w:multiLevelType w:val="singleLevel"/>
    <w:tmpl w:val="6C77BB41"/>
    <w:lvl w:ilvl="0" w:tentative="0">
      <w:start w:val="1"/>
      <w:numFmt w:val="decimal"/>
      <w:suff w:val="nothing"/>
      <w:lvlText w:val="%1、"/>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DRlYTY1MDBkY2YzZDU5NGIyOWM0ZjRiOTQzNGUifQ=="/>
  </w:docVars>
  <w:rsids>
    <w:rsidRoot w:val="00000000"/>
    <w:rsid w:val="01661B19"/>
    <w:rsid w:val="01DD3C4D"/>
    <w:rsid w:val="01E52B01"/>
    <w:rsid w:val="02811B6C"/>
    <w:rsid w:val="03D177E1"/>
    <w:rsid w:val="052D4B75"/>
    <w:rsid w:val="05375C27"/>
    <w:rsid w:val="056D6606"/>
    <w:rsid w:val="05B44CC5"/>
    <w:rsid w:val="06504129"/>
    <w:rsid w:val="06D32018"/>
    <w:rsid w:val="070922BA"/>
    <w:rsid w:val="07097292"/>
    <w:rsid w:val="077C7A64"/>
    <w:rsid w:val="07D33702"/>
    <w:rsid w:val="07EF0236"/>
    <w:rsid w:val="080034AF"/>
    <w:rsid w:val="08D3127C"/>
    <w:rsid w:val="08D538D0"/>
    <w:rsid w:val="092D370C"/>
    <w:rsid w:val="095D17BC"/>
    <w:rsid w:val="09616F12"/>
    <w:rsid w:val="0AE93662"/>
    <w:rsid w:val="0B094C47"/>
    <w:rsid w:val="0B662F05"/>
    <w:rsid w:val="0C063DA0"/>
    <w:rsid w:val="0C0F70F9"/>
    <w:rsid w:val="0C1B25A0"/>
    <w:rsid w:val="0C85560D"/>
    <w:rsid w:val="0D6C2329"/>
    <w:rsid w:val="0D6D59C4"/>
    <w:rsid w:val="0D782A7C"/>
    <w:rsid w:val="0DEA1BCB"/>
    <w:rsid w:val="0F171B88"/>
    <w:rsid w:val="100E1475"/>
    <w:rsid w:val="10282537"/>
    <w:rsid w:val="10BB784F"/>
    <w:rsid w:val="11072A94"/>
    <w:rsid w:val="123029BC"/>
    <w:rsid w:val="13001549"/>
    <w:rsid w:val="131B5AD2"/>
    <w:rsid w:val="13A46333"/>
    <w:rsid w:val="14075E77"/>
    <w:rsid w:val="1441006B"/>
    <w:rsid w:val="154047C7"/>
    <w:rsid w:val="15477903"/>
    <w:rsid w:val="15655021"/>
    <w:rsid w:val="15747FCD"/>
    <w:rsid w:val="15763D45"/>
    <w:rsid w:val="16CA0D59"/>
    <w:rsid w:val="17345C65"/>
    <w:rsid w:val="17B943BD"/>
    <w:rsid w:val="17FE211F"/>
    <w:rsid w:val="18041ED5"/>
    <w:rsid w:val="18BC2775"/>
    <w:rsid w:val="191E4E1F"/>
    <w:rsid w:val="19445F08"/>
    <w:rsid w:val="1B0911B7"/>
    <w:rsid w:val="1B505038"/>
    <w:rsid w:val="1BF12377"/>
    <w:rsid w:val="1CD22DC8"/>
    <w:rsid w:val="1CF822AC"/>
    <w:rsid w:val="1E1617CE"/>
    <w:rsid w:val="1EFA44D7"/>
    <w:rsid w:val="201A79C2"/>
    <w:rsid w:val="21162880"/>
    <w:rsid w:val="2265586D"/>
    <w:rsid w:val="24E20CF5"/>
    <w:rsid w:val="27090EBD"/>
    <w:rsid w:val="2970151C"/>
    <w:rsid w:val="298A7967"/>
    <w:rsid w:val="2A866380"/>
    <w:rsid w:val="2ABC600B"/>
    <w:rsid w:val="2C7843EE"/>
    <w:rsid w:val="2CDF046F"/>
    <w:rsid w:val="2DF73572"/>
    <w:rsid w:val="2E876B6B"/>
    <w:rsid w:val="2FA86D99"/>
    <w:rsid w:val="30730F12"/>
    <w:rsid w:val="32A27237"/>
    <w:rsid w:val="32F26CA9"/>
    <w:rsid w:val="333E1EEE"/>
    <w:rsid w:val="34A75871"/>
    <w:rsid w:val="34B47F8E"/>
    <w:rsid w:val="34DA12D0"/>
    <w:rsid w:val="351153E0"/>
    <w:rsid w:val="3518688A"/>
    <w:rsid w:val="35BA3D7E"/>
    <w:rsid w:val="35DF103A"/>
    <w:rsid w:val="35E93C67"/>
    <w:rsid w:val="361D6A8E"/>
    <w:rsid w:val="3659210B"/>
    <w:rsid w:val="36716136"/>
    <w:rsid w:val="3679148F"/>
    <w:rsid w:val="368E4F3A"/>
    <w:rsid w:val="37870B77"/>
    <w:rsid w:val="383B4C4E"/>
    <w:rsid w:val="387B504A"/>
    <w:rsid w:val="39194863"/>
    <w:rsid w:val="3A8F41C3"/>
    <w:rsid w:val="3A9B7845"/>
    <w:rsid w:val="3B251BE5"/>
    <w:rsid w:val="3B2A4727"/>
    <w:rsid w:val="3C7E15AD"/>
    <w:rsid w:val="3C9012E0"/>
    <w:rsid w:val="3D684847"/>
    <w:rsid w:val="3D866B18"/>
    <w:rsid w:val="3E3E3B00"/>
    <w:rsid w:val="3E886713"/>
    <w:rsid w:val="3FA550A3"/>
    <w:rsid w:val="3FC512A1"/>
    <w:rsid w:val="40F2256A"/>
    <w:rsid w:val="410D73A4"/>
    <w:rsid w:val="436239D7"/>
    <w:rsid w:val="44215F27"/>
    <w:rsid w:val="447C0AC8"/>
    <w:rsid w:val="46971BE9"/>
    <w:rsid w:val="478F0B12"/>
    <w:rsid w:val="480037BE"/>
    <w:rsid w:val="486E2B10"/>
    <w:rsid w:val="48C540C0"/>
    <w:rsid w:val="49920446"/>
    <w:rsid w:val="49F66C27"/>
    <w:rsid w:val="4B83098E"/>
    <w:rsid w:val="4BCD7E5B"/>
    <w:rsid w:val="4C404189"/>
    <w:rsid w:val="4D3161C8"/>
    <w:rsid w:val="4DC808DA"/>
    <w:rsid w:val="4DC9418A"/>
    <w:rsid w:val="4EE82D28"/>
    <w:rsid w:val="50B02879"/>
    <w:rsid w:val="511856D5"/>
    <w:rsid w:val="513D06D6"/>
    <w:rsid w:val="515F1555"/>
    <w:rsid w:val="51A11B6E"/>
    <w:rsid w:val="52D95337"/>
    <w:rsid w:val="52E71DAC"/>
    <w:rsid w:val="534327B1"/>
    <w:rsid w:val="535B7AFB"/>
    <w:rsid w:val="53B11E10"/>
    <w:rsid w:val="53B15383"/>
    <w:rsid w:val="53BC2C8F"/>
    <w:rsid w:val="54161C73"/>
    <w:rsid w:val="54EE6862"/>
    <w:rsid w:val="555831C2"/>
    <w:rsid w:val="559E519B"/>
    <w:rsid w:val="55AF412E"/>
    <w:rsid w:val="55CE6CAA"/>
    <w:rsid w:val="56484A62"/>
    <w:rsid w:val="56A158F0"/>
    <w:rsid w:val="56C105BC"/>
    <w:rsid w:val="5737087F"/>
    <w:rsid w:val="58727DC0"/>
    <w:rsid w:val="58731F07"/>
    <w:rsid w:val="58B37FCA"/>
    <w:rsid w:val="5A690D4F"/>
    <w:rsid w:val="5AA71877"/>
    <w:rsid w:val="5B172EA1"/>
    <w:rsid w:val="5B2335F4"/>
    <w:rsid w:val="5BC00E43"/>
    <w:rsid w:val="5BC22F58"/>
    <w:rsid w:val="5BE94D8A"/>
    <w:rsid w:val="5C841E70"/>
    <w:rsid w:val="5D331DC6"/>
    <w:rsid w:val="5D375134"/>
    <w:rsid w:val="5DB744C7"/>
    <w:rsid w:val="5E1831B8"/>
    <w:rsid w:val="5EDA66BF"/>
    <w:rsid w:val="5EF22017"/>
    <w:rsid w:val="602045A6"/>
    <w:rsid w:val="605B4910"/>
    <w:rsid w:val="60A800F7"/>
    <w:rsid w:val="62312A9A"/>
    <w:rsid w:val="62F67840"/>
    <w:rsid w:val="63472010"/>
    <w:rsid w:val="635C27EC"/>
    <w:rsid w:val="636F2CBC"/>
    <w:rsid w:val="64760C38"/>
    <w:rsid w:val="64EC0EFA"/>
    <w:rsid w:val="650A3BF1"/>
    <w:rsid w:val="662E109F"/>
    <w:rsid w:val="66337DDB"/>
    <w:rsid w:val="66903B07"/>
    <w:rsid w:val="67C717AB"/>
    <w:rsid w:val="69F34AD9"/>
    <w:rsid w:val="6A334ED5"/>
    <w:rsid w:val="6A7A48B2"/>
    <w:rsid w:val="6AD044DB"/>
    <w:rsid w:val="6C1F1BB5"/>
    <w:rsid w:val="6C5630FD"/>
    <w:rsid w:val="6D1C1A47"/>
    <w:rsid w:val="6E4B5FEE"/>
    <w:rsid w:val="6E551E00"/>
    <w:rsid w:val="6EC425A0"/>
    <w:rsid w:val="6FC0545D"/>
    <w:rsid w:val="703A5210"/>
    <w:rsid w:val="70D3361D"/>
    <w:rsid w:val="715F2A54"/>
    <w:rsid w:val="71C106DA"/>
    <w:rsid w:val="72A44BC2"/>
    <w:rsid w:val="738A4AEF"/>
    <w:rsid w:val="73B057E9"/>
    <w:rsid w:val="749173C8"/>
    <w:rsid w:val="74B80DF9"/>
    <w:rsid w:val="74C23A26"/>
    <w:rsid w:val="74DB3105"/>
    <w:rsid w:val="77B238DE"/>
    <w:rsid w:val="7910588B"/>
    <w:rsid w:val="7A0128FA"/>
    <w:rsid w:val="7A6F3D08"/>
    <w:rsid w:val="7A85352B"/>
    <w:rsid w:val="7C105077"/>
    <w:rsid w:val="7CF95B0B"/>
    <w:rsid w:val="7E4B683A"/>
    <w:rsid w:val="7E525E1A"/>
    <w:rsid w:val="7E9B7FF5"/>
    <w:rsid w:val="7F1255AA"/>
    <w:rsid w:val="7F6B6377"/>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styleId="7">
    <w:name w:val="annotation reference"/>
    <w:basedOn w:val="4"/>
    <w:unhideWhenUsed/>
    <w:qFormat/>
    <w:uiPriority w:val="0"/>
    <w:rPr>
      <w:sz w:val="21"/>
      <w:szCs w:val="21"/>
    </w:rPr>
  </w:style>
  <w:style w:type="paragraph" w:customStyle="1" w:styleId="8">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正文表标题"/>
    <w:next w:val="8"/>
    <w:qFormat/>
    <w:uiPriority w:val="0"/>
    <w:p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6229</Words>
  <Characters>6889</Characters>
  <Lines>0</Lines>
  <Paragraphs>0</Paragraphs>
  <TotalTime>0</TotalTime>
  <ScaleCrop>false</ScaleCrop>
  <LinksUpToDate>false</LinksUpToDate>
  <CharactersWithSpaces>6953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xiangshilin</cp:lastModifiedBy>
  <dcterms:modified xsi:type="dcterms:W3CDTF">2024-10-29T06:23:08Z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53E6390825AC48DA9A18881E1DB78951_12</vt:lpwstr>
  </property>
</Properties>
</file>